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40B83">
      <w:pPr>
        <w:rPr>
          <w:rFonts w:ascii="Times New Roman" w:hAnsi="Times New Roman"/>
          <w:color w:val="auto"/>
        </w:rPr>
      </w:pPr>
    </w:p>
    <w:p w14:paraId="648944FD">
      <w:pPr>
        <w:rPr>
          <w:rFonts w:ascii="Times New Roman" w:hAnsi="Times New Roman"/>
          <w:color w:val="auto"/>
        </w:rPr>
      </w:pPr>
    </w:p>
    <w:p w14:paraId="3DEDE611">
      <w:pPr>
        <w:rPr>
          <w:rFonts w:ascii="Times New Roman" w:hAnsi="Times New Roman"/>
          <w:color w:val="auto"/>
        </w:rPr>
      </w:pPr>
    </w:p>
    <w:p w14:paraId="584ACE6B">
      <w:pPr>
        <w:rPr>
          <w:rFonts w:hint="eastAsia" w:ascii="Times New Roman" w:hAnsi="Times New Roman"/>
          <w:b/>
          <w:bCs/>
          <w:color w:val="auto"/>
          <w:sz w:val="72"/>
          <w:szCs w:val="72"/>
        </w:rPr>
      </w:pPr>
    </w:p>
    <w:p w14:paraId="00B88939">
      <w:pPr>
        <w:rPr>
          <w:rFonts w:hint="eastAsia" w:ascii="Times New Roman" w:hAnsi="Times New Roman"/>
          <w:b/>
          <w:bCs/>
          <w:color w:val="auto"/>
          <w:sz w:val="72"/>
          <w:szCs w:val="72"/>
        </w:rPr>
      </w:pPr>
    </w:p>
    <w:p w14:paraId="4758FBD6">
      <w:pPr>
        <w:rPr>
          <w:rFonts w:ascii="Times New Roman" w:hAnsi="Times New Roman"/>
          <w:color w:val="auto"/>
          <w:sz w:val="72"/>
          <w:szCs w:val="72"/>
        </w:rPr>
      </w:pPr>
      <w:r>
        <w:rPr>
          <w:rFonts w:hint="eastAsia" w:ascii="Times New Roman" w:hAnsi="Times New Roman"/>
          <w:b/>
          <w:bCs/>
          <w:color w:val="auto"/>
          <w:sz w:val="72"/>
          <w:szCs w:val="72"/>
        </w:rPr>
        <w:t>建设项目环境影响报告表</w:t>
      </w:r>
    </w:p>
    <w:p w14:paraId="00BFEF3A">
      <w:pPr>
        <w:adjustRightInd w:val="0"/>
        <w:snapToGrid w:val="0"/>
        <w:spacing w:before="249" w:beforeLines="80"/>
        <w:jc w:val="center"/>
        <w:rPr>
          <w:rFonts w:ascii="Times New Roman" w:hAnsi="Times New Roman" w:eastAsia="楷体_GB2312"/>
          <w:b/>
          <w:color w:val="auto"/>
          <w:sz w:val="48"/>
          <w:szCs w:val="48"/>
        </w:rPr>
      </w:pPr>
      <w:r>
        <w:rPr>
          <w:rFonts w:hint="eastAsia" w:ascii="Times New Roman" w:hAnsi="Times New Roman"/>
          <w:b/>
          <w:color w:val="auto"/>
          <w:sz w:val="48"/>
          <w:szCs w:val="48"/>
        </w:rPr>
        <w:t>（污染影响类）</w:t>
      </w:r>
    </w:p>
    <w:p w14:paraId="6E66FBEE">
      <w:pPr>
        <w:adjustRightInd w:val="0"/>
        <w:snapToGrid w:val="0"/>
        <w:spacing w:line="288" w:lineRule="auto"/>
        <w:ind w:firstLine="1040"/>
        <w:rPr>
          <w:rFonts w:ascii="Times New Roman" w:hAnsi="Times New Roman" w:eastAsia="仿宋_GB2312"/>
          <w:color w:val="auto"/>
          <w:sz w:val="36"/>
          <w:szCs w:val="36"/>
        </w:rPr>
      </w:pPr>
    </w:p>
    <w:p w14:paraId="1B8A70C8">
      <w:pPr>
        <w:adjustRightInd w:val="0"/>
        <w:snapToGrid w:val="0"/>
        <w:spacing w:line="288" w:lineRule="auto"/>
        <w:ind w:firstLine="1040"/>
        <w:rPr>
          <w:rFonts w:ascii="Times New Roman" w:hAnsi="Times New Roman" w:eastAsia="仿宋_GB2312"/>
          <w:color w:val="auto"/>
          <w:sz w:val="36"/>
          <w:szCs w:val="36"/>
        </w:rPr>
      </w:pPr>
    </w:p>
    <w:p w14:paraId="4FB648C1">
      <w:pPr>
        <w:adjustRightInd w:val="0"/>
        <w:snapToGrid w:val="0"/>
        <w:spacing w:line="288" w:lineRule="auto"/>
        <w:ind w:firstLine="1040"/>
        <w:rPr>
          <w:rFonts w:ascii="Times New Roman" w:hAnsi="Times New Roman" w:eastAsia="仿宋_GB2312"/>
          <w:color w:val="auto"/>
          <w:sz w:val="36"/>
          <w:szCs w:val="36"/>
        </w:rPr>
      </w:pPr>
    </w:p>
    <w:p w14:paraId="1086223B">
      <w:pPr>
        <w:adjustRightInd w:val="0"/>
        <w:snapToGrid w:val="0"/>
        <w:spacing w:line="288" w:lineRule="auto"/>
        <w:ind w:firstLine="1040"/>
        <w:rPr>
          <w:rFonts w:ascii="Times New Roman" w:hAnsi="Times New Roman" w:eastAsia="仿宋_GB2312"/>
          <w:color w:val="auto"/>
          <w:sz w:val="36"/>
          <w:szCs w:val="36"/>
        </w:rPr>
      </w:pPr>
    </w:p>
    <w:p w14:paraId="0B4EFD9B">
      <w:pPr>
        <w:adjustRightInd w:val="0"/>
        <w:snapToGrid w:val="0"/>
        <w:spacing w:line="288" w:lineRule="auto"/>
        <w:ind w:firstLine="1040"/>
        <w:rPr>
          <w:rFonts w:ascii="Times New Roman" w:hAnsi="Times New Roman" w:eastAsia="仿宋_GB2312"/>
          <w:color w:val="auto"/>
          <w:sz w:val="36"/>
          <w:szCs w:val="36"/>
        </w:rPr>
      </w:pPr>
    </w:p>
    <w:p w14:paraId="41D3D8B2">
      <w:pPr>
        <w:adjustRightInd w:val="0"/>
        <w:snapToGrid w:val="0"/>
        <w:spacing w:line="288" w:lineRule="auto"/>
        <w:ind w:firstLine="1040"/>
        <w:rPr>
          <w:rFonts w:ascii="Times New Roman" w:hAnsi="Times New Roman" w:eastAsia="仿宋_GB2312"/>
          <w:color w:val="auto"/>
          <w:sz w:val="36"/>
          <w:szCs w:val="36"/>
        </w:rPr>
      </w:pPr>
    </w:p>
    <w:p w14:paraId="74FF76C1">
      <w:pPr>
        <w:adjustRightInd w:val="0"/>
        <w:snapToGrid w:val="0"/>
        <w:ind w:left="1606" w:hanging="1606" w:hangingChars="500"/>
        <w:rPr>
          <w:rFonts w:ascii="Times New Roman" w:hAnsi="Times New Roman"/>
          <w:b/>
          <w:bCs/>
          <w:color w:val="auto"/>
          <w:sz w:val="32"/>
          <w:szCs w:val="32"/>
        </w:rPr>
      </w:pPr>
    </w:p>
    <w:p w14:paraId="4C957EFA">
      <w:pPr>
        <w:adjustRightInd w:val="0"/>
        <w:snapToGrid w:val="0"/>
        <w:ind w:left="1606" w:hanging="1606" w:hangingChars="500"/>
        <w:rPr>
          <w:rFonts w:ascii="Times New Roman" w:hAnsi="Times New Roman"/>
          <w:b/>
          <w:bCs/>
          <w:color w:val="auto"/>
          <w:sz w:val="32"/>
          <w:szCs w:val="32"/>
        </w:rPr>
      </w:pPr>
    </w:p>
    <w:p w14:paraId="645D3BED">
      <w:pPr>
        <w:adjustRightInd w:val="0"/>
        <w:snapToGrid w:val="0"/>
        <w:ind w:left="1606" w:hanging="1606" w:hangingChars="500"/>
        <w:rPr>
          <w:rFonts w:ascii="Times New Roman" w:hAnsi="Times New Roman"/>
          <w:color w:val="auto"/>
          <w:sz w:val="32"/>
          <w:szCs w:val="32"/>
          <w:u w:val="single"/>
        </w:rPr>
      </w:pPr>
      <w:r>
        <w:rPr>
          <w:rFonts w:ascii="Times New Roman" w:hAnsi="Times New Roman"/>
          <w:b/>
          <w:bCs/>
          <w:color w:val="auto"/>
          <w:sz w:val="32"/>
          <w:szCs w:val="32"/>
        </w:rPr>
        <w:t>项目名称：</w:t>
      </w:r>
      <w:r>
        <w:rPr>
          <w:rFonts w:hint="eastAsia"/>
          <w:b/>
          <w:bCs/>
          <w:color w:val="auto"/>
          <w:sz w:val="32"/>
          <w:szCs w:val="32"/>
          <w:u w:val="single"/>
          <w:lang w:eastAsia="zh-CN"/>
        </w:rPr>
        <w:t>芒市腾发水泥制品有限公司建设项目</w:t>
      </w:r>
      <w:r>
        <w:rPr>
          <w:rFonts w:ascii="Times New Roman" w:hAnsi="Times New Roman"/>
          <w:b/>
          <w:bCs/>
          <w:color w:val="auto"/>
          <w:sz w:val="32"/>
          <w:szCs w:val="32"/>
          <w:u w:val="single"/>
        </w:rPr>
        <w:t xml:space="preserve">   </w:t>
      </w:r>
      <w:r>
        <w:rPr>
          <w:rFonts w:ascii="Times New Roman" w:hAnsi="Times New Roman"/>
          <w:color w:val="auto"/>
          <w:sz w:val="32"/>
          <w:szCs w:val="32"/>
          <w:u w:val="single"/>
        </w:rPr>
        <w:t xml:space="preserve">     </w:t>
      </w:r>
      <w:r>
        <w:rPr>
          <w:rFonts w:hint="eastAsia" w:ascii="Times New Roman" w:hAnsi="Times New Roman"/>
          <w:color w:val="auto"/>
          <w:sz w:val="32"/>
          <w:szCs w:val="32"/>
          <w:u w:val="single"/>
        </w:rPr>
        <w:t xml:space="preserve">     </w:t>
      </w:r>
      <w:r>
        <w:rPr>
          <w:rFonts w:ascii="Times New Roman" w:hAnsi="Times New Roman"/>
          <w:color w:val="auto"/>
          <w:sz w:val="32"/>
          <w:szCs w:val="32"/>
          <w:u w:val="single"/>
        </w:rPr>
        <w:t xml:space="preserve">                </w:t>
      </w:r>
    </w:p>
    <w:p w14:paraId="5259C555">
      <w:pPr>
        <w:adjustRightInd w:val="0"/>
        <w:snapToGrid w:val="0"/>
        <w:rPr>
          <w:rFonts w:ascii="Times New Roman" w:hAnsi="Times New Roman"/>
          <w:color w:val="auto"/>
          <w:sz w:val="32"/>
          <w:szCs w:val="32"/>
          <w:u w:val="single"/>
        </w:rPr>
      </w:pPr>
      <w:r>
        <w:rPr>
          <w:rFonts w:ascii="Times New Roman" w:hAnsi="Times New Roman"/>
          <w:b/>
          <w:bCs/>
          <w:color w:val="auto"/>
          <w:sz w:val="32"/>
          <w:szCs w:val="32"/>
        </w:rPr>
        <w:t>建设单位（盖章）：</w:t>
      </w:r>
      <w:r>
        <w:rPr>
          <w:rFonts w:ascii="Times New Roman" w:hAnsi="Times New Roman"/>
          <w:b/>
          <w:bCs/>
          <w:color w:val="auto"/>
          <w:sz w:val="32"/>
          <w:szCs w:val="32"/>
          <w:u w:val="single"/>
        </w:rPr>
        <w:t xml:space="preserve"> </w:t>
      </w:r>
      <w:r>
        <w:rPr>
          <w:rFonts w:hint="eastAsia"/>
          <w:b/>
          <w:bCs/>
          <w:color w:val="auto"/>
          <w:sz w:val="32"/>
          <w:szCs w:val="32"/>
          <w:u w:val="single"/>
          <w:lang w:eastAsia="zh-CN"/>
        </w:rPr>
        <w:t>芒市腾发水泥制品有限公司</w:t>
      </w:r>
      <w:r>
        <w:rPr>
          <w:rFonts w:ascii="Times New Roman" w:hAnsi="Times New Roman"/>
          <w:color w:val="auto"/>
          <w:sz w:val="32"/>
          <w:szCs w:val="32"/>
          <w:u w:val="single"/>
        </w:rPr>
        <w:t xml:space="preserve">                   </w:t>
      </w:r>
    </w:p>
    <w:p w14:paraId="2F935FFF">
      <w:pPr>
        <w:adjustRightInd w:val="0"/>
        <w:snapToGrid w:val="0"/>
        <w:rPr>
          <w:rFonts w:ascii="Times New Roman" w:hAnsi="Times New Roman" w:eastAsia="仿宋_GB2312"/>
          <w:b/>
          <w:bCs/>
          <w:color w:val="auto"/>
          <w:sz w:val="36"/>
          <w:szCs w:val="36"/>
          <w:u w:val="single"/>
        </w:rPr>
      </w:pPr>
      <w:r>
        <w:rPr>
          <w:rFonts w:ascii="Times New Roman" w:hAnsi="Times New Roman"/>
          <w:b/>
          <w:bCs/>
          <w:color w:val="auto"/>
          <w:sz w:val="32"/>
          <w:szCs w:val="32"/>
        </w:rPr>
        <w:t>编制日期：</w:t>
      </w:r>
      <w:r>
        <w:rPr>
          <w:rFonts w:ascii="Times New Roman" w:hAnsi="Times New Roman"/>
          <w:b/>
          <w:bCs/>
          <w:color w:val="auto"/>
          <w:sz w:val="32"/>
          <w:szCs w:val="32"/>
          <w:u w:val="single"/>
        </w:rPr>
        <w:t xml:space="preserve">   二0二</w:t>
      </w:r>
      <w:r>
        <w:rPr>
          <w:rFonts w:hint="eastAsia" w:ascii="Times New Roman" w:hAnsi="Times New Roman"/>
          <w:b/>
          <w:bCs/>
          <w:color w:val="auto"/>
          <w:sz w:val="32"/>
          <w:szCs w:val="32"/>
          <w:u w:val="single"/>
          <w:lang w:eastAsia="zh-CN"/>
        </w:rPr>
        <w:t>三</w:t>
      </w:r>
      <w:r>
        <w:rPr>
          <w:rFonts w:ascii="Times New Roman" w:hAnsi="Times New Roman"/>
          <w:b/>
          <w:bCs/>
          <w:color w:val="auto"/>
          <w:sz w:val="32"/>
          <w:szCs w:val="32"/>
          <w:u w:val="single"/>
        </w:rPr>
        <w:t>年</w:t>
      </w:r>
      <w:r>
        <w:rPr>
          <w:rFonts w:hint="eastAsia"/>
          <w:b/>
          <w:bCs/>
          <w:color w:val="auto"/>
          <w:sz w:val="32"/>
          <w:szCs w:val="32"/>
          <w:u w:val="single"/>
          <w:lang w:eastAsia="zh-CN"/>
        </w:rPr>
        <w:t>十二</w:t>
      </w:r>
      <w:r>
        <w:rPr>
          <w:rFonts w:ascii="Times New Roman" w:hAnsi="Times New Roman"/>
          <w:b/>
          <w:bCs/>
          <w:color w:val="auto"/>
          <w:sz w:val="32"/>
          <w:szCs w:val="32"/>
          <w:u w:val="single"/>
        </w:rPr>
        <w:t xml:space="preserve">月          </w:t>
      </w:r>
      <w:r>
        <w:rPr>
          <w:rFonts w:ascii="Times New Roman" w:hAnsi="Times New Roman" w:eastAsia="仿宋_GB2312"/>
          <w:b/>
          <w:bCs/>
          <w:color w:val="auto"/>
          <w:sz w:val="32"/>
          <w:szCs w:val="32"/>
          <w:u w:val="single"/>
        </w:rPr>
        <w:t xml:space="preserve">          </w:t>
      </w:r>
      <w:r>
        <w:rPr>
          <w:rFonts w:ascii="Times New Roman" w:hAnsi="Times New Roman" w:eastAsia="仿宋_GB2312"/>
          <w:b/>
          <w:bCs/>
          <w:color w:val="auto"/>
          <w:sz w:val="36"/>
          <w:szCs w:val="36"/>
          <w:u w:val="single"/>
        </w:rPr>
        <w:t xml:space="preserve">   </w:t>
      </w:r>
      <w:r>
        <w:rPr>
          <w:rFonts w:hint="eastAsia" w:ascii="Times New Roman" w:hAnsi="Times New Roman" w:eastAsia="仿宋_GB2312"/>
          <w:b/>
          <w:bCs/>
          <w:color w:val="auto"/>
          <w:sz w:val="36"/>
          <w:szCs w:val="36"/>
          <w:u w:val="single"/>
        </w:rPr>
        <w:t xml:space="preserve"> </w:t>
      </w:r>
    </w:p>
    <w:p w14:paraId="14FCEB42">
      <w:pPr>
        <w:adjustRightInd w:val="0"/>
        <w:snapToGrid w:val="0"/>
        <w:spacing w:line="288" w:lineRule="auto"/>
        <w:ind w:firstLine="1040"/>
        <w:rPr>
          <w:rFonts w:ascii="Times New Roman" w:hAnsi="Times New Roman" w:eastAsia="仿宋_GB2312"/>
          <w:color w:val="auto"/>
          <w:sz w:val="36"/>
          <w:szCs w:val="36"/>
          <w:u w:val="single"/>
        </w:rPr>
      </w:pPr>
      <w:bookmarkStart w:id="0" w:name="_Hlk57884087"/>
    </w:p>
    <w:p w14:paraId="7492DEC7">
      <w:pPr>
        <w:adjustRightInd w:val="0"/>
        <w:snapToGrid w:val="0"/>
        <w:spacing w:line="288" w:lineRule="auto"/>
        <w:ind w:firstLine="1040"/>
        <w:rPr>
          <w:rFonts w:ascii="Times New Roman" w:hAnsi="Times New Roman" w:eastAsia="仿宋_GB2312"/>
          <w:color w:val="auto"/>
          <w:sz w:val="36"/>
          <w:szCs w:val="36"/>
        </w:rPr>
      </w:pPr>
    </w:p>
    <w:p w14:paraId="2DF98C55">
      <w:pPr>
        <w:adjustRightInd w:val="0"/>
        <w:snapToGrid w:val="0"/>
        <w:spacing w:line="288" w:lineRule="auto"/>
        <w:ind w:firstLine="1040"/>
        <w:rPr>
          <w:rFonts w:ascii="Times New Roman" w:hAnsi="Times New Roman" w:eastAsia="仿宋_GB2312"/>
          <w:color w:val="auto"/>
          <w:sz w:val="36"/>
          <w:szCs w:val="36"/>
        </w:rPr>
      </w:pPr>
    </w:p>
    <w:p w14:paraId="7FEE1397">
      <w:pPr>
        <w:adjustRightInd w:val="0"/>
        <w:snapToGrid w:val="0"/>
        <w:spacing w:line="288" w:lineRule="auto"/>
        <w:ind w:firstLine="1040"/>
        <w:rPr>
          <w:rFonts w:ascii="Times New Roman" w:hAnsi="Times New Roman" w:eastAsia="仿宋_GB2312"/>
          <w:color w:val="auto"/>
          <w:sz w:val="36"/>
          <w:szCs w:val="36"/>
        </w:rPr>
      </w:pPr>
    </w:p>
    <w:bookmarkEnd w:id="0"/>
    <w:p w14:paraId="433233E8">
      <w:pPr>
        <w:adjustRightInd w:val="0"/>
        <w:snapToGrid w:val="0"/>
        <w:spacing w:line="288" w:lineRule="auto"/>
        <w:jc w:val="center"/>
        <w:rPr>
          <w:rFonts w:ascii="Times New Roman" w:hAnsi="Times New Roman"/>
          <w:b/>
          <w:bCs/>
          <w:snapToGrid w:val="0"/>
          <w:color w:val="auto"/>
          <w:sz w:val="30"/>
          <w:szCs w:val="30"/>
        </w:rPr>
      </w:pPr>
      <w:r>
        <w:rPr>
          <w:rFonts w:hint="eastAsia" w:ascii="Times New Roman" w:hAnsi="Times New Roman"/>
          <w:b/>
          <w:bCs/>
          <w:color w:val="auto"/>
          <w:sz w:val="36"/>
          <w:szCs w:val="36"/>
        </w:rPr>
        <w:t>中华人民共和国生态环境部制</w:t>
      </w:r>
    </w:p>
    <w:p w14:paraId="0C84B3BE">
      <w:pPr>
        <w:numPr>
          <w:ilvl w:val="0"/>
          <w:numId w:val="2"/>
        </w:numPr>
        <w:rPr>
          <w:rFonts w:ascii="Times New Roman" w:hAnsi="Times New Roman"/>
          <w:color w:val="auto"/>
        </w:rPr>
        <w:sectPr>
          <w:footerReference r:id="rId5" w:type="default"/>
          <w:pgSz w:w="11906" w:h="16838"/>
          <w:pgMar w:top="1440" w:right="1800" w:bottom="1440" w:left="1800" w:header="851" w:footer="992" w:gutter="0"/>
          <w:cols w:space="425" w:num="1"/>
          <w:docGrid w:type="lines" w:linePitch="312" w:charSpace="0"/>
        </w:sectPr>
      </w:pPr>
    </w:p>
    <w:sdt>
      <w:sdtPr>
        <w:rPr>
          <w:rFonts w:ascii="Times New Roman" w:hAnsi="Times New Roman"/>
          <w:color w:val="auto"/>
          <w:sz w:val="21"/>
        </w:rPr>
        <w:id w:val="147475133"/>
        <w15:color w:val="DBDBDB"/>
        <w:docPartObj>
          <w:docPartGallery w:val="Table of Contents"/>
          <w:docPartUnique/>
        </w:docPartObj>
      </w:sdtPr>
      <w:sdtEndPr>
        <w:rPr>
          <w:rFonts w:hint="eastAsia" w:ascii="Times New Roman" w:hAnsi="Times New Roman"/>
          <w:bCs/>
          <w:snapToGrid w:val="0"/>
          <w:color w:val="auto"/>
          <w:sz w:val="24"/>
          <w:szCs w:val="30"/>
        </w:rPr>
      </w:sdtEndPr>
      <w:sdtContent>
        <w:p w14:paraId="77359EC9">
          <w:pPr>
            <w:spacing w:line="240" w:lineRule="auto"/>
            <w:jc w:val="center"/>
            <w:rPr>
              <w:rFonts w:ascii="Times New Roman" w:hAnsi="Times New Roman"/>
              <w:b/>
              <w:bCs/>
              <w:color w:val="auto"/>
            </w:rPr>
          </w:pPr>
          <w:r>
            <w:rPr>
              <w:rFonts w:ascii="Times New Roman" w:hAnsi="Times New Roman"/>
              <w:b/>
              <w:bCs/>
              <w:color w:val="auto"/>
            </w:rPr>
            <w:t>目录</w:t>
          </w:r>
        </w:p>
        <w:p w14:paraId="767DC09F">
          <w:pPr>
            <w:pStyle w:val="6"/>
            <w:tabs>
              <w:tab w:val="right" w:leader="dot" w:pos="8306"/>
            </w:tabs>
            <w:rPr>
              <w:rFonts w:ascii="Times New Roman" w:hAnsi="Times New Roman"/>
              <w:color w:val="auto"/>
            </w:rPr>
          </w:pPr>
          <w:r>
            <w:rPr>
              <w:rFonts w:ascii="Times New Roman" w:hAnsi="Times New Roman"/>
              <w:b/>
              <w:bCs/>
              <w:snapToGrid w:val="0"/>
              <w:color w:val="auto"/>
            </w:rPr>
            <w:fldChar w:fldCharType="begin"/>
          </w:r>
          <w:r>
            <w:rPr>
              <w:rFonts w:ascii="Times New Roman" w:hAnsi="Times New Roman"/>
              <w:b/>
              <w:bCs/>
              <w:snapToGrid w:val="0"/>
              <w:color w:val="auto"/>
            </w:rPr>
            <w:instrText xml:space="preserve">TOC \o "1-1" \h \u </w:instrText>
          </w:r>
          <w:r>
            <w:rPr>
              <w:rFonts w:ascii="Times New Roman" w:hAnsi="Times New Roman"/>
              <w:b/>
              <w:bCs/>
              <w:snapToGrid w:val="0"/>
              <w:color w:val="auto"/>
            </w:rPr>
            <w:fldChar w:fldCharType="separate"/>
          </w:r>
          <w:r>
            <w:rPr>
              <w:rFonts w:ascii="Times New Roman" w:hAnsi="Times New Roman"/>
              <w:color w:val="auto"/>
            </w:rPr>
            <w:fldChar w:fldCharType="begin"/>
          </w:r>
          <w:r>
            <w:rPr>
              <w:rFonts w:ascii="Times New Roman" w:hAnsi="Times New Roman"/>
              <w:color w:val="auto"/>
            </w:rPr>
            <w:instrText xml:space="preserve"> HYPERLINK \l "_Toc19539" </w:instrText>
          </w:r>
          <w:r>
            <w:rPr>
              <w:rFonts w:ascii="Times New Roman" w:hAnsi="Times New Roman"/>
              <w:color w:val="auto"/>
            </w:rPr>
            <w:fldChar w:fldCharType="separate"/>
          </w:r>
          <w:r>
            <w:rPr>
              <w:rFonts w:hint="eastAsia" w:ascii="Times New Roman" w:hAnsi="Times New Roman"/>
              <w:color w:val="auto"/>
            </w:rPr>
            <w:t>一、 建设项目基本情况</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_Toc19539 </w:instrText>
          </w:r>
          <w:r>
            <w:rPr>
              <w:rFonts w:ascii="Times New Roman" w:hAnsi="Times New Roman"/>
              <w:color w:val="auto"/>
            </w:rPr>
            <w:fldChar w:fldCharType="separate"/>
          </w:r>
          <w:r>
            <w:rPr>
              <w:rFonts w:ascii="Times New Roman" w:hAnsi="Times New Roman"/>
              <w:color w:val="auto"/>
            </w:rPr>
            <w:t>1</w:t>
          </w:r>
          <w:r>
            <w:rPr>
              <w:rFonts w:ascii="Times New Roman" w:hAnsi="Times New Roman"/>
              <w:color w:val="auto"/>
            </w:rPr>
            <w:fldChar w:fldCharType="end"/>
          </w:r>
          <w:r>
            <w:rPr>
              <w:rFonts w:ascii="Times New Roman" w:hAnsi="Times New Roman"/>
              <w:color w:val="auto"/>
            </w:rPr>
            <w:fldChar w:fldCharType="end"/>
          </w:r>
        </w:p>
        <w:p w14:paraId="4B1022CC">
          <w:pPr>
            <w:pStyle w:val="6"/>
            <w:tabs>
              <w:tab w:val="right" w:leader="dot" w:pos="830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"_Toc10353" </w:instrText>
          </w:r>
          <w:r>
            <w:rPr>
              <w:rFonts w:ascii="Times New Roman" w:hAnsi="Times New Roman"/>
              <w:color w:val="auto"/>
            </w:rPr>
            <w:fldChar w:fldCharType="separate"/>
          </w:r>
          <w:r>
            <w:rPr>
              <w:rFonts w:hint="eastAsia" w:ascii="Times New Roman" w:hAnsi="Times New Roman"/>
              <w:color w:val="auto"/>
            </w:rPr>
            <w:t>二、建设项目工程分析</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_Toc10353 </w:instrText>
          </w:r>
          <w:r>
            <w:rPr>
              <w:rFonts w:ascii="Times New Roman" w:hAnsi="Times New Roman"/>
              <w:color w:val="auto"/>
            </w:rPr>
            <w:fldChar w:fldCharType="separate"/>
          </w:r>
          <w:r>
            <w:rPr>
              <w:rFonts w:ascii="Times New Roman" w:hAnsi="Times New Roman"/>
              <w:color w:val="auto"/>
            </w:rPr>
            <w:t>13</w:t>
          </w:r>
          <w:r>
            <w:rPr>
              <w:rFonts w:ascii="Times New Roman" w:hAnsi="Times New Roman"/>
              <w:color w:val="auto"/>
            </w:rPr>
            <w:fldChar w:fldCharType="end"/>
          </w:r>
          <w:r>
            <w:rPr>
              <w:rFonts w:ascii="Times New Roman" w:hAnsi="Times New Roman"/>
              <w:color w:val="auto"/>
            </w:rPr>
            <w:fldChar w:fldCharType="end"/>
          </w:r>
        </w:p>
        <w:p w14:paraId="57A2FB81">
          <w:pPr>
            <w:pStyle w:val="6"/>
            <w:tabs>
              <w:tab w:val="right" w:leader="dot" w:pos="830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"_Toc22884" </w:instrText>
          </w:r>
          <w:r>
            <w:rPr>
              <w:rFonts w:ascii="Times New Roman" w:hAnsi="Times New Roman"/>
              <w:color w:val="auto"/>
            </w:rPr>
            <w:fldChar w:fldCharType="separate"/>
          </w:r>
          <w:r>
            <w:rPr>
              <w:rFonts w:hint="eastAsia" w:ascii="Times New Roman" w:hAnsi="Times New Roman"/>
              <w:color w:val="auto"/>
            </w:rPr>
            <w:t>三、区域环境质量现状、环境保护目标及评价标准</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_Toc22884 </w:instrText>
          </w:r>
          <w:r>
            <w:rPr>
              <w:rFonts w:ascii="Times New Roman" w:hAnsi="Times New Roman"/>
              <w:color w:val="auto"/>
            </w:rPr>
            <w:fldChar w:fldCharType="separate"/>
          </w:r>
          <w:r>
            <w:rPr>
              <w:rFonts w:ascii="Times New Roman" w:hAnsi="Times New Roman"/>
              <w:color w:val="auto"/>
            </w:rPr>
            <w:t>23</w:t>
          </w:r>
          <w:r>
            <w:rPr>
              <w:rFonts w:ascii="Times New Roman" w:hAnsi="Times New Roman"/>
              <w:color w:val="auto"/>
            </w:rPr>
            <w:fldChar w:fldCharType="end"/>
          </w:r>
          <w:r>
            <w:rPr>
              <w:rFonts w:ascii="Times New Roman" w:hAnsi="Times New Roman"/>
              <w:color w:val="auto"/>
            </w:rPr>
            <w:fldChar w:fldCharType="end"/>
          </w:r>
        </w:p>
        <w:p w14:paraId="700BBC9C">
          <w:pPr>
            <w:pStyle w:val="6"/>
            <w:tabs>
              <w:tab w:val="right" w:leader="dot" w:pos="830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"_Toc12568" </w:instrText>
          </w:r>
          <w:r>
            <w:rPr>
              <w:rFonts w:ascii="Times New Roman" w:hAnsi="Times New Roman"/>
              <w:color w:val="auto"/>
            </w:rPr>
            <w:fldChar w:fldCharType="separate"/>
          </w:r>
          <w:r>
            <w:rPr>
              <w:rFonts w:hint="eastAsia" w:ascii="Times New Roman" w:hAnsi="Times New Roman"/>
              <w:color w:val="auto"/>
            </w:rPr>
            <w:t>四、主要环境影响和保护措施</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_Toc12568 </w:instrText>
          </w:r>
          <w:r>
            <w:rPr>
              <w:rFonts w:ascii="Times New Roman" w:hAnsi="Times New Roman"/>
              <w:color w:val="auto"/>
            </w:rPr>
            <w:fldChar w:fldCharType="separate"/>
          </w:r>
          <w:r>
            <w:rPr>
              <w:rFonts w:ascii="Times New Roman" w:hAnsi="Times New Roman"/>
              <w:color w:val="auto"/>
            </w:rPr>
            <w:t>28</w:t>
          </w:r>
          <w:r>
            <w:rPr>
              <w:rFonts w:ascii="Times New Roman" w:hAnsi="Times New Roman"/>
              <w:color w:val="auto"/>
            </w:rPr>
            <w:fldChar w:fldCharType="end"/>
          </w:r>
          <w:r>
            <w:rPr>
              <w:rFonts w:ascii="Times New Roman" w:hAnsi="Times New Roman"/>
              <w:color w:val="auto"/>
            </w:rPr>
            <w:fldChar w:fldCharType="end"/>
          </w:r>
        </w:p>
        <w:p w14:paraId="5000CF49">
          <w:pPr>
            <w:pStyle w:val="6"/>
            <w:tabs>
              <w:tab w:val="right" w:leader="dot" w:pos="830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"_Toc31492" </w:instrText>
          </w:r>
          <w:r>
            <w:rPr>
              <w:rFonts w:ascii="Times New Roman" w:hAnsi="Times New Roman"/>
              <w:color w:val="auto"/>
            </w:rPr>
            <w:fldChar w:fldCharType="separate"/>
          </w:r>
          <w:r>
            <w:rPr>
              <w:rFonts w:hint="eastAsia" w:ascii="Times New Roman" w:hAnsi="Times New Roman"/>
              <w:color w:val="auto"/>
            </w:rPr>
            <w:t>五、环境保护措施监督检查清单</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_Toc31492 </w:instrText>
          </w:r>
          <w:r>
            <w:rPr>
              <w:rFonts w:ascii="Times New Roman" w:hAnsi="Times New Roman"/>
              <w:color w:val="auto"/>
            </w:rPr>
            <w:fldChar w:fldCharType="separate"/>
          </w:r>
          <w:r>
            <w:rPr>
              <w:rFonts w:ascii="Times New Roman" w:hAnsi="Times New Roman"/>
              <w:color w:val="auto"/>
            </w:rPr>
            <w:t>49</w:t>
          </w:r>
          <w:r>
            <w:rPr>
              <w:rFonts w:ascii="Times New Roman" w:hAnsi="Times New Roman"/>
              <w:color w:val="auto"/>
            </w:rPr>
            <w:fldChar w:fldCharType="end"/>
          </w:r>
          <w:r>
            <w:rPr>
              <w:rFonts w:ascii="Times New Roman" w:hAnsi="Times New Roman"/>
              <w:color w:val="auto"/>
            </w:rPr>
            <w:fldChar w:fldCharType="end"/>
          </w:r>
        </w:p>
        <w:p w14:paraId="4C62BE4F">
          <w:pPr>
            <w:pStyle w:val="6"/>
            <w:tabs>
              <w:tab w:val="right" w:leader="dot" w:pos="830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"_Toc14352" </w:instrText>
          </w:r>
          <w:r>
            <w:rPr>
              <w:rFonts w:ascii="Times New Roman" w:hAnsi="Times New Roman"/>
              <w:color w:val="auto"/>
            </w:rPr>
            <w:fldChar w:fldCharType="separate"/>
          </w:r>
          <w:r>
            <w:rPr>
              <w:rFonts w:hint="eastAsia" w:ascii="Times New Roman" w:hAnsi="Times New Roman"/>
              <w:color w:val="auto"/>
            </w:rPr>
            <w:t>六、结论</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_Toc14352 </w:instrText>
          </w:r>
          <w:r>
            <w:rPr>
              <w:rFonts w:ascii="Times New Roman" w:hAnsi="Times New Roman"/>
              <w:color w:val="auto"/>
            </w:rPr>
            <w:fldChar w:fldCharType="separate"/>
          </w:r>
          <w:r>
            <w:rPr>
              <w:rFonts w:ascii="Times New Roman" w:hAnsi="Times New Roman"/>
              <w:color w:val="auto"/>
            </w:rPr>
            <w:t>51</w:t>
          </w:r>
          <w:r>
            <w:rPr>
              <w:rFonts w:ascii="Times New Roman" w:hAnsi="Times New Roman"/>
              <w:color w:val="auto"/>
            </w:rPr>
            <w:fldChar w:fldCharType="end"/>
          </w:r>
          <w:r>
            <w:rPr>
              <w:rFonts w:ascii="Times New Roman" w:hAnsi="Times New Roman"/>
              <w:color w:val="auto"/>
            </w:rPr>
            <w:fldChar w:fldCharType="end"/>
          </w:r>
        </w:p>
        <w:p w14:paraId="7CF447CF">
          <w:pPr>
            <w:pStyle w:val="6"/>
            <w:tabs>
              <w:tab w:val="right" w:leader="dot" w:pos="830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"_Toc18093" </w:instrText>
          </w:r>
          <w:r>
            <w:rPr>
              <w:rFonts w:ascii="Times New Roman" w:hAnsi="Times New Roman"/>
              <w:color w:val="auto"/>
            </w:rPr>
            <w:fldChar w:fldCharType="separate"/>
          </w:r>
          <w:r>
            <w:rPr>
              <w:rFonts w:hint="eastAsia" w:ascii="Times New Roman" w:hAnsi="Times New Roman"/>
              <w:bCs/>
              <w:snapToGrid w:val="0"/>
              <w:color w:val="auto"/>
              <w:szCs w:val="32"/>
            </w:rPr>
            <w:t>附表</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_Toc18093 </w:instrText>
          </w:r>
          <w:r>
            <w:rPr>
              <w:rFonts w:ascii="Times New Roman" w:hAnsi="Times New Roman"/>
              <w:color w:val="auto"/>
            </w:rPr>
            <w:fldChar w:fldCharType="separate"/>
          </w:r>
          <w:r>
            <w:rPr>
              <w:rFonts w:ascii="Times New Roman" w:hAnsi="Times New Roman"/>
              <w:color w:val="auto"/>
            </w:rPr>
            <w:t>52</w:t>
          </w:r>
          <w:r>
            <w:rPr>
              <w:rFonts w:ascii="Times New Roman" w:hAnsi="Times New Roman"/>
              <w:color w:val="auto"/>
            </w:rPr>
            <w:fldChar w:fldCharType="end"/>
          </w:r>
          <w:r>
            <w:rPr>
              <w:rFonts w:ascii="Times New Roman" w:hAnsi="Times New Roman"/>
              <w:color w:val="auto"/>
            </w:rPr>
            <w:fldChar w:fldCharType="end"/>
          </w:r>
        </w:p>
        <w:p w14:paraId="74E05B79">
          <w:pPr>
            <w:spacing w:line="240" w:lineRule="auto"/>
            <w:jc w:val="center"/>
            <w:rPr>
              <w:rFonts w:ascii="Times New Roman" w:hAnsi="Times New Roman"/>
              <w:bCs/>
              <w:snapToGrid w:val="0"/>
              <w:color w:val="auto"/>
              <w:szCs w:val="30"/>
            </w:rPr>
          </w:pPr>
          <w:r>
            <w:rPr>
              <w:rFonts w:ascii="Times New Roman" w:hAnsi="Times New Roman"/>
              <w:bCs/>
              <w:snapToGrid w:val="0"/>
              <w:color w:val="auto"/>
            </w:rPr>
            <w:fldChar w:fldCharType="end"/>
          </w:r>
        </w:p>
      </w:sdtContent>
    </w:sdt>
    <w:p w14:paraId="0BB5D283">
      <w:pPr>
        <w:tabs>
          <w:tab w:val="left" w:pos="486"/>
        </w:tabs>
        <w:jc w:val="left"/>
        <w:rPr>
          <w:rFonts w:ascii="Times New Roman" w:hAnsi="Times New Roman"/>
          <w:b/>
          <w:bCs/>
          <w:color w:val="auto"/>
        </w:rPr>
      </w:pPr>
      <w:r>
        <w:rPr>
          <w:rFonts w:hint="eastAsia" w:ascii="Times New Roman" w:hAnsi="Times New Roman"/>
          <w:b/>
          <w:bCs/>
          <w:color w:val="auto"/>
        </w:rPr>
        <w:t>附件</w:t>
      </w:r>
    </w:p>
    <w:p w14:paraId="1C9B37C0">
      <w:pPr>
        <w:tabs>
          <w:tab w:val="left" w:pos="486"/>
        </w:tabs>
        <w:jc w:val="left"/>
        <w:rPr>
          <w:rFonts w:ascii="Times New Roman" w:hAnsi="Times New Roman"/>
          <w:color w:val="auto"/>
        </w:rPr>
      </w:pPr>
      <w:r>
        <w:rPr>
          <w:rFonts w:hint="eastAsia" w:ascii="Times New Roman" w:hAnsi="Times New Roman"/>
          <w:color w:val="auto"/>
        </w:rPr>
        <w:t>附件1  委托书</w:t>
      </w:r>
    </w:p>
    <w:p w14:paraId="17D96B76">
      <w:pPr>
        <w:tabs>
          <w:tab w:val="left" w:pos="486"/>
        </w:tabs>
        <w:jc w:val="left"/>
        <w:rPr>
          <w:rFonts w:ascii="Times New Roman" w:hAnsi="Times New Roman"/>
          <w:color w:val="auto"/>
        </w:rPr>
      </w:pPr>
      <w:r>
        <w:rPr>
          <w:rFonts w:hint="eastAsia" w:ascii="Times New Roman" w:hAnsi="Times New Roman"/>
          <w:color w:val="auto"/>
        </w:rPr>
        <w:t>附件2  环评合同</w:t>
      </w:r>
    </w:p>
    <w:p w14:paraId="6BF70DCC">
      <w:pPr>
        <w:tabs>
          <w:tab w:val="left" w:pos="486"/>
        </w:tabs>
        <w:jc w:val="left"/>
        <w:rPr>
          <w:rFonts w:hint="eastAsia" w:ascii="Times New Roman" w:hAnsi="Times New Roman"/>
          <w:color w:val="auto"/>
        </w:rPr>
      </w:pPr>
      <w:r>
        <w:rPr>
          <w:rFonts w:hint="eastAsia" w:ascii="Times New Roman" w:hAnsi="Times New Roman"/>
          <w:color w:val="auto"/>
        </w:rPr>
        <w:t>附件3  营业执照</w:t>
      </w:r>
    </w:p>
    <w:p w14:paraId="596CB6AD">
      <w:pPr>
        <w:tabs>
          <w:tab w:val="left" w:pos="486"/>
        </w:tabs>
        <w:jc w:val="left"/>
        <w:rPr>
          <w:rFonts w:ascii="Times New Roman" w:hAnsi="Times New Roman"/>
          <w:color w:val="auto"/>
        </w:rPr>
      </w:pPr>
      <w:r>
        <w:rPr>
          <w:rFonts w:hint="eastAsia" w:ascii="Times New Roman" w:hAnsi="Times New Roman"/>
          <w:color w:val="auto"/>
        </w:rPr>
        <w:t>附件4  法人身份证</w:t>
      </w:r>
    </w:p>
    <w:p w14:paraId="09923356">
      <w:pPr>
        <w:tabs>
          <w:tab w:val="left" w:pos="486"/>
        </w:tabs>
        <w:jc w:val="left"/>
        <w:rPr>
          <w:rFonts w:hint="default" w:ascii="Times New Roman" w:hAnsi="Times New Roman" w:eastAsia="宋体"/>
          <w:color w:val="auto"/>
          <w:lang w:val="en-US" w:eastAsia="zh-CN"/>
        </w:rPr>
      </w:pPr>
      <w:r>
        <w:rPr>
          <w:rFonts w:hint="eastAsia" w:ascii="Times New Roman" w:hAnsi="Times New Roman"/>
          <w:color w:val="auto"/>
        </w:rPr>
        <w:t>附件5  备案证</w:t>
      </w:r>
    </w:p>
    <w:p w14:paraId="3E13E0C8">
      <w:pPr>
        <w:tabs>
          <w:tab w:val="left" w:pos="486"/>
        </w:tabs>
        <w:jc w:val="left"/>
        <w:rPr>
          <w:rFonts w:ascii="Times New Roman" w:hAnsi="Times New Roman"/>
          <w:color w:val="auto"/>
        </w:rPr>
      </w:pPr>
      <w:r>
        <w:rPr>
          <w:rFonts w:hint="eastAsia" w:ascii="Times New Roman" w:hAnsi="Times New Roman"/>
          <w:color w:val="auto"/>
          <w:lang w:val="en-US" w:eastAsia="zh-CN"/>
        </w:rPr>
        <w:t>附件6  土地证</w:t>
      </w:r>
    </w:p>
    <w:p w14:paraId="2EAF2261">
      <w:pPr>
        <w:tabs>
          <w:tab w:val="left" w:pos="486"/>
        </w:tabs>
        <w:jc w:val="left"/>
        <w:rPr>
          <w:rFonts w:ascii="Times New Roman" w:hAnsi="Times New Roman"/>
          <w:color w:val="auto"/>
        </w:rPr>
      </w:pPr>
      <w:r>
        <w:rPr>
          <w:rFonts w:hint="eastAsia" w:ascii="Times New Roman" w:hAnsi="Times New Roman"/>
          <w:color w:val="auto"/>
        </w:rPr>
        <w:t>附件</w:t>
      </w:r>
      <w:r>
        <w:rPr>
          <w:rFonts w:hint="eastAsia" w:ascii="Times New Roman" w:hAnsi="Times New Roman"/>
          <w:color w:val="auto"/>
          <w:lang w:val="en-US" w:eastAsia="zh-CN"/>
        </w:rPr>
        <w:t>7</w:t>
      </w:r>
      <w:r>
        <w:rPr>
          <w:rFonts w:hint="eastAsia" w:ascii="Times New Roman" w:hAnsi="Times New Roman"/>
          <w:color w:val="auto"/>
        </w:rPr>
        <w:t xml:space="preserve">  技术审核单</w:t>
      </w:r>
    </w:p>
    <w:p w14:paraId="1A119A36">
      <w:pPr>
        <w:tabs>
          <w:tab w:val="left" w:pos="486"/>
        </w:tabs>
        <w:jc w:val="left"/>
        <w:rPr>
          <w:rFonts w:ascii="Times New Roman" w:hAnsi="Times New Roman"/>
          <w:color w:val="auto"/>
        </w:rPr>
      </w:pPr>
      <w:r>
        <w:rPr>
          <w:rFonts w:hint="eastAsia" w:ascii="Times New Roman" w:hAnsi="Times New Roman"/>
          <w:color w:val="auto"/>
        </w:rPr>
        <w:t>附件</w:t>
      </w:r>
      <w:r>
        <w:rPr>
          <w:rFonts w:hint="eastAsia" w:ascii="Times New Roman" w:hAnsi="Times New Roman"/>
          <w:color w:val="auto"/>
          <w:lang w:val="en-US" w:eastAsia="zh-CN"/>
        </w:rPr>
        <w:t>8</w:t>
      </w:r>
      <w:r>
        <w:rPr>
          <w:rFonts w:hint="eastAsia" w:ascii="Times New Roman" w:hAnsi="Times New Roman"/>
          <w:color w:val="auto"/>
        </w:rPr>
        <w:t xml:space="preserve">  工作管理进度表</w:t>
      </w:r>
    </w:p>
    <w:p w14:paraId="174EF442">
      <w:pPr>
        <w:tabs>
          <w:tab w:val="left" w:pos="486"/>
        </w:tabs>
        <w:jc w:val="left"/>
        <w:rPr>
          <w:rFonts w:ascii="Times New Roman" w:hAnsi="Times New Roman"/>
          <w:color w:val="auto"/>
        </w:rPr>
      </w:pPr>
    </w:p>
    <w:p w14:paraId="798DA170">
      <w:pPr>
        <w:tabs>
          <w:tab w:val="left" w:pos="486"/>
        </w:tabs>
        <w:jc w:val="left"/>
        <w:rPr>
          <w:rFonts w:ascii="Times New Roman" w:hAnsi="Times New Roman"/>
          <w:b/>
          <w:bCs/>
          <w:color w:val="auto"/>
        </w:rPr>
      </w:pPr>
      <w:r>
        <w:rPr>
          <w:rFonts w:hint="eastAsia" w:ascii="Times New Roman" w:hAnsi="Times New Roman"/>
          <w:b/>
          <w:bCs/>
          <w:color w:val="auto"/>
        </w:rPr>
        <w:t>附图</w:t>
      </w:r>
    </w:p>
    <w:p w14:paraId="7D4A1F81">
      <w:pPr>
        <w:tabs>
          <w:tab w:val="left" w:pos="486"/>
          <w:tab w:val="center" w:pos="4153"/>
        </w:tabs>
        <w:jc w:val="left"/>
        <w:rPr>
          <w:rFonts w:ascii="Times New Roman" w:hAnsi="Times New Roman"/>
          <w:color w:val="auto"/>
        </w:rPr>
      </w:pPr>
      <w:r>
        <w:rPr>
          <w:rFonts w:hint="eastAsia" w:ascii="Times New Roman" w:hAnsi="Times New Roman"/>
          <w:color w:val="auto"/>
        </w:rPr>
        <w:t>附图1  项目地理位置图</w:t>
      </w:r>
      <w:r>
        <w:rPr>
          <w:rFonts w:hint="eastAsia" w:ascii="Times New Roman" w:hAnsi="Times New Roman"/>
          <w:color w:val="auto"/>
        </w:rPr>
        <w:tab/>
      </w:r>
    </w:p>
    <w:p w14:paraId="3F23B0CD">
      <w:pPr>
        <w:tabs>
          <w:tab w:val="left" w:pos="486"/>
        </w:tabs>
        <w:jc w:val="left"/>
        <w:rPr>
          <w:rFonts w:ascii="Times New Roman" w:hAnsi="Times New Roman"/>
          <w:color w:val="auto"/>
        </w:rPr>
      </w:pPr>
      <w:r>
        <w:rPr>
          <w:rFonts w:hint="eastAsia" w:ascii="Times New Roman" w:hAnsi="Times New Roman"/>
          <w:color w:val="auto"/>
        </w:rPr>
        <w:t>附图2  项目平面布置及环保措施图</w:t>
      </w:r>
    </w:p>
    <w:p w14:paraId="145224A0">
      <w:pPr>
        <w:tabs>
          <w:tab w:val="left" w:pos="486"/>
        </w:tabs>
        <w:jc w:val="left"/>
        <w:rPr>
          <w:rFonts w:ascii="Times New Roman" w:hAnsi="Times New Roman"/>
          <w:color w:val="auto"/>
        </w:rPr>
      </w:pPr>
      <w:r>
        <w:rPr>
          <w:rFonts w:hint="eastAsia" w:ascii="Times New Roman" w:hAnsi="Times New Roman"/>
          <w:color w:val="auto"/>
        </w:rPr>
        <w:t>附图3  项目周边关系图</w:t>
      </w:r>
    </w:p>
    <w:p w14:paraId="3FD0F8FF">
      <w:pPr>
        <w:tabs>
          <w:tab w:val="left" w:pos="486"/>
        </w:tabs>
        <w:jc w:val="left"/>
        <w:rPr>
          <w:rFonts w:ascii="Times New Roman" w:hAnsi="Times New Roman"/>
          <w:color w:val="auto"/>
        </w:rPr>
      </w:pPr>
      <w:r>
        <w:rPr>
          <w:rFonts w:hint="eastAsia" w:ascii="Times New Roman" w:hAnsi="Times New Roman"/>
          <w:color w:val="auto"/>
        </w:rPr>
        <w:t xml:space="preserve">附图4  </w:t>
      </w:r>
      <w:bookmarkStart w:id="1" w:name="_Toc23541"/>
      <w:r>
        <w:rPr>
          <w:rFonts w:hint="eastAsia" w:ascii="Times New Roman" w:hAnsi="Times New Roman"/>
          <w:color w:val="auto"/>
        </w:rPr>
        <w:t>项目水文水系图</w:t>
      </w:r>
    </w:p>
    <w:p w14:paraId="22E8B362">
      <w:pPr>
        <w:pStyle w:val="2"/>
        <w:numPr>
          <w:ilvl w:val="0"/>
          <w:numId w:val="2"/>
        </w:numPr>
        <w:jc w:val="center"/>
        <w:rPr>
          <w:rFonts w:ascii="Times New Roman" w:hAnsi="Times New Roman"/>
          <w:color w:val="auto"/>
        </w:rPr>
        <w:sectPr>
          <w:footerReference r:id="rId6" w:type="default"/>
          <w:pgSz w:w="11906" w:h="16838"/>
          <w:pgMar w:top="1440" w:right="1800" w:bottom="1440" w:left="1800" w:header="851" w:footer="992" w:gutter="0"/>
          <w:pgNumType w:start="1"/>
          <w:cols w:space="425" w:num="1"/>
          <w:docGrid w:type="lines" w:linePitch="312" w:charSpace="0"/>
        </w:sectPr>
      </w:pPr>
    </w:p>
    <w:p w14:paraId="037A0FB5">
      <w:pPr>
        <w:pStyle w:val="2"/>
        <w:numPr>
          <w:ilvl w:val="0"/>
          <w:numId w:val="2"/>
        </w:numPr>
        <w:jc w:val="center"/>
        <w:rPr>
          <w:rFonts w:ascii="Times New Roman" w:hAnsi="Times New Roman"/>
          <w:color w:val="auto"/>
        </w:rPr>
      </w:pPr>
      <w:bookmarkStart w:id="2" w:name="_Toc19539"/>
      <w:r>
        <w:rPr>
          <w:rFonts w:hint="eastAsia" w:ascii="Times New Roman" w:hAnsi="Times New Roman"/>
          <w:color w:val="auto"/>
        </w:rPr>
        <w:t>建设项目基本情况</w:t>
      </w:r>
      <w:bookmarkEnd w:id="1"/>
      <w:bookmarkEnd w:id="2"/>
    </w:p>
    <w:tbl>
      <w:tblPr>
        <w:tblStyle w:val="20"/>
        <w:tblW w:w="499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432"/>
        <w:gridCol w:w="2105"/>
        <w:gridCol w:w="2148"/>
        <w:gridCol w:w="3339"/>
      </w:tblGrid>
      <w:tr w14:paraId="5D2ED9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64" w:hRule="atLeast"/>
          <w:jc w:val="center"/>
        </w:trPr>
        <w:tc>
          <w:tcPr>
            <w:tcW w:w="1213" w:type="pct"/>
            <w:tcMar>
              <w:top w:w="16" w:type="dxa"/>
              <w:left w:w="16" w:type="dxa"/>
              <w:right w:w="16" w:type="dxa"/>
            </w:tcMar>
            <w:vAlign w:val="center"/>
          </w:tcPr>
          <w:p w14:paraId="15FE760F">
            <w:pPr>
              <w:adjustRightInd w:val="0"/>
              <w:snapToGrid w:val="0"/>
              <w:spacing w:line="240" w:lineRule="auto"/>
              <w:jc w:val="center"/>
              <w:rPr>
                <w:rFonts w:ascii="Times New Roman" w:hAnsi="Times New Roman"/>
                <w:color w:val="auto"/>
              </w:rPr>
            </w:pPr>
            <w:r>
              <w:rPr>
                <w:rFonts w:ascii="Times New Roman" w:hAnsi="Times New Roman"/>
                <w:color w:val="auto"/>
              </w:rPr>
              <w:t>建设项目名称</w:t>
            </w:r>
          </w:p>
        </w:tc>
        <w:tc>
          <w:tcPr>
            <w:tcW w:w="3786" w:type="pct"/>
            <w:gridSpan w:val="3"/>
            <w:vAlign w:val="center"/>
          </w:tcPr>
          <w:p w14:paraId="5CA0B598">
            <w:pPr>
              <w:adjustRightInd w:val="0"/>
              <w:snapToGrid w:val="0"/>
              <w:spacing w:line="240" w:lineRule="auto"/>
              <w:jc w:val="center"/>
              <w:rPr>
                <w:rFonts w:hint="eastAsia" w:ascii="Times New Roman" w:hAnsi="Times New Roman" w:eastAsia="宋体"/>
                <w:color w:val="auto"/>
                <w:lang w:eastAsia="zh-CN"/>
              </w:rPr>
            </w:pPr>
            <w:r>
              <w:rPr>
                <w:rFonts w:hint="eastAsia"/>
                <w:color w:val="auto"/>
                <w:lang w:eastAsia="zh-CN"/>
              </w:rPr>
              <w:t>芒市腾发水泥制品有限公司建设项目</w:t>
            </w:r>
          </w:p>
        </w:tc>
      </w:tr>
      <w:tr w14:paraId="4DE6D8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1213" w:type="pct"/>
            <w:tcMar>
              <w:top w:w="16" w:type="dxa"/>
              <w:left w:w="16" w:type="dxa"/>
              <w:right w:w="16" w:type="dxa"/>
            </w:tcMar>
            <w:vAlign w:val="center"/>
          </w:tcPr>
          <w:p w14:paraId="7DD9C9DE">
            <w:pPr>
              <w:adjustRightInd w:val="0"/>
              <w:snapToGrid w:val="0"/>
              <w:spacing w:line="240" w:lineRule="auto"/>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项目代码</w:t>
            </w:r>
          </w:p>
        </w:tc>
        <w:tc>
          <w:tcPr>
            <w:tcW w:w="3786" w:type="pct"/>
            <w:gridSpan w:val="3"/>
            <w:vAlign w:val="center"/>
          </w:tcPr>
          <w:p w14:paraId="7959AE4E">
            <w:pPr>
              <w:adjustRightInd w:val="0"/>
              <w:snapToGrid w:val="0"/>
              <w:spacing w:line="240" w:lineRule="auto"/>
              <w:jc w:val="center"/>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2312-533103-04-01-555197</w:t>
            </w:r>
          </w:p>
        </w:tc>
      </w:tr>
      <w:tr w14:paraId="670F2D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2" w:hRule="exact"/>
          <w:jc w:val="center"/>
        </w:trPr>
        <w:tc>
          <w:tcPr>
            <w:tcW w:w="1213" w:type="pct"/>
            <w:tcMar>
              <w:top w:w="16" w:type="dxa"/>
              <w:left w:w="16" w:type="dxa"/>
              <w:right w:w="16" w:type="dxa"/>
            </w:tcMar>
            <w:vAlign w:val="center"/>
          </w:tcPr>
          <w:p w14:paraId="70F72C4C">
            <w:pPr>
              <w:adjustRightInd w:val="0"/>
              <w:snapToGrid w:val="0"/>
              <w:spacing w:line="240" w:lineRule="auto"/>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建设单位联系人</w:t>
            </w:r>
          </w:p>
        </w:tc>
        <w:tc>
          <w:tcPr>
            <w:tcW w:w="1050" w:type="pct"/>
            <w:vAlign w:val="center"/>
          </w:tcPr>
          <w:p w14:paraId="3CEC4825">
            <w:pPr>
              <w:adjustRightInd w:val="0"/>
              <w:snapToGrid w:val="0"/>
              <w:spacing w:line="240" w:lineRule="auto"/>
              <w:jc w:val="center"/>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lang w:eastAsia="zh-CN"/>
              </w:rPr>
              <w:t>段建军</w:t>
            </w:r>
          </w:p>
        </w:tc>
        <w:tc>
          <w:tcPr>
            <w:tcW w:w="1071" w:type="pct"/>
            <w:vAlign w:val="center"/>
          </w:tcPr>
          <w:p w14:paraId="7BEA47F8">
            <w:pPr>
              <w:adjustRightInd w:val="0"/>
              <w:snapToGrid w:val="0"/>
              <w:spacing w:line="240" w:lineRule="auto"/>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联系方式</w:t>
            </w:r>
          </w:p>
        </w:tc>
        <w:tc>
          <w:tcPr>
            <w:tcW w:w="1664" w:type="pct"/>
            <w:vAlign w:val="center"/>
          </w:tcPr>
          <w:p w14:paraId="5476136B">
            <w:pPr>
              <w:adjustRightInd w:val="0"/>
              <w:snapToGrid w:val="0"/>
              <w:spacing w:line="240" w:lineRule="auto"/>
              <w:jc w:val="center"/>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158******651</w:t>
            </w:r>
          </w:p>
        </w:tc>
      </w:tr>
      <w:tr w14:paraId="068D32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13" w:type="pct"/>
            <w:tcMar>
              <w:top w:w="16" w:type="dxa"/>
              <w:left w:w="16" w:type="dxa"/>
              <w:right w:w="16" w:type="dxa"/>
            </w:tcMar>
            <w:vAlign w:val="center"/>
          </w:tcPr>
          <w:p w14:paraId="0D1080F1">
            <w:pPr>
              <w:adjustRightInd w:val="0"/>
              <w:snapToGrid w:val="0"/>
              <w:spacing w:line="240" w:lineRule="auto"/>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建设地点</w:t>
            </w:r>
          </w:p>
        </w:tc>
        <w:tc>
          <w:tcPr>
            <w:tcW w:w="3786" w:type="pct"/>
            <w:gridSpan w:val="3"/>
            <w:vAlign w:val="center"/>
          </w:tcPr>
          <w:p w14:paraId="73EC3CEB">
            <w:pPr>
              <w:adjustRightInd w:val="0"/>
              <w:snapToGrid w:val="0"/>
              <w:spacing w:line="240" w:lineRule="auto"/>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u w:val="single"/>
              </w:rPr>
              <w:t xml:space="preserve"> </w:t>
            </w:r>
            <w:r>
              <w:rPr>
                <w:rFonts w:hint="eastAsia" w:asciiTheme="majorEastAsia" w:hAnsiTheme="majorEastAsia" w:eastAsiaTheme="majorEastAsia" w:cstheme="majorEastAsia"/>
                <w:color w:val="auto"/>
                <w:u w:val="single"/>
                <w:lang w:eastAsia="zh-CN"/>
              </w:rPr>
              <w:t>云南省德宏州芒市风平镇帕底村芒市糖厂内</w:t>
            </w:r>
            <w:r>
              <w:rPr>
                <w:rFonts w:hint="eastAsia" w:asciiTheme="majorEastAsia" w:hAnsiTheme="majorEastAsia" w:eastAsiaTheme="majorEastAsia" w:cstheme="majorEastAsia"/>
                <w:color w:val="auto"/>
                <w:u w:val="single"/>
              </w:rPr>
              <w:t xml:space="preserve"> </w:t>
            </w:r>
          </w:p>
        </w:tc>
      </w:tr>
      <w:tr w14:paraId="40918C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13" w:type="pct"/>
            <w:tcMar>
              <w:top w:w="16" w:type="dxa"/>
              <w:left w:w="16" w:type="dxa"/>
              <w:right w:w="16" w:type="dxa"/>
            </w:tcMar>
            <w:vAlign w:val="center"/>
          </w:tcPr>
          <w:p w14:paraId="4A224E07">
            <w:pPr>
              <w:adjustRightInd w:val="0"/>
              <w:snapToGrid w:val="0"/>
              <w:spacing w:line="240" w:lineRule="auto"/>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地理坐标</w:t>
            </w:r>
          </w:p>
        </w:tc>
        <w:tc>
          <w:tcPr>
            <w:tcW w:w="3786" w:type="pct"/>
            <w:gridSpan w:val="3"/>
            <w:vAlign w:val="center"/>
          </w:tcPr>
          <w:p w14:paraId="4272E259">
            <w:pPr>
              <w:spacing w:line="240" w:lineRule="auto"/>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000000" w:themeColor="text1"/>
                <w14:textFill>
                  <w14:solidFill>
                    <w14:schemeClr w14:val="tx1"/>
                  </w14:solidFill>
                </w14:textFill>
              </w:rPr>
              <w:t>（</w:t>
            </w:r>
            <w:r>
              <w:rPr>
                <w:rFonts w:hint="eastAsia" w:asciiTheme="majorEastAsia" w:hAnsiTheme="majorEastAsia" w:eastAsiaTheme="majorEastAsia" w:cstheme="majorEastAsia"/>
                <w:color w:val="000000" w:themeColor="text1"/>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u w:val="single"/>
                <w:lang w:val="en-US" w:eastAsia="zh-CN"/>
                <w14:textFill>
                  <w14:solidFill>
                    <w14:schemeClr w14:val="tx1"/>
                  </w14:solidFill>
                </w14:textFill>
              </w:rPr>
              <w:t>E</w:t>
            </w:r>
            <w:r>
              <w:rPr>
                <w:rFonts w:hint="eastAsia" w:asciiTheme="majorEastAsia" w:hAnsiTheme="majorEastAsia" w:eastAsiaTheme="majorEastAsia" w:cstheme="majorEastAsia"/>
                <w:color w:val="000000" w:themeColor="text1"/>
                <w:u w:val="single"/>
                <w14:textFill>
                  <w14:solidFill>
                    <w14:schemeClr w14:val="tx1"/>
                  </w14:solidFill>
                </w14:textFill>
              </w:rPr>
              <w:t>98</w:t>
            </w:r>
            <w:r>
              <w:rPr>
                <w:rFonts w:hint="eastAsia" w:asciiTheme="majorEastAsia" w:hAnsiTheme="majorEastAsia" w:eastAsiaTheme="majorEastAsia" w:cstheme="majorEastAsia"/>
                <w:color w:val="000000" w:themeColor="text1"/>
                <w14:textFill>
                  <w14:solidFill>
                    <w14:schemeClr w14:val="tx1"/>
                  </w14:solidFill>
                </w14:textFill>
              </w:rPr>
              <w:t>度</w:t>
            </w:r>
            <w:r>
              <w:rPr>
                <w:rFonts w:hint="eastAsia" w:asciiTheme="majorEastAsia" w:hAnsiTheme="majorEastAsia" w:eastAsiaTheme="majorEastAsia" w:cstheme="majorEastAsia"/>
                <w:color w:val="000000" w:themeColor="text1"/>
                <w:u w:val="single"/>
                <w:lang w:val="en-US" w:eastAsia="zh-CN"/>
                <w14:textFill>
                  <w14:solidFill>
                    <w14:schemeClr w14:val="tx1"/>
                  </w14:solidFill>
                </w14:textFill>
              </w:rPr>
              <w:t>28</w:t>
            </w:r>
            <w:r>
              <w:rPr>
                <w:rFonts w:hint="eastAsia" w:asciiTheme="majorEastAsia" w:hAnsiTheme="majorEastAsia" w:eastAsiaTheme="majorEastAsia" w:cstheme="majorEastAsia"/>
                <w:color w:val="000000" w:themeColor="text1"/>
                <w14:textFill>
                  <w14:solidFill>
                    <w14:schemeClr w14:val="tx1"/>
                  </w14:solidFill>
                </w14:textFill>
              </w:rPr>
              <w:t>分</w:t>
            </w:r>
            <w:r>
              <w:rPr>
                <w:rFonts w:hint="eastAsia" w:asciiTheme="majorEastAsia" w:hAnsiTheme="majorEastAsia" w:eastAsiaTheme="majorEastAsia" w:cstheme="majorEastAsia"/>
                <w:color w:val="000000" w:themeColor="text1"/>
                <w:u w:val="single"/>
                <w:lang w:val="en-US" w:eastAsia="zh-CN"/>
                <w14:textFill>
                  <w14:solidFill>
                    <w14:schemeClr w14:val="tx1"/>
                  </w14:solidFill>
                </w14:textFill>
              </w:rPr>
              <w:t>49.0</w:t>
            </w:r>
            <w:r>
              <w:rPr>
                <w:rFonts w:hint="eastAsia" w:asciiTheme="majorEastAsia" w:hAnsiTheme="majorEastAsia" w:eastAsiaTheme="majorEastAsia" w:cstheme="majorEastAsia"/>
                <w:color w:val="000000" w:themeColor="text1"/>
                <w14:textFill>
                  <w14:solidFill>
                    <w14:schemeClr w14:val="tx1"/>
                  </w14:solidFill>
                </w14:textFill>
              </w:rPr>
              <w:t>秒，</w:t>
            </w:r>
            <w:r>
              <w:rPr>
                <w:rFonts w:hint="eastAsia" w:asciiTheme="majorEastAsia" w:hAnsiTheme="majorEastAsia" w:eastAsiaTheme="majorEastAsia" w:cstheme="majorEastAsia"/>
                <w:color w:val="000000" w:themeColor="text1"/>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u w:val="single"/>
                <w:lang w:val="en-US" w:eastAsia="zh-CN"/>
                <w14:textFill>
                  <w14:solidFill>
                    <w14:schemeClr w14:val="tx1"/>
                  </w14:solidFill>
                </w14:textFill>
              </w:rPr>
              <w:t>N</w:t>
            </w:r>
            <w:r>
              <w:rPr>
                <w:rFonts w:hint="eastAsia" w:asciiTheme="majorEastAsia" w:hAnsiTheme="majorEastAsia" w:eastAsiaTheme="majorEastAsia" w:cstheme="majorEastAsia"/>
                <w:color w:val="000000" w:themeColor="text1"/>
                <w:u w:val="single"/>
                <w14:textFill>
                  <w14:solidFill>
                    <w14:schemeClr w14:val="tx1"/>
                  </w14:solidFill>
                </w14:textFill>
              </w:rPr>
              <w:t>24</w:t>
            </w:r>
            <w:r>
              <w:rPr>
                <w:rFonts w:hint="eastAsia" w:asciiTheme="majorEastAsia" w:hAnsiTheme="majorEastAsia" w:eastAsiaTheme="majorEastAsia" w:cstheme="majorEastAsia"/>
                <w:color w:val="000000" w:themeColor="text1"/>
                <w14:textFill>
                  <w14:solidFill>
                    <w14:schemeClr w14:val="tx1"/>
                  </w14:solidFill>
                </w14:textFill>
              </w:rPr>
              <w:t>度</w:t>
            </w:r>
            <w:r>
              <w:rPr>
                <w:rFonts w:hint="eastAsia" w:asciiTheme="majorEastAsia" w:hAnsiTheme="majorEastAsia" w:eastAsiaTheme="majorEastAsia" w:cstheme="majorEastAsia"/>
                <w:color w:val="000000" w:themeColor="text1"/>
                <w:u w:val="single"/>
                <w14:textFill>
                  <w14:solidFill>
                    <w14:schemeClr w14:val="tx1"/>
                  </w14:solidFill>
                </w14:textFill>
              </w:rPr>
              <w:t>2</w:t>
            </w:r>
            <w:r>
              <w:rPr>
                <w:rFonts w:hint="eastAsia" w:asciiTheme="majorEastAsia" w:hAnsiTheme="majorEastAsia" w:eastAsiaTheme="majorEastAsia" w:cstheme="majorEastAsia"/>
                <w:color w:val="000000" w:themeColor="text1"/>
                <w:u w:val="singl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14:textFill>
                  <w14:solidFill>
                    <w14:schemeClr w14:val="tx1"/>
                  </w14:solidFill>
                </w14:textFill>
              </w:rPr>
              <w:t>分</w:t>
            </w:r>
            <w:r>
              <w:rPr>
                <w:rFonts w:hint="eastAsia" w:asciiTheme="majorEastAsia" w:hAnsiTheme="majorEastAsia" w:eastAsiaTheme="majorEastAsia" w:cstheme="majorEastAsia"/>
                <w:color w:val="000000" w:themeColor="text1"/>
                <w:u w:val="single"/>
                <w:lang w:val="en-US" w:eastAsia="zh-CN"/>
                <w14:textFill>
                  <w14:solidFill>
                    <w14:schemeClr w14:val="tx1"/>
                  </w14:solidFill>
                </w14:textFill>
              </w:rPr>
              <w:t>58.14</w:t>
            </w:r>
            <w:r>
              <w:rPr>
                <w:rFonts w:hint="eastAsia" w:asciiTheme="majorEastAsia" w:hAnsiTheme="majorEastAsia" w:eastAsiaTheme="majorEastAsia" w:cstheme="majorEastAsia"/>
                <w:color w:val="000000" w:themeColor="text1"/>
                <w14:textFill>
                  <w14:solidFill>
                    <w14:schemeClr w14:val="tx1"/>
                  </w14:solidFill>
                </w14:textFill>
              </w:rPr>
              <w:t>秒）</w:t>
            </w:r>
          </w:p>
        </w:tc>
      </w:tr>
      <w:tr w14:paraId="6622D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213" w:type="pct"/>
            <w:tcMar>
              <w:top w:w="16" w:type="dxa"/>
              <w:left w:w="16" w:type="dxa"/>
              <w:right w:w="16" w:type="dxa"/>
            </w:tcMar>
            <w:vAlign w:val="center"/>
          </w:tcPr>
          <w:p w14:paraId="70C73C5C">
            <w:pPr>
              <w:adjustRightInd w:val="0"/>
              <w:snapToGrid w:val="0"/>
              <w:spacing w:line="240" w:lineRule="auto"/>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国民经济</w:t>
            </w:r>
          </w:p>
          <w:p w14:paraId="2E3B8EDF">
            <w:pPr>
              <w:adjustRightInd w:val="0"/>
              <w:snapToGrid w:val="0"/>
              <w:spacing w:line="240" w:lineRule="auto"/>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行业类别</w:t>
            </w:r>
          </w:p>
        </w:tc>
        <w:tc>
          <w:tcPr>
            <w:tcW w:w="1050" w:type="pct"/>
            <w:vAlign w:val="center"/>
          </w:tcPr>
          <w:p w14:paraId="754B414A">
            <w:pPr>
              <w:adjustRightInd w:val="0"/>
              <w:snapToGrid w:val="0"/>
              <w:spacing w:line="240" w:lineRule="auto"/>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C3021 水泥制品制造</w:t>
            </w:r>
          </w:p>
        </w:tc>
        <w:tc>
          <w:tcPr>
            <w:tcW w:w="1071" w:type="pct"/>
            <w:vAlign w:val="center"/>
          </w:tcPr>
          <w:p w14:paraId="7FFA3EBF">
            <w:pPr>
              <w:adjustRightInd w:val="0"/>
              <w:snapToGrid w:val="0"/>
              <w:spacing w:line="240" w:lineRule="auto"/>
              <w:jc w:val="center"/>
              <w:rPr>
                <w:rFonts w:hint="eastAsia" w:asciiTheme="majorEastAsia" w:hAnsiTheme="majorEastAsia" w:eastAsiaTheme="majorEastAsia" w:cstheme="majorEastAsia"/>
                <w:color w:val="auto"/>
              </w:rPr>
            </w:pPr>
            <w:bookmarkStart w:id="3" w:name="_Hlk49843745"/>
            <w:r>
              <w:rPr>
                <w:rFonts w:hint="eastAsia" w:asciiTheme="majorEastAsia" w:hAnsiTheme="majorEastAsia" w:eastAsiaTheme="majorEastAsia" w:cstheme="majorEastAsia"/>
                <w:color w:val="auto"/>
              </w:rPr>
              <w:t>建设项目</w:t>
            </w:r>
          </w:p>
          <w:p w14:paraId="1F269DDC">
            <w:pPr>
              <w:adjustRightInd w:val="0"/>
              <w:snapToGrid w:val="0"/>
              <w:spacing w:line="240" w:lineRule="auto"/>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行业类别</w:t>
            </w:r>
            <w:bookmarkEnd w:id="3"/>
          </w:p>
        </w:tc>
        <w:tc>
          <w:tcPr>
            <w:tcW w:w="1664" w:type="pct"/>
            <w:vAlign w:val="center"/>
          </w:tcPr>
          <w:p w14:paraId="610C86B7">
            <w:pPr>
              <w:adjustRightInd w:val="0"/>
              <w:snapToGrid w:val="0"/>
              <w:spacing w:line="240" w:lineRule="auto"/>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55 石膏、水泥制品及类似制品制造302</w:t>
            </w:r>
          </w:p>
        </w:tc>
      </w:tr>
      <w:tr w14:paraId="748EFE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213" w:type="pct"/>
            <w:tcMar>
              <w:top w:w="16" w:type="dxa"/>
              <w:left w:w="16" w:type="dxa"/>
              <w:right w:w="16" w:type="dxa"/>
            </w:tcMar>
            <w:vAlign w:val="center"/>
          </w:tcPr>
          <w:p w14:paraId="2B5917D1">
            <w:pPr>
              <w:adjustRightInd w:val="0"/>
              <w:snapToGrid w:val="0"/>
              <w:spacing w:line="240" w:lineRule="auto"/>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建设性质</w:t>
            </w:r>
          </w:p>
        </w:tc>
        <w:tc>
          <w:tcPr>
            <w:tcW w:w="1050" w:type="pct"/>
            <w:vAlign w:val="center"/>
          </w:tcPr>
          <w:p w14:paraId="40DC6257">
            <w:pPr>
              <w:spacing w:line="24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sym w:font="Wingdings 2" w:char="0052"/>
            </w:r>
            <w:r>
              <w:rPr>
                <w:rFonts w:hint="eastAsia" w:asciiTheme="minorEastAsia" w:hAnsiTheme="minorEastAsia" w:eastAsiaTheme="minorEastAsia" w:cstheme="minorEastAsia"/>
                <w:color w:val="auto"/>
                <w:sz w:val="24"/>
                <w:szCs w:val="24"/>
                <w:highlight w:val="none"/>
              </w:rPr>
              <w:t>新建（迁建）</w:t>
            </w:r>
          </w:p>
          <w:p w14:paraId="4A737594">
            <w:pPr>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sym w:font="Wingdings 2" w:char="00A3"/>
            </w:r>
            <w:r>
              <w:rPr>
                <w:rFonts w:hint="eastAsia" w:asciiTheme="minorEastAsia" w:hAnsiTheme="minorEastAsia" w:eastAsiaTheme="minorEastAsia" w:cstheme="minorEastAsia"/>
                <w:color w:val="auto"/>
                <w:sz w:val="24"/>
                <w:szCs w:val="24"/>
                <w:highlight w:val="none"/>
              </w:rPr>
              <w:t>改建</w:t>
            </w:r>
          </w:p>
          <w:p w14:paraId="42B4CD81">
            <w:pPr>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sym w:font="Wingdings 2" w:char="00A3"/>
            </w:r>
            <w:r>
              <w:rPr>
                <w:rFonts w:hint="eastAsia" w:asciiTheme="minorEastAsia" w:hAnsiTheme="minorEastAsia" w:eastAsiaTheme="minorEastAsia" w:cstheme="minorEastAsia"/>
                <w:color w:val="auto"/>
                <w:sz w:val="24"/>
                <w:szCs w:val="24"/>
                <w:highlight w:val="none"/>
              </w:rPr>
              <w:t>扩建</w:t>
            </w:r>
          </w:p>
          <w:p w14:paraId="1A777883">
            <w:pPr>
              <w:spacing w:line="240" w:lineRule="auto"/>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highlight w:val="none"/>
              </w:rPr>
              <w:sym w:font="Wingdings 2" w:char="00A3"/>
            </w:r>
            <w:r>
              <w:rPr>
                <w:rFonts w:hint="eastAsia" w:asciiTheme="minorEastAsia" w:hAnsiTheme="minorEastAsia" w:eastAsiaTheme="minorEastAsia" w:cstheme="minorEastAsia"/>
                <w:color w:val="auto"/>
                <w:sz w:val="24"/>
                <w:szCs w:val="24"/>
                <w:highlight w:val="none"/>
              </w:rPr>
              <w:t>技术改造</w:t>
            </w:r>
          </w:p>
        </w:tc>
        <w:tc>
          <w:tcPr>
            <w:tcW w:w="1071" w:type="pct"/>
            <w:vAlign w:val="center"/>
          </w:tcPr>
          <w:p w14:paraId="556D76E8">
            <w:pPr>
              <w:adjustRightInd w:val="0"/>
              <w:snapToGrid w:val="0"/>
              <w:spacing w:line="240" w:lineRule="auto"/>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建设项目</w:t>
            </w:r>
          </w:p>
          <w:p w14:paraId="7304B310">
            <w:pPr>
              <w:adjustRightInd w:val="0"/>
              <w:snapToGrid w:val="0"/>
              <w:spacing w:line="240" w:lineRule="auto"/>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申报情形</w:t>
            </w:r>
          </w:p>
        </w:tc>
        <w:tc>
          <w:tcPr>
            <w:tcW w:w="1664" w:type="pct"/>
            <w:vAlign w:val="center"/>
          </w:tcPr>
          <w:p w14:paraId="37C106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sym w:font="Wingdings 2" w:char="0052"/>
            </w:r>
            <w:r>
              <w:rPr>
                <w:rFonts w:hint="eastAsia" w:asciiTheme="minorEastAsia" w:hAnsiTheme="minorEastAsia" w:eastAsiaTheme="minorEastAsia" w:cstheme="minorEastAsia"/>
                <w:color w:val="auto"/>
                <w:sz w:val="24"/>
                <w:szCs w:val="24"/>
                <w:highlight w:val="none"/>
              </w:rPr>
              <w:t>首次申报项目</w:t>
            </w:r>
          </w:p>
          <w:p w14:paraId="4AC2D9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sym w:font="Wingdings 2" w:char="00A3"/>
            </w:r>
            <w:r>
              <w:rPr>
                <w:rFonts w:hint="eastAsia" w:asciiTheme="minorEastAsia" w:hAnsiTheme="minorEastAsia" w:eastAsiaTheme="minorEastAsia" w:cstheme="minorEastAsia"/>
                <w:color w:val="auto"/>
                <w:sz w:val="24"/>
                <w:szCs w:val="24"/>
                <w:highlight w:val="none"/>
              </w:rPr>
              <w:t>不予批准后再次申报项目</w:t>
            </w:r>
          </w:p>
          <w:p w14:paraId="74DE46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sym w:font="Wingdings 2" w:char="00A3"/>
            </w:r>
            <w:r>
              <w:rPr>
                <w:rFonts w:hint="eastAsia" w:asciiTheme="minorEastAsia" w:hAnsiTheme="minorEastAsia" w:eastAsiaTheme="minorEastAsia" w:cstheme="minorEastAsia"/>
                <w:color w:val="auto"/>
                <w:sz w:val="24"/>
                <w:szCs w:val="24"/>
                <w:highlight w:val="none"/>
              </w:rPr>
              <w:t>超五年重新审核项目</w:t>
            </w:r>
          </w:p>
          <w:p w14:paraId="389EEFC7">
            <w:pPr>
              <w:spacing w:line="240" w:lineRule="auto"/>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highlight w:val="none"/>
              </w:rPr>
              <w:sym w:font="Wingdings 2" w:char="00A3"/>
            </w:r>
            <w:r>
              <w:rPr>
                <w:rFonts w:hint="eastAsia" w:asciiTheme="minorEastAsia" w:hAnsiTheme="minorEastAsia" w:eastAsiaTheme="minorEastAsia" w:cstheme="minorEastAsia"/>
                <w:color w:val="auto"/>
                <w:sz w:val="24"/>
                <w:szCs w:val="24"/>
                <w:highlight w:val="none"/>
              </w:rPr>
              <w:t>重大变动重新报批项目</w:t>
            </w:r>
          </w:p>
        </w:tc>
      </w:tr>
      <w:tr w14:paraId="58574E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213" w:type="pct"/>
            <w:tcMar>
              <w:top w:w="16" w:type="dxa"/>
              <w:left w:w="16" w:type="dxa"/>
              <w:right w:w="16" w:type="dxa"/>
            </w:tcMar>
            <w:vAlign w:val="center"/>
          </w:tcPr>
          <w:p w14:paraId="25EC8FA6">
            <w:pPr>
              <w:adjustRightInd w:val="0"/>
              <w:snapToGrid w:val="0"/>
              <w:spacing w:line="240" w:lineRule="auto"/>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项目审批（核准/</w:t>
            </w:r>
          </w:p>
          <w:p w14:paraId="7BBF047E">
            <w:pPr>
              <w:adjustRightInd w:val="0"/>
              <w:snapToGrid w:val="0"/>
              <w:spacing w:line="240" w:lineRule="auto"/>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备案）部门（选填）</w:t>
            </w:r>
          </w:p>
        </w:tc>
        <w:tc>
          <w:tcPr>
            <w:tcW w:w="1050" w:type="pct"/>
            <w:vAlign w:val="center"/>
          </w:tcPr>
          <w:p w14:paraId="4B95F3D4">
            <w:pPr>
              <w:adjustRightInd w:val="0"/>
              <w:snapToGrid w:val="0"/>
              <w:spacing w:line="240" w:lineRule="auto"/>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芒市发展和改革局</w:t>
            </w:r>
          </w:p>
        </w:tc>
        <w:tc>
          <w:tcPr>
            <w:tcW w:w="1071" w:type="pct"/>
            <w:vAlign w:val="center"/>
          </w:tcPr>
          <w:p w14:paraId="55124B0D">
            <w:pPr>
              <w:adjustRightInd w:val="0"/>
              <w:snapToGrid w:val="0"/>
              <w:spacing w:line="240" w:lineRule="auto"/>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项目审批（核准/</w:t>
            </w:r>
          </w:p>
          <w:p w14:paraId="090DB620">
            <w:pPr>
              <w:adjustRightInd w:val="0"/>
              <w:snapToGrid w:val="0"/>
              <w:spacing w:line="240" w:lineRule="auto"/>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备案）文号（选填）</w:t>
            </w:r>
          </w:p>
        </w:tc>
        <w:tc>
          <w:tcPr>
            <w:tcW w:w="1664" w:type="pct"/>
            <w:vAlign w:val="center"/>
          </w:tcPr>
          <w:p w14:paraId="25D4EC55">
            <w:pPr>
              <w:adjustRightInd w:val="0"/>
              <w:snapToGrid w:val="0"/>
              <w:spacing w:line="240" w:lineRule="auto"/>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2312-533103-04-01-555197</w:t>
            </w:r>
          </w:p>
        </w:tc>
      </w:tr>
      <w:tr w14:paraId="446053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8" w:hRule="atLeast"/>
          <w:jc w:val="center"/>
        </w:trPr>
        <w:tc>
          <w:tcPr>
            <w:tcW w:w="1213" w:type="pct"/>
            <w:tcMar>
              <w:top w:w="16" w:type="dxa"/>
              <w:left w:w="16" w:type="dxa"/>
              <w:right w:w="16" w:type="dxa"/>
            </w:tcMar>
            <w:vAlign w:val="center"/>
          </w:tcPr>
          <w:p w14:paraId="650D433E">
            <w:pPr>
              <w:adjustRightInd w:val="0"/>
              <w:snapToGrid w:val="0"/>
              <w:spacing w:line="240" w:lineRule="auto"/>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总投资（万元）</w:t>
            </w:r>
          </w:p>
        </w:tc>
        <w:tc>
          <w:tcPr>
            <w:tcW w:w="1050" w:type="pct"/>
            <w:vAlign w:val="center"/>
          </w:tcPr>
          <w:p w14:paraId="78F7CA26">
            <w:pPr>
              <w:adjustRightInd w:val="0"/>
              <w:snapToGrid w:val="0"/>
              <w:spacing w:line="240" w:lineRule="auto"/>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lang w:eastAsia="zh-CN"/>
              </w:rPr>
              <w:t>0</w:t>
            </w:r>
          </w:p>
        </w:tc>
        <w:tc>
          <w:tcPr>
            <w:tcW w:w="1071" w:type="pct"/>
            <w:tcMar>
              <w:top w:w="16" w:type="dxa"/>
              <w:left w:w="16" w:type="dxa"/>
              <w:right w:w="16" w:type="dxa"/>
            </w:tcMar>
            <w:vAlign w:val="center"/>
          </w:tcPr>
          <w:p w14:paraId="7632D506">
            <w:pPr>
              <w:adjustRightInd w:val="0"/>
              <w:snapToGrid w:val="0"/>
              <w:spacing w:line="240" w:lineRule="auto"/>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环保投资（万元）</w:t>
            </w:r>
          </w:p>
        </w:tc>
        <w:tc>
          <w:tcPr>
            <w:tcW w:w="1664" w:type="pct"/>
            <w:vAlign w:val="center"/>
          </w:tcPr>
          <w:p w14:paraId="59BA4640">
            <w:pPr>
              <w:adjustRightInd w:val="0"/>
              <w:snapToGrid w:val="0"/>
              <w:spacing w:line="240" w:lineRule="auto"/>
              <w:jc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12.2</w:t>
            </w:r>
          </w:p>
        </w:tc>
      </w:tr>
      <w:tr w14:paraId="34EEBF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13" w:type="pct"/>
            <w:tcMar>
              <w:top w:w="16" w:type="dxa"/>
              <w:left w:w="16" w:type="dxa"/>
              <w:right w:w="16" w:type="dxa"/>
            </w:tcMar>
            <w:vAlign w:val="center"/>
          </w:tcPr>
          <w:p w14:paraId="6A81809F">
            <w:pPr>
              <w:adjustRightInd w:val="0"/>
              <w:snapToGrid w:val="0"/>
              <w:spacing w:line="240" w:lineRule="auto"/>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环保投资占比（%）</w:t>
            </w:r>
          </w:p>
        </w:tc>
        <w:tc>
          <w:tcPr>
            <w:tcW w:w="1050" w:type="pct"/>
            <w:vAlign w:val="center"/>
          </w:tcPr>
          <w:p w14:paraId="11A4C2B6">
            <w:pPr>
              <w:adjustRightInd w:val="0"/>
              <w:snapToGrid w:val="0"/>
              <w:spacing w:line="240" w:lineRule="auto"/>
              <w:jc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20.33</w:t>
            </w:r>
          </w:p>
        </w:tc>
        <w:tc>
          <w:tcPr>
            <w:tcW w:w="1071" w:type="pct"/>
            <w:tcMar>
              <w:top w:w="16" w:type="dxa"/>
              <w:left w:w="16" w:type="dxa"/>
              <w:right w:w="16" w:type="dxa"/>
            </w:tcMar>
            <w:vAlign w:val="center"/>
          </w:tcPr>
          <w:p w14:paraId="74249D68">
            <w:pPr>
              <w:adjustRightInd w:val="0"/>
              <w:snapToGrid w:val="0"/>
              <w:spacing w:line="240" w:lineRule="auto"/>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施工工期</w:t>
            </w:r>
          </w:p>
        </w:tc>
        <w:tc>
          <w:tcPr>
            <w:tcW w:w="1664" w:type="pct"/>
            <w:vAlign w:val="center"/>
          </w:tcPr>
          <w:p w14:paraId="3BF2DA5B">
            <w:pPr>
              <w:adjustRightInd w:val="0"/>
              <w:snapToGrid w:val="0"/>
              <w:spacing w:line="240" w:lineRule="auto"/>
              <w:jc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3个月</w:t>
            </w:r>
          </w:p>
        </w:tc>
      </w:tr>
      <w:tr w14:paraId="16FB09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13" w:type="pct"/>
            <w:tcMar>
              <w:top w:w="16" w:type="dxa"/>
              <w:left w:w="16" w:type="dxa"/>
              <w:right w:w="16" w:type="dxa"/>
            </w:tcMar>
            <w:vAlign w:val="center"/>
          </w:tcPr>
          <w:p w14:paraId="668589DA">
            <w:pPr>
              <w:adjustRightInd w:val="0"/>
              <w:snapToGrid w:val="0"/>
              <w:spacing w:line="240" w:lineRule="auto"/>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是否开工建设</w:t>
            </w:r>
          </w:p>
        </w:tc>
        <w:tc>
          <w:tcPr>
            <w:tcW w:w="1050" w:type="pct"/>
            <w:vAlign w:val="center"/>
          </w:tcPr>
          <w:p w14:paraId="0BAC13B7">
            <w:pPr>
              <w:adjustRightInd w:val="0"/>
              <w:snapToGrid w:val="0"/>
              <w:spacing w:line="24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否</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sz w:val="24"/>
                <w:szCs w:val="24"/>
                <w:highlight w:val="none"/>
              </w:rPr>
              <w:sym w:font="Wingdings 2" w:char="0052"/>
            </w:r>
          </w:p>
          <w:p w14:paraId="573FBAE8">
            <w:pPr>
              <w:adjustRightInd w:val="0"/>
              <w:snapToGrid w:val="0"/>
              <w:spacing w:line="24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是：</w:t>
            </w:r>
            <w:r>
              <w:rPr>
                <w:rFonts w:hint="eastAsia" w:asciiTheme="minorEastAsia" w:hAnsiTheme="minorEastAsia" w:eastAsiaTheme="minorEastAsia" w:cstheme="minorEastAsia"/>
                <w:color w:val="auto"/>
                <w:sz w:val="24"/>
                <w:szCs w:val="24"/>
                <w:highlight w:val="none"/>
              </w:rPr>
              <w:sym w:font="Wingdings 2" w:char="00A3"/>
            </w:r>
            <w:r>
              <w:rPr>
                <w:rFonts w:hint="eastAsia" w:asciiTheme="minorEastAsia" w:hAnsiTheme="minorEastAsia" w:eastAsiaTheme="minorEastAsia" w:cstheme="minorEastAsia"/>
                <w:color w:val="auto"/>
                <w:u w:val="single"/>
              </w:rPr>
              <w:t xml:space="preserve">             </w:t>
            </w:r>
          </w:p>
        </w:tc>
        <w:tc>
          <w:tcPr>
            <w:tcW w:w="1071" w:type="pct"/>
            <w:tcMar>
              <w:top w:w="16" w:type="dxa"/>
              <w:left w:w="16" w:type="dxa"/>
              <w:right w:w="16" w:type="dxa"/>
            </w:tcMar>
            <w:vAlign w:val="center"/>
          </w:tcPr>
          <w:p w14:paraId="3BADA3EB">
            <w:pPr>
              <w:adjustRightInd w:val="0"/>
              <w:snapToGrid w:val="0"/>
              <w:spacing w:line="240" w:lineRule="auto"/>
              <w:jc w:val="center"/>
              <w:rPr>
                <w:rFonts w:hint="eastAsia" w:asciiTheme="minorEastAsia" w:hAnsiTheme="minorEastAsia" w:eastAsiaTheme="minorEastAsia" w:cstheme="minorEastAsia"/>
                <w:color w:val="auto"/>
                <w:spacing w:val="-6"/>
              </w:rPr>
            </w:pPr>
            <w:r>
              <w:rPr>
                <w:rFonts w:hint="eastAsia" w:asciiTheme="minorEastAsia" w:hAnsiTheme="minorEastAsia" w:eastAsiaTheme="minorEastAsia" w:cstheme="minorEastAsia"/>
                <w:color w:val="auto"/>
                <w:spacing w:val="-6"/>
              </w:rPr>
              <w:t>用地（用海）</w:t>
            </w:r>
          </w:p>
          <w:p w14:paraId="1AD0973B">
            <w:pPr>
              <w:adjustRightInd w:val="0"/>
              <w:snapToGrid w:val="0"/>
              <w:spacing w:line="240" w:lineRule="auto"/>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面积（m</w:t>
            </w:r>
            <w:r>
              <w:rPr>
                <w:rFonts w:hint="eastAsia" w:asciiTheme="minorEastAsia" w:hAnsiTheme="minorEastAsia" w:eastAsiaTheme="minorEastAsia" w:cstheme="minorEastAsia"/>
                <w:color w:val="auto"/>
                <w:spacing w:val="-6"/>
                <w:vertAlign w:val="superscript"/>
              </w:rPr>
              <w:t>2</w:t>
            </w:r>
            <w:r>
              <w:rPr>
                <w:rFonts w:hint="eastAsia" w:asciiTheme="minorEastAsia" w:hAnsiTheme="minorEastAsia" w:eastAsiaTheme="minorEastAsia" w:cstheme="minorEastAsia"/>
                <w:color w:val="auto"/>
                <w:spacing w:val="-6"/>
              </w:rPr>
              <w:t>）</w:t>
            </w:r>
          </w:p>
        </w:tc>
        <w:tc>
          <w:tcPr>
            <w:tcW w:w="1664" w:type="pct"/>
            <w:vAlign w:val="center"/>
          </w:tcPr>
          <w:p w14:paraId="5C911D53">
            <w:pPr>
              <w:adjustRightInd w:val="0"/>
              <w:snapToGrid w:val="0"/>
              <w:spacing w:line="240" w:lineRule="auto"/>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11.6亩</w:t>
            </w:r>
            <w:r>
              <w:rPr>
                <w:rFonts w:hint="eastAsia" w:asciiTheme="minorEastAsia" w:hAnsiTheme="minorEastAsia" w:eastAsiaTheme="minorEastAsia" w:cstheme="minorEastAsia"/>
                <w:color w:val="auto"/>
                <w:lang w:eastAsia="zh-CN"/>
              </w:rPr>
              <w:t>）7733.333</w:t>
            </w:r>
          </w:p>
        </w:tc>
      </w:tr>
      <w:tr w14:paraId="7978B8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213" w:type="pct"/>
            <w:vAlign w:val="center"/>
          </w:tcPr>
          <w:p w14:paraId="11504E75">
            <w:pPr>
              <w:autoSpaceDE w:val="0"/>
              <w:autoSpaceDN w:val="0"/>
              <w:adjustRightInd w:val="0"/>
              <w:snapToGrid w:val="0"/>
              <w:spacing w:line="240" w:lineRule="auto"/>
              <w:jc w:val="center"/>
              <w:rPr>
                <w:rFonts w:ascii="Times New Roman" w:hAnsi="Times New Roman"/>
                <w:color w:val="auto"/>
                <w:kern w:val="0"/>
              </w:rPr>
            </w:pPr>
            <w:r>
              <w:rPr>
                <w:rFonts w:ascii="Times New Roman" w:hAnsi="Times New Roman"/>
                <w:color w:val="auto"/>
                <w:kern w:val="0"/>
              </w:rPr>
              <w:t>专项评价设置情况</w:t>
            </w:r>
          </w:p>
        </w:tc>
        <w:tc>
          <w:tcPr>
            <w:tcW w:w="3786" w:type="pct"/>
            <w:gridSpan w:val="3"/>
            <w:vAlign w:val="center"/>
          </w:tcPr>
          <w:p w14:paraId="66DCB26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z w:val="24"/>
                <w:szCs w:val="24"/>
              </w:rPr>
              <w:t>根据《建设项目环境影响报告表编制技术指南（</w:t>
            </w:r>
            <w:r>
              <w:rPr>
                <w:rFonts w:hint="eastAsia" w:asciiTheme="minorEastAsia" w:hAnsiTheme="minorEastAsia" w:eastAsiaTheme="minorEastAsia" w:cstheme="minorEastAsia"/>
                <w:color w:val="auto"/>
                <w:sz w:val="24"/>
                <w:szCs w:val="24"/>
                <w:lang w:val="en-US" w:eastAsia="zh-CN"/>
              </w:rPr>
              <w:t>污染</w:t>
            </w:r>
            <w:r>
              <w:rPr>
                <w:rFonts w:hint="eastAsia" w:asciiTheme="minorEastAsia" w:hAnsiTheme="minorEastAsia" w:eastAsiaTheme="minorEastAsia" w:cstheme="minorEastAsia"/>
                <w:color w:val="auto"/>
                <w:sz w:val="24"/>
                <w:szCs w:val="24"/>
              </w:rPr>
              <w:t>影响类）（试行）》，本项目不设置专项评价</w:t>
            </w:r>
            <w:r>
              <w:rPr>
                <w:rFonts w:hint="eastAsia" w:asciiTheme="minorEastAsia" w:hAnsiTheme="minorEastAsia" w:eastAsiaTheme="minorEastAsia" w:cstheme="minorEastAsia"/>
                <w:color w:val="auto"/>
                <w:sz w:val="24"/>
                <w:szCs w:val="24"/>
                <w:lang w:eastAsia="zh-CN"/>
              </w:rPr>
              <w:t>。具体专项评价设置原则及本项目判定情况见下表。</w:t>
            </w:r>
          </w:p>
          <w:p w14:paraId="653186FD">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表 1-1 专项评价设置原则与本项目判定情况对照表</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2594"/>
              <w:gridCol w:w="2608"/>
              <w:gridCol w:w="1079"/>
            </w:tblGrid>
            <w:tr w14:paraId="0AEF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noWrap w:val="0"/>
                  <w:vAlign w:val="center"/>
                </w:tcPr>
                <w:p w14:paraId="437B935C">
                  <w:pPr>
                    <w:pStyle w:val="11"/>
                    <w:spacing w:line="240" w:lineRule="auto"/>
                    <w:jc w:val="center"/>
                    <w:rPr>
                      <w:rFonts w:hint="eastAsia" w:asciiTheme="minorEastAsia" w:hAnsiTheme="minorEastAsia" w:eastAsiaTheme="minorEastAsia" w:cstheme="minorEastAsia"/>
                      <w:b/>
                      <w:bCs/>
                      <w:color w:val="auto"/>
                      <w:sz w:val="21"/>
                      <w:szCs w:val="21"/>
                      <w:vertAlign w:val="baseline"/>
                      <w:lang w:eastAsia="zh-CN"/>
                    </w:rPr>
                  </w:pPr>
                  <w:r>
                    <w:rPr>
                      <w:rFonts w:hint="eastAsia" w:asciiTheme="minorEastAsia" w:hAnsiTheme="minorEastAsia" w:eastAsiaTheme="minorEastAsia" w:cstheme="minorEastAsia"/>
                      <w:b/>
                      <w:bCs/>
                      <w:color w:val="auto"/>
                      <w:sz w:val="21"/>
                      <w:szCs w:val="21"/>
                      <w:vertAlign w:val="baseline"/>
                      <w:lang w:eastAsia="zh-CN"/>
                    </w:rPr>
                    <w:t>专项评价的类别</w:t>
                  </w:r>
                </w:p>
              </w:tc>
              <w:tc>
                <w:tcPr>
                  <w:tcW w:w="1762" w:type="pct"/>
                  <w:noWrap w:val="0"/>
                  <w:vAlign w:val="center"/>
                </w:tcPr>
                <w:p w14:paraId="4AE2DFE0">
                  <w:pPr>
                    <w:pStyle w:val="11"/>
                    <w:spacing w:line="240" w:lineRule="auto"/>
                    <w:jc w:val="center"/>
                    <w:rPr>
                      <w:rFonts w:hint="eastAsia" w:asciiTheme="minorEastAsia" w:hAnsiTheme="minorEastAsia" w:eastAsiaTheme="minorEastAsia" w:cstheme="minorEastAsia"/>
                      <w:b/>
                      <w:bCs/>
                      <w:color w:val="auto"/>
                      <w:sz w:val="21"/>
                      <w:szCs w:val="21"/>
                      <w:vertAlign w:val="baseline"/>
                      <w:lang w:eastAsia="zh-CN"/>
                    </w:rPr>
                  </w:pPr>
                  <w:r>
                    <w:rPr>
                      <w:rFonts w:hint="eastAsia" w:asciiTheme="minorEastAsia" w:hAnsiTheme="minorEastAsia" w:eastAsiaTheme="minorEastAsia" w:cstheme="minorEastAsia"/>
                      <w:b/>
                      <w:bCs/>
                      <w:color w:val="auto"/>
                      <w:sz w:val="21"/>
                      <w:szCs w:val="21"/>
                      <w:vertAlign w:val="baseline"/>
                      <w:lang w:eastAsia="zh-CN"/>
                    </w:rPr>
                    <w:t>设置原则</w:t>
                  </w:r>
                </w:p>
              </w:tc>
              <w:tc>
                <w:tcPr>
                  <w:tcW w:w="1771" w:type="pct"/>
                  <w:noWrap w:val="0"/>
                  <w:vAlign w:val="center"/>
                </w:tcPr>
                <w:p w14:paraId="4EE207D9">
                  <w:pPr>
                    <w:pStyle w:val="11"/>
                    <w:spacing w:line="240" w:lineRule="auto"/>
                    <w:jc w:val="center"/>
                    <w:rPr>
                      <w:rFonts w:hint="eastAsia" w:asciiTheme="minorEastAsia" w:hAnsiTheme="minorEastAsia" w:eastAsiaTheme="minorEastAsia" w:cstheme="minorEastAsia"/>
                      <w:b/>
                      <w:bCs/>
                      <w:color w:val="auto"/>
                      <w:sz w:val="21"/>
                      <w:szCs w:val="21"/>
                      <w:vertAlign w:val="baseline"/>
                      <w:lang w:eastAsia="zh-CN"/>
                    </w:rPr>
                  </w:pPr>
                  <w:r>
                    <w:rPr>
                      <w:rFonts w:hint="eastAsia" w:asciiTheme="minorEastAsia" w:hAnsiTheme="minorEastAsia" w:eastAsiaTheme="minorEastAsia" w:cstheme="minorEastAsia"/>
                      <w:b/>
                      <w:bCs/>
                      <w:color w:val="auto"/>
                      <w:sz w:val="21"/>
                      <w:szCs w:val="21"/>
                      <w:vertAlign w:val="baseline"/>
                      <w:lang w:eastAsia="zh-CN"/>
                    </w:rPr>
                    <w:t>项目判定情况</w:t>
                  </w:r>
                </w:p>
              </w:tc>
              <w:tc>
                <w:tcPr>
                  <w:tcW w:w="730" w:type="pct"/>
                  <w:noWrap w:val="0"/>
                  <w:vAlign w:val="center"/>
                </w:tcPr>
                <w:p w14:paraId="1F4167C0">
                  <w:pPr>
                    <w:pStyle w:val="11"/>
                    <w:spacing w:line="240" w:lineRule="auto"/>
                    <w:jc w:val="center"/>
                    <w:rPr>
                      <w:rFonts w:hint="eastAsia" w:asciiTheme="minorEastAsia" w:hAnsiTheme="minorEastAsia" w:eastAsiaTheme="minorEastAsia" w:cstheme="minorEastAsia"/>
                      <w:b/>
                      <w:bCs/>
                      <w:color w:val="auto"/>
                      <w:sz w:val="21"/>
                      <w:szCs w:val="21"/>
                      <w:vertAlign w:val="baseline"/>
                      <w:lang w:eastAsia="zh-CN"/>
                    </w:rPr>
                  </w:pPr>
                  <w:r>
                    <w:rPr>
                      <w:rFonts w:hint="eastAsia" w:asciiTheme="minorEastAsia" w:hAnsiTheme="minorEastAsia" w:eastAsiaTheme="minorEastAsia" w:cstheme="minorEastAsia"/>
                      <w:b/>
                      <w:bCs/>
                      <w:color w:val="auto"/>
                      <w:sz w:val="21"/>
                      <w:szCs w:val="21"/>
                      <w:vertAlign w:val="baseline"/>
                      <w:lang w:eastAsia="zh-CN"/>
                    </w:rPr>
                    <w:t>是否设</w:t>
                  </w:r>
                </w:p>
                <w:p w14:paraId="4772714D">
                  <w:pPr>
                    <w:pStyle w:val="11"/>
                    <w:spacing w:line="240" w:lineRule="auto"/>
                    <w:jc w:val="center"/>
                    <w:rPr>
                      <w:rFonts w:hint="eastAsia" w:asciiTheme="minorEastAsia" w:hAnsiTheme="minorEastAsia" w:eastAsiaTheme="minorEastAsia" w:cstheme="minorEastAsia"/>
                      <w:b/>
                      <w:bCs/>
                      <w:color w:val="auto"/>
                      <w:sz w:val="21"/>
                      <w:szCs w:val="21"/>
                      <w:vertAlign w:val="baseline"/>
                      <w:lang w:eastAsia="zh-CN"/>
                    </w:rPr>
                  </w:pPr>
                  <w:r>
                    <w:rPr>
                      <w:rFonts w:hint="eastAsia" w:asciiTheme="minorEastAsia" w:hAnsiTheme="minorEastAsia" w:eastAsiaTheme="minorEastAsia" w:cstheme="minorEastAsia"/>
                      <w:b/>
                      <w:bCs/>
                      <w:color w:val="auto"/>
                      <w:sz w:val="21"/>
                      <w:szCs w:val="21"/>
                      <w:vertAlign w:val="baseline"/>
                      <w:lang w:eastAsia="zh-CN"/>
                    </w:rPr>
                    <w:t>置专题</w:t>
                  </w:r>
                </w:p>
              </w:tc>
            </w:tr>
            <w:tr w14:paraId="01D2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noWrap w:val="0"/>
                  <w:vAlign w:val="center"/>
                </w:tcPr>
                <w:p w14:paraId="65DD1095">
                  <w:pPr>
                    <w:pStyle w:val="11"/>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大气</w:t>
                  </w:r>
                </w:p>
              </w:tc>
              <w:tc>
                <w:tcPr>
                  <w:tcW w:w="1762" w:type="pct"/>
                  <w:noWrap w:val="0"/>
                  <w:vAlign w:val="center"/>
                </w:tcPr>
                <w:p w14:paraId="6ED1C645">
                  <w:pPr>
                    <w:pStyle w:val="11"/>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排放废气含有毒有害污染物1、二噁英、苯并[a]芘、氰化物、氯气且厂界外500米范围内有环境空气保护目标的建设项目</w:t>
                  </w:r>
                </w:p>
              </w:tc>
              <w:tc>
                <w:tcPr>
                  <w:tcW w:w="1771" w:type="pct"/>
                  <w:noWrap w:val="0"/>
                  <w:vAlign w:val="center"/>
                </w:tcPr>
                <w:p w14:paraId="129C4029">
                  <w:pPr>
                    <w:pStyle w:val="11"/>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本项目废气主要为粉尘、运输车辆产生的粉尘以及食堂油烟等，项目排放废气不涉及有毒有害污染物</w:t>
                  </w:r>
                </w:p>
              </w:tc>
              <w:tc>
                <w:tcPr>
                  <w:tcW w:w="730" w:type="pct"/>
                  <w:noWrap w:val="0"/>
                  <w:vAlign w:val="center"/>
                </w:tcPr>
                <w:p w14:paraId="021D904A">
                  <w:pPr>
                    <w:pStyle w:val="11"/>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否</w:t>
                  </w:r>
                </w:p>
              </w:tc>
            </w:tr>
            <w:tr w14:paraId="24A3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trPr>
              <w:tc>
                <w:tcPr>
                  <w:tcW w:w="734" w:type="pct"/>
                  <w:noWrap w:val="0"/>
                  <w:vAlign w:val="center"/>
                </w:tcPr>
                <w:p w14:paraId="47B0C0A2">
                  <w:pPr>
                    <w:pStyle w:val="11"/>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地表水</w:t>
                  </w:r>
                </w:p>
              </w:tc>
              <w:tc>
                <w:tcPr>
                  <w:tcW w:w="1762" w:type="pct"/>
                  <w:noWrap w:val="0"/>
                  <w:vAlign w:val="center"/>
                </w:tcPr>
                <w:p w14:paraId="2A77F9D9">
                  <w:pPr>
                    <w:pStyle w:val="11"/>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新增工业废水直排建设项目（槽罐车外送污水处理厂的除外）；新增废水直排的污水集中处理厂</w:t>
                  </w:r>
                </w:p>
              </w:tc>
              <w:tc>
                <w:tcPr>
                  <w:tcW w:w="1771" w:type="pct"/>
                  <w:noWrap w:val="0"/>
                  <w:vAlign w:val="center"/>
                </w:tcPr>
                <w:p w14:paraId="2AB685AF">
                  <w:pPr>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项目</w:t>
                  </w:r>
                  <w:r>
                    <w:rPr>
                      <w:rFonts w:hint="eastAsia" w:asciiTheme="minorEastAsia" w:hAnsiTheme="minorEastAsia" w:eastAsiaTheme="minorEastAsia" w:cstheme="minorEastAsia"/>
                      <w:b w:val="0"/>
                      <w:bCs w:val="0"/>
                      <w:color w:val="auto"/>
                      <w:sz w:val="21"/>
                      <w:szCs w:val="21"/>
                      <w:lang w:val="en-US" w:eastAsia="zh-CN"/>
                    </w:rPr>
                    <w:t>搅拌机清洗废水排入防渗沉淀池内沉淀后上清液全部回用于搅拌工序的搅拌机内，不外排</w:t>
                  </w:r>
                  <w:r>
                    <w:rPr>
                      <w:rFonts w:hint="eastAsia" w:asciiTheme="minorEastAsia" w:hAnsiTheme="minorEastAsia" w:eastAsiaTheme="minorEastAsia" w:cstheme="minorEastAsia"/>
                      <w:color w:val="auto"/>
                      <w:sz w:val="21"/>
                      <w:szCs w:val="21"/>
                      <w:lang w:val="en-US" w:eastAsia="zh-CN"/>
                    </w:rPr>
                    <w:t>；少量餐饮废水经油水分离器预处理后同办公、生活污水经项目区已建化粪池处理后委托周边村民进行清掏用作农肥，项目区污水不外排，不涉及废水直排的情形。</w:t>
                  </w:r>
                </w:p>
              </w:tc>
              <w:tc>
                <w:tcPr>
                  <w:tcW w:w="730" w:type="pct"/>
                  <w:noWrap w:val="0"/>
                  <w:vAlign w:val="center"/>
                </w:tcPr>
                <w:p w14:paraId="1DF851AE">
                  <w:pPr>
                    <w:pStyle w:val="11"/>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否</w:t>
                  </w:r>
                </w:p>
              </w:tc>
            </w:tr>
            <w:tr w14:paraId="1BE7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34" w:type="pct"/>
                  <w:noWrap w:val="0"/>
                  <w:vAlign w:val="center"/>
                </w:tcPr>
                <w:p w14:paraId="64265328">
                  <w:pPr>
                    <w:pStyle w:val="11"/>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环境风险</w:t>
                  </w:r>
                </w:p>
              </w:tc>
              <w:tc>
                <w:tcPr>
                  <w:tcW w:w="1762" w:type="pct"/>
                  <w:noWrap w:val="0"/>
                  <w:vAlign w:val="center"/>
                </w:tcPr>
                <w:p w14:paraId="2653B56D">
                  <w:pPr>
                    <w:pStyle w:val="11"/>
                    <w:spacing w:line="240" w:lineRule="auto"/>
                    <w:jc w:val="cente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有毒有害和易燃易爆危险物质存储量超过临界量的建设项目</w:t>
                  </w:r>
                </w:p>
              </w:tc>
              <w:tc>
                <w:tcPr>
                  <w:tcW w:w="1771" w:type="pct"/>
                  <w:noWrap w:val="0"/>
                  <w:vAlign w:val="center"/>
                </w:tcPr>
                <w:p w14:paraId="48AC6470">
                  <w:pPr>
                    <w:pStyle w:val="11"/>
                    <w:spacing w:line="240" w:lineRule="auto"/>
                    <w:jc w:val="cente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项目使用的脱模剂最大储存量为400L（0.342t），临界量为2500t，其存储量远小于临界量</w:t>
                  </w:r>
                </w:p>
              </w:tc>
              <w:tc>
                <w:tcPr>
                  <w:tcW w:w="730" w:type="pct"/>
                  <w:noWrap w:val="0"/>
                  <w:vAlign w:val="center"/>
                </w:tcPr>
                <w:p w14:paraId="12FBA70B">
                  <w:pPr>
                    <w:pStyle w:val="11"/>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否</w:t>
                  </w:r>
                </w:p>
              </w:tc>
            </w:tr>
            <w:tr w14:paraId="6479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734" w:type="pct"/>
                  <w:noWrap w:val="0"/>
                  <w:vAlign w:val="center"/>
                </w:tcPr>
                <w:p w14:paraId="38153E70">
                  <w:pPr>
                    <w:pStyle w:val="11"/>
                    <w:spacing w:line="240" w:lineRule="auto"/>
                    <w:jc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val="en-US" w:eastAsia="zh-CN"/>
                    </w:rPr>
                    <w:t>生态</w:t>
                  </w:r>
                </w:p>
              </w:tc>
              <w:tc>
                <w:tcPr>
                  <w:tcW w:w="1762" w:type="pct"/>
                  <w:noWrap w:val="0"/>
                  <w:vAlign w:val="center"/>
                </w:tcPr>
                <w:p w14:paraId="4B6D094C">
                  <w:pPr>
                    <w:pStyle w:val="11"/>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取水口下游500米范围内有重要水生生物的自然产卵场、索饵场、越冬场和洄游通道的新增河道取水的污染物类建设项目</w:t>
                  </w:r>
                </w:p>
              </w:tc>
              <w:tc>
                <w:tcPr>
                  <w:tcW w:w="1771" w:type="pct"/>
                  <w:noWrap w:val="0"/>
                  <w:vAlign w:val="center"/>
                </w:tcPr>
                <w:p w14:paraId="16DA3524">
                  <w:pPr>
                    <w:pStyle w:val="11"/>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项目用水由自来水管网供给，不涉及取水工程</w:t>
                  </w:r>
                </w:p>
              </w:tc>
              <w:tc>
                <w:tcPr>
                  <w:tcW w:w="730" w:type="pct"/>
                  <w:noWrap w:val="0"/>
                  <w:vAlign w:val="center"/>
                </w:tcPr>
                <w:p w14:paraId="4853AF8D">
                  <w:pPr>
                    <w:pStyle w:val="11"/>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否</w:t>
                  </w:r>
                </w:p>
              </w:tc>
            </w:tr>
            <w:tr w14:paraId="6F2E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noWrap w:val="0"/>
                  <w:vAlign w:val="center"/>
                </w:tcPr>
                <w:p w14:paraId="1E146848">
                  <w:pPr>
                    <w:pStyle w:val="11"/>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海洋</w:t>
                  </w:r>
                </w:p>
              </w:tc>
              <w:tc>
                <w:tcPr>
                  <w:tcW w:w="1762" w:type="pct"/>
                  <w:noWrap w:val="0"/>
                  <w:vAlign w:val="center"/>
                </w:tcPr>
                <w:p w14:paraId="4186D4D4">
                  <w:pPr>
                    <w:pStyle w:val="11"/>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直接向海排放污染物的海洋工程建设项目</w:t>
                  </w:r>
                </w:p>
              </w:tc>
              <w:tc>
                <w:tcPr>
                  <w:tcW w:w="1771" w:type="pct"/>
                  <w:noWrap w:val="0"/>
                  <w:vAlign w:val="center"/>
                </w:tcPr>
                <w:p w14:paraId="02C1F3B2">
                  <w:pPr>
                    <w:pStyle w:val="11"/>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项目不涉及向海洋排放污染物</w:t>
                  </w:r>
                </w:p>
              </w:tc>
              <w:tc>
                <w:tcPr>
                  <w:tcW w:w="730" w:type="pct"/>
                  <w:noWrap w:val="0"/>
                  <w:vAlign w:val="center"/>
                </w:tcPr>
                <w:p w14:paraId="2C127BA0">
                  <w:pPr>
                    <w:pStyle w:val="11"/>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否</w:t>
                  </w:r>
                </w:p>
              </w:tc>
            </w:tr>
            <w:tr w14:paraId="39FC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center"/>
                </w:tcPr>
                <w:p w14:paraId="3BC6FD4C">
                  <w:pPr>
                    <w:pStyle w:val="11"/>
                    <w:spacing w:line="240" w:lineRule="auto"/>
                    <w:jc w:val="lef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注：1.废气中有毒有害污染物指纳入《有毒有害大气污染物名录》的污染物（不包括无排放标准的污染物）。2.环境空气保护目标指自然保护区、风景名胜区、居住区、文化区和农村地区中人群较集中的区域。3.临界量及其计算方法可参考《建设项目环境风险评价技术导则》（HJ169）附录B、附录C。</w:t>
                  </w:r>
                </w:p>
              </w:tc>
            </w:tr>
          </w:tbl>
          <w:p w14:paraId="7C8CA7B9">
            <w:pPr>
              <w:autoSpaceDE w:val="0"/>
              <w:autoSpaceDN w:val="0"/>
              <w:adjustRightInd w:val="0"/>
              <w:snapToGrid w:val="0"/>
              <w:spacing w:line="360" w:lineRule="auto"/>
              <w:ind w:firstLine="480" w:firstLineChars="200"/>
              <w:jc w:val="both"/>
              <w:rPr>
                <w:rFonts w:hint="eastAsia" w:asciiTheme="minorEastAsia" w:hAnsiTheme="minorEastAsia" w:eastAsiaTheme="minorEastAsia" w:cstheme="minorEastAsia"/>
                <w:color w:val="auto"/>
                <w:kern w:val="0"/>
                <w:lang w:eastAsia="zh-CN"/>
              </w:rPr>
            </w:pPr>
            <w:r>
              <w:rPr>
                <w:rFonts w:hint="eastAsia" w:asciiTheme="minorEastAsia" w:hAnsiTheme="minorEastAsia" w:eastAsiaTheme="minorEastAsia" w:cstheme="minorEastAsia"/>
                <w:color w:val="auto"/>
                <w:sz w:val="24"/>
                <w:lang w:val="en-US" w:eastAsia="zh-CN"/>
              </w:rPr>
              <w:t>根据上表分析，本项目无需设置专项评价。</w:t>
            </w:r>
          </w:p>
        </w:tc>
      </w:tr>
      <w:tr w14:paraId="3A7F04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213" w:type="pct"/>
            <w:vAlign w:val="center"/>
          </w:tcPr>
          <w:p w14:paraId="60066827">
            <w:pPr>
              <w:autoSpaceDE w:val="0"/>
              <w:autoSpaceDN w:val="0"/>
              <w:adjustRightInd w:val="0"/>
              <w:snapToGrid w:val="0"/>
              <w:spacing w:line="240" w:lineRule="auto"/>
              <w:jc w:val="center"/>
              <w:rPr>
                <w:rFonts w:ascii="Times New Roman" w:hAnsi="Times New Roman"/>
                <w:color w:val="auto"/>
                <w:kern w:val="0"/>
              </w:rPr>
            </w:pPr>
            <w:r>
              <w:rPr>
                <w:rFonts w:ascii="Times New Roman" w:hAnsi="Times New Roman"/>
                <w:color w:val="auto"/>
              </w:rPr>
              <w:t>规划情况</w:t>
            </w:r>
          </w:p>
        </w:tc>
        <w:tc>
          <w:tcPr>
            <w:tcW w:w="3786" w:type="pct"/>
            <w:gridSpan w:val="3"/>
            <w:vAlign w:val="center"/>
          </w:tcPr>
          <w:p w14:paraId="2E020A99">
            <w:pPr>
              <w:autoSpaceDE w:val="0"/>
              <w:autoSpaceDN w:val="0"/>
              <w:adjustRightInd w:val="0"/>
              <w:snapToGrid w:val="0"/>
              <w:spacing w:line="240" w:lineRule="auto"/>
              <w:jc w:val="center"/>
              <w:rPr>
                <w:rFonts w:ascii="Times New Roman" w:hAnsi="Times New Roman"/>
                <w:color w:val="auto"/>
                <w:kern w:val="0"/>
              </w:rPr>
            </w:pPr>
            <w:r>
              <w:rPr>
                <w:rFonts w:ascii="Times New Roman" w:hAnsi="Times New Roman"/>
                <w:color w:val="auto"/>
                <w:kern w:val="0"/>
              </w:rPr>
              <w:t>无</w:t>
            </w:r>
          </w:p>
        </w:tc>
      </w:tr>
      <w:tr w14:paraId="737B23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3" w:type="pct"/>
            <w:vAlign w:val="center"/>
          </w:tcPr>
          <w:p w14:paraId="61891AB6">
            <w:pPr>
              <w:adjustRightInd w:val="0"/>
              <w:snapToGrid w:val="0"/>
              <w:spacing w:line="240" w:lineRule="auto"/>
              <w:jc w:val="center"/>
              <w:rPr>
                <w:rFonts w:ascii="Times New Roman" w:hAnsi="Times New Roman"/>
                <w:color w:val="auto"/>
              </w:rPr>
            </w:pPr>
            <w:r>
              <w:rPr>
                <w:rFonts w:ascii="Times New Roman" w:hAnsi="Times New Roman"/>
                <w:color w:val="auto"/>
              </w:rPr>
              <w:t>规划环境影响</w:t>
            </w:r>
          </w:p>
          <w:p w14:paraId="02E73593">
            <w:pPr>
              <w:adjustRightInd w:val="0"/>
              <w:snapToGrid w:val="0"/>
              <w:spacing w:line="240" w:lineRule="auto"/>
              <w:jc w:val="center"/>
              <w:rPr>
                <w:rFonts w:ascii="Times New Roman" w:hAnsi="Times New Roman"/>
                <w:color w:val="auto"/>
                <w:kern w:val="0"/>
              </w:rPr>
            </w:pPr>
            <w:r>
              <w:rPr>
                <w:rFonts w:ascii="Times New Roman" w:hAnsi="Times New Roman"/>
                <w:color w:val="auto"/>
              </w:rPr>
              <w:t>评价情况</w:t>
            </w:r>
          </w:p>
        </w:tc>
        <w:tc>
          <w:tcPr>
            <w:tcW w:w="3786" w:type="pct"/>
            <w:gridSpan w:val="3"/>
            <w:vAlign w:val="center"/>
          </w:tcPr>
          <w:p w14:paraId="74F17DA0">
            <w:pPr>
              <w:autoSpaceDE w:val="0"/>
              <w:autoSpaceDN w:val="0"/>
              <w:adjustRightInd w:val="0"/>
              <w:snapToGrid w:val="0"/>
              <w:spacing w:line="240" w:lineRule="auto"/>
              <w:jc w:val="center"/>
              <w:rPr>
                <w:rFonts w:ascii="Times New Roman" w:hAnsi="Times New Roman"/>
                <w:color w:val="auto"/>
                <w:kern w:val="0"/>
              </w:rPr>
            </w:pPr>
            <w:r>
              <w:rPr>
                <w:rFonts w:ascii="Times New Roman" w:hAnsi="Times New Roman"/>
                <w:color w:val="auto"/>
                <w:kern w:val="0"/>
              </w:rPr>
              <w:t>无</w:t>
            </w:r>
          </w:p>
        </w:tc>
      </w:tr>
      <w:tr w14:paraId="01BA09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13" w:type="pct"/>
            <w:vAlign w:val="center"/>
          </w:tcPr>
          <w:p w14:paraId="475DBA4E">
            <w:pPr>
              <w:autoSpaceDE w:val="0"/>
              <w:autoSpaceDN w:val="0"/>
              <w:adjustRightInd w:val="0"/>
              <w:snapToGrid w:val="0"/>
              <w:spacing w:line="240" w:lineRule="auto"/>
              <w:jc w:val="center"/>
              <w:rPr>
                <w:rFonts w:ascii="Times New Roman" w:hAnsi="Times New Roman"/>
                <w:color w:val="auto"/>
                <w:kern w:val="0"/>
              </w:rPr>
            </w:pPr>
            <w:r>
              <w:rPr>
                <w:rFonts w:ascii="Times New Roman" w:hAnsi="Times New Roman"/>
                <w:color w:val="auto"/>
                <w:kern w:val="0"/>
              </w:rPr>
              <w:t>规划及规划环境</w:t>
            </w:r>
          </w:p>
          <w:p w14:paraId="761C6E6C">
            <w:pPr>
              <w:autoSpaceDE w:val="0"/>
              <w:autoSpaceDN w:val="0"/>
              <w:adjustRightInd w:val="0"/>
              <w:snapToGrid w:val="0"/>
              <w:spacing w:line="240" w:lineRule="auto"/>
              <w:jc w:val="center"/>
              <w:rPr>
                <w:rFonts w:ascii="Times New Roman" w:hAnsi="Times New Roman"/>
                <w:color w:val="auto"/>
                <w:kern w:val="0"/>
              </w:rPr>
            </w:pPr>
            <w:r>
              <w:rPr>
                <w:rFonts w:ascii="Times New Roman" w:hAnsi="Times New Roman"/>
                <w:color w:val="auto"/>
                <w:kern w:val="0"/>
              </w:rPr>
              <w:t>影响评价符合性分析</w:t>
            </w:r>
          </w:p>
        </w:tc>
        <w:tc>
          <w:tcPr>
            <w:tcW w:w="3786" w:type="pct"/>
            <w:gridSpan w:val="3"/>
            <w:vAlign w:val="center"/>
          </w:tcPr>
          <w:p w14:paraId="1F5A2EE4">
            <w:pPr>
              <w:autoSpaceDE w:val="0"/>
              <w:autoSpaceDN w:val="0"/>
              <w:adjustRightInd w:val="0"/>
              <w:snapToGrid w:val="0"/>
              <w:spacing w:line="240" w:lineRule="auto"/>
              <w:jc w:val="center"/>
              <w:rPr>
                <w:rFonts w:ascii="Times New Roman" w:hAnsi="Times New Roman"/>
                <w:color w:val="auto"/>
                <w:kern w:val="0"/>
              </w:rPr>
            </w:pPr>
            <w:r>
              <w:rPr>
                <w:rFonts w:ascii="Times New Roman" w:hAnsi="Times New Roman"/>
                <w:color w:val="auto"/>
                <w:kern w:val="0"/>
              </w:rPr>
              <w:t>无</w:t>
            </w:r>
          </w:p>
        </w:tc>
      </w:tr>
      <w:tr w14:paraId="4B8ACC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3" w:type="pct"/>
            <w:vAlign w:val="center"/>
          </w:tcPr>
          <w:p w14:paraId="3EB45838">
            <w:pPr>
              <w:autoSpaceDE w:val="0"/>
              <w:autoSpaceDN w:val="0"/>
              <w:adjustRightInd w:val="0"/>
              <w:snapToGrid w:val="0"/>
              <w:spacing w:line="240" w:lineRule="auto"/>
              <w:jc w:val="center"/>
              <w:rPr>
                <w:rFonts w:ascii="Times New Roman" w:hAnsi="Times New Roman"/>
                <w:color w:val="auto"/>
                <w:kern w:val="0"/>
                <w:sz w:val="21"/>
                <w:szCs w:val="21"/>
              </w:rPr>
            </w:pPr>
            <w:r>
              <w:rPr>
                <w:rFonts w:ascii="Times New Roman" w:hAnsi="Times New Roman"/>
                <w:color w:val="auto"/>
                <w:kern w:val="0"/>
              </w:rPr>
              <w:t>其他符合性分析</w:t>
            </w:r>
          </w:p>
        </w:tc>
        <w:tc>
          <w:tcPr>
            <w:tcW w:w="3786" w:type="pct"/>
            <w:gridSpan w:val="3"/>
            <w:vAlign w:val="center"/>
          </w:tcPr>
          <w:p w14:paraId="4E774C8C">
            <w:pPr>
              <w:numPr>
                <w:ilvl w:val="0"/>
                <w:numId w:val="3"/>
              </w:numPr>
              <w:ind w:firstLine="482" w:firstLineChars="200"/>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产业政策符合性</w:t>
            </w:r>
          </w:p>
          <w:p w14:paraId="4227AF48">
            <w:pPr>
              <w:spacing w:line="360" w:lineRule="auto"/>
              <w:ind w:firstLine="480" w:firstLineChars="200"/>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本项目为</w:t>
            </w:r>
            <w:r>
              <w:rPr>
                <w:rFonts w:hint="eastAsia" w:asciiTheme="minorEastAsia" w:hAnsiTheme="minorEastAsia" w:eastAsiaTheme="minorEastAsia" w:cstheme="minorEastAsia"/>
                <w:color w:val="000000" w:themeColor="text1"/>
                <w:lang w:eastAsia="zh-CN"/>
                <w14:textFill>
                  <w14:solidFill>
                    <w14:schemeClr w14:val="tx1"/>
                  </w14:solidFill>
                </w14:textFill>
              </w:rPr>
              <w:t>二十七-55</w:t>
            </w:r>
            <w:r>
              <w:rPr>
                <w:rFonts w:hint="eastAsia" w:asciiTheme="minorEastAsia" w:hAnsiTheme="minorEastAsia" w:eastAsiaTheme="minorEastAsia" w:cstheme="minorEastAsia"/>
                <w:color w:val="000000" w:themeColor="text1"/>
                <w14:textFill>
                  <w14:solidFill>
                    <w14:schemeClr w14:val="tx1"/>
                  </w14:solidFill>
                </w14:textFill>
              </w:rPr>
              <w:t>石膏、水泥制品及类似制品制造302 行业，根据《产业结构调整指导目录（2019 年本）》，本项目不属于鼓励类、限制类、淘汰类，可视为允许类建设项目，项目工艺装备和产品不属于《部分工业行业淘汰落后生产工艺装备和产品指导目录（2010年本）》所列类别，并且本项目已经</w:t>
            </w:r>
            <w:r>
              <w:rPr>
                <w:rFonts w:hint="eastAsia" w:asciiTheme="minorEastAsia" w:hAnsiTheme="minorEastAsia" w:eastAsiaTheme="minorEastAsia" w:cstheme="minorEastAsia"/>
                <w:color w:val="000000" w:themeColor="text1"/>
                <w:lang w:eastAsia="zh-CN"/>
                <w14:textFill>
                  <w14:solidFill>
                    <w14:schemeClr w14:val="tx1"/>
                  </w14:solidFill>
                </w14:textFill>
              </w:rPr>
              <w:t>在芒市</w:t>
            </w:r>
            <w:r>
              <w:rPr>
                <w:rFonts w:hint="eastAsia" w:asciiTheme="minorEastAsia" w:hAnsiTheme="minorEastAsia" w:eastAsiaTheme="minorEastAsia" w:cstheme="minorEastAsia"/>
                <w:color w:val="000000" w:themeColor="text1"/>
                <w14:textFill>
                  <w14:solidFill>
                    <w14:schemeClr w14:val="tx1"/>
                  </w14:solidFill>
                </w14:textFill>
              </w:rPr>
              <w:t>发展改革委备案</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14:paraId="5D76B552">
            <w:pPr>
              <w:ind w:firstLine="48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因此，项目的建设符合相关产业政策。</w:t>
            </w:r>
          </w:p>
          <w:p w14:paraId="11028AF9">
            <w:pPr>
              <w:spacing w:line="360" w:lineRule="auto"/>
              <w:ind w:firstLine="482"/>
              <w:rPr>
                <w:rFonts w:hint="eastAsia" w:ascii="Times New Roman" w:hAnsi="Times New Roman" w:eastAsia="宋体" w:cs="宋体"/>
                <w:b/>
                <w:bCs/>
                <w:color w:val="auto"/>
                <w:sz w:val="24"/>
                <w:szCs w:val="24"/>
                <w:lang w:eastAsia="zh-CN"/>
              </w:rPr>
            </w:pPr>
            <w:r>
              <w:rPr>
                <w:rFonts w:hint="eastAsia" w:ascii="Times New Roman" w:hAnsi="Times New Roman" w:eastAsia="宋体" w:cs="宋体"/>
                <w:b/>
                <w:bCs/>
                <w:color w:val="auto"/>
                <w:sz w:val="24"/>
                <w:szCs w:val="24"/>
                <w:lang w:val="en-US" w:eastAsia="zh-CN"/>
              </w:rPr>
              <w:t>2、</w:t>
            </w:r>
            <w:r>
              <w:rPr>
                <w:rFonts w:hint="eastAsia" w:ascii="Times New Roman" w:hAnsi="Times New Roman" w:eastAsia="宋体" w:cs="宋体"/>
                <w:b/>
                <w:bCs/>
                <w:color w:val="auto"/>
                <w:sz w:val="24"/>
                <w:szCs w:val="24"/>
                <w:lang w:eastAsia="zh-CN"/>
              </w:rPr>
              <w:t>“三线一单”符合性分析</w:t>
            </w:r>
          </w:p>
          <w:p w14:paraId="5E6F82E9">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2"/>
              <w:textAlignment w:val="auto"/>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（1）与《云南省人民政府关于实施</w:t>
            </w:r>
            <w:r>
              <w:rPr>
                <w:rFonts w:hint="eastAsia" w:ascii="Times New Roman" w:hAnsi="Times New Roman" w:eastAsia="宋体" w:cs="宋体"/>
                <w:color w:val="auto"/>
                <w:sz w:val="24"/>
                <w:szCs w:val="24"/>
                <w:lang w:eastAsia="zh-CN"/>
              </w:rPr>
              <w:t>“</w:t>
            </w:r>
            <w:r>
              <w:rPr>
                <w:rFonts w:hint="eastAsia" w:ascii="Times New Roman" w:hAnsi="Times New Roman" w:eastAsia="宋体" w:cs="宋体"/>
                <w:color w:val="auto"/>
                <w:sz w:val="24"/>
                <w:szCs w:val="24"/>
              </w:rPr>
              <w:t>三线一单</w:t>
            </w:r>
            <w:r>
              <w:rPr>
                <w:rFonts w:hint="eastAsia" w:ascii="Times New Roman" w:hAnsi="Times New Roman" w:eastAsia="宋体" w:cs="宋体"/>
                <w:color w:val="auto"/>
                <w:sz w:val="24"/>
                <w:szCs w:val="24"/>
                <w:lang w:eastAsia="zh-CN"/>
              </w:rPr>
              <w:t>”</w:t>
            </w:r>
            <w:r>
              <w:rPr>
                <w:rFonts w:hint="eastAsia" w:ascii="Times New Roman" w:hAnsi="Times New Roman" w:eastAsia="宋体" w:cs="宋体"/>
                <w:color w:val="auto"/>
                <w:sz w:val="24"/>
                <w:szCs w:val="24"/>
              </w:rPr>
              <w:t>生态环境分区管控的意见》的符合性分析</w:t>
            </w:r>
          </w:p>
          <w:p w14:paraId="4548641C">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241" w:firstLineChars="100"/>
              <w:jc w:val="both"/>
              <w:textAlignment w:val="auto"/>
              <w:rPr>
                <w:rFonts w:hint="eastAsia" w:ascii="Times New Roman" w:hAnsi="Times New Roman" w:eastAsia="宋体" w:cs="宋体"/>
                <w:b/>
                <w:bCs w:val="0"/>
                <w:i w:val="0"/>
                <w:iCs/>
                <w:color w:val="auto"/>
                <w:sz w:val="24"/>
                <w:szCs w:val="24"/>
              </w:rPr>
            </w:pPr>
            <w:r>
              <w:rPr>
                <w:rFonts w:hint="eastAsia" w:ascii="Times New Roman" w:hAnsi="Times New Roman" w:eastAsia="宋体" w:cs="宋体"/>
                <w:b/>
                <w:bCs w:val="0"/>
                <w:i w:val="0"/>
                <w:iCs/>
                <w:color w:val="auto"/>
                <w:sz w:val="24"/>
                <w:szCs w:val="24"/>
                <w:lang w:val="en-US" w:eastAsia="zh-CN"/>
              </w:rPr>
              <w:t>表</w:t>
            </w:r>
            <w:r>
              <w:rPr>
                <w:rFonts w:hint="eastAsia" w:ascii="Times New Roman" w:hAnsi="Times New Roman" w:eastAsia="宋体" w:cs="宋体"/>
                <w:b/>
                <w:bCs w:val="0"/>
                <w:i w:val="0"/>
                <w:iCs/>
                <w:color w:val="auto"/>
                <w:sz w:val="24"/>
                <w:szCs w:val="24"/>
              </w:rPr>
              <w:t>1-</w:t>
            </w:r>
            <w:r>
              <w:rPr>
                <w:rFonts w:hint="eastAsia" w:ascii="Times New Roman" w:hAnsi="Times New Roman" w:eastAsia="宋体" w:cs="宋体"/>
                <w:b/>
                <w:bCs w:val="0"/>
                <w:i w:val="0"/>
                <w:iCs/>
                <w:color w:val="auto"/>
                <w:sz w:val="24"/>
                <w:szCs w:val="24"/>
                <w:lang w:val="en-US" w:eastAsia="zh-CN"/>
              </w:rPr>
              <w:t>2  与云南省</w:t>
            </w:r>
            <w:r>
              <w:rPr>
                <w:rFonts w:hint="eastAsia" w:ascii="Times New Roman" w:hAnsi="Times New Roman" w:eastAsia="宋体" w:cs="宋体"/>
                <w:b/>
                <w:bCs w:val="0"/>
                <w:i w:val="0"/>
                <w:iCs/>
                <w:color w:val="auto"/>
                <w:sz w:val="24"/>
                <w:szCs w:val="24"/>
                <w:lang w:eastAsia="zh-CN"/>
              </w:rPr>
              <w:t>“</w:t>
            </w:r>
            <w:r>
              <w:rPr>
                <w:rFonts w:hint="eastAsia" w:ascii="Times New Roman" w:hAnsi="Times New Roman" w:eastAsia="宋体" w:cs="宋体"/>
                <w:b/>
                <w:bCs w:val="0"/>
                <w:i w:val="0"/>
                <w:iCs/>
                <w:color w:val="auto"/>
                <w:sz w:val="24"/>
                <w:szCs w:val="24"/>
              </w:rPr>
              <w:t>三线一单</w:t>
            </w:r>
            <w:r>
              <w:rPr>
                <w:rFonts w:hint="eastAsia" w:ascii="Times New Roman" w:hAnsi="Times New Roman" w:eastAsia="宋体" w:cs="宋体"/>
                <w:b/>
                <w:bCs w:val="0"/>
                <w:i w:val="0"/>
                <w:iCs/>
                <w:color w:val="auto"/>
                <w:sz w:val="24"/>
                <w:szCs w:val="24"/>
                <w:lang w:eastAsia="zh-CN"/>
              </w:rPr>
              <w:t>”</w:t>
            </w:r>
            <w:r>
              <w:rPr>
                <w:rFonts w:hint="eastAsia" w:ascii="Times New Roman" w:hAnsi="Times New Roman" w:eastAsia="宋体" w:cs="宋体"/>
                <w:b/>
                <w:bCs w:val="0"/>
                <w:i w:val="0"/>
                <w:iCs/>
                <w:color w:val="auto"/>
                <w:sz w:val="24"/>
                <w:szCs w:val="24"/>
              </w:rPr>
              <w:t>生态环境分区管控的意见符合性分析</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547"/>
              <w:gridCol w:w="3376"/>
              <w:gridCol w:w="2117"/>
              <w:gridCol w:w="831"/>
            </w:tblGrid>
            <w:tr w14:paraId="3341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998" w:type="pct"/>
                  <w:gridSpan w:val="3"/>
                  <w:noWrap w:val="0"/>
                  <w:vAlign w:val="center"/>
                </w:tcPr>
                <w:p w14:paraId="712354BA">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hint="eastAsia"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文件要求</w:t>
                  </w:r>
                </w:p>
              </w:tc>
              <w:tc>
                <w:tcPr>
                  <w:tcW w:w="1437" w:type="pct"/>
                  <w:noWrap w:val="0"/>
                  <w:vAlign w:val="center"/>
                </w:tcPr>
                <w:p w14:paraId="6C6D9234">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hint="eastAsia"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项目情况</w:t>
                  </w:r>
                </w:p>
              </w:tc>
              <w:tc>
                <w:tcPr>
                  <w:tcW w:w="564" w:type="pct"/>
                  <w:noWrap w:val="0"/>
                  <w:vAlign w:val="center"/>
                </w:tcPr>
                <w:p w14:paraId="0FB4C36F">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ascii="Times New Roman" w:hAnsi="Times New Roman" w:eastAsia="宋体"/>
                      <w:b/>
                      <w:bCs/>
                      <w:color w:val="auto"/>
                      <w:sz w:val="21"/>
                      <w:szCs w:val="21"/>
                    </w:rPr>
                  </w:pPr>
                  <w:r>
                    <w:rPr>
                      <w:rFonts w:ascii="Times New Roman" w:hAnsi="Times New Roman" w:eastAsia="宋体"/>
                      <w:b/>
                      <w:bCs/>
                      <w:color w:val="auto"/>
                      <w:sz w:val="21"/>
                      <w:szCs w:val="21"/>
                    </w:rPr>
                    <w:t>是否符合</w:t>
                  </w:r>
                </w:p>
              </w:tc>
            </w:tr>
            <w:tr w14:paraId="3AF3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6" w:type="pct"/>
                  <w:vMerge w:val="restart"/>
                  <w:noWrap w:val="0"/>
                  <w:vAlign w:val="center"/>
                </w:tcPr>
                <w:p w14:paraId="03036F5E">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both"/>
                    <w:textAlignment w:val="auto"/>
                    <w:outlineLvl w:val="1"/>
                    <w:rPr>
                      <w:rFonts w:hint="eastAsia" w:ascii="Times New Roman" w:hAnsi="Times New Roman" w:eastAsia="宋体" w:cs="宋体"/>
                      <w:b w:val="0"/>
                      <w:bCs w:val="0"/>
                      <w:color w:val="auto"/>
                      <w:sz w:val="21"/>
                      <w:szCs w:val="21"/>
                    </w:rPr>
                  </w:pPr>
                  <w:r>
                    <w:rPr>
                      <w:rFonts w:hint="eastAsia" w:ascii="Times New Roman" w:hAnsi="Times New Roman" w:eastAsia="宋体" w:cs="宋体"/>
                      <w:b w:val="0"/>
                      <w:bCs w:val="0"/>
                      <w:color w:val="auto"/>
                      <w:sz w:val="21"/>
                      <w:szCs w:val="21"/>
                    </w:rPr>
                    <w:t>明确生态保护红线、环境质量底线和资源利用上线</w:t>
                  </w:r>
                </w:p>
              </w:tc>
              <w:tc>
                <w:tcPr>
                  <w:tcW w:w="371" w:type="pct"/>
                  <w:noWrap w:val="0"/>
                  <w:vAlign w:val="center"/>
                </w:tcPr>
                <w:p w14:paraId="5CA2EC7D">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hint="eastAsia" w:ascii="Times New Roman" w:hAnsi="Times New Roman" w:eastAsia="宋体" w:cs="宋体"/>
                      <w:b w:val="0"/>
                      <w:bCs w:val="0"/>
                      <w:color w:val="auto"/>
                      <w:sz w:val="21"/>
                      <w:szCs w:val="21"/>
                      <w:lang w:val="en-US" w:eastAsia="zh-CN"/>
                    </w:rPr>
                  </w:pPr>
                  <w:r>
                    <w:rPr>
                      <w:rFonts w:hint="eastAsia" w:ascii="Times New Roman" w:hAnsi="Times New Roman" w:eastAsia="宋体" w:cs="宋体"/>
                      <w:b w:val="0"/>
                      <w:bCs w:val="0"/>
                      <w:color w:val="auto"/>
                      <w:sz w:val="21"/>
                      <w:szCs w:val="21"/>
                      <w:lang w:val="en-US" w:eastAsia="zh-CN"/>
                    </w:rPr>
                    <w:t>生态保护红线</w:t>
                  </w:r>
                </w:p>
              </w:tc>
              <w:tc>
                <w:tcPr>
                  <w:tcW w:w="2291" w:type="pct"/>
                  <w:noWrap w:val="0"/>
                  <w:vAlign w:val="center"/>
                </w:tcPr>
                <w:p w14:paraId="567A3C03">
                  <w:pPr>
                    <w:keepNext w:val="0"/>
                    <w:keepLines w:val="0"/>
                    <w:pageBreakBefore w:val="0"/>
                    <w:widowControl w:val="0"/>
                    <w:kinsoku/>
                    <w:wordWrap w:val="0"/>
                    <w:overflowPunct/>
                    <w:topLinePunct w:val="0"/>
                    <w:autoSpaceDE w:val="0"/>
                    <w:autoSpaceDN w:val="0"/>
                    <w:bidi w:val="0"/>
                    <w:adjustRightInd w:val="0"/>
                    <w:snapToGrid w:val="0"/>
                    <w:spacing w:line="240" w:lineRule="auto"/>
                    <w:jc w:val="left"/>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生态保护红线和一般生态空间。执行省人民政府发布的《云南省生态保护红线》，将未划入生态保护红线的自然保护地、饮用水水源保护区、重要湿地、基本草原、生态公益林、天然林等生态功能重要、生态环境敏感区域划为一般生态空间</w:t>
                  </w:r>
                </w:p>
              </w:tc>
              <w:tc>
                <w:tcPr>
                  <w:tcW w:w="1437" w:type="pct"/>
                  <w:noWrap w:val="0"/>
                  <w:vAlign w:val="center"/>
                </w:tcPr>
                <w:p w14:paraId="4686E8D6">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left"/>
                    <w:textAlignment w:val="auto"/>
                    <w:outlineLvl w:val="1"/>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本项目位于</w:t>
                  </w:r>
                  <w:r>
                    <w:rPr>
                      <w:rFonts w:hint="eastAsia" w:ascii="Times New Roman" w:hAnsi="Times New Roman" w:cs="宋体"/>
                      <w:b w:val="0"/>
                      <w:bCs w:val="0"/>
                      <w:color w:val="auto"/>
                      <w:sz w:val="21"/>
                      <w:szCs w:val="21"/>
                      <w:highlight w:val="none"/>
                      <w:lang w:val="en-US" w:eastAsia="zh-CN"/>
                    </w:rPr>
                    <w:t>云南省德宏州芒市风平镇帕底村芒市糖厂内</w:t>
                  </w:r>
                  <w:r>
                    <w:rPr>
                      <w:rFonts w:hint="eastAsia" w:ascii="Times New Roman" w:hAnsi="Times New Roman" w:eastAsia="宋体" w:cs="宋体"/>
                      <w:b w:val="0"/>
                      <w:bCs w:val="0"/>
                      <w:color w:val="auto"/>
                      <w:sz w:val="21"/>
                      <w:szCs w:val="21"/>
                      <w:highlight w:val="none"/>
                      <w:lang w:val="en-US" w:eastAsia="zh-CN"/>
                    </w:rPr>
                    <w:t>，项目用地</w:t>
                  </w:r>
                  <w:r>
                    <w:rPr>
                      <w:rFonts w:hint="eastAsia" w:ascii="Times New Roman" w:hAnsi="Times New Roman" w:cs="宋体"/>
                      <w:b w:val="0"/>
                      <w:bCs w:val="0"/>
                      <w:color w:val="auto"/>
                      <w:sz w:val="21"/>
                      <w:szCs w:val="21"/>
                      <w:highlight w:val="none"/>
                      <w:lang w:val="en-US" w:eastAsia="zh-CN"/>
                    </w:rPr>
                    <w:t>性质</w:t>
                  </w:r>
                  <w:r>
                    <w:rPr>
                      <w:rFonts w:hint="eastAsia" w:ascii="Times New Roman" w:hAnsi="Times New Roman" w:eastAsia="宋体" w:cs="宋体"/>
                      <w:b w:val="0"/>
                      <w:bCs w:val="0"/>
                      <w:color w:val="auto"/>
                      <w:sz w:val="21"/>
                      <w:szCs w:val="21"/>
                      <w:highlight w:val="none"/>
                      <w:lang w:val="en-US" w:eastAsia="zh-CN"/>
                    </w:rPr>
                    <w:t>为工业用地，不涉及基本农田，不占用永久基本农田，不占用生态保护红线，不涉及饮用水水源保护区等，不涉及生态功能重要区域、生态环境敏感区域</w:t>
                  </w:r>
                </w:p>
              </w:tc>
              <w:tc>
                <w:tcPr>
                  <w:tcW w:w="564" w:type="pct"/>
                  <w:noWrap w:val="0"/>
                  <w:vAlign w:val="center"/>
                </w:tcPr>
                <w:p w14:paraId="7E921F99">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符合</w:t>
                  </w:r>
                </w:p>
              </w:tc>
            </w:tr>
            <w:tr w14:paraId="4588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6" w:type="pct"/>
                  <w:vMerge w:val="continue"/>
                  <w:noWrap w:val="0"/>
                  <w:vAlign w:val="center"/>
                </w:tcPr>
                <w:p w14:paraId="51502B8A">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hint="eastAsia" w:ascii="Times New Roman" w:hAnsi="Times New Roman" w:eastAsia="宋体" w:cs="宋体"/>
                      <w:b w:val="0"/>
                      <w:bCs w:val="0"/>
                      <w:color w:val="auto"/>
                      <w:sz w:val="21"/>
                      <w:szCs w:val="21"/>
                    </w:rPr>
                  </w:pPr>
                </w:p>
              </w:tc>
              <w:tc>
                <w:tcPr>
                  <w:tcW w:w="371" w:type="pct"/>
                  <w:vMerge w:val="restart"/>
                  <w:noWrap w:val="0"/>
                  <w:vAlign w:val="center"/>
                </w:tcPr>
                <w:p w14:paraId="541C1F04">
                  <w:pPr>
                    <w:keepNext w:val="0"/>
                    <w:keepLines w:val="0"/>
                    <w:pageBreakBefore w:val="0"/>
                    <w:widowControl w:val="0"/>
                    <w:kinsoku/>
                    <w:wordWrap w:val="0"/>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环境质量底线</w:t>
                  </w:r>
                </w:p>
                <w:p w14:paraId="235B251F">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hint="eastAsia" w:ascii="Times New Roman" w:hAnsi="Times New Roman" w:eastAsia="宋体" w:cs="宋体"/>
                      <w:b w:val="0"/>
                      <w:bCs w:val="0"/>
                      <w:color w:val="auto"/>
                      <w:sz w:val="21"/>
                      <w:szCs w:val="21"/>
                    </w:rPr>
                  </w:pPr>
                </w:p>
              </w:tc>
              <w:tc>
                <w:tcPr>
                  <w:tcW w:w="2291" w:type="pct"/>
                  <w:noWrap w:val="0"/>
                  <w:vAlign w:val="center"/>
                </w:tcPr>
                <w:p w14:paraId="6E7899F8">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jc w:val="left"/>
                    <w:textAlignment w:val="auto"/>
                    <w:outlineLvl w:val="1"/>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t>1.水环境质量底线。到2020年底，全省水环境质量总体良好，纳入国家考核的100个地表水监测断面水质优良（达到或优于Ⅲ类）的比例达到73%以上、劣于Ⅴ类的比例控制在6%以内，省级考核的50个地表水监测断面水质达到水环境功能要求；九大高原湖泊水质稳定改善，达到考核目标；珠江、长江和西南诸河流域优良水体比例分别达68.7%、5</w:t>
                  </w:r>
                  <w:r>
                    <w:rPr>
                      <w:rFonts w:hint="eastAsia" w:asciiTheme="majorEastAsia" w:hAnsiTheme="majorEastAsia" w:eastAsiaTheme="majorEastAsia" w:cstheme="majorEastAsia"/>
                      <w:b w:val="0"/>
                      <w:bCs w:val="0"/>
                      <w:color w:val="000000" w:themeColor="text1"/>
                      <w:sz w:val="21"/>
                      <w:szCs w:val="21"/>
                      <w:lang w:val="en-US" w:eastAsia="zh-CN"/>
                      <w14:textFill>
                        <w14:solidFill>
                          <w14:schemeClr w14:val="tx1"/>
                        </w14:solidFill>
                      </w14:textFill>
                    </w:rPr>
                    <w:t>0</w:t>
                  </w:r>
                  <w:r>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t>%和91.7%以上；州市级、县级集中式饮用水水源水质达到或优于Ⅲ类的比例分别达97.2%、95%以上；地级城市建成区黑臭水体消除比例达到95%以上。到2025年，纳入国家和省级考核的地表水监测断面水质优良率稳步提升，重点区域、流域水环境质量进一步改善，基本消除劣Ⅴ类水体，集中式饮用水水源水质巩固改善。到2035年，地表水体水质优良率全面提升，各监测断面水质达到水环境功能要求，消除劣Ⅴ类水体，集中式饮用水水源水质稳定达标</w:t>
                  </w:r>
                </w:p>
              </w:tc>
              <w:tc>
                <w:tcPr>
                  <w:tcW w:w="1437" w:type="pct"/>
                  <w:noWrap w:val="0"/>
                  <w:vAlign w:val="center"/>
                </w:tcPr>
                <w:p w14:paraId="3FE97978">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left"/>
                    <w:textAlignment w:val="auto"/>
                    <w:outlineLvl w:val="1"/>
                    <w:rPr>
                      <w:rFonts w:hint="eastAsia" w:asciiTheme="majorEastAsia" w:hAnsiTheme="majorEastAsia" w:eastAsiaTheme="majorEastAsia" w:cstheme="majorEastAsia"/>
                      <w:b w:val="0"/>
                      <w:bCs w:val="0"/>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1"/>
                      <w:lang w:val="en-US" w:eastAsia="zh-CN"/>
                      <w14:textFill>
                        <w14:solidFill>
                          <w14:schemeClr w14:val="tx1"/>
                        </w14:solidFill>
                      </w14:textFill>
                    </w:rPr>
                    <w:t>根据现场勘查，项目区附近主要地表水为项目区北侧约480m处的芒市大河以及项目东侧约123m处的果朗河，果朗河是芒市大河的支流。根据《2022年德宏州生态环境状况公报》，项目区最近地表水体果朗河水质能满足《地表水环境质量标准》（GB3838-2002）中Ⅲ类水质标准要求</w:t>
                  </w:r>
                  <w:r>
                    <w:rPr>
                      <w:rFonts w:hint="eastAsia" w:asciiTheme="majorEastAsia" w:hAnsiTheme="majorEastAsia" w:eastAsiaTheme="majorEastAsia" w:cstheme="majorEastAsia"/>
                      <w:b w:val="0"/>
                      <w:bCs w:val="0"/>
                      <w:color w:val="000000" w:themeColor="text1"/>
                      <w:sz w:val="21"/>
                      <w:szCs w:val="21"/>
                      <w:lang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t>本项目附近不涉及集中式饮用水水源</w:t>
                  </w:r>
                  <w:r>
                    <w:rPr>
                      <w:rFonts w:hint="eastAsia" w:asciiTheme="majorEastAsia" w:hAnsiTheme="majorEastAsia" w:eastAsiaTheme="majorEastAsia" w:cstheme="majorEastAsia"/>
                      <w:b w:val="0"/>
                      <w:bCs w:val="0"/>
                      <w:color w:val="000000" w:themeColor="text1"/>
                      <w:sz w:val="21"/>
                      <w:szCs w:val="21"/>
                      <w:lang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sz w:val="21"/>
                      <w:szCs w:val="21"/>
                      <w:lang w:val="en-US" w:eastAsia="zh-CN"/>
                      <w14:textFill>
                        <w14:solidFill>
                          <w14:schemeClr w14:val="tx1"/>
                        </w14:solidFill>
                      </w14:textFill>
                    </w:rPr>
                    <w:t>项目搅拌机清洗废水排入防渗沉淀池内沉淀后上清液全部回用于搅拌工序的搅拌机内，不外排；少量餐饮废水经油水分离器预处理后同办公、生活污水经化粪池处理后委托周边村民进行清掏用作农肥，项目区污水不外排。</w:t>
                  </w:r>
                </w:p>
              </w:tc>
              <w:tc>
                <w:tcPr>
                  <w:tcW w:w="564" w:type="pct"/>
                  <w:noWrap w:val="0"/>
                  <w:vAlign w:val="center"/>
                </w:tcPr>
                <w:p w14:paraId="79CFA830">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符合</w:t>
                  </w:r>
                </w:p>
              </w:tc>
            </w:tr>
            <w:tr w14:paraId="7A59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6" w:type="pct"/>
                  <w:vMerge w:val="continue"/>
                  <w:noWrap w:val="0"/>
                  <w:vAlign w:val="center"/>
                </w:tcPr>
                <w:p w14:paraId="235A9822">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hint="eastAsia" w:ascii="Times New Roman" w:hAnsi="Times New Roman" w:eastAsia="宋体" w:cs="宋体"/>
                      <w:b w:val="0"/>
                      <w:bCs w:val="0"/>
                      <w:color w:val="auto"/>
                      <w:sz w:val="21"/>
                      <w:szCs w:val="21"/>
                    </w:rPr>
                  </w:pPr>
                </w:p>
              </w:tc>
              <w:tc>
                <w:tcPr>
                  <w:tcW w:w="371" w:type="pct"/>
                  <w:vMerge w:val="continue"/>
                  <w:noWrap w:val="0"/>
                  <w:vAlign w:val="center"/>
                </w:tcPr>
                <w:p w14:paraId="0A373CC5">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hint="eastAsia" w:ascii="Times New Roman" w:hAnsi="Times New Roman" w:eastAsia="宋体" w:cs="宋体"/>
                      <w:b w:val="0"/>
                      <w:bCs w:val="0"/>
                      <w:color w:val="auto"/>
                      <w:sz w:val="21"/>
                      <w:szCs w:val="21"/>
                    </w:rPr>
                  </w:pPr>
                </w:p>
              </w:tc>
              <w:tc>
                <w:tcPr>
                  <w:tcW w:w="2291" w:type="pct"/>
                  <w:noWrap w:val="0"/>
                  <w:vAlign w:val="center"/>
                </w:tcPr>
                <w:p w14:paraId="09B2B36A">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jc w:val="left"/>
                    <w:textAlignment w:val="auto"/>
                    <w:outlineLvl w:val="1"/>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大气环境质量底线。到2020年底，全省环境空气质量总体保持优良，二氧化硫、氮氧化物排放总量较2015年下降1%；细颗粒物（PM2.5）和可吸入颗粒物（PM10）等主要污染指标得到有效控制；州市级城市环境空气质量达到国家二级标准，优良天数比率达到97.2%以上。到2025年，环境空气质量稳中向好，州市级城市环境空气质量稳定达到国家二级标准。到2035年，环境空气质量全面改善，州市级、县级城市环境空气质量稳定达到国家二级标准</w:t>
                  </w:r>
                </w:p>
              </w:tc>
              <w:tc>
                <w:tcPr>
                  <w:tcW w:w="1437" w:type="pct"/>
                  <w:noWrap w:val="0"/>
                  <w:vAlign w:val="center"/>
                </w:tcPr>
                <w:p w14:paraId="53DD9623">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jc w:val="left"/>
                    <w:textAlignment w:val="auto"/>
                    <w:outlineLvl w:val="1"/>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根据近3年德宏州环境质量状况报告的监测数据来看，芒市环境空气质量达到《环境空气质量标准》（GB3095-2012）二级标准的要求，环境空气质量良好</w:t>
                  </w:r>
                </w:p>
              </w:tc>
              <w:tc>
                <w:tcPr>
                  <w:tcW w:w="564" w:type="pct"/>
                  <w:noWrap w:val="0"/>
                  <w:vAlign w:val="center"/>
                </w:tcPr>
                <w:p w14:paraId="2F802901">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符合</w:t>
                  </w:r>
                </w:p>
              </w:tc>
            </w:tr>
            <w:tr w14:paraId="4B006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6" w:type="pct"/>
                  <w:vMerge w:val="continue"/>
                  <w:noWrap w:val="0"/>
                  <w:vAlign w:val="center"/>
                </w:tcPr>
                <w:p w14:paraId="20433568">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371" w:type="pct"/>
                  <w:vMerge w:val="continue"/>
                  <w:noWrap w:val="0"/>
                  <w:vAlign w:val="center"/>
                </w:tcPr>
                <w:p w14:paraId="0D8353D1">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2291" w:type="pct"/>
                  <w:noWrap w:val="0"/>
                  <w:vAlign w:val="center"/>
                </w:tcPr>
                <w:p w14:paraId="74AC3986">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jc w:val="left"/>
                    <w:textAlignment w:val="auto"/>
                    <w:outlineLvl w:val="1"/>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rPr>
                    <w:t>3.土壤环境风险防控底线。到2020年底，全省土壤环境质量总体保持稳定，农用地和建设用地土壤环境安全得到基本保障，土壤环境风险得到基本管控；受污染耕地安全利用率达到80%左右，污染地块安全利用率不低于90%。到2025年，土壤环境风险防范体系进一步完善，受污染耕地安全利用率和污染地块安全利用率进一步提高。到2035年，土壤环境质量稳中向好，农用地和建设用地土壤环境安全得到有效保障，土壤环境风险得到全面管控</w:t>
                  </w:r>
                </w:p>
              </w:tc>
              <w:tc>
                <w:tcPr>
                  <w:tcW w:w="1437" w:type="pct"/>
                  <w:noWrap w:val="0"/>
                  <w:vAlign w:val="center"/>
                </w:tcPr>
                <w:p w14:paraId="01E59C21">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left"/>
                    <w:textAlignment w:val="auto"/>
                    <w:outlineLvl w:val="1"/>
                    <w:rPr>
                      <w:rFonts w:hint="eastAsia" w:ascii="Times New Roman" w:hAnsi="Times New Roman" w:eastAsia="宋体" w:cs="宋体"/>
                      <w:b w:val="0"/>
                      <w:bCs w:val="0"/>
                      <w:color w:val="auto"/>
                      <w:sz w:val="21"/>
                      <w:szCs w:val="21"/>
                      <w:highlight w:val="none"/>
                      <w:lang w:eastAsia="zh-CN"/>
                    </w:rPr>
                  </w:pPr>
                  <w:r>
                    <w:rPr>
                      <w:rFonts w:hint="eastAsia" w:ascii="Times New Roman" w:hAnsi="Times New Roman" w:eastAsia="宋体" w:cs="宋体"/>
                      <w:b w:val="0"/>
                      <w:bCs w:val="0"/>
                      <w:color w:val="auto"/>
                      <w:sz w:val="21"/>
                      <w:szCs w:val="21"/>
                      <w:lang w:val="en-US" w:eastAsia="zh-CN"/>
                    </w:rPr>
                    <w:t>本项目无危废产生，但</w:t>
                  </w:r>
                  <w:r>
                    <w:rPr>
                      <w:rFonts w:hint="eastAsia" w:ascii="Times New Roman" w:hAnsi="Times New Roman" w:eastAsia="宋体" w:cs="宋体"/>
                      <w:b w:val="0"/>
                      <w:bCs w:val="0"/>
                      <w:color w:val="auto"/>
                      <w:sz w:val="21"/>
                      <w:szCs w:val="21"/>
                      <w:highlight w:val="none"/>
                      <w:lang w:val="en-US" w:eastAsia="zh-CN"/>
                    </w:rPr>
                    <w:t>脱模剂储存间应按照</w:t>
                  </w:r>
                  <w:r>
                    <w:rPr>
                      <w:rFonts w:hint="eastAsia" w:ascii="Times New Roman" w:hAnsi="Times New Roman" w:eastAsia="宋体" w:cs="宋体"/>
                      <w:b w:val="0"/>
                      <w:bCs w:val="0"/>
                      <w:color w:val="auto"/>
                      <w:sz w:val="21"/>
                      <w:szCs w:val="21"/>
                      <w:lang w:val="en-US" w:eastAsia="zh-CN"/>
                    </w:rPr>
                    <w:t>要求做好“三防”措施。定期检查消除污染隐患，发现有污染物泄漏或渗漏，及时修补，可避免对土壤环境造成影响</w:t>
                  </w:r>
                </w:p>
              </w:tc>
              <w:tc>
                <w:tcPr>
                  <w:tcW w:w="564" w:type="pct"/>
                  <w:noWrap w:val="0"/>
                  <w:vAlign w:val="center"/>
                </w:tcPr>
                <w:p w14:paraId="4649809D">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符合</w:t>
                  </w:r>
                </w:p>
              </w:tc>
            </w:tr>
            <w:tr w14:paraId="6145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6" w:type="pct"/>
                  <w:vMerge w:val="continue"/>
                  <w:noWrap w:val="0"/>
                  <w:vAlign w:val="center"/>
                </w:tcPr>
                <w:p w14:paraId="4E715F7D">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371" w:type="pct"/>
                  <w:vMerge w:val="restart"/>
                  <w:noWrap w:val="0"/>
                  <w:vAlign w:val="center"/>
                </w:tcPr>
                <w:p w14:paraId="635BF857">
                  <w:pPr>
                    <w:pStyle w:val="18"/>
                    <w:keepNext w:val="0"/>
                    <w:keepLines w:val="0"/>
                    <w:pageBreakBefore w:val="0"/>
                    <w:widowControl w:val="0"/>
                    <w:kinsoku/>
                    <w:wordWrap w:val="0"/>
                    <w:overflowPunct/>
                    <w:topLinePunct w:val="0"/>
                    <w:autoSpaceDE w:val="0"/>
                    <w:autoSpaceDN w:val="0"/>
                    <w:bidi w:val="0"/>
                    <w:adjustRightInd w:val="0"/>
                    <w:snapToGrid w:val="0"/>
                    <w:spacing w:beforeAutospacing="0" w:after="0" w:afterAutospacing="0" w:line="240" w:lineRule="auto"/>
                    <w:ind w:firstLine="0" w:firstLineChars="0"/>
                    <w:jc w:val="center"/>
                    <w:textAlignment w:val="auto"/>
                    <w:rPr>
                      <w:rFonts w:ascii="Times New Roman" w:hAnsi="Times New Roman" w:cs="Times New Roman"/>
                      <w:color w:val="auto"/>
                      <w:sz w:val="21"/>
                      <w:szCs w:val="21"/>
                      <w:lang w:eastAsia="zh-CN" w:bidi="ar-SA"/>
                    </w:rPr>
                  </w:pPr>
                  <w:r>
                    <w:rPr>
                      <w:rFonts w:ascii="Times New Roman" w:hAnsi="Times New Roman" w:cs="Times New Roman"/>
                      <w:color w:val="auto"/>
                      <w:sz w:val="21"/>
                      <w:szCs w:val="21"/>
                      <w:lang w:eastAsia="zh-CN" w:bidi="ar-SA"/>
                    </w:rPr>
                    <w:t>资源利用上线</w:t>
                  </w:r>
                </w:p>
                <w:p w14:paraId="6C136731">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2291" w:type="pct"/>
                  <w:noWrap w:val="0"/>
                  <w:vAlign w:val="center"/>
                </w:tcPr>
                <w:p w14:paraId="4C394004">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jc w:val="left"/>
                    <w:textAlignment w:val="auto"/>
                    <w:outlineLvl w:val="1"/>
                    <w:rPr>
                      <w:rFonts w:hint="eastAsia" w:asciiTheme="majorEastAsia" w:hAnsiTheme="majorEastAsia" w:eastAsiaTheme="majorEastAsia" w:cstheme="majorEastAsia"/>
                      <w:b w:val="0"/>
                      <w:bCs w:val="0"/>
                      <w:color w:val="auto"/>
                      <w:sz w:val="21"/>
                      <w:szCs w:val="21"/>
                    </w:rPr>
                  </w:pPr>
                  <w:r>
                    <w:rPr>
                      <w:rFonts w:hint="eastAsia" w:asciiTheme="majorEastAsia" w:hAnsiTheme="majorEastAsia" w:eastAsiaTheme="majorEastAsia" w:cstheme="majorEastAsia"/>
                      <w:b w:val="0"/>
                      <w:bCs w:val="0"/>
                      <w:color w:val="auto"/>
                      <w:sz w:val="21"/>
                      <w:szCs w:val="21"/>
                    </w:rPr>
                    <w:t>1.水资源利用上线。到2020年底，全省年用水总量控制在214.6亿立方米以内</w:t>
                  </w:r>
                </w:p>
              </w:tc>
              <w:tc>
                <w:tcPr>
                  <w:tcW w:w="1437" w:type="pct"/>
                  <w:noWrap w:val="0"/>
                  <w:vAlign w:val="center"/>
                </w:tcPr>
                <w:p w14:paraId="4AAB0CE6">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left"/>
                    <w:textAlignment w:val="auto"/>
                    <w:outlineLvl w:val="1"/>
                    <w:rPr>
                      <w:rFonts w:hint="eastAsia" w:asciiTheme="majorEastAsia" w:hAnsiTheme="majorEastAsia" w:eastAsiaTheme="majorEastAsia" w:cstheme="majorEastAsia"/>
                      <w:b w:val="0"/>
                      <w:bCs w:val="0"/>
                      <w:color w:val="auto"/>
                      <w:sz w:val="21"/>
                      <w:szCs w:val="21"/>
                      <w:vertAlign w:val="baseline"/>
                      <w:lang w:val="en-US" w:eastAsia="zh-CN"/>
                    </w:rPr>
                  </w:pPr>
                  <w:bookmarkStart w:id="4" w:name="_Toc9480"/>
                  <w:bookmarkStart w:id="5" w:name="_Toc18534"/>
                  <w:bookmarkStart w:id="6" w:name="_Toc14101"/>
                  <w:bookmarkStart w:id="7" w:name="_Toc2908"/>
                  <w:bookmarkStart w:id="8" w:name="_Toc27438"/>
                  <w:r>
                    <w:rPr>
                      <w:rFonts w:hint="eastAsia" w:asciiTheme="majorEastAsia" w:hAnsiTheme="majorEastAsia" w:eastAsiaTheme="majorEastAsia" w:cstheme="majorEastAsia"/>
                      <w:b w:val="0"/>
                      <w:bCs w:val="0"/>
                      <w:color w:val="auto"/>
                      <w:sz w:val="21"/>
                      <w:szCs w:val="21"/>
                    </w:rPr>
                    <w:t>项目年用水量为</w:t>
                  </w:r>
                  <w:bookmarkEnd w:id="4"/>
                  <w:bookmarkEnd w:id="5"/>
                  <w:bookmarkEnd w:id="6"/>
                  <w:r>
                    <w:rPr>
                      <w:rFonts w:hint="eastAsia" w:asciiTheme="majorEastAsia" w:hAnsiTheme="majorEastAsia" w:eastAsiaTheme="majorEastAsia" w:cstheme="majorEastAsia"/>
                      <w:b w:val="0"/>
                      <w:bCs w:val="0"/>
                      <w:color w:val="auto"/>
                      <w:sz w:val="21"/>
                      <w:szCs w:val="21"/>
                      <w:u w:val="none"/>
                      <w:lang w:val="en-US" w:eastAsia="zh-CN"/>
                    </w:rPr>
                    <w:t>10082.8</w:t>
                  </w:r>
                  <w:r>
                    <w:rPr>
                      <w:rFonts w:hint="eastAsia" w:asciiTheme="majorEastAsia" w:hAnsiTheme="majorEastAsia" w:eastAsiaTheme="majorEastAsia" w:cstheme="majorEastAsia"/>
                      <w:b w:val="0"/>
                      <w:bCs w:val="0"/>
                      <w:color w:val="auto"/>
                      <w:sz w:val="21"/>
                      <w:szCs w:val="21"/>
                      <w:u w:val="none"/>
                    </w:rPr>
                    <w:t>m</w:t>
                  </w:r>
                  <w:r>
                    <w:rPr>
                      <w:rFonts w:hint="eastAsia" w:asciiTheme="majorEastAsia" w:hAnsiTheme="majorEastAsia" w:eastAsiaTheme="majorEastAsia" w:cstheme="majorEastAsia"/>
                      <w:b w:val="0"/>
                      <w:bCs w:val="0"/>
                      <w:color w:val="auto"/>
                      <w:sz w:val="21"/>
                      <w:szCs w:val="21"/>
                      <w:u w:val="none"/>
                      <w:vertAlign w:val="superscript"/>
                    </w:rPr>
                    <w:t>3</w:t>
                  </w:r>
                  <w:r>
                    <w:rPr>
                      <w:rFonts w:hint="eastAsia" w:asciiTheme="majorEastAsia" w:hAnsiTheme="majorEastAsia" w:eastAsiaTheme="majorEastAsia" w:cstheme="majorEastAsia"/>
                      <w:b w:val="0"/>
                      <w:bCs w:val="0"/>
                      <w:color w:val="auto"/>
                      <w:sz w:val="21"/>
                      <w:szCs w:val="21"/>
                      <w:u w:val="none"/>
                    </w:rPr>
                    <w:t>/a</w:t>
                  </w:r>
                  <w:r>
                    <w:rPr>
                      <w:rFonts w:hint="eastAsia" w:asciiTheme="majorEastAsia" w:hAnsiTheme="majorEastAsia" w:eastAsiaTheme="majorEastAsia" w:cstheme="majorEastAsia"/>
                      <w:b w:val="0"/>
                      <w:bCs w:val="0"/>
                      <w:color w:val="auto"/>
                      <w:sz w:val="21"/>
                      <w:szCs w:val="21"/>
                      <w:highlight w:val="none"/>
                      <w:vertAlign w:val="baseline"/>
                      <w:lang w:eastAsia="zh-CN"/>
                    </w:rPr>
                    <w:t>，</w:t>
                  </w:r>
                  <w:r>
                    <w:rPr>
                      <w:rFonts w:hint="eastAsia" w:asciiTheme="majorEastAsia" w:hAnsiTheme="majorEastAsia" w:eastAsiaTheme="majorEastAsia" w:cstheme="majorEastAsia"/>
                      <w:b w:val="0"/>
                      <w:bCs w:val="0"/>
                      <w:color w:val="auto"/>
                      <w:sz w:val="21"/>
                      <w:szCs w:val="21"/>
                      <w:highlight w:val="none"/>
                      <w:vertAlign w:val="baseline"/>
                      <w:lang w:val="en-US" w:eastAsia="zh-CN"/>
                    </w:rPr>
                    <w:t>主要为生产和生活用水、用水量较小</w:t>
                  </w:r>
                  <w:r>
                    <w:rPr>
                      <w:rFonts w:hint="eastAsia" w:asciiTheme="majorEastAsia" w:hAnsiTheme="majorEastAsia" w:eastAsiaTheme="majorEastAsia" w:cstheme="majorEastAsia"/>
                      <w:b w:val="0"/>
                      <w:bCs w:val="0"/>
                      <w:color w:val="auto"/>
                      <w:sz w:val="21"/>
                      <w:szCs w:val="21"/>
                      <w:highlight w:val="none"/>
                      <w:lang w:val="en-US" w:eastAsia="zh-CN"/>
                    </w:rPr>
                    <w:t>。</w:t>
                  </w:r>
                  <w:bookmarkEnd w:id="7"/>
                  <w:bookmarkEnd w:id="8"/>
                  <w:r>
                    <w:rPr>
                      <w:rFonts w:hint="eastAsia" w:asciiTheme="majorEastAsia" w:hAnsiTheme="majorEastAsia" w:eastAsiaTheme="majorEastAsia" w:cstheme="majorEastAsia"/>
                      <w:b w:val="0"/>
                      <w:bCs w:val="0"/>
                      <w:color w:val="auto"/>
                      <w:sz w:val="21"/>
                      <w:szCs w:val="21"/>
                      <w:highlight w:val="none"/>
                      <w:lang w:val="en-US" w:eastAsia="zh-CN"/>
                    </w:rPr>
                    <w:t>不会超过水资源利用上线</w:t>
                  </w:r>
                </w:p>
              </w:tc>
              <w:tc>
                <w:tcPr>
                  <w:tcW w:w="564" w:type="pct"/>
                  <w:noWrap w:val="0"/>
                  <w:vAlign w:val="center"/>
                </w:tcPr>
                <w:p w14:paraId="69ED45C0">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符合</w:t>
                  </w:r>
                </w:p>
              </w:tc>
            </w:tr>
            <w:tr w14:paraId="54CF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6" w:type="pct"/>
                  <w:vMerge w:val="continue"/>
                  <w:noWrap w:val="0"/>
                  <w:vAlign w:val="center"/>
                </w:tcPr>
                <w:p w14:paraId="43AC6D40">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371" w:type="pct"/>
                  <w:vMerge w:val="continue"/>
                  <w:noWrap w:val="0"/>
                  <w:vAlign w:val="center"/>
                </w:tcPr>
                <w:p w14:paraId="01112AEA">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2291" w:type="pct"/>
                  <w:noWrap w:val="0"/>
                  <w:vAlign w:val="center"/>
                </w:tcPr>
                <w:p w14:paraId="11EA0472">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jc w:val="left"/>
                    <w:textAlignment w:val="auto"/>
                    <w:outlineLvl w:val="1"/>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2.土地资源利用上线。到2020年底，全省耕地保有量不低于584.53万公顷，基本农田保护面积不低于489.4万公顷，建设用地总规模控制在115.4万公顷以内</w:t>
                  </w:r>
                </w:p>
              </w:tc>
              <w:tc>
                <w:tcPr>
                  <w:tcW w:w="1437" w:type="pct"/>
                  <w:noWrap w:val="0"/>
                  <w:vAlign w:val="center"/>
                </w:tcPr>
                <w:p w14:paraId="7714B81E">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left"/>
                    <w:textAlignment w:val="auto"/>
                    <w:outlineLvl w:val="1"/>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根据德宏滔盛置业有限公司土地证（详见附件3），土地用途为工业用地，不涉及基本农田和耕地</w:t>
                  </w:r>
                </w:p>
              </w:tc>
              <w:tc>
                <w:tcPr>
                  <w:tcW w:w="564" w:type="pct"/>
                  <w:noWrap w:val="0"/>
                  <w:vAlign w:val="center"/>
                </w:tcPr>
                <w:p w14:paraId="51688D3B">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符合</w:t>
                  </w:r>
                </w:p>
              </w:tc>
            </w:tr>
            <w:tr w14:paraId="7273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6" w:type="pct"/>
                  <w:vMerge w:val="continue"/>
                  <w:noWrap w:val="0"/>
                  <w:vAlign w:val="center"/>
                </w:tcPr>
                <w:p w14:paraId="3BB0549B">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371" w:type="pct"/>
                  <w:vMerge w:val="continue"/>
                  <w:noWrap w:val="0"/>
                  <w:vAlign w:val="center"/>
                </w:tcPr>
                <w:p w14:paraId="67C0DA16">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2291" w:type="pct"/>
                  <w:noWrap w:val="0"/>
                  <w:vAlign w:val="center"/>
                </w:tcPr>
                <w:p w14:paraId="750DD221">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jc w:val="left"/>
                    <w:textAlignment w:val="auto"/>
                    <w:outlineLvl w:val="1"/>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3.能源利用上线。到2020年底，全省万元地区生产总值能耗较2015年下降14%，能源消费总量控制在国家下达目标以内，非化石能源消费量占能源消费总量比重达到42%</w:t>
                  </w:r>
                </w:p>
              </w:tc>
              <w:tc>
                <w:tcPr>
                  <w:tcW w:w="1437" w:type="pct"/>
                  <w:noWrap w:val="0"/>
                  <w:vAlign w:val="center"/>
                </w:tcPr>
                <w:p w14:paraId="7CDA291C">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left"/>
                    <w:textAlignment w:val="auto"/>
                    <w:outlineLvl w:val="1"/>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项目</w:t>
                  </w:r>
                  <w:r>
                    <w:rPr>
                      <w:rFonts w:hint="eastAsia" w:ascii="Times New Roman" w:hAnsi="Times New Roman" w:eastAsia="宋体" w:cs="Times New Roman"/>
                      <w:b w:val="0"/>
                      <w:bCs w:val="0"/>
                      <w:color w:val="auto"/>
                      <w:sz w:val="21"/>
                      <w:szCs w:val="21"/>
                      <w:lang w:eastAsia="zh-CN"/>
                    </w:rPr>
                    <w:t>食堂采用瓶装液化气、电等清洁能源作为燃料</w:t>
                  </w:r>
                  <w:r>
                    <w:rPr>
                      <w:rFonts w:hint="default" w:ascii="Times New Roman" w:hAnsi="Times New Roman" w:eastAsia="宋体" w:cs="Times New Roman"/>
                      <w:b w:val="0"/>
                      <w:bCs w:val="0"/>
                      <w:color w:val="auto"/>
                      <w:sz w:val="21"/>
                      <w:szCs w:val="21"/>
                      <w:lang w:val="en-US" w:eastAsia="zh-CN"/>
                    </w:rPr>
                    <w:t>不使用燃煤等高能耗资源</w:t>
                  </w:r>
                </w:p>
              </w:tc>
              <w:tc>
                <w:tcPr>
                  <w:tcW w:w="564" w:type="pct"/>
                  <w:noWrap w:val="0"/>
                  <w:vAlign w:val="center"/>
                </w:tcPr>
                <w:p w14:paraId="51D3BA24">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符合</w:t>
                  </w:r>
                </w:p>
              </w:tc>
            </w:tr>
            <w:tr w14:paraId="3BCD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6" w:type="pct"/>
                  <w:vMerge w:val="restart"/>
                  <w:noWrap w:val="0"/>
                  <w:vAlign w:val="center"/>
                </w:tcPr>
                <w:p w14:paraId="6B97FD06">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both"/>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构建生态环境分区管控体</w:t>
                  </w:r>
                </w:p>
              </w:tc>
              <w:tc>
                <w:tcPr>
                  <w:tcW w:w="371" w:type="pct"/>
                  <w:vMerge w:val="restart"/>
                  <w:noWrap w:val="0"/>
                  <w:vAlign w:val="center"/>
                </w:tcPr>
                <w:p w14:paraId="38304C36">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生态环境管控单元划分</w:t>
                  </w:r>
                </w:p>
              </w:tc>
              <w:tc>
                <w:tcPr>
                  <w:tcW w:w="2291" w:type="pct"/>
                  <w:noWrap w:val="0"/>
                  <w:vAlign w:val="center"/>
                </w:tcPr>
                <w:p w14:paraId="7D69EE1C">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jc w:val="left"/>
                    <w:textAlignment w:val="auto"/>
                    <w:outlineLvl w:val="1"/>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rPr>
                    <w:t>1.优先保护单元。共383个，包含生态保护红线和一般生态空间，主要分布在滇西北山区、南部边境山区、哀牢山和无量山、滇东南喀斯特石漠化防治区、金沙江干热河谷、高原湖泊湖区等重点生态功能区域</w:t>
                  </w:r>
                </w:p>
              </w:tc>
              <w:tc>
                <w:tcPr>
                  <w:tcW w:w="1437" w:type="pct"/>
                  <w:noWrap w:val="0"/>
                  <w:vAlign w:val="center"/>
                </w:tcPr>
                <w:p w14:paraId="44D25E81">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根据德宏滔盛置业有限公司土地证（详见附件3），土地用途为工业用地，不涉及生态保护红线，</w:t>
                  </w:r>
                  <w:r>
                    <w:rPr>
                      <w:rFonts w:hint="eastAsia" w:ascii="Times New Roman" w:hAnsi="Times New Roman" w:eastAsia="宋体" w:cs="宋体"/>
                      <w:b w:val="0"/>
                      <w:bCs w:val="0"/>
                      <w:color w:val="auto"/>
                      <w:sz w:val="21"/>
                      <w:szCs w:val="21"/>
                      <w:lang w:val="en-US" w:eastAsia="zh-CN"/>
                    </w:rPr>
                    <w:t>不属于</w:t>
                  </w:r>
                  <w:r>
                    <w:rPr>
                      <w:rFonts w:hint="eastAsia" w:ascii="Times New Roman" w:hAnsi="Times New Roman" w:eastAsia="宋体" w:cs="宋体"/>
                      <w:b w:val="0"/>
                      <w:bCs w:val="0"/>
                      <w:color w:val="auto"/>
                      <w:sz w:val="21"/>
                      <w:szCs w:val="21"/>
                      <w:highlight w:val="none"/>
                    </w:rPr>
                    <w:t>重点生态功能区域</w:t>
                  </w:r>
                </w:p>
              </w:tc>
              <w:tc>
                <w:tcPr>
                  <w:tcW w:w="564" w:type="pct"/>
                  <w:noWrap w:val="0"/>
                  <w:vAlign w:val="center"/>
                </w:tcPr>
                <w:p w14:paraId="710B89D2">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ascii="Times New Roman" w:hAnsi="Times New Roman" w:eastAsia="宋体"/>
                      <w:b w:val="0"/>
                      <w:bCs w:val="0"/>
                      <w:color w:val="auto"/>
                      <w:sz w:val="21"/>
                      <w:szCs w:val="21"/>
                      <w:highlight w:val="none"/>
                    </w:rPr>
                  </w:pPr>
                  <w:r>
                    <w:rPr>
                      <w:rFonts w:ascii="Times New Roman" w:hAnsi="Times New Roman" w:eastAsia="宋体"/>
                      <w:b w:val="0"/>
                      <w:bCs w:val="0"/>
                      <w:color w:val="auto"/>
                      <w:sz w:val="21"/>
                      <w:szCs w:val="21"/>
                      <w:highlight w:val="none"/>
                    </w:rPr>
                    <w:t>符合</w:t>
                  </w:r>
                </w:p>
              </w:tc>
            </w:tr>
            <w:tr w14:paraId="32276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336" w:type="pct"/>
                  <w:vMerge w:val="continue"/>
                  <w:noWrap w:val="0"/>
                  <w:vAlign w:val="center"/>
                </w:tcPr>
                <w:p w14:paraId="32C2069C">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371" w:type="pct"/>
                  <w:vMerge w:val="continue"/>
                  <w:noWrap w:val="0"/>
                  <w:vAlign w:val="center"/>
                </w:tcPr>
                <w:p w14:paraId="366758C7">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2291" w:type="pct"/>
                  <w:noWrap w:val="0"/>
                  <w:vAlign w:val="center"/>
                </w:tcPr>
                <w:p w14:paraId="561DEC2C">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jc w:val="left"/>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2.重点管控单元。共652个，包含开发强度高、污染物排放强度大、环境问题相对集中的区域和大气环境布局敏感、弱扩散区等，主要分布在滇中城市群、九大高原湖泊流域、各类开发区和工业集中区、城镇规划区及环境质量改善压力较大的区域</w:t>
                  </w:r>
                </w:p>
              </w:tc>
              <w:tc>
                <w:tcPr>
                  <w:tcW w:w="2117" w:type="dxa"/>
                  <w:noWrap w:val="0"/>
                  <w:vAlign w:val="center"/>
                </w:tcPr>
                <w:p w14:paraId="12C0B86E">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both"/>
                    <w:textAlignment w:val="auto"/>
                    <w:outlineLvl w:val="1"/>
                    <w:rPr>
                      <w:rFonts w:hint="default" w:ascii="Times New Roman" w:hAnsi="Times New Roman" w:eastAsia="宋体" w:cs="Times New Roman"/>
                      <w:color w:val="auto"/>
                      <w:sz w:val="21"/>
                      <w:szCs w:val="21"/>
                      <w:lang w:val="en-US" w:eastAsia="zh-CN"/>
                    </w:rPr>
                  </w:pPr>
                  <w:r>
                    <w:rPr>
                      <w:rFonts w:hint="eastAsia" w:ascii="宋体" w:hAnsi="宋体" w:eastAsia="宋体" w:cs="宋体"/>
                      <w:b w:val="0"/>
                      <w:bCs w:val="0"/>
                      <w:color w:val="000000"/>
                      <w:sz w:val="21"/>
                      <w:szCs w:val="21"/>
                      <w:lang w:val="en-US" w:eastAsia="zh-CN"/>
                    </w:rPr>
                    <w:t>项目地块属于一般管控单元。</w:t>
                  </w:r>
                </w:p>
              </w:tc>
              <w:tc>
                <w:tcPr>
                  <w:tcW w:w="564" w:type="pct"/>
                  <w:noWrap w:val="0"/>
                  <w:vAlign w:val="center"/>
                </w:tcPr>
                <w:p w14:paraId="3CED3C16">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符合</w:t>
                  </w:r>
                </w:p>
              </w:tc>
            </w:tr>
            <w:tr w14:paraId="4808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6" w:type="pct"/>
                  <w:vMerge w:val="continue"/>
                  <w:noWrap w:val="0"/>
                  <w:vAlign w:val="center"/>
                </w:tcPr>
                <w:p w14:paraId="130A5129">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371" w:type="pct"/>
                  <w:vMerge w:val="continue"/>
                  <w:noWrap w:val="0"/>
                  <w:vAlign w:val="center"/>
                </w:tcPr>
                <w:p w14:paraId="07D19902">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2291" w:type="pct"/>
                  <w:noWrap w:val="0"/>
                  <w:vAlign w:val="center"/>
                </w:tcPr>
                <w:p w14:paraId="5EC45AE2">
                  <w:pPr>
                    <w:keepNext w:val="0"/>
                    <w:keepLines w:val="0"/>
                    <w:pageBreakBefore w:val="0"/>
                    <w:widowControl w:val="0"/>
                    <w:kinsoku/>
                    <w:wordWrap w:val="0"/>
                    <w:overflowPunct/>
                    <w:topLinePunct w:val="0"/>
                    <w:autoSpaceDE w:val="0"/>
                    <w:autoSpaceDN w:val="0"/>
                    <w:bidi w:val="0"/>
                    <w:adjustRightInd w:val="0"/>
                    <w:snapToGrid w:val="0"/>
                    <w:spacing w:line="240" w:lineRule="auto"/>
                    <w:jc w:val="both"/>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3.一般管控单元。共129个，为优先保护、重点管控单元之外的区域</w:t>
                  </w:r>
                </w:p>
              </w:tc>
              <w:tc>
                <w:tcPr>
                  <w:tcW w:w="2117" w:type="dxa"/>
                  <w:noWrap w:val="0"/>
                  <w:vAlign w:val="center"/>
                </w:tcPr>
                <w:p w14:paraId="1854927B">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hint="default" w:ascii="Times New Roman" w:hAnsi="Times New Roman" w:eastAsia="宋体" w:cs="Times New Roman"/>
                      <w:color w:val="auto"/>
                      <w:sz w:val="21"/>
                      <w:szCs w:val="21"/>
                      <w:lang w:val="en-US" w:eastAsia="zh-CN"/>
                    </w:rPr>
                  </w:pPr>
                  <w:r>
                    <w:rPr>
                      <w:rFonts w:hint="eastAsia" w:ascii="Times New Roman" w:hAnsi="Times New Roman" w:eastAsia="宋体"/>
                      <w:b w:val="0"/>
                      <w:bCs w:val="0"/>
                      <w:color w:val="000000"/>
                      <w:sz w:val="21"/>
                      <w:szCs w:val="21"/>
                      <w:lang w:val="en-US" w:eastAsia="zh-CN"/>
                    </w:rPr>
                    <w:t>不涉及</w:t>
                  </w:r>
                </w:p>
              </w:tc>
              <w:tc>
                <w:tcPr>
                  <w:tcW w:w="564" w:type="pct"/>
                  <w:noWrap w:val="0"/>
                  <w:vAlign w:val="center"/>
                </w:tcPr>
                <w:p w14:paraId="2A717FC5">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符合</w:t>
                  </w:r>
                </w:p>
              </w:tc>
            </w:tr>
            <w:tr w14:paraId="0947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6" w:type="pct"/>
                  <w:vMerge w:val="continue"/>
                  <w:noWrap w:val="0"/>
                  <w:vAlign w:val="center"/>
                </w:tcPr>
                <w:p w14:paraId="2D18B270">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371" w:type="pct"/>
                  <w:noWrap w:val="0"/>
                  <w:vAlign w:val="center"/>
                </w:tcPr>
                <w:p w14:paraId="6BB5E297">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总体管控要求</w:t>
                  </w:r>
                </w:p>
              </w:tc>
              <w:tc>
                <w:tcPr>
                  <w:tcW w:w="2291" w:type="pct"/>
                  <w:noWrap w:val="0"/>
                  <w:vAlign w:val="center"/>
                </w:tcPr>
                <w:p w14:paraId="5636018A">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left"/>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严格落实生态环境保护法律法规标准和有关政策，强化污染防治和自然生态系统保护修复，改善区域生态环境质量。按照区域环境承载能力，优化产业空间布局，加快产业结构调整，严格环境准入，强化污染物排放管控，实现固定污染源排污许可全覆盖。充分考虑水资源、水环境承载力，坚持以水定城、以水定地、以水定人、以水定产。保护优良水体和饮用水源，整治不达标水体，统筹推进水污染防治、水生态保护和水资源管理，全面改善水环境质量。巩固提高环境空气质量，调整优化产业、能源、运输和用地结构，加快城市建成区重污染企业搬迁改造或关闭退出，加强</w:t>
                  </w:r>
                  <w:r>
                    <w:rPr>
                      <w:rFonts w:hint="eastAsia" w:ascii="Times New Roman" w:hAnsi="Times New Roman" w:eastAsia="宋体"/>
                      <w:b w:val="0"/>
                      <w:bCs w:val="0"/>
                      <w:color w:val="auto"/>
                      <w:sz w:val="21"/>
                      <w:szCs w:val="21"/>
                      <w:lang w:eastAsia="zh-CN"/>
                    </w:rPr>
                    <w:t>“</w:t>
                  </w:r>
                  <w:r>
                    <w:rPr>
                      <w:rFonts w:ascii="Times New Roman" w:hAnsi="Times New Roman" w:eastAsia="宋体"/>
                      <w:b w:val="0"/>
                      <w:bCs w:val="0"/>
                      <w:color w:val="auto"/>
                      <w:sz w:val="21"/>
                      <w:szCs w:val="21"/>
                    </w:rPr>
                    <w:t>散乱污</w:t>
                  </w:r>
                  <w:r>
                    <w:rPr>
                      <w:rFonts w:hint="eastAsia" w:ascii="Times New Roman" w:hAnsi="Times New Roman" w:eastAsia="宋体"/>
                      <w:b w:val="0"/>
                      <w:bCs w:val="0"/>
                      <w:color w:val="auto"/>
                      <w:sz w:val="21"/>
                      <w:szCs w:val="21"/>
                      <w:lang w:eastAsia="zh-CN"/>
                    </w:rPr>
                    <w:t>”</w:t>
                  </w:r>
                  <w:r>
                    <w:rPr>
                      <w:rFonts w:ascii="Times New Roman" w:hAnsi="Times New Roman" w:eastAsia="宋体"/>
                      <w:b w:val="0"/>
                      <w:bCs w:val="0"/>
                      <w:color w:val="auto"/>
                      <w:sz w:val="21"/>
                      <w:szCs w:val="21"/>
                    </w:rPr>
                    <w:t>企业综合整治。深化工业污染治理，加大机动车污染防治和扬尘综合治理力度，加强秸秆综合利用，强化大气污染联防联控。加强土壤污染防治，对农用地实施分类管理，对建设用地实行准入管理，确定土壤环境重点监管企业名单，实施土壤污染风险管控和修复名录制度，对污染地块开发利用实行联动监管。严守资源利用上线，实行能源和水资源消耗、建设用地等总量和强度双控，实施工业节能增效，加快发展清洁能源和新能源</w:t>
                  </w:r>
                </w:p>
              </w:tc>
              <w:tc>
                <w:tcPr>
                  <w:tcW w:w="1437" w:type="pct"/>
                  <w:noWrap w:val="0"/>
                  <w:vAlign w:val="center"/>
                </w:tcPr>
                <w:p w14:paraId="67E91F65">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hint="eastAsia" w:ascii="Times New Roman" w:hAnsi="Times New Roman" w:eastAsia="宋体"/>
                      <w:b w:val="0"/>
                      <w:bCs w:val="0"/>
                      <w:color w:val="auto"/>
                      <w:sz w:val="21"/>
                      <w:szCs w:val="21"/>
                      <w:lang w:eastAsia="zh-CN"/>
                    </w:rPr>
                  </w:pPr>
                  <w:r>
                    <w:rPr>
                      <w:rFonts w:hint="eastAsia" w:ascii="Times New Roman" w:hAnsi="Times New Roman" w:eastAsia="宋体"/>
                      <w:b w:val="0"/>
                      <w:bCs w:val="0"/>
                      <w:color w:val="auto"/>
                      <w:sz w:val="21"/>
                      <w:szCs w:val="21"/>
                      <w:lang w:eastAsia="zh-CN"/>
                    </w:rPr>
                    <w:t>本项目将采取污染治理措施，降低项目污染物对周边环境的污染，通过分区防渗，降低土壤和地下水风险</w:t>
                  </w:r>
                </w:p>
              </w:tc>
              <w:tc>
                <w:tcPr>
                  <w:tcW w:w="564" w:type="pct"/>
                  <w:noWrap w:val="0"/>
                  <w:vAlign w:val="center"/>
                </w:tcPr>
                <w:p w14:paraId="3249F3EE">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符合</w:t>
                  </w:r>
                </w:p>
              </w:tc>
            </w:tr>
            <w:tr w14:paraId="4EB0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6" w:type="pct"/>
                  <w:vMerge w:val="continue"/>
                  <w:noWrap w:val="0"/>
                  <w:vAlign w:val="center"/>
                </w:tcPr>
                <w:p w14:paraId="238AFDF3">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371" w:type="pct"/>
                  <w:noWrap w:val="0"/>
                  <w:vAlign w:val="center"/>
                </w:tcPr>
                <w:p w14:paraId="10EDD675">
                  <w:pPr>
                    <w:keepNext w:val="0"/>
                    <w:keepLines w:val="0"/>
                    <w:pageBreakBefore w:val="0"/>
                    <w:widowControl w:val="0"/>
                    <w:kinsoku/>
                    <w:wordWrap w:val="0"/>
                    <w:overflowPunct/>
                    <w:topLinePunct w:val="0"/>
                    <w:autoSpaceDE w:val="0"/>
                    <w:autoSpaceDN w:val="0"/>
                    <w:bidi w:val="0"/>
                    <w:adjustRightInd w:val="0"/>
                    <w:snapToGrid w:val="0"/>
                    <w:spacing w:line="240" w:lineRule="auto"/>
                    <w:jc w:val="both"/>
                    <w:textAlignment w:val="auto"/>
                    <w:rPr>
                      <w:rFonts w:ascii="Times New Roman" w:hAnsi="Times New Roman"/>
                      <w:color w:val="auto"/>
                      <w:sz w:val="21"/>
                      <w:szCs w:val="21"/>
                    </w:rPr>
                  </w:pPr>
                  <w:r>
                    <w:rPr>
                      <w:rFonts w:ascii="Times New Roman" w:hAnsi="Times New Roman"/>
                      <w:color w:val="auto"/>
                      <w:sz w:val="21"/>
                      <w:szCs w:val="21"/>
                    </w:rPr>
                    <w:t>优先保护单元</w:t>
                  </w:r>
                </w:p>
                <w:p w14:paraId="209F260A">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2291" w:type="pct"/>
                  <w:noWrap w:val="0"/>
                  <w:vAlign w:val="center"/>
                </w:tcPr>
                <w:p w14:paraId="10C29B24">
                  <w:pPr>
                    <w:keepNext w:val="0"/>
                    <w:keepLines w:val="0"/>
                    <w:pageBreakBefore w:val="0"/>
                    <w:widowControl w:val="0"/>
                    <w:kinsoku/>
                    <w:wordWrap w:val="0"/>
                    <w:overflowPunct/>
                    <w:topLinePunct w:val="0"/>
                    <w:autoSpaceDE w:val="0"/>
                    <w:autoSpaceDN w:val="0"/>
                    <w:bidi w:val="0"/>
                    <w:adjustRightInd w:val="0"/>
                    <w:snapToGrid w:val="0"/>
                    <w:spacing w:line="240" w:lineRule="auto"/>
                    <w:ind w:firstLine="420"/>
                    <w:jc w:val="left"/>
                    <w:textAlignment w:val="auto"/>
                    <w:rPr>
                      <w:rFonts w:ascii="Times New Roman" w:hAnsi="Times New Roman"/>
                      <w:color w:val="auto"/>
                      <w:sz w:val="21"/>
                      <w:szCs w:val="21"/>
                    </w:rPr>
                  </w:pPr>
                  <w:r>
                    <w:rPr>
                      <w:rFonts w:ascii="Times New Roman" w:hAnsi="Times New Roman"/>
                      <w:color w:val="auto"/>
                      <w:sz w:val="21"/>
                      <w:szCs w:val="21"/>
                    </w:rPr>
                    <w:t>生态保护红线优先保护单元按照国家生态保护红线有关要求进行管控。一般生态空间优先保护单元以保护和修复生态环境、提供生态产品为首要任务，参照主体功能区中重点生态功能区的开发和管制原则进行管控，加强资源环境承载力控制，防止过度垦殖、放牧、采伐、取水、渔猎、旅游等对生态功能造成损害，确保自然生态系统稳定。涉及占用一般生态空间的开发活动应符合法律法规规定，没有明确规定的，加强论证和管理</w:t>
                  </w:r>
                </w:p>
              </w:tc>
              <w:tc>
                <w:tcPr>
                  <w:tcW w:w="1437" w:type="pct"/>
                  <w:noWrap w:val="0"/>
                  <w:vAlign w:val="center"/>
                </w:tcPr>
                <w:p w14:paraId="43F18B30">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hint="eastAsia" w:ascii="Times New Roman" w:hAnsi="Times New Roman" w:eastAsia="宋体"/>
                      <w:b w:val="0"/>
                      <w:bCs w:val="0"/>
                      <w:color w:val="auto"/>
                      <w:sz w:val="21"/>
                      <w:szCs w:val="21"/>
                      <w:lang w:eastAsia="zh-CN"/>
                    </w:rPr>
                  </w:pPr>
                  <w:r>
                    <w:rPr>
                      <w:rFonts w:hint="eastAsia" w:ascii="Times New Roman" w:hAnsi="Times New Roman" w:eastAsia="宋体" w:cs="Times New Roman"/>
                      <w:b w:val="0"/>
                      <w:bCs w:val="0"/>
                      <w:color w:val="auto"/>
                      <w:sz w:val="21"/>
                      <w:szCs w:val="21"/>
                      <w:highlight w:val="none"/>
                      <w:lang w:val="en-US" w:eastAsia="zh-CN"/>
                    </w:rPr>
                    <w:t>项目不涉及优先保护单元</w:t>
                  </w:r>
                </w:p>
              </w:tc>
              <w:tc>
                <w:tcPr>
                  <w:tcW w:w="564" w:type="pct"/>
                  <w:noWrap w:val="0"/>
                  <w:vAlign w:val="center"/>
                </w:tcPr>
                <w:p w14:paraId="66BCF674">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符合</w:t>
                  </w:r>
                </w:p>
              </w:tc>
            </w:tr>
            <w:tr w14:paraId="3BC3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6" w:type="pct"/>
                  <w:vMerge w:val="continue"/>
                  <w:noWrap w:val="0"/>
                  <w:vAlign w:val="center"/>
                </w:tcPr>
                <w:p w14:paraId="0E6FEF5C">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371" w:type="pct"/>
                  <w:noWrap w:val="0"/>
                  <w:vAlign w:val="center"/>
                </w:tcPr>
                <w:p w14:paraId="7180CBA2">
                  <w:pPr>
                    <w:keepNext w:val="0"/>
                    <w:keepLines w:val="0"/>
                    <w:pageBreakBefore w:val="0"/>
                    <w:widowControl w:val="0"/>
                    <w:kinsoku/>
                    <w:wordWrap w:val="0"/>
                    <w:overflowPunct/>
                    <w:topLinePunct w:val="0"/>
                    <w:autoSpaceDE w:val="0"/>
                    <w:autoSpaceDN w:val="0"/>
                    <w:bidi w:val="0"/>
                    <w:adjustRightInd w:val="0"/>
                    <w:snapToGrid w:val="0"/>
                    <w:spacing w:line="240" w:lineRule="auto"/>
                    <w:jc w:val="both"/>
                    <w:textAlignment w:val="auto"/>
                    <w:rPr>
                      <w:rFonts w:ascii="Times New Roman" w:hAnsi="Times New Roman"/>
                      <w:color w:val="auto"/>
                      <w:sz w:val="21"/>
                      <w:szCs w:val="21"/>
                    </w:rPr>
                  </w:pPr>
                  <w:r>
                    <w:rPr>
                      <w:rFonts w:ascii="Times New Roman" w:hAnsi="Times New Roman"/>
                      <w:color w:val="auto"/>
                      <w:sz w:val="21"/>
                      <w:szCs w:val="21"/>
                    </w:rPr>
                    <w:t>重点管控单元</w:t>
                  </w:r>
                </w:p>
                <w:p w14:paraId="7E9493AF">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2291" w:type="pct"/>
                  <w:noWrap w:val="0"/>
                  <w:vAlign w:val="center"/>
                </w:tcPr>
                <w:p w14:paraId="75FA82FC">
                  <w:pPr>
                    <w:keepNext w:val="0"/>
                    <w:keepLines w:val="0"/>
                    <w:pageBreakBefore w:val="0"/>
                    <w:widowControl w:val="0"/>
                    <w:kinsoku/>
                    <w:wordWrap w:val="0"/>
                    <w:overflowPunct/>
                    <w:topLinePunct w:val="0"/>
                    <w:autoSpaceDE w:val="0"/>
                    <w:autoSpaceDN w:val="0"/>
                    <w:bidi w:val="0"/>
                    <w:adjustRightInd w:val="0"/>
                    <w:snapToGrid w:val="0"/>
                    <w:spacing w:line="240" w:lineRule="auto"/>
                    <w:ind w:firstLine="420"/>
                    <w:jc w:val="left"/>
                    <w:textAlignment w:val="auto"/>
                    <w:rPr>
                      <w:rFonts w:ascii="Times New Roman" w:hAnsi="Times New Roman"/>
                      <w:color w:val="auto"/>
                      <w:sz w:val="21"/>
                      <w:szCs w:val="21"/>
                    </w:rPr>
                  </w:pPr>
                  <w:r>
                    <w:rPr>
                      <w:rFonts w:ascii="Times New Roman" w:hAnsi="Times New Roman"/>
                      <w:color w:val="auto"/>
                      <w:sz w:val="21"/>
                      <w:szCs w:val="21"/>
                    </w:rPr>
                    <w:t>开发区及工业集中区重点管控单元。合理规划产业分区和功能定位，禁止不符合开发区规划要求的项目入区；合理规划居住区与工业功能区，在居住小区和工业区、工业企业之间按照要求设置环境防护距离及生态隔离带。加强污染防治，在实现稳定达标排放基础上，根据区域环境质量改善目标，实施污染物排放总量控制，降低排放强度。开发区及区内企业实现</w:t>
                  </w:r>
                  <w:r>
                    <w:rPr>
                      <w:rFonts w:hint="eastAsia" w:ascii="Times New Roman" w:hAnsi="Times New Roman"/>
                      <w:color w:val="auto"/>
                      <w:sz w:val="21"/>
                      <w:szCs w:val="21"/>
                      <w:lang w:eastAsia="zh-CN"/>
                    </w:rPr>
                    <w:t>“</w:t>
                  </w:r>
                  <w:r>
                    <w:rPr>
                      <w:rFonts w:ascii="Times New Roman" w:hAnsi="Times New Roman"/>
                      <w:color w:val="auto"/>
                      <w:sz w:val="21"/>
                      <w:szCs w:val="21"/>
                    </w:rPr>
                    <w:t>雨污分流</w:t>
                  </w:r>
                  <w:r>
                    <w:rPr>
                      <w:rFonts w:hint="eastAsia" w:ascii="Times New Roman" w:hAnsi="Times New Roman"/>
                      <w:color w:val="auto"/>
                      <w:sz w:val="21"/>
                      <w:szCs w:val="21"/>
                      <w:lang w:eastAsia="zh-CN"/>
                    </w:rPr>
                    <w:t>”</w:t>
                  </w:r>
                  <w:r>
                    <w:rPr>
                      <w:rFonts w:ascii="Times New Roman" w:hAnsi="Times New Roman"/>
                      <w:color w:val="auto"/>
                      <w:sz w:val="21"/>
                      <w:szCs w:val="21"/>
                    </w:rPr>
                    <w:t>、</w:t>
                  </w:r>
                  <w:r>
                    <w:rPr>
                      <w:rFonts w:hint="eastAsia" w:ascii="Times New Roman" w:hAnsi="Times New Roman"/>
                      <w:color w:val="auto"/>
                      <w:sz w:val="21"/>
                      <w:szCs w:val="21"/>
                      <w:lang w:eastAsia="zh-CN"/>
                    </w:rPr>
                    <w:t>“</w:t>
                  </w:r>
                  <w:r>
                    <w:rPr>
                      <w:rFonts w:ascii="Times New Roman" w:hAnsi="Times New Roman"/>
                      <w:color w:val="auto"/>
                      <w:sz w:val="21"/>
                      <w:szCs w:val="21"/>
                    </w:rPr>
                    <w:t>清污分流</w:t>
                  </w:r>
                  <w:r>
                    <w:rPr>
                      <w:rFonts w:hint="eastAsia" w:ascii="Times New Roman" w:hAnsi="Times New Roman"/>
                      <w:color w:val="auto"/>
                      <w:sz w:val="21"/>
                      <w:szCs w:val="21"/>
                      <w:lang w:eastAsia="zh-CN"/>
                    </w:rPr>
                    <w:t>”</w:t>
                  </w:r>
                  <w:r>
                    <w:rPr>
                      <w:rFonts w:ascii="Times New Roman" w:hAnsi="Times New Roman"/>
                      <w:color w:val="auto"/>
                      <w:sz w:val="21"/>
                      <w:szCs w:val="21"/>
                    </w:rPr>
                    <w:t>，开发区按照规定建成污水集中处理设施并确保稳定运行，加强土壤和地下水污染防治。强化企业环境风险防范设施设备建设和运行监管，制定突发环境事件应急预案，建立企业隐患排查整治常态化监管机制。推进开发区生态化、循环化改造，提高资源能源利用效率。</w:t>
                  </w:r>
                </w:p>
                <w:p w14:paraId="63D95E47">
                  <w:pPr>
                    <w:keepNext w:val="0"/>
                    <w:keepLines w:val="0"/>
                    <w:pageBreakBefore w:val="0"/>
                    <w:widowControl w:val="0"/>
                    <w:kinsoku/>
                    <w:wordWrap w:val="0"/>
                    <w:overflowPunct/>
                    <w:topLinePunct w:val="0"/>
                    <w:autoSpaceDE w:val="0"/>
                    <w:autoSpaceDN w:val="0"/>
                    <w:bidi w:val="0"/>
                    <w:adjustRightInd w:val="0"/>
                    <w:snapToGrid w:val="0"/>
                    <w:spacing w:line="240" w:lineRule="auto"/>
                    <w:ind w:firstLine="420"/>
                    <w:jc w:val="left"/>
                    <w:textAlignment w:val="auto"/>
                    <w:rPr>
                      <w:rFonts w:ascii="Times New Roman" w:hAnsi="Times New Roman"/>
                      <w:color w:val="auto"/>
                      <w:sz w:val="21"/>
                      <w:szCs w:val="21"/>
                    </w:rPr>
                  </w:pPr>
                  <w:r>
                    <w:rPr>
                      <w:rFonts w:ascii="Times New Roman" w:hAnsi="Times New Roman"/>
                      <w:color w:val="auto"/>
                      <w:sz w:val="21"/>
                      <w:szCs w:val="21"/>
                    </w:rPr>
                    <w:t>城镇生活污染重点管控单元。完善城镇污水收集管网，强化城中村、老旧城区和城乡结合部污水截流、收集，取缔城市建成区内生活污水直排口，加快污水处理设施建设与提标改造，加强污泥资源化利用处置能力建设。推动州、市人民政府所在地城市建成区现有重污染企业搬迁改造或关闭退出。县级及以上城市划定高污染燃料禁燃区，严格建筑工地施工扬尘监管，加强噪声、臭气异味、油烟、挥发性有机物等污染防治。遵循减量化、资源化、无害化原则，加快完善城市垃圾分类收集、分类投放、分类运输、分类处置设施。深入推进节水型社会和节水型城市建设，加强非常规水资源开发利用和节水产品推广普及，严控高耗水服务业用水</w:t>
                  </w:r>
                </w:p>
                <w:p w14:paraId="4CA289E7">
                  <w:pPr>
                    <w:keepNext w:val="0"/>
                    <w:keepLines w:val="0"/>
                    <w:pageBreakBefore w:val="0"/>
                    <w:widowControl w:val="0"/>
                    <w:kinsoku/>
                    <w:wordWrap w:val="0"/>
                    <w:overflowPunct/>
                    <w:topLinePunct w:val="0"/>
                    <w:autoSpaceDE w:val="0"/>
                    <w:autoSpaceDN w:val="0"/>
                    <w:bidi w:val="0"/>
                    <w:adjustRightInd w:val="0"/>
                    <w:snapToGrid w:val="0"/>
                    <w:spacing w:line="240" w:lineRule="auto"/>
                    <w:ind w:firstLine="420"/>
                    <w:jc w:val="left"/>
                    <w:textAlignment w:val="auto"/>
                    <w:rPr>
                      <w:rFonts w:ascii="Times New Roman" w:hAnsi="Times New Roman"/>
                      <w:color w:val="auto"/>
                      <w:sz w:val="21"/>
                      <w:szCs w:val="21"/>
                    </w:rPr>
                  </w:pPr>
                  <w:r>
                    <w:rPr>
                      <w:rFonts w:ascii="Times New Roman" w:hAnsi="Times New Roman"/>
                      <w:color w:val="auto"/>
                      <w:sz w:val="21"/>
                      <w:szCs w:val="21"/>
                    </w:rPr>
                    <w:t>土壤污染重点管控单元。制定土壤污染风险管控与修复方案，开展土壤和农产品协同监测与评价。加强涉镉等重金属重点行业企业污染源排查整治，强化监督检查，严格排放管控，实行重金属污染物排放浓度和排放总量双控。矿产资源开发活动集中区域按照要求执行重点污染物特别排放限值。加快处理历史遗留冶炼废渣，全面整治固体废物堆存场所，完善防扬散、防流失、防渗漏等设施。</w:t>
                  </w:r>
                </w:p>
                <w:p w14:paraId="505C7355">
                  <w:pPr>
                    <w:keepNext w:val="0"/>
                    <w:keepLines w:val="0"/>
                    <w:pageBreakBefore w:val="0"/>
                    <w:widowControl w:val="0"/>
                    <w:kinsoku/>
                    <w:wordWrap w:val="0"/>
                    <w:overflowPunct/>
                    <w:topLinePunct w:val="0"/>
                    <w:autoSpaceDE w:val="0"/>
                    <w:autoSpaceDN w:val="0"/>
                    <w:bidi w:val="0"/>
                    <w:adjustRightInd w:val="0"/>
                    <w:snapToGrid w:val="0"/>
                    <w:spacing w:line="240" w:lineRule="auto"/>
                    <w:ind w:firstLine="420"/>
                    <w:jc w:val="left"/>
                    <w:textAlignment w:val="auto"/>
                    <w:rPr>
                      <w:rFonts w:ascii="Times New Roman" w:hAnsi="Times New Roman"/>
                      <w:color w:val="auto"/>
                      <w:sz w:val="21"/>
                      <w:szCs w:val="21"/>
                    </w:rPr>
                  </w:pPr>
                  <w:r>
                    <w:rPr>
                      <w:rFonts w:ascii="Times New Roman" w:hAnsi="Times New Roman"/>
                      <w:color w:val="auto"/>
                      <w:sz w:val="21"/>
                      <w:szCs w:val="21"/>
                    </w:rPr>
                    <w:t>农业面源污染重点管控单元。围绕环境质量改善目标，加强农业农村污染防治，推进农村环境综合整治和农村环保基础设施建设。加快开展九大高原湖泊流域农田径流污染防治，优化农业种植结构，推行生态种植模式，推广使用测土配方施肥、生物防治、精细农业等技术，严格控制高耗水、高耗肥作物种植，实现化肥农药减量增效。</w:t>
                  </w:r>
                </w:p>
                <w:p w14:paraId="50D8ADC1">
                  <w:pPr>
                    <w:keepNext w:val="0"/>
                    <w:keepLines w:val="0"/>
                    <w:pageBreakBefore w:val="0"/>
                    <w:widowControl w:val="0"/>
                    <w:kinsoku/>
                    <w:wordWrap w:val="0"/>
                    <w:overflowPunct/>
                    <w:topLinePunct w:val="0"/>
                    <w:autoSpaceDE w:val="0"/>
                    <w:autoSpaceDN w:val="0"/>
                    <w:bidi w:val="0"/>
                    <w:adjustRightInd w:val="0"/>
                    <w:snapToGrid w:val="0"/>
                    <w:spacing w:line="240" w:lineRule="auto"/>
                    <w:ind w:firstLine="420"/>
                    <w:jc w:val="left"/>
                    <w:textAlignment w:val="auto"/>
                    <w:rPr>
                      <w:rFonts w:ascii="Times New Roman" w:hAnsi="Times New Roman"/>
                      <w:color w:val="auto"/>
                      <w:sz w:val="21"/>
                      <w:szCs w:val="21"/>
                    </w:rPr>
                  </w:pPr>
                  <w:r>
                    <w:rPr>
                      <w:rFonts w:ascii="Times New Roman" w:hAnsi="Times New Roman"/>
                      <w:color w:val="auto"/>
                      <w:sz w:val="21"/>
                      <w:szCs w:val="21"/>
                    </w:rPr>
                    <w:t>矿产资源重点管控单元。推进矿产资源开发规模化、集约化和转型升级，推动绿色矿山建设，严格执行矿山最低开采规模标准，加强矿产资源绿色勘查开发。强化矿产资源开发污染综合治理，降低污染物产生量和排放量。加强矿山生态修复和环境治理，严格采矿选矿废渣环境管理，加强固体废物综合利用，提高矿产资源回收利用率。</w:t>
                  </w:r>
                </w:p>
                <w:p w14:paraId="16ACE338">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left"/>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大气环境布局敏感、弱扩散重点管控单元。优化产业布局，加强大气污染排放管控，严格论证新建、扩建钢铁、石化、化工、焦化、建材、有色冶炼等高污染项目，确保大气环境质量达标</w:t>
                  </w:r>
                </w:p>
              </w:tc>
              <w:tc>
                <w:tcPr>
                  <w:tcW w:w="1437" w:type="pct"/>
                  <w:noWrap w:val="0"/>
                  <w:vAlign w:val="center"/>
                </w:tcPr>
                <w:p w14:paraId="53EB0778">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both"/>
                    <w:textAlignment w:val="auto"/>
                    <w:outlineLvl w:val="1"/>
                    <w:rPr>
                      <w:rFonts w:hint="default" w:ascii="Times New Roman" w:hAnsi="Times New Roman" w:eastAsia="宋体"/>
                      <w:b w:val="0"/>
                      <w:bCs w:val="0"/>
                      <w:color w:val="auto"/>
                      <w:sz w:val="21"/>
                      <w:szCs w:val="21"/>
                      <w:lang w:val="en-US" w:eastAsia="zh-CN"/>
                    </w:rPr>
                  </w:pPr>
                  <w:r>
                    <w:rPr>
                      <w:rFonts w:hint="default" w:ascii="Times New Roman" w:hAnsi="Times New Roman" w:eastAsia="宋体"/>
                      <w:b w:val="0"/>
                      <w:bCs w:val="0"/>
                      <w:color w:val="000000"/>
                      <w:sz w:val="21"/>
                      <w:szCs w:val="21"/>
                      <w:lang w:val="en-US" w:eastAsia="zh-CN"/>
                    </w:rPr>
                    <w:t>根据查询，项目地块属</w:t>
                  </w:r>
                  <w:r>
                    <w:rPr>
                      <w:rFonts w:hint="eastAsia" w:ascii="Times New Roman" w:hAnsi="Times New Roman" w:eastAsia="宋体"/>
                      <w:b w:val="0"/>
                      <w:bCs w:val="0"/>
                      <w:color w:val="000000"/>
                      <w:sz w:val="21"/>
                      <w:szCs w:val="21"/>
                      <w:lang w:val="en-US" w:eastAsia="zh-CN"/>
                    </w:rPr>
                    <w:t>于一般管控单元</w:t>
                  </w:r>
                  <w:r>
                    <w:rPr>
                      <w:rFonts w:hint="default" w:ascii="Times New Roman" w:hAnsi="Times New Roman" w:eastAsia="宋体"/>
                      <w:b w:val="0"/>
                      <w:bCs w:val="0"/>
                      <w:color w:val="000000"/>
                      <w:sz w:val="21"/>
                      <w:szCs w:val="21"/>
                      <w:lang w:val="en-US" w:eastAsia="zh-CN"/>
                    </w:rPr>
                    <w:t>”</w:t>
                  </w:r>
                  <w:r>
                    <w:rPr>
                      <w:rFonts w:hint="eastAsia" w:ascii="Times New Roman" w:hAnsi="Times New Roman" w:eastAsia="宋体"/>
                      <w:b w:val="0"/>
                      <w:bCs w:val="0"/>
                      <w:color w:val="000000"/>
                      <w:sz w:val="21"/>
                      <w:szCs w:val="21"/>
                      <w:lang w:val="en-US" w:eastAsia="zh-CN"/>
                    </w:rPr>
                    <w:t>，</w:t>
                  </w:r>
                  <w:r>
                    <w:rPr>
                      <w:rFonts w:hint="default" w:ascii="Times New Roman" w:hAnsi="Times New Roman" w:eastAsia="宋体"/>
                      <w:b w:val="0"/>
                      <w:bCs w:val="0"/>
                      <w:color w:val="000000"/>
                      <w:sz w:val="21"/>
                      <w:szCs w:val="21"/>
                      <w:lang w:val="en-US" w:eastAsia="zh-CN"/>
                    </w:rPr>
                    <w:t>项目不属于高耗水项目，采用“雨污分流”的方式</w:t>
                  </w:r>
                  <w:r>
                    <w:rPr>
                      <w:rFonts w:hint="eastAsia" w:ascii="Times New Roman" w:hAnsi="Times New Roman"/>
                      <w:b w:val="0"/>
                      <w:bCs w:val="0"/>
                      <w:color w:val="auto"/>
                      <w:sz w:val="21"/>
                      <w:szCs w:val="21"/>
                      <w:lang w:eastAsia="zh-CN"/>
                    </w:rPr>
                    <w:t>，</w:t>
                  </w:r>
                  <w:r>
                    <w:rPr>
                      <w:rFonts w:hint="eastAsia" w:asciiTheme="minorEastAsia" w:hAnsiTheme="minorEastAsia" w:eastAsiaTheme="minorEastAsia" w:cstheme="minorEastAsia"/>
                      <w:b w:val="0"/>
                      <w:bCs w:val="0"/>
                      <w:color w:val="000000" w:themeColor="text1"/>
                      <w:kern w:val="0"/>
                      <w:sz w:val="21"/>
                      <w:szCs w:val="21"/>
                      <w:lang w:val="en-US" w:eastAsia="zh-CN" w:bidi="en-US"/>
                      <w14:textFill>
                        <w14:solidFill>
                          <w14:schemeClr w14:val="tx1"/>
                        </w14:solidFill>
                      </w14:textFill>
                    </w:rPr>
                    <w:t>项目废水经过化粪池处理后委托周边农民清掏作为农肥，不外排。物料输送、储存粉尘、物料混合及搅拌粉尘经搭建顶棚，设置喷淋装置进行洒水抑尘等措施后能达到《水泥工业大气污染物排放标准》（GB4915-2013）标准，焊接烟尘无组织排放。</w:t>
                  </w:r>
                  <w:r>
                    <w:rPr>
                      <w:rFonts w:hint="eastAsia" w:ascii="Times New Roman" w:hAnsi="Times New Roman"/>
                      <w:b w:val="0"/>
                      <w:bCs w:val="0"/>
                      <w:color w:val="auto"/>
                      <w:sz w:val="21"/>
                      <w:szCs w:val="21"/>
                      <w:lang w:eastAsia="zh-CN"/>
                    </w:rPr>
                    <w:t>对大气环境的影响较小</w:t>
                  </w:r>
                </w:p>
              </w:tc>
              <w:tc>
                <w:tcPr>
                  <w:tcW w:w="564" w:type="pct"/>
                  <w:noWrap w:val="0"/>
                  <w:vAlign w:val="center"/>
                </w:tcPr>
                <w:p w14:paraId="3FD2B93B">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符合</w:t>
                  </w:r>
                </w:p>
              </w:tc>
            </w:tr>
            <w:tr w14:paraId="7BD3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36" w:type="pct"/>
                  <w:vMerge w:val="continue"/>
                  <w:noWrap w:val="0"/>
                  <w:vAlign w:val="center"/>
                </w:tcPr>
                <w:p w14:paraId="586CD920">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371" w:type="pct"/>
                  <w:noWrap w:val="0"/>
                  <w:vAlign w:val="center"/>
                </w:tcPr>
                <w:p w14:paraId="721B499B">
                  <w:pPr>
                    <w:keepNext w:val="0"/>
                    <w:keepLines w:val="0"/>
                    <w:pageBreakBefore w:val="0"/>
                    <w:widowControl w:val="0"/>
                    <w:kinsoku/>
                    <w:wordWrap w:val="0"/>
                    <w:overflowPunct/>
                    <w:topLinePunct w:val="0"/>
                    <w:autoSpaceDE w:val="0"/>
                    <w:autoSpaceDN w:val="0"/>
                    <w:bidi w:val="0"/>
                    <w:adjustRightInd w:val="0"/>
                    <w:snapToGrid w:val="0"/>
                    <w:spacing w:line="240" w:lineRule="auto"/>
                    <w:jc w:val="both"/>
                    <w:textAlignment w:val="auto"/>
                    <w:rPr>
                      <w:rFonts w:ascii="Times New Roman" w:hAnsi="Times New Roman"/>
                      <w:color w:val="auto"/>
                      <w:sz w:val="21"/>
                      <w:szCs w:val="21"/>
                    </w:rPr>
                  </w:pPr>
                  <w:r>
                    <w:rPr>
                      <w:rFonts w:ascii="Times New Roman" w:hAnsi="Times New Roman"/>
                      <w:color w:val="auto"/>
                      <w:sz w:val="21"/>
                      <w:szCs w:val="21"/>
                    </w:rPr>
                    <w:t>一般管控单元</w:t>
                  </w:r>
                </w:p>
                <w:p w14:paraId="1C25B1EB">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jc w:val="center"/>
                    <w:textAlignment w:val="auto"/>
                    <w:outlineLvl w:val="1"/>
                    <w:rPr>
                      <w:rFonts w:ascii="Times New Roman" w:hAnsi="Times New Roman" w:eastAsia="宋体"/>
                      <w:b w:val="0"/>
                      <w:bCs w:val="0"/>
                      <w:color w:val="auto"/>
                      <w:sz w:val="21"/>
                      <w:szCs w:val="21"/>
                    </w:rPr>
                  </w:pPr>
                </w:p>
              </w:tc>
              <w:tc>
                <w:tcPr>
                  <w:tcW w:w="2291" w:type="pct"/>
                  <w:noWrap w:val="0"/>
                  <w:vAlign w:val="center"/>
                </w:tcPr>
                <w:p w14:paraId="29CD56DE">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420" w:firstLineChars="200"/>
                    <w:jc w:val="both"/>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落实生态环境保护基本要求，项目建设和运行应满足产业准入、总量控制、排放标准等管理规定</w:t>
                  </w:r>
                </w:p>
              </w:tc>
              <w:tc>
                <w:tcPr>
                  <w:tcW w:w="1437" w:type="pct"/>
                  <w:noWrap w:val="0"/>
                  <w:vAlign w:val="center"/>
                </w:tcPr>
                <w:p w14:paraId="7D748C38">
                  <w:pPr>
                    <w:keepNext w:val="0"/>
                    <w:keepLines w:val="0"/>
                    <w:pageBreakBefore w:val="0"/>
                    <w:widowControl w:val="0"/>
                    <w:kinsoku/>
                    <w:wordWrap w:val="0"/>
                    <w:overflowPunct/>
                    <w:topLinePunct w:val="0"/>
                    <w:autoSpaceDE w:val="0"/>
                    <w:autoSpaceDN w:val="0"/>
                    <w:bidi w:val="0"/>
                    <w:adjustRightInd w:val="0"/>
                    <w:snapToGrid w:val="0"/>
                    <w:spacing w:line="240" w:lineRule="auto"/>
                    <w:jc w:val="both"/>
                    <w:textAlignment w:val="auto"/>
                    <w:rPr>
                      <w:rFonts w:hint="eastAsia" w:ascii="Times New Roman" w:hAnsi="Times New Roman" w:eastAsia="宋体"/>
                      <w:b w:val="0"/>
                      <w:bCs w:val="0"/>
                      <w:color w:val="auto"/>
                      <w:sz w:val="21"/>
                      <w:szCs w:val="21"/>
                      <w:lang w:val="en-US" w:eastAsia="zh-CN"/>
                    </w:rPr>
                  </w:pPr>
                  <w:r>
                    <w:rPr>
                      <w:rFonts w:hint="eastAsia" w:ascii="Times New Roman" w:hAnsi="Times New Roman" w:eastAsia="宋体"/>
                      <w:b w:val="0"/>
                      <w:bCs w:val="0"/>
                      <w:color w:val="auto"/>
                      <w:sz w:val="21"/>
                      <w:szCs w:val="21"/>
                      <w:lang w:eastAsia="zh-CN"/>
                    </w:rPr>
                    <w:t>项目严格</w:t>
                  </w:r>
                  <w:r>
                    <w:rPr>
                      <w:rFonts w:ascii="Times New Roman" w:hAnsi="Times New Roman" w:eastAsia="宋体"/>
                      <w:b w:val="0"/>
                      <w:bCs w:val="0"/>
                      <w:color w:val="auto"/>
                      <w:sz w:val="21"/>
                      <w:szCs w:val="21"/>
                    </w:rPr>
                    <w:t>落实生态环境保护基本要求，</w:t>
                  </w:r>
                  <w:r>
                    <w:rPr>
                      <w:rFonts w:hint="eastAsia" w:ascii="Times New Roman" w:hAnsi="Times New Roman" w:eastAsia="宋体"/>
                      <w:b w:val="0"/>
                      <w:bCs w:val="0"/>
                      <w:color w:val="auto"/>
                      <w:sz w:val="21"/>
                      <w:szCs w:val="21"/>
                      <w:lang w:eastAsia="zh-CN"/>
                    </w:rPr>
                    <w:t>项目不设总量控制指标，项目的建设满足产业准入条件，能够达标排放</w:t>
                  </w:r>
                </w:p>
              </w:tc>
              <w:tc>
                <w:tcPr>
                  <w:tcW w:w="564" w:type="pct"/>
                  <w:noWrap w:val="0"/>
                  <w:vAlign w:val="center"/>
                </w:tcPr>
                <w:p w14:paraId="2A26EF13">
                  <w:pPr>
                    <w:pStyle w:val="3"/>
                    <w:keepNext w:val="0"/>
                    <w:keepLines w:val="0"/>
                    <w:pageBreakBefore w:val="0"/>
                    <w:widowControl w:val="0"/>
                    <w:kinsoku/>
                    <w:wordWrap w:val="0"/>
                    <w:overflowPunct/>
                    <w:topLinePunct w:val="0"/>
                    <w:autoSpaceDE w:val="0"/>
                    <w:autoSpaceDN w:val="0"/>
                    <w:bidi w:val="0"/>
                    <w:adjustRightInd w:val="0"/>
                    <w:snapToGrid w:val="0"/>
                    <w:spacing w:before="0" w:after="0" w:line="240" w:lineRule="auto"/>
                    <w:ind w:firstLine="0" w:firstLineChars="0"/>
                    <w:jc w:val="center"/>
                    <w:textAlignment w:val="auto"/>
                    <w:outlineLvl w:val="1"/>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符合</w:t>
                  </w:r>
                </w:p>
              </w:tc>
            </w:tr>
          </w:tbl>
          <w:p w14:paraId="69C296A8">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240" w:firstLineChars="1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（2）与《</w:t>
            </w:r>
            <w:r>
              <w:rPr>
                <w:rFonts w:hint="eastAsia" w:asciiTheme="majorEastAsia" w:hAnsiTheme="majorEastAsia" w:eastAsiaTheme="majorEastAsia" w:cstheme="majorEastAsia"/>
                <w:color w:val="auto"/>
                <w:sz w:val="24"/>
                <w:szCs w:val="24"/>
                <w:lang w:val="en-US" w:eastAsia="zh-CN"/>
              </w:rPr>
              <w:t>德宏州</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三线一单</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生态环境分区管控实施意见》符合性分析</w:t>
            </w:r>
          </w:p>
          <w:p w14:paraId="700378C6">
            <w:pPr>
              <w:spacing w:line="480" w:lineRule="auto"/>
              <w:ind w:firstLine="482" w:firstLineChars="200"/>
              <w:jc w:val="both"/>
              <w:rPr>
                <w:rFonts w:hint="eastAsia" w:ascii="Times New Roman" w:hAnsi="Times New Roman" w:eastAsia="宋体" w:cs="宋体"/>
                <w:b/>
                <w:bCs/>
                <w:color w:val="auto"/>
                <w:sz w:val="24"/>
              </w:rPr>
            </w:pPr>
            <w:r>
              <w:rPr>
                <w:rFonts w:hint="eastAsia" w:ascii="Times New Roman" w:hAnsi="Times New Roman" w:eastAsia="宋体" w:cs="宋体"/>
                <w:b/>
                <w:bCs/>
                <w:color w:val="auto"/>
                <w:sz w:val="24"/>
              </w:rPr>
              <w:t>表1-3 项目与德宏州</w:t>
            </w:r>
            <w:r>
              <w:rPr>
                <w:rFonts w:hint="eastAsia" w:ascii="Times New Roman" w:hAnsi="Times New Roman" w:eastAsia="宋体" w:cs="宋体"/>
                <w:b/>
                <w:bCs/>
                <w:color w:val="auto"/>
                <w:sz w:val="24"/>
                <w:lang w:eastAsia="zh-CN"/>
              </w:rPr>
              <w:t>“</w:t>
            </w:r>
            <w:r>
              <w:rPr>
                <w:rFonts w:hint="eastAsia" w:ascii="Times New Roman" w:hAnsi="Times New Roman" w:eastAsia="宋体" w:cs="宋体"/>
                <w:b/>
                <w:bCs/>
                <w:color w:val="auto"/>
                <w:sz w:val="24"/>
              </w:rPr>
              <w:t>三线一单</w:t>
            </w:r>
            <w:r>
              <w:rPr>
                <w:rFonts w:hint="eastAsia" w:ascii="Times New Roman" w:hAnsi="Times New Roman" w:eastAsia="宋体" w:cs="宋体"/>
                <w:b/>
                <w:bCs/>
                <w:color w:val="auto"/>
                <w:sz w:val="24"/>
                <w:lang w:eastAsia="zh-CN"/>
              </w:rPr>
              <w:t>”</w:t>
            </w:r>
            <w:r>
              <w:rPr>
                <w:rFonts w:hint="eastAsia" w:ascii="Times New Roman" w:hAnsi="Times New Roman" w:eastAsia="宋体" w:cs="宋体"/>
                <w:b/>
                <w:bCs/>
                <w:color w:val="auto"/>
                <w:sz w:val="24"/>
              </w:rPr>
              <w:t>分区管控实施意见相符性分析</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883"/>
              <w:gridCol w:w="2819"/>
              <w:gridCol w:w="2566"/>
              <w:gridCol w:w="667"/>
            </w:tblGrid>
            <w:tr w14:paraId="3E92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noWrap w:val="0"/>
                  <w:vAlign w:val="center"/>
                </w:tcPr>
                <w:p w14:paraId="1D13E5A0">
                  <w:pPr>
                    <w:pStyle w:val="8"/>
                    <w:widowControl w:val="0"/>
                    <w:adjustRightInd w:val="0"/>
                    <w:snapToGrid w:val="0"/>
                    <w:spacing w:after="0" w:line="240" w:lineRule="auto"/>
                    <w:ind w:firstLine="0" w:firstLineChars="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项目</w:t>
                  </w:r>
                </w:p>
              </w:tc>
              <w:tc>
                <w:tcPr>
                  <w:tcW w:w="599" w:type="pct"/>
                  <w:noWrap w:val="0"/>
                  <w:vAlign w:val="center"/>
                </w:tcPr>
                <w:p w14:paraId="4771A00A">
                  <w:pPr>
                    <w:pStyle w:val="8"/>
                    <w:widowControl w:val="0"/>
                    <w:adjustRightInd w:val="0"/>
                    <w:snapToGrid w:val="0"/>
                    <w:spacing w:after="0" w:line="240" w:lineRule="auto"/>
                    <w:ind w:firstLine="0" w:firstLineChars="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val="en-US" w:eastAsia="zh-CN"/>
                    </w:rPr>
                    <w:t>单元名称</w:t>
                  </w:r>
                </w:p>
              </w:tc>
              <w:tc>
                <w:tcPr>
                  <w:tcW w:w="1914" w:type="pct"/>
                  <w:noWrap w:val="0"/>
                  <w:vAlign w:val="center"/>
                </w:tcPr>
                <w:p w14:paraId="5741F004">
                  <w:pPr>
                    <w:pStyle w:val="8"/>
                    <w:widowControl w:val="0"/>
                    <w:adjustRightInd w:val="0"/>
                    <w:snapToGrid w:val="0"/>
                    <w:spacing w:after="0" w:line="240" w:lineRule="auto"/>
                    <w:ind w:firstLine="0" w:firstLineChars="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管控要求</w:t>
                  </w:r>
                </w:p>
              </w:tc>
              <w:tc>
                <w:tcPr>
                  <w:tcW w:w="1742" w:type="pct"/>
                  <w:noWrap w:val="0"/>
                  <w:vAlign w:val="center"/>
                </w:tcPr>
                <w:p w14:paraId="2BF5E8F8">
                  <w:pPr>
                    <w:pStyle w:val="8"/>
                    <w:widowControl w:val="0"/>
                    <w:adjustRightInd w:val="0"/>
                    <w:snapToGrid w:val="0"/>
                    <w:spacing w:after="0" w:line="240" w:lineRule="auto"/>
                    <w:ind w:firstLine="0" w:firstLineChars="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本项目情况</w:t>
                  </w:r>
                </w:p>
              </w:tc>
              <w:tc>
                <w:tcPr>
                  <w:tcW w:w="453" w:type="pct"/>
                  <w:noWrap w:val="0"/>
                  <w:vAlign w:val="center"/>
                </w:tcPr>
                <w:p w14:paraId="7418D12F">
                  <w:pPr>
                    <w:pStyle w:val="8"/>
                    <w:widowControl w:val="0"/>
                    <w:adjustRightInd w:val="0"/>
                    <w:snapToGrid w:val="0"/>
                    <w:spacing w:after="0" w:line="240" w:lineRule="auto"/>
                    <w:ind w:firstLine="0" w:firstLineChars="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符合性</w:t>
                  </w:r>
                </w:p>
              </w:tc>
            </w:tr>
            <w:tr w14:paraId="7A50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Merge w:val="restart"/>
                  <w:noWrap w:val="0"/>
                  <w:vAlign w:val="center"/>
                </w:tcPr>
                <w:p w14:paraId="3504A214">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各县市一般管控单元</w:t>
                  </w:r>
                </w:p>
              </w:tc>
              <w:tc>
                <w:tcPr>
                  <w:tcW w:w="599" w:type="pct"/>
                  <w:noWrap w:val="0"/>
                  <w:vAlign w:val="center"/>
                </w:tcPr>
                <w:p w14:paraId="5B6DD3B1">
                  <w:pPr>
                    <w:keepNext w:val="0"/>
                    <w:keepLines w:val="0"/>
                    <w:widowControl/>
                    <w:suppressLineNumbers w:val="0"/>
                    <w:spacing w:line="240" w:lineRule="auto"/>
                    <w:jc w:val="center"/>
                    <w:rPr>
                      <w:rFonts w:hint="default" w:ascii="Times New Roman" w:hAnsi="Times New Roman" w:eastAsia="FZFSK--GBK1-0" w:cs="FZFSK--GBK1-0"/>
                      <w:color w:val="auto"/>
                      <w:kern w:val="0"/>
                      <w:sz w:val="21"/>
                      <w:szCs w:val="21"/>
                      <w:lang w:val="en-US" w:eastAsia="zh-CN" w:bidi="ar"/>
                    </w:rPr>
                  </w:pPr>
                  <w:r>
                    <w:rPr>
                      <w:rFonts w:hint="default" w:ascii="Times New Roman" w:hAnsi="Times New Roman" w:eastAsia="FZFSK--GBK1-0" w:cs="FZFSK--GBK1-0"/>
                      <w:color w:val="auto"/>
                      <w:kern w:val="0"/>
                      <w:sz w:val="21"/>
                      <w:szCs w:val="21"/>
                      <w:lang w:val="en-US" w:eastAsia="zh-CN" w:bidi="ar"/>
                    </w:rPr>
                    <w:t>空间布局约束</w:t>
                  </w:r>
                </w:p>
              </w:tc>
              <w:tc>
                <w:tcPr>
                  <w:tcW w:w="1914" w:type="pct"/>
                  <w:noWrap w:val="0"/>
                  <w:vAlign w:val="center"/>
                </w:tcPr>
                <w:p w14:paraId="4F3AE04A">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bidi="en-US"/>
                    </w:rPr>
                  </w:pPr>
                  <w:r>
                    <w:rPr>
                      <w:rFonts w:hint="eastAsia" w:asciiTheme="minorEastAsia" w:hAnsiTheme="minorEastAsia" w:eastAsiaTheme="minorEastAsia" w:cstheme="minorEastAsia"/>
                      <w:b w:val="0"/>
                      <w:bCs w:val="0"/>
                      <w:color w:val="auto"/>
                      <w:kern w:val="0"/>
                      <w:sz w:val="21"/>
                      <w:szCs w:val="21"/>
                      <w:lang w:val="en-US" w:eastAsia="zh-CN" w:bidi="en-US"/>
                    </w:rPr>
                    <w:t>1.新建企业应入工业园区，未建立工业园区的县（市），新建企业的布局应符合当地相关产业布局的要求。</w:t>
                  </w:r>
                </w:p>
                <w:p w14:paraId="1F8E07CF">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bidi="en-US"/>
                    </w:rPr>
                  </w:pPr>
                  <w:r>
                    <w:rPr>
                      <w:rFonts w:hint="eastAsia" w:asciiTheme="minorEastAsia" w:hAnsiTheme="minorEastAsia" w:eastAsiaTheme="minorEastAsia" w:cstheme="minorEastAsia"/>
                      <w:b w:val="0"/>
                      <w:bCs w:val="0"/>
                      <w:color w:val="auto"/>
                      <w:kern w:val="0"/>
                      <w:sz w:val="21"/>
                      <w:szCs w:val="21"/>
                      <w:lang w:val="en-US" w:eastAsia="zh-CN" w:bidi="en-US"/>
                    </w:rPr>
                    <w:t>2.禁止在基本农田内从事非农业生产的活动。任何单位和个人不得改变或者占用基本农田保护区。</w:t>
                  </w:r>
                </w:p>
                <w:p w14:paraId="6EECB375">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lang w:val="en-US" w:eastAsia="zh-CN" w:bidi="en-US"/>
                    </w:rPr>
                    <w:t>3.禁止新建、改扩建中小水电（25万千瓦以下）项目，现有中小水电站应按照环评批复（环评批复未明确生态流量的根据来水量科学确定生态流量），确保连续稳定下泄生态流量</w:t>
                  </w:r>
                </w:p>
              </w:tc>
              <w:tc>
                <w:tcPr>
                  <w:tcW w:w="1742" w:type="pct"/>
                  <w:noWrap w:val="0"/>
                  <w:vAlign w:val="center"/>
                </w:tcPr>
                <w:p w14:paraId="4BB9AC9C">
                  <w:pPr>
                    <w:pStyle w:val="8"/>
                    <w:widowControl w:val="0"/>
                    <w:adjustRightInd w:val="0"/>
                    <w:snapToGrid w:val="0"/>
                    <w:spacing w:after="0" w:line="240" w:lineRule="auto"/>
                    <w:ind w:firstLine="0" w:firstLineChars="0"/>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项目位于云南省德宏州芒市风平镇帕底村芒市糖厂内，用地性质为工业用地，不占用永久基本农田，不占用生态保护红线</w:t>
                  </w:r>
                </w:p>
              </w:tc>
              <w:tc>
                <w:tcPr>
                  <w:tcW w:w="453" w:type="pct"/>
                  <w:noWrap w:val="0"/>
                  <w:vAlign w:val="center"/>
                </w:tcPr>
                <w:p w14:paraId="3E559722">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eastAsia="zh-CN"/>
                    </w:rPr>
                  </w:pPr>
                  <w:r>
                    <w:rPr>
                      <w:rFonts w:hint="eastAsia" w:ascii="Times New Roman" w:hAnsi="Times New Roman" w:eastAsia="宋体" w:cs="Times New Roman"/>
                      <w:b w:val="0"/>
                      <w:bCs w:val="0"/>
                      <w:color w:val="auto"/>
                      <w:sz w:val="21"/>
                      <w:szCs w:val="21"/>
                      <w:lang w:val="en-US" w:eastAsia="zh-CN"/>
                    </w:rPr>
                    <w:t>符合</w:t>
                  </w:r>
                </w:p>
              </w:tc>
            </w:tr>
            <w:tr w14:paraId="7216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Merge w:val="continue"/>
                  <w:noWrap w:val="0"/>
                  <w:vAlign w:val="center"/>
                </w:tcPr>
                <w:p w14:paraId="0FA6F540">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rPr>
                  </w:pPr>
                </w:p>
              </w:tc>
              <w:tc>
                <w:tcPr>
                  <w:tcW w:w="599" w:type="pct"/>
                  <w:noWrap w:val="0"/>
                  <w:vAlign w:val="center"/>
                </w:tcPr>
                <w:p w14:paraId="2B802071">
                  <w:pPr>
                    <w:keepNext w:val="0"/>
                    <w:keepLines w:val="0"/>
                    <w:widowControl/>
                    <w:suppressLineNumbers w:val="0"/>
                    <w:spacing w:line="240" w:lineRule="auto"/>
                    <w:jc w:val="center"/>
                    <w:rPr>
                      <w:rFonts w:hint="default" w:ascii="Times New Roman" w:hAnsi="Times New Roman" w:eastAsia="FZFSK--GBK1-0" w:cs="FZFSK--GBK1-0"/>
                      <w:color w:val="auto"/>
                      <w:kern w:val="0"/>
                      <w:sz w:val="21"/>
                      <w:szCs w:val="21"/>
                      <w:lang w:val="en-US" w:eastAsia="zh-CN" w:bidi="ar"/>
                    </w:rPr>
                  </w:pPr>
                  <w:r>
                    <w:rPr>
                      <w:rFonts w:hint="default" w:ascii="Times New Roman" w:hAnsi="Times New Roman" w:eastAsia="FZFSK--GBK1-0" w:cs="FZFSK--GBK1-0"/>
                      <w:color w:val="auto"/>
                      <w:kern w:val="0"/>
                      <w:sz w:val="21"/>
                      <w:szCs w:val="21"/>
                      <w:lang w:val="en-US" w:eastAsia="zh-CN" w:bidi="ar"/>
                    </w:rPr>
                    <w:t>污染物排放管控</w:t>
                  </w:r>
                </w:p>
              </w:tc>
              <w:tc>
                <w:tcPr>
                  <w:tcW w:w="1914" w:type="pct"/>
                  <w:noWrap w:val="0"/>
                  <w:vAlign w:val="center"/>
                </w:tcPr>
                <w:p w14:paraId="6A91093D">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heme="minorEastAsia" w:hAnsiTheme="minorEastAsia" w:eastAsiaTheme="minorEastAsia" w:cstheme="minorEastAsia"/>
                      <w:b w:val="0"/>
                      <w:bCs w:val="0"/>
                      <w:color w:val="000000" w:themeColor="text1"/>
                      <w:kern w:val="0"/>
                      <w:sz w:val="21"/>
                      <w:szCs w:val="21"/>
                      <w:lang w:val="en-US" w:eastAsia="zh-CN" w:bidi="en-US"/>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val="en-US" w:eastAsia="zh-CN" w:bidi="en-US"/>
                      <w14:textFill>
                        <w14:solidFill>
                          <w14:schemeClr w14:val="tx1"/>
                        </w14:solidFill>
                      </w14:textFill>
                    </w:rPr>
                    <w:t>1.落实生态环境保护基本要求，项目建设和运行应满足产业准入、总量控制、排放标准等管理规定。</w:t>
                  </w:r>
                </w:p>
                <w:p w14:paraId="4292C853">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heme="minorEastAsia" w:hAnsiTheme="minorEastAsia" w:eastAsiaTheme="minorEastAsia" w:cstheme="minorEastAsia"/>
                      <w:b w:val="0"/>
                      <w:bCs w:val="0"/>
                      <w:color w:val="000000" w:themeColor="text1"/>
                      <w:kern w:val="0"/>
                      <w:sz w:val="21"/>
                      <w:szCs w:val="21"/>
                      <w:lang w:val="en-US" w:eastAsia="zh-CN" w:bidi="en-US"/>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val="en-US" w:eastAsia="zh-CN" w:bidi="en-US"/>
                      <w14:textFill>
                        <w14:solidFill>
                          <w14:schemeClr w14:val="tx1"/>
                        </w14:solidFill>
                      </w14:textFill>
                    </w:rPr>
                    <w:t>2.现有工业企业应达标排放，逐步提升清洁生产水平，减少污染物排放量。</w:t>
                  </w:r>
                </w:p>
                <w:p w14:paraId="73FBAA3E">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heme="minorEastAsia" w:hAnsiTheme="minorEastAsia" w:eastAsiaTheme="minorEastAsia" w:cstheme="minorEastAsia"/>
                      <w:b w:val="0"/>
                      <w:bCs w:val="0"/>
                      <w:color w:val="000000" w:themeColor="text1"/>
                      <w:kern w:val="0"/>
                      <w:sz w:val="21"/>
                      <w:szCs w:val="21"/>
                      <w:lang w:val="en-US" w:eastAsia="zh-CN" w:bidi="en-US"/>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val="en-US" w:eastAsia="zh-CN" w:bidi="en-US"/>
                      <w14:textFill>
                        <w14:solidFill>
                          <w14:schemeClr w14:val="tx1"/>
                        </w14:solidFill>
                      </w14:textFill>
                    </w:rPr>
                    <w:t>3.加强农业面源污染治理，严格控制化肥农药施用量，合理水产养殖布局，控制水产养殖污染，逐步削减农业面源污染物排放量</w:t>
                  </w:r>
                </w:p>
              </w:tc>
              <w:tc>
                <w:tcPr>
                  <w:tcW w:w="1742" w:type="pct"/>
                  <w:noWrap w:val="0"/>
                  <w:vAlign w:val="center"/>
                </w:tcPr>
                <w:p w14:paraId="5AD9880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val="0"/>
                      <w:bCs w:val="0"/>
                      <w:color w:val="000000" w:themeColor="text1"/>
                      <w:kern w:val="0"/>
                      <w:sz w:val="21"/>
                      <w:szCs w:val="21"/>
                      <w:lang w:val="en-US" w:eastAsia="zh-CN" w:bidi="en-US"/>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val="en-US" w:eastAsia="zh-CN" w:bidi="en-US"/>
                      <w14:textFill>
                        <w14:solidFill>
                          <w14:schemeClr w14:val="tx1"/>
                        </w14:solidFill>
                      </w14:textFill>
                    </w:rPr>
                    <w:t>项目位于云南省德宏州芒市风平镇帕底村芒市糖厂内，项目用地性质为工业用地，不占用永久基本农田，不占用生态保护红线。根据《产业结构调整指导目录（2019 年本）》，本项目不属于鼓励类、限制类、淘汰类，可视为允许类建设项目，项目工艺装备和产品不属于《部分工业行业淘汰落后生产工艺装备和产品指导目录（2010年本）》所列类别，并且本项目已经在芒市发展改革委备案。因此，本项目符合相关产业政策。项目废水经过化粪池处理后委托周边农民清掏作为农肥，不外排。物料输送、储存粉尘、物料混合及搅拌粉尘经搭建顶棚，设置喷淋装置进行洒水抑尘等措施后能达到《水泥工业大气污染物排放标准》（GB4915-2013）标准，焊接烟尘无组织排放。</w:t>
                  </w:r>
                </w:p>
              </w:tc>
              <w:tc>
                <w:tcPr>
                  <w:tcW w:w="453" w:type="pct"/>
                  <w:noWrap w:val="0"/>
                  <w:vAlign w:val="center"/>
                </w:tcPr>
                <w:p w14:paraId="097BA335">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eastAsia="zh-CN"/>
                    </w:rPr>
                  </w:pPr>
                  <w:r>
                    <w:rPr>
                      <w:rFonts w:hint="eastAsia" w:ascii="Times New Roman" w:hAnsi="Times New Roman" w:eastAsia="宋体" w:cs="Times New Roman"/>
                      <w:b w:val="0"/>
                      <w:bCs w:val="0"/>
                      <w:color w:val="auto"/>
                      <w:sz w:val="21"/>
                      <w:szCs w:val="21"/>
                      <w:lang w:val="en-US" w:eastAsia="zh-CN"/>
                    </w:rPr>
                    <w:t>符合</w:t>
                  </w:r>
                </w:p>
              </w:tc>
            </w:tr>
            <w:tr w14:paraId="621B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Merge w:val="continue"/>
                  <w:noWrap w:val="0"/>
                  <w:vAlign w:val="center"/>
                </w:tcPr>
                <w:p w14:paraId="2E0C876D">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rPr>
                  </w:pPr>
                </w:p>
              </w:tc>
              <w:tc>
                <w:tcPr>
                  <w:tcW w:w="599" w:type="pct"/>
                  <w:noWrap w:val="0"/>
                  <w:vAlign w:val="center"/>
                </w:tcPr>
                <w:p w14:paraId="0DC6DABA">
                  <w:pPr>
                    <w:keepNext w:val="0"/>
                    <w:keepLines w:val="0"/>
                    <w:widowControl/>
                    <w:suppressLineNumbers w:val="0"/>
                    <w:spacing w:line="240" w:lineRule="auto"/>
                    <w:jc w:val="center"/>
                    <w:rPr>
                      <w:rFonts w:hint="default" w:ascii="Times New Roman" w:hAnsi="Times New Roman" w:eastAsia="FZFSK--GBK1-0" w:cs="FZFSK--GBK1-0"/>
                      <w:color w:val="auto"/>
                      <w:kern w:val="0"/>
                      <w:sz w:val="21"/>
                      <w:szCs w:val="21"/>
                      <w:lang w:val="en-US" w:eastAsia="zh-CN" w:bidi="ar"/>
                    </w:rPr>
                  </w:pPr>
                  <w:r>
                    <w:rPr>
                      <w:rFonts w:hint="default" w:ascii="Times New Roman" w:hAnsi="Times New Roman" w:eastAsia="FZFSK--GBK1-0" w:cs="FZFSK--GBK1-0"/>
                      <w:color w:val="auto"/>
                      <w:kern w:val="0"/>
                      <w:sz w:val="21"/>
                      <w:szCs w:val="21"/>
                      <w:lang w:val="en-US" w:eastAsia="zh-CN" w:bidi="ar"/>
                    </w:rPr>
                    <w:t>环境风险防控</w:t>
                  </w:r>
                </w:p>
              </w:tc>
              <w:tc>
                <w:tcPr>
                  <w:tcW w:w="1914" w:type="pct"/>
                  <w:noWrap w:val="0"/>
                  <w:vAlign w:val="center"/>
                </w:tcPr>
                <w:p w14:paraId="05F29783">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b w:val="0"/>
                      <w:bCs w:val="0"/>
                      <w:color w:val="auto"/>
                      <w:kern w:val="0"/>
                      <w:sz w:val="21"/>
                      <w:szCs w:val="21"/>
                      <w:lang w:val="en-US" w:eastAsia="zh-CN" w:bidi="en-US"/>
                    </w:rPr>
                  </w:pPr>
                  <w:r>
                    <w:rPr>
                      <w:rFonts w:hint="default" w:ascii="Times New Roman" w:hAnsi="Times New Roman" w:eastAsia="宋体" w:cs="Times New Roman"/>
                      <w:b w:val="0"/>
                      <w:bCs w:val="0"/>
                      <w:color w:val="auto"/>
                      <w:kern w:val="0"/>
                      <w:sz w:val="21"/>
                      <w:szCs w:val="21"/>
                      <w:lang w:val="en-US" w:eastAsia="zh-CN" w:bidi="en-US"/>
                    </w:rPr>
                    <w:t>1.加强环境风险防范应急体系建设，加强环境应急预案管理，定期开展应急演练，持续开展环境安全隐患排查整治，提升应急监测能力，加强应急物资管理。</w:t>
                  </w:r>
                </w:p>
                <w:p w14:paraId="25BA7D37">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b w:val="0"/>
                      <w:bCs w:val="0"/>
                      <w:color w:val="auto"/>
                      <w:kern w:val="0"/>
                      <w:sz w:val="21"/>
                      <w:szCs w:val="21"/>
                      <w:lang w:val="en-US" w:eastAsia="zh-CN" w:bidi="en-US"/>
                    </w:rPr>
                  </w:pPr>
                  <w:r>
                    <w:rPr>
                      <w:rFonts w:hint="default" w:ascii="Times New Roman" w:hAnsi="Times New Roman" w:eastAsia="宋体" w:cs="Times New Roman"/>
                      <w:b w:val="0"/>
                      <w:bCs w:val="0"/>
                      <w:color w:val="auto"/>
                      <w:kern w:val="0"/>
                      <w:sz w:val="21"/>
                      <w:szCs w:val="21"/>
                      <w:lang w:val="en-US" w:eastAsia="zh-CN" w:bidi="en-US"/>
                    </w:rPr>
                    <w:t>2.严格管控类农用地，不得在特定农产品禁止生产区域种植食用农产品。安全利用类农用地，应制定受污染耕地等安全利用方案，降低农产品超标风险</w:t>
                  </w:r>
                </w:p>
              </w:tc>
              <w:tc>
                <w:tcPr>
                  <w:tcW w:w="1742" w:type="pct"/>
                  <w:noWrap w:val="0"/>
                  <w:vAlign w:val="center"/>
                </w:tcPr>
                <w:p w14:paraId="6A4EB35F">
                  <w:pPr>
                    <w:pStyle w:val="8"/>
                    <w:widowControl w:val="0"/>
                    <w:adjustRightInd w:val="0"/>
                    <w:snapToGrid w:val="0"/>
                    <w:spacing w:after="0" w:line="240" w:lineRule="auto"/>
                    <w:ind w:firstLine="0" w:firstLineChars="0"/>
                    <w:jc w:val="both"/>
                    <w:rPr>
                      <w:rFonts w:hint="eastAsia"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各污染源均设置了相应的污染治理措施，</w:t>
                  </w:r>
                  <w:r>
                    <w:rPr>
                      <w:rFonts w:hint="default" w:ascii="Times New Roman" w:hAnsi="Times New Roman" w:eastAsia="宋体" w:cs="Times New Roman"/>
                      <w:b w:val="0"/>
                      <w:bCs w:val="0"/>
                      <w:color w:val="auto"/>
                      <w:sz w:val="21"/>
                      <w:szCs w:val="21"/>
                      <w:lang w:val="en-US" w:eastAsia="zh-CN"/>
                    </w:rPr>
                    <w:t>将制定</w:t>
                  </w:r>
                  <w:r>
                    <w:rPr>
                      <w:rFonts w:hint="default" w:ascii="Times New Roman" w:hAnsi="Times New Roman" w:eastAsia="宋体" w:cs="Times New Roman"/>
                      <w:b w:val="0"/>
                      <w:bCs w:val="0"/>
                      <w:color w:val="auto"/>
                      <w:sz w:val="21"/>
                      <w:szCs w:val="21"/>
                      <w:lang w:eastAsia="zh-CN"/>
                    </w:rPr>
                    <w:t>相应的应急机制</w:t>
                  </w:r>
                  <w:r>
                    <w:rPr>
                      <w:rFonts w:hint="eastAsia" w:ascii="Times New Roman" w:hAnsi="Times New Roman" w:eastAsia="宋体" w:cs="Times New Roman"/>
                      <w:b w:val="0"/>
                      <w:bCs w:val="0"/>
                      <w:color w:val="auto"/>
                      <w:sz w:val="21"/>
                      <w:szCs w:val="21"/>
                      <w:lang w:eastAsia="zh-CN"/>
                    </w:rPr>
                    <w:t>；</w:t>
                  </w:r>
                </w:p>
                <w:p w14:paraId="049345D8">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项目用地性质为工业用地，不占用永久基本农田</w:t>
                  </w:r>
                </w:p>
              </w:tc>
              <w:tc>
                <w:tcPr>
                  <w:tcW w:w="453" w:type="pct"/>
                  <w:noWrap w:val="0"/>
                  <w:vAlign w:val="center"/>
                </w:tcPr>
                <w:p w14:paraId="652336B5">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符合</w:t>
                  </w:r>
                </w:p>
              </w:tc>
            </w:tr>
            <w:tr w14:paraId="267B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0" w:type="pct"/>
                  <w:vMerge w:val="continue"/>
                  <w:noWrap w:val="0"/>
                  <w:vAlign w:val="center"/>
                </w:tcPr>
                <w:p w14:paraId="18F766A1">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rPr>
                  </w:pPr>
                </w:p>
              </w:tc>
              <w:tc>
                <w:tcPr>
                  <w:tcW w:w="599" w:type="pct"/>
                  <w:noWrap w:val="0"/>
                  <w:vAlign w:val="center"/>
                </w:tcPr>
                <w:p w14:paraId="21F3235C">
                  <w:pPr>
                    <w:keepNext w:val="0"/>
                    <w:keepLines w:val="0"/>
                    <w:widowControl/>
                    <w:suppressLineNumbers w:val="0"/>
                    <w:spacing w:line="240" w:lineRule="auto"/>
                    <w:jc w:val="center"/>
                    <w:rPr>
                      <w:rFonts w:hint="default" w:ascii="Times New Roman" w:hAnsi="Times New Roman" w:eastAsia="FZFSK--GBK1-0" w:cs="FZFSK--GBK1-0"/>
                      <w:color w:val="auto"/>
                      <w:kern w:val="0"/>
                      <w:sz w:val="21"/>
                      <w:szCs w:val="21"/>
                      <w:lang w:val="en-US" w:eastAsia="zh-CN" w:bidi="ar"/>
                    </w:rPr>
                  </w:pPr>
                  <w:r>
                    <w:rPr>
                      <w:rFonts w:hint="default" w:ascii="Times New Roman" w:hAnsi="Times New Roman" w:eastAsia="FZFSK--GBK1-0" w:cs="FZFSK--GBK1-0"/>
                      <w:color w:val="auto"/>
                      <w:kern w:val="0"/>
                      <w:sz w:val="21"/>
                      <w:szCs w:val="21"/>
                      <w:lang w:val="en-US" w:eastAsia="zh-CN" w:bidi="ar"/>
                    </w:rPr>
                    <w:t>资源开发效率要求</w:t>
                  </w:r>
                </w:p>
              </w:tc>
              <w:tc>
                <w:tcPr>
                  <w:tcW w:w="1914" w:type="pct"/>
                  <w:noWrap w:val="0"/>
                  <w:vAlign w:val="center"/>
                </w:tcPr>
                <w:p w14:paraId="6532C1F9">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b w:val="0"/>
                      <w:bCs w:val="0"/>
                      <w:color w:val="auto"/>
                      <w:kern w:val="0"/>
                      <w:sz w:val="21"/>
                      <w:szCs w:val="21"/>
                      <w:lang w:val="en-US" w:eastAsia="zh-CN" w:bidi="en-US"/>
                    </w:rPr>
                  </w:pPr>
                  <w:r>
                    <w:rPr>
                      <w:rFonts w:hint="default" w:ascii="Times New Roman" w:hAnsi="Times New Roman" w:eastAsia="宋体" w:cs="Times New Roman"/>
                      <w:b w:val="0"/>
                      <w:bCs w:val="0"/>
                      <w:color w:val="auto"/>
                      <w:kern w:val="0"/>
                      <w:sz w:val="21"/>
                      <w:szCs w:val="21"/>
                      <w:lang w:val="en-US" w:eastAsia="zh-CN" w:bidi="en-US"/>
                    </w:rPr>
                    <w:t>1.优化能源结构，加强能源清洁利用。</w:t>
                  </w:r>
                </w:p>
                <w:p w14:paraId="0952C739">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b w:val="0"/>
                      <w:bCs w:val="0"/>
                      <w:color w:val="auto"/>
                      <w:kern w:val="0"/>
                      <w:sz w:val="21"/>
                      <w:szCs w:val="21"/>
                      <w:lang w:val="en-US" w:eastAsia="zh-CN" w:bidi="en-US"/>
                    </w:rPr>
                  </w:pPr>
                  <w:r>
                    <w:rPr>
                      <w:rFonts w:hint="default" w:ascii="Times New Roman" w:hAnsi="Times New Roman" w:eastAsia="宋体" w:cs="Times New Roman"/>
                      <w:b w:val="0"/>
                      <w:bCs w:val="0"/>
                      <w:color w:val="auto"/>
                      <w:kern w:val="0"/>
                      <w:sz w:val="21"/>
                      <w:szCs w:val="21"/>
                      <w:lang w:val="en-US" w:eastAsia="zh-CN" w:bidi="en-US"/>
                    </w:rPr>
                    <w:t>2.提高土地利用效率，节约集约利用土地资源</w:t>
                  </w:r>
                </w:p>
              </w:tc>
              <w:tc>
                <w:tcPr>
                  <w:tcW w:w="1742" w:type="pct"/>
                  <w:noWrap w:val="0"/>
                  <w:vAlign w:val="center"/>
                </w:tcPr>
                <w:p w14:paraId="475BFF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lang w:val="en-US" w:eastAsia="zh-CN" w:bidi="en-US"/>
                    </w:rPr>
                  </w:pPr>
                  <w:r>
                    <w:rPr>
                      <w:rFonts w:hint="default" w:ascii="Times New Roman" w:hAnsi="Times New Roman" w:eastAsia="宋体" w:cs="Times New Roman"/>
                      <w:b w:val="0"/>
                      <w:bCs w:val="0"/>
                      <w:color w:val="auto"/>
                      <w:kern w:val="0"/>
                      <w:sz w:val="21"/>
                      <w:szCs w:val="21"/>
                      <w:lang w:val="en-US" w:eastAsia="zh-CN" w:bidi="en-US"/>
                    </w:rPr>
                    <w:t>项目</w:t>
                  </w:r>
                  <w:r>
                    <w:rPr>
                      <w:rFonts w:hint="eastAsia" w:ascii="Times New Roman" w:hAnsi="Times New Roman" w:eastAsia="宋体" w:cs="Times New Roman"/>
                      <w:b w:val="0"/>
                      <w:bCs w:val="0"/>
                      <w:color w:val="auto"/>
                      <w:kern w:val="0"/>
                      <w:sz w:val="21"/>
                      <w:szCs w:val="21"/>
                      <w:lang w:val="en-US" w:eastAsia="zh-CN" w:bidi="en-US"/>
                    </w:rPr>
                    <w:t>采用瓶装液化气、电等清洁能源，项目</w:t>
                  </w:r>
                  <w:r>
                    <w:rPr>
                      <w:rFonts w:hint="default" w:ascii="Times New Roman" w:hAnsi="Times New Roman" w:eastAsia="宋体" w:cs="Times New Roman"/>
                      <w:b w:val="0"/>
                      <w:bCs w:val="0"/>
                      <w:color w:val="auto"/>
                      <w:kern w:val="0"/>
                      <w:sz w:val="21"/>
                      <w:szCs w:val="21"/>
                      <w:lang w:val="en-US" w:eastAsia="zh-CN" w:bidi="en-US"/>
                    </w:rPr>
                    <w:t>不涉及</w:t>
                  </w:r>
                  <w:r>
                    <w:rPr>
                      <w:rFonts w:hint="eastAsia" w:ascii="Times New Roman" w:hAnsi="Times New Roman" w:eastAsia="宋体" w:cs="Times New Roman"/>
                      <w:b w:val="0"/>
                      <w:bCs w:val="0"/>
                      <w:color w:val="auto"/>
                      <w:kern w:val="0"/>
                      <w:sz w:val="21"/>
                      <w:szCs w:val="21"/>
                      <w:lang w:val="en-US" w:eastAsia="zh-CN" w:bidi="en-US"/>
                    </w:rPr>
                    <w:t>基本农田</w:t>
                  </w:r>
                  <w:r>
                    <w:rPr>
                      <w:rFonts w:hint="default" w:ascii="Times New Roman" w:hAnsi="Times New Roman" w:eastAsia="宋体" w:cs="Times New Roman"/>
                      <w:b w:val="0"/>
                      <w:bCs w:val="0"/>
                      <w:color w:val="auto"/>
                      <w:kern w:val="0"/>
                      <w:sz w:val="21"/>
                      <w:szCs w:val="21"/>
                      <w:lang w:val="en-US" w:eastAsia="zh-CN" w:bidi="en-US"/>
                    </w:rPr>
                    <w:t>用地</w:t>
                  </w:r>
                </w:p>
              </w:tc>
              <w:tc>
                <w:tcPr>
                  <w:tcW w:w="453" w:type="pct"/>
                  <w:noWrap w:val="0"/>
                  <w:vAlign w:val="center"/>
                </w:tcPr>
                <w:p w14:paraId="64464DD1">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符合</w:t>
                  </w:r>
                </w:p>
              </w:tc>
            </w:tr>
            <w:tr w14:paraId="3296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Merge w:val="restart"/>
                  <w:noWrap w:val="0"/>
                  <w:vAlign w:val="center"/>
                </w:tcPr>
                <w:p w14:paraId="68BAE8C1">
                  <w:pPr>
                    <w:keepNext w:val="0"/>
                    <w:keepLines w:val="0"/>
                    <w:widowControl/>
                    <w:suppressLineNumbers w:val="0"/>
                    <w:spacing w:line="240" w:lineRule="auto"/>
                    <w:jc w:val="center"/>
                    <w:rPr>
                      <w:rFonts w:hint="eastAsia" w:ascii="Times New Roman" w:hAnsi="Times New Roman" w:eastAsia="宋体" w:cs="Times New Roman"/>
                      <w:b w:val="0"/>
                      <w:bCs w:val="0"/>
                      <w:color w:val="auto"/>
                      <w:sz w:val="21"/>
                      <w:szCs w:val="21"/>
                      <w:lang w:val="en-US" w:eastAsia="zh-CN"/>
                    </w:rPr>
                  </w:pPr>
                </w:p>
                <w:p w14:paraId="35597731">
                  <w:pPr>
                    <w:keepNext w:val="0"/>
                    <w:keepLines w:val="0"/>
                    <w:widowControl/>
                    <w:suppressLineNumbers w:val="0"/>
                    <w:spacing w:line="240" w:lineRule="auto"/>
                    <w:jc w:val="center"/>
                    <w:rPr>
                      <w:rFonts w:hint="eastAsia" w:ascii="Times New Roman" w:hAnsi="Times New Roman" w:eastAsia="宋体" w:cs="Times New Roman"/>
                      <w:b w:val="0"/>
                      <w:bCs w:val="0"/>
                      <w:color w:val="auto"/>
                      <w:sz w:val="21"/>
                      <w:szCs w:val="21"/>
                      <w:lang w:val="en-US" w:eastAsia="zh-CN"/>
                    </w:rPr>
                  </w:pPr>
                </w:p>
                <w:p w14:paraId="4B10E5ED">
                  <w:pPr>
                    <w:keepNext w:val="0"/>
                    <w:keepLines w:val="0"/>
                    <w:widowControl/>
                    <w:suppressLineNumbers w:val="0"/>
                    <w:spacing w:line="240" w:lineRule="auto"/>
                    <w:jc w:val="center"/>
                    <w:rPr>
                      <w:rFonts w:hint="eastAsia" w:ascii="Times New Roman" w:hAnsi="Times New Roman" w:eastAsia="宋体" w:cs="Times New Roman"/>
                      <w:b w:val="0"/>
                      <w:bCs w:val="0"/>
                      <w:color w:val="auto"/>
                      <w:sz w:val="21"/>
                      <w:szCs w:val="21"/>
                      <w:lang w:val="en-US" w:eastAsia="zh-CN"/>
                    </w:rPr>
                  </w:pPr>
                </w:p>
                <w:p w14:paraId="3F7B7B95">
                  <w:pPr>
                    <w:keepNext w:val="0"/>
                    <w:keepLines w:val="0"/>
                    <w:widowControl/>
                    <w:suppressLineNumbers w:val="0"/>
                    <w:spacing w:line="240" w:lineRule="auto"/>
                    <w:jc w:val="center"/>
                    <w:rPr>
                      <w:rFonts w:hint="eastAsia" w:ascii="Times New Roman" w:hAnsi="Times New Roman" w:eastAsia="宋体" w:cs="Times New Roman"/>
                      <w:b w:val="0"/>
                      <w:bCs w:val="0"/>
                      <w:color w:val="auto"/>
                      <w:sz w:val="21"/>
                      <w:szCs w:val="21"/>
                      <w:lang w:val="en-US" w:eastAsia="zh-CN"/>
                    </w:rPr>
                  </w:pPr>
                </w:p>
                <w:p w14:paraId="39BF7B0D">
                  <w:pPr>
                    <w:keepNext w:val="0"/>
                    <w:keepLines w:val="0"/>
                    <w:widowControl/>
                    <w:suppressLineNumbers w:val="0"/>
                    <w:spacing w:line="240" w:lineRule="auto"/>
                    <w:jc w:val="both"/>
                    <w:rPr>
                      <w:rFonts w:ascii="Times New Roman" w:hAnsi="Times New Roman"/>
                      <w:color w:val="auto"/>
                      <w:sz w:val="21"/>
                      <w:szCs w:val="21"/>
                    </w:rPr>
                  </w:pPr>
                  <w:r>
                    <w:rPr>
                      <w:rFonts w:hint="eastAsia" w:ascii="Times New Roman" w:hAnsi="Times New Roman" w:eastAsia="宋体" w:cs="Times New Roman"/>
                      <w:b w:val="0"/>
                      <w:bCs w:val="0"/>
                      <w:color w:val="auto"/>
                      <w:sz w:val="21"/>
                      <w:szCs w:val="21"/>
                      <w:lang w:val="en-US" w:eastAsia="zh-CN"/>
                    </w:rPr>
                    <w:t>芒市水环境</w:t>
                  </w:r>
                  <w:r>
                    <w:rPr>
                      <w:rFonts w:hint="default" w:ascii="Times New Roman" w:hAnsi="Times New Roman" w:eastAsia="FZFSK--GBK1-0" w:cs="FZFSK--GBK1-0"/>
                      <w:color w:val="auto"/>
                      <w:kern w:val="0"/>
                      <w:sz w:val="21"/>
                      <w:szCs w:val="21"/>
                      <w:lang w:val="en-US" w:eastAsia="zh-CN" w:bidi="ar"/>
                    </w:rPr>
                    <w:t>城镇生</w:t>
                  </w:r>
                </w:p>
                <w:p w14:paraId="07B1C965">
                  <w:pPr>
                    <w:keepNext w:val="0"/>
                    <w:keepLines w:val="0"/>
                    <w:widowControl/>
                    <w:suppressLineNumbers w:val="0"/>
                    <w:spacing w:line="240" w:lineRule="auto"/>
                    <w:jc w:val="center"/>
                    <w:rPr>
                      <w:rFonts w:ascii="Times New Roman" w:hAnsi="Times New Roman"/>
                      <w:color w:val="auto"/>
                      <w:sz w:val="21"/>
                      <w:szCs w:val="21"/>
                    </w:rPr>
                  </w:pPr>
                  <w:r>
                    <w:rPr>
                      <w:rFonts w:hint="default" w:ascii="Times New Roman" w:hAnsi="Times New Roman" w:eastAsia="FZFSK--GBK1-0" w:cs="FZFSK--GBK1-0"/>
                      <w:color w:val="auto"/>
                      <w:kern w:val="0"/>
                      <w:sz w:val="21"/>
                      <w:szCs w:val="21"/>
                      <w:lang w:val="en-US" w:eastAsia="zh-CN" w:bidi="ar"/>
                    </w:rPr>
                    <w:t>活污染重</w:t>
                  </w:r>
                </w:p>
                <w:p w14:paraId="18F1C521">
                  <w:pPr>
                    <w:keepNext w:val="0"/>
                    <w:keepLines w:val="0"/>
                    <w:widowControl/>
                    <w:suppressLineNumbers w:val="0"/>
                    <w:spacing w:line="240" w:lineRule="auto"/>
                    <w:jc w:val="center"/>
                    <w:rPr>
                      <w:rFonts w:ascii="Times New Roman" w:hAnsi="Times New Roman"/>
                      <w:color w:val="auto"/>
                      <w:sz w:val="21"/>
                      <w:szCs w:val="21"/>
                    </w:rPr>
                  </w:pPr>
                  <w:r>
                    <w:rPr>
                      <w:rFonts w:hint="default" w:ascii="Times New Roman" w:hAnsi="Times New Roman" w:eastAsia="FZFSK--GBK1-0" w:cs="FZFSK--GBK1-0"/>
                      <w:color w:val="auto"/>
                      <w:kern w:val="0"/>
                      <w:sz w:val="21"/>
                      <w:szCs w:val="21"/>
                      <w:lang w:val="en-US" w:eastAsia="zh-CN" w:bidi="ar"/>
                    </w:rPr>
                    <w:t>点管控区</w:t>
                  </w:r>
                </w:p>
                <w:p w14:paraId="541D031B">
                  <w:pPr>
                    <w:keepNext w:val="0"/>
                    <w:keepLines w:val="0"/>
                    <w:widowControl/>
                    <w:suppressLineNumbers w:val="0"/>
                    <w:spacing w:line="240" w:lineRule="auto"/>
                    <w:jc w:val="center"/>
                    <w:rPr>
                      <w:rFonts w:ascii="Times New Roman" w:hAnsi="Times New Roman"/>
                      <w:color w:val="auto"/>
                      <w:sz w:val="21"/>
                      <w:szCs w:val="21"/>
                    </w:rPr>
                  </w:pPr>
                  <w:r>
                    <w:rPr>
                      <w:rFonts w:hint="default" w:ascii="Times New Roman" w:hAnsi="Times New Roman" w:eastAsia="FZFSK--GBK1-0" w:cs="FZFSK--GBK1-0"/>
                      <w:color w:val="auto"/>
                      <w:kern w:val="0"/>
                      <w:sz w:val="21"/>
                      <w:szCs w:val="21"/>
                      <w:lang w:val="en-US" w:eastAsia="zh-CN" w:bidi="ar"/>
                    </w:rPr>
                    <w:t>和大气环</w:t>
                  </w:r>
                </w:p>
                <w:p w14:paraId="77FFA8AF">
                  <w:pPr>
                    <w:keepNext w:val="0"/>
                    <w:keepLines w:val="0"/>
                    <w:widowControl/>
                    <w:suppressLineNumbers w:val="0"/>
                    <w:spacing w:line="240" w:lineRule="auto"/>
                    <w:jc w:val="center"/>
                    <w:rPr>
                      <w:rFonts w:ascii="Times New Roman" w:hAnsi="Times New Roman"/>
                      <w:color w:val="auto"/>
                      <w:sz w:val="21"/>
                      <w:szCs w:val="21"/>
                    </w:rPr>
                  </w:pPr>
                  <w:r>
                    <w:rPr>
                      <w:rFonts w:hint="default" w:ascii="Times New Roman" w:hAnsi="Times New Roman" w:eastAsia="FZFSK--GBK1-0" w:cs="FZFSK--GBK1-0"/>
                      <w:color w:val="auto"/>
                      <w:kern w:val="0"/>
                      <w:sz w:val="21"/>
                      <w:szCs w:val="21"/>
                      <w:lang w:val="en-US" w:eastAsia="zh-CN" w:bidi="ar"/>
                    </w:rPr>
                    <w:t>境受体敏感重点管</w:t>
                  </w:r>
                </w:p>
                <w:p w14:paraId="56F0A433">
                  <w:pPr>
                    <w:keepNext w:val="0"/>
                    <w:keepLines w:val="0"/>
                    <w:widowControl/>
                    <w:suppressLineNumbers w:val="0"/>
                    <w:spacing w:line="240" w:lineRule="auto"/>
                    <w:jc w:val="center"/>
                    <w:rPr>
                      <w:rFonts w:ascii="Times New Roman" w:hAnsi="Times New Roman"/>
                      <w:color w:val="auto"/>
                      <w:sz w:val="21"/>
                      <w:szCs w:val="21"/>
                    </w:rPr>
                  </w:pPr>
                  <w:r>
                    <w:rPr>
                      <w:rFonts w:hint="default" w:ascii="Times New Roman" w:hAnsi="Times New Roman" w:eastAsia="FZFSK--GBK1-0" w:cs="FZFSK--GBK1-0"/>
                      <w:color w:val="auto"/>
                      <w:kern w:val="0"/>
                      <w:sz w:val="21"/>
                      <w:szCs w:val="21"/>
                      <w:lang w:val="en-US" w:eastAsia="zh-CN" w:bidi="ar"/>
                    </w:rPr>
                    <w:t>控区</w:t>
                  </w:r>
                </w:p>
                <w:p w14:paraId="748977FD">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p>
              </w:tc>
              <w:tc>
                <w:tcPr>
                  <w:tcW w:w="599" w:type="pct"/>
                  <w:noWrap w:val="0"/>
                  <w:vAlign w:val="center"/>
                </w:tcPr>
                <w:p w14:paraId="5251A077">
                  <w:pPr>
                    <w:keepNext w:val="0"/>
                    <w:keepLines w:val="0"/>
                    <w:widowControl/>
                    <w:suppressLineNumbers w:val="0"/>
                    <w:spacing w:line="240" w:lineRule="auto"/>
                    <w:jc w:val="center"/>
                    <w:rPr>
                      <w:rFonts w:ascii="Times New Roman" w:hAnsi="Times New Roman"/>
                      <w:color w:val="auto"/>
                      <w:sz w:val="21"/>
                      <w:szCs w:val="21"/>
                    </w:rPr>
                  </w:pPr>
                  <w:r>
                    <w:rPr>
                      <w:rFonts w:ascii="Times New Roman" w:hAnsi="Times New Roman" w:eastAsia="FZFSK--GBK1-0" w:cs="FZFSK--GBK1-0"/>
                      <w:color w:val="auto"/>
                      <w:kern w:val="0"/>
                      <w:sz w:val="21"/>
                      <w:szCs w:val="21"/>
                      <w:lang w:val="en-US" w:eastAsia="zh-CN" w:bidi="ar"/>
                    </w:rPr>
                    <w:t>空间</w:t>
                  </w:r>
                </w:p>
                <w:p w14:paraId="379D3A47">
                  <w:pPr>
                    <w:keepNext w:val="0"/>
                    <w:keepLines w:val="0"/>
                    <w:widowControl/>
                    <w:suppressLineNumbers w:val="0"/>
                    <w:spacing w:line="240" w:lineRule="auto"/>
                    <w:jc w:val="center"/>
                    <w:rPr>
                      <w:rFonts w:ascii="Times New Roman" w:hAnsi="Times New Roman"/>
                      <w:color w:val="auto"/>
                      <w:sz w:val="21"/>
                      <w:szCs w:val="21"/>
                    </w:rPr>
                  </w:pPr>
                  <w:r>
                    <w:rPr>
                      <w:rFonts w:hint="default" w:ascii="Times New Roman" w:hAnsi="Times New Roman" w:eastAsia="FZFSK--GBK1-0" w:cs="FZFSK--GBK1-0"/>
                      <w:color w:val="auto"/>
                      <w:kern w:val="0"/>
                      <w:sz w:val="21"/>
                      <w:szCs w:val="21"/>
                      <w:lang w:val="en-US" w:eastAsia="zh-CN" w:bidi="ar"/>
                    </w:rPr>
                    <w:t>布局</w:t>
                  </w:r>
                </w:p>
                <w:p w14:paraId="23EAAD5A">
                  <w:pPr>
                    <w:keepNext w:val="0"/>
                    <w:keepLines w:val="0"/>
                    <w:widowControl/>
                    <w:suppressLineNumbers w:val="0"/>
                    <w:spacing w:line="240" w:lineRule="auto"/>
                    <w:jc w:val="center"/>
                    <w:rPr>
                      <w:rFonts w:ascii="Times New Roman" w:hAnsi="Times New Roman"/>
                      <w:color w:val="auto"/>
                      <w:sz w:val="21"/>
                      <w:szCs w:val="21"/>
                    </w:rPr>
                  </w:pPr>
                  <w:r>
                    <w:rPr>
                      <w:rFonts w:hint="default" w:ascii="Times New Roman" w:hAnsi="Times New Roman" w:eastAsia="FZFSK--GBK1-0" w:cs="FZFSK--GBK1-0"/>
                      <w:color w:val="auto"/>
                      <w:kern w:val="0"/>
                      <w:sz w:val="21"/>
                      <w:szCs w:val="21"/>
                      <w:lang w:val="en-US" w:eastAsia="zh-CN" w:bidi="ar"/>
                    </w:rPr>
                    <w:t>约束</w:t>
                  </w:r>
                </w:p>
                <w:p w14:paraId="3CDA3488">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rPr>
                  </w:pPr>
                </w:p>
              </w:tc>
              <w:tc>
                <w:tcPr>
                  <w:tcW w:w="1914" w:type="pct"/>
                  <w:noWrap w:val="0"/>
                  <w:vAlign w:val="center"/>
                </w:tcPr>
                <w:p w14:paraId="586AFC29">
                  <w:pPr>
                    <w:keepNext w:val="0"/>
                    <w:keepLines w:val="0"/>
                    <w:widowControl/>
                    <w:suppressLineNumbers w:val="0"/>
                    <w:spacing w:line="240" w:lineRule="auto"/>
                    <w:jc w:val="left"/>
                    <w:rPr>
                      <w:rFonts w:ascii="Times New Roman" w:hAnsi="Times New Roman"/>
                      <w:color w:val="auto"/>
                      <w:sz w:val="21"/>
                      <w:szCs w:val="21"/>
                    </w:rPr>
                  </w:pPr>
                  <w:r>
                    <w:rPr>
                      <w:rFonts w:hint="default" w:ascii="Times New Roman" w:hAnsi="Times New Roman" w:eastAsia="宋体" w:cs="Times New Roman"/>
                      <w:color w:val="auto"/>
                      <w:kern w:val="0"/>
                      <w:sz w:val="21"/>
                      <w:szCs w:val="21"/>
                      <w:lang w:val="en-US" w:eastAsia="zh-CN" w:bidi="ar"/>
                    </w:rPr>
                    <w:t>1.</w:t>
                  </w:r>
                  <w:r>
                    <w:rPr>
                      <w:rFonts w:ascii="Times New Roman" w:hAnsi="Times New Roman" w:eastAsia="FZFSK--GBK1-0" w:cs="FZFSK--GBK1-0"/>
                      <w:color w:val="auto"/>
                      <w:kern w:val="0"/>
                      <w:sz w:val="21"/>
                      <w:szCs w:val="21"/>
                      <w:lang w:val="en-US" w:eastAsia="zh-CN" w:bidi="ar"/>
                    </w:rPr>
                    <w:t xml:space="preserve">严格按照城镇规划进行人口聚集区建设，控制城镇开发强度。 </w:t>
                  </w:r>
                </w:p>
                <w:p w14:paraId="62EB8BE5">
                  <w:pPr>
                    <w:keepNext w:val="0"/>
                    <w:keepLines w:val="0"/>
                    <w:widowControl/>
                    <w:suppressLineNumbers w:val="0"/>
                    <w:spacing w:line="240" w:lineRule="auto"/>
                    <w:jc w:val="left"/>
                    <w:rPr>
                      <w:rFonts w:ascii="Times New Roman" w:hAnsi="Times New Roman"/>
                      <w:color w:val="auto"/>
                      <w:sz w:val="21"/>
                      <w:szCs w:val="21"/>
                    </w:rPr>
                  </w:pPr>
                  <w:r>
                    <w:rPr>
                      <w:rFonts w:hint="default" w:ascii="Times New Roman" w:hAnsi="Times New Roman" w:eastAsia="宋体" w:cs="Times New Roman"/>
                      <w:color w:val="auto"/>
                      <w:kern w:val="0"/>
                      <w:sz w:val="21"/>
                      <w:szCs w:val="21"/>
                      <w:lang w:val="en-US" w:eastAsia="zh-CN" w:bidi="ar"/>
                    </w:rPr>
                    <w:t>2.</w:t>
                  </w:r>
                  <w:r>
                    <w:rPr>
                      <w:rFonts w:hint="default" w:ascii="Times New Roman" w:hAnsi="Times New Roman" w:eastAsia="FZFSK--GBK1-0" w:cs="FZFSK--GBK1-0"/>
                      <w:color w:val="auto"/>
                      <w:kern w:val="0"/>
                      <w:sz w:val="21"/>
                      <w:szCs w:val="21"/>
                      <w:lang w:val="en-US" w:eastAsia="zh-CN" w:bidi="ar"/>
                    </w:rPr>
                    <w:t xml:space="preserve">合理布局生产与生活空间，优化产业空间布局，对不符合准入要求的既有项目，依法依规实施整改、退出等分类治理方案，促进企业向园区集中，产业向园区集聚。 </w:t>
                  </w:r>
                </w:p>
                <w:p w14:paraId="7E9365F8">
                  <w:pPr>
                    <w:keepNext w:val="0"/>
                    <w:keepLines w:val="0"/>
                    <w:widowControl/>
                    <w:suppressLineNumbers w:val="0"/>
                    <w:spacing w:line="240" w:lineRule="auto"/>
                    <w:jc w:val="left"/>
                    <w:rPr>
                      <w:rFonts w:ascii="Times New Roman" w:hAnsi="Times New Roman"/>
                      <w:color w:val="auto"/>
                      <w:sz w:val="21"/>
                      <w:szCs w:val="21"/>
                    </w:rPr>
                  </w:pPr>
                  <w:r>
                    <w:rPr>
                      <w:rFonts w:hint="default" w:ascii="Times New Roman" w:hAnsi="Times New Roman" w:eastAsia="宋体" w:cs="Times New Roman"/>
                      <w:color w:val="auto"/>
                      <w:kern w:val="0"/>
                      <w:sz w:val="21"/>
                      <w:szCs w:val="21"/>
                      <w:lang w:val="en-US" w:eastAsia="zh-CN" w:bidi="ar"/>
                    </w:rPr>
                    <w:t>3.</w:t>
                  </w:r>
                  <w:r>
                    <w:rPr>
                      <w:rFonts w:hint="default" w:ascii="Times New Roman" w:hAnsi="Times New Roman" w:eastAsia="FZFSK--GBK1-0" w:cs="FZFSK--GBK1-0"/>
                      <w:color w:val="auto"/>
                      <w:kern w:val="0"/>
                      <w:sz w:val="21"/>
                      <w:szCs w:val="21"/>
                      <w:lang w:val="en-US" w:eastAsia="zh-CN" w:bidi="ar"/>
                    </w:rPr>
                    <w:t xml:space="preserve">合理规划和布局畜禽养殖业，科学划定禁养区、限养区范围。对芒市大河两侧各 </w:t>
                  </w:r>
                  <w:r>
                    <w:rPr>
                      <w:rFonts w:hint="default" w:ascii="Times New Roman" w:hAnsi="Times New Roman" w:eastAsia="宋体" w:cs="Times New Roman"/>
                      <w:color w:val="auto"/>
                      <w:kern w:val="0"/>
                      <w:sz w:val="21"/>
                      <w:szCs w:val="21"/>
                      <w:lang w:val="en-US" w:eastAsia="zh-CN" w:bidi="ar"/>
                    </w:rPr>
                    <w:t xml:space="preserve">100 </w:t>
                  </w:r>
                  <w:r>
                    <w:rPr>
                      <w:rFonts w:hint="default" w:ascii="Times New Roman" w:hAnsi="Times New Roman" w:eastAsia="FZFSK--GBK1-0" w:cs="FZFSK--GBK1-0"/>
                      <w:color w:val="auto"/>
                      <w:kern w:val="0"/>
                      <w:sz w:val="21"/>
                      <w:szCs w:val="21"/>
                      <w:lang w:val="en-US" w:eastAsia="zh-CN" w:bidi="ar"/>
                    </w:rPr>
                    <w:t xml:space="preserve">米范围内的大牲畜和畜禽养殖的摸底调查，对清查出的畜禽养殖进行清理整顿。分期取缔芒市大河木康断面至风平断面之间河道流域内零散的鱼塘（含洗马塘）。 </w:t>
                  </w:r>
                </w:p>
                <w:p w14:paraId="31A30DCC">
                  <w:pPr>
                    <w:keepNext w:val="0"/>
                    <w:keepLines w:val="0"/>
                    <w:widowControl/>
                    <w:suppressLineNumbers w:val="0"/>
                    <w:spacing w:line="240" w:lineRule="auto"/>
                    <w:jc w:val="left"/>
                    <w:rPr>
                      <w:rFonts w:hint="default" w:ascii="Times New Roman" w:hAnsi="Times New Roman" w:eastAsia="宋体" w:cs="Times New Roman"/>
                      <w:b w:val="0"/>
                      <w:bCs w:val="0"/>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ar"/>
                    </w:rPr>
                    <w:t>4.</w:t>
                  </w:r>
                  <w:r>
                    <w:rPr>
                      <w:rFonts w:hint="default" w:ascii="Times New Roman" w:hAnsi="Times New Roman" w:eastAsia="FZFSK--GBK1-0" w:cs="FZFSK--GBK1-0"/>
                      <w:color w:val="auto"/>
                      <w:kern w:val="0"/>
                      <w:sz w:val="21"/>
                      <w:szCs w:val="21"/>
                      <w:lang w:val="en-US" w:eastAsia="zh-CN" w:bidi="ar"/>
                    </w:rPr>
                    <w:t>加强芒市大河源头区域执法力度，严厉打击非法采砂行为；对围垦芒市大河河道管理范围内的土地进行恢复，并进行生态化改造</w:t>
                  </w:r>
                </w:p>
              </w:tc>
              <w:tc>
                <w:tcPr>
                  <w:tcW w:w="1742" w:type="pct"/>
                  <w:noWrap w:val="0"/>
                  <w:vAlign w:val="center"/>
                </w:tcPr>
                <w:p w14:paraId="2EA568E3">
                  <w:pPr>
                    <w:pStyle w:val="8"/>
                    <w:widowControl w:val="0"/>
                    <w:adjustRightInd w:val="0"/>
                    <w:snapToGrid w:val="0"/>
                    <w:spacing w:after="0" w:line="240" w:lineRule="auto"/>
                    <w:ind w:firstLine="0" w:firstLineChars="0"/>
                    <w:jc w:val="both"/>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本项目不涉及畜禽养殖、河道采砂等工业项目，属于水泥制品制造项目，符合城镇规划。</w:t>
                  </w:r>
                </w:p>
              </w:tc>
              <w:tc>
                <w:tcPr>
                  <w:tcW w:w="453" w:type="pct"/>
                  <w:noWrap w:val="0"/>
                  <w:vAlign w:val="center"/>
                </w:tcPr>
                <w:p w14:paraId="5F4C9CD7">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符合</w:t>
                  </w:r>
                </w:p>
              </w:tc>
            </w:tr>
            <w:tr w14:paraId="155F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0" w:type="pct"/>
                  <w:vMerge w:val="continue"/>
                  <w:noWrap w:val="0"/>
                  <w:vAlign w:val="center"/>
                </w:tcPr>
                <w:p w14:paraId="5F0E860E">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rPr>
                  </w:pPr>
                </w:p>
              </w:tc>
              <w:tc>
                <w:tcPr>
                  <w:tcW w:w="599" w:type="pct"/>
                  <w:noWrap w:val="0"/>
                  <w:vAlign w:val="center"/>
                </w:tcPr>
                <w:p w14:paraId="15398B70">
                  <w:pPr>
                    <w:keepNext w:val="0"/>
                    <w:keepLines w:val="0"/>
                    <w:widowControl/>
                    <w:suppressLineNumbers w:val="0"/>
                    <w:spacing w:line="240" w:lineRule="auto"/>
                    <w:jc w:val="center"/>
                    <w:rPr>
                      <w:rFonts w:ascii="Times New Roman" w:hAnsi="Times New Roman"/>
                      <w:color w:val="auto"/>
                      <w:sz w:val="21"/>
                      <w:szCs w:val="21"/>
                    </w:rPr>
                  </w:pPr>
                  <w:r>
                    <w:rPr>
                      <w:rFonts w:ascii="Times New Roman" w:hAnsi="Times New Roman" w:eastAsia="FZFSK--GBK1-0" w:cs="FZFSK--GBK1-0"/>
                      <w:color w:val="auto"/>
                      <w:kern w:val="0"/>
                      <w:sz w:val="21"/>
                      <w:szCs w:val="21"/>
                      <w:lang w:val="en-US" w:eastAsia="zh-CN" w:bidi="ar"/>
                    </w:rPr>
                    <w:t>污染</w:t>
                  </w:r>
                </w:p>
                <w:p w14:paraId="3167397D">
                  <w:pPr>
                    <w:keepNext w:val="0"/>
                    <w:keepLines w:val="0"/>
                    <w:widowControl/>
                    <w:suppressLineNumbers w:val="0"/>
                    <w:spacing w:line="240" w:lineRule="auto"/>
                    <w:jc w:val="center"/>
                    <w:rPr>
                      <w:rFonts w:ascii="Times New Roman" w:hAnsi="Times New Roman"/>
                      <w:color w:val="auto"/>
                      <w:sz w:val="21"/>
                      <w:szCs w:val="21"/>
                    </w:rPr>
                  </w:pPr>
                  <w:r>
                    <w:rPr>
                      <w:rFonts w:hint="default" w:ascii="Times New Roman" w:hAnsi="Times New Roman" w:eastAsia="FZFSK--GBK1-0" w:cs="FZFSK--GBK1-0"/>
                      <w:color w:val="auto"/>
                      <w:kern w:val="0"/>
                      <w:sz w:val="21"/>
                      <w:szCs w:val="21"/>
                      <w:lang w:val="en-US" w:eastAsia="zh-CN" w:bidi="ar"/>
                    </w:rPr>
                    <w:t>物排</w:t>
                  </w:r>
                </w:p>
                <w:p w14:paraId="64FBAFD3">
                  <w:pPr>
                    <w:keepNext w:val="0"/>
                    <w:keepLines w:val="0"/>
                    <w:widowControl/>
                    <w:suppressLineNumbers w:val="0"/>
                    <w:spacing w:line="240" w:lineRule="auto"/>
                    <w:jc w:val="center"/>
                    <w:rPr>
                      <w:rFonts w:ascii="Times New Roman" w:hAnsi="Times New Roman"/>
                      <w:color w:val="auto"/>
                      <w:sz w:val="21"/>
                      <w:szCs w:val="21"/>
                    </w:rPr>
                  </w:pPr>
                  <w:r>
                    <w:rPr>
                      <w:rFonts w:hint="default" w:ascii="Times New Roman" w:hAnsi="Times New Roman" w:eastAsia="FZFSK--GBK1-0" w:cs="FZFSK--GBK1-0"/>
                      <w:color w:val="auto"/>
                      <w:kern w:val="0"/>
                      <w:sz w:val="21"/>
                      <w:szCs w:val="21"/>
                      <w:lang w:val="en-US" w:eastAsia="zh-CN" w:bidi="ar"/>
                    </w:rPr>
                    <w:t>放管</w:t>
                  </w:r>
                </w:p>
                <w:p w14:paraId="4099EF7E">
                  <w:pPr>
                    <w:keepNext w:val="0"/>
                    <w:keepLines w:val="0"/>
                    <w:widowControl/>
                    <w:suppressLineNumbers w:val="0"/>
                    <w:spacing w:line="240" w:lineRule="auto"/>
                    <w:jc w:val="center"/>
                    <w:rPr>
                      <w:rFonts w:ascii="Times New Roman" w:hAnsi="Times New Roman"/>
                      <w:color w:val="auto"/>
                      <w:sz w:val="21"/>
                      <w:szCs w:val="21"/>
                    </w:rPr>
                  </w:pPr>
                  <w:r>
                    <w:rPr>
                      <w:rFonts w:hint="default" w:ascii="Times New Roman" w:hAnsi="Times New Roman" w:eastAsia="FZFSK--GBK1-0" w:cs="FZFSK--GBK1-0"/>
                      <w:color w:val="auto"/>
                      <w:kern w:val="0"/>
                      <w:sz w:val="21"/>
                      <w:szCs w:val="21"/>
                      <w:lang w:val="en-US" w:eastAsia="zh-CN" w:bidi="ar"/>
                    </w:rPr>
                    <w:t>控</w:t>
                  </w:r>
                </w:p>
                <w:p w14:paraId="57E5A752">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rPr>
                  </w:pPr>
                </w:p>
              </w:tc>
              <w:tc>
                <w:tcPr>
                  <w:tcW w:w="1914" w:type="pct"/>
                  <w:noWrap w:val="0"/>
                  <w:vAlign w:val="center"/>
                </w:tcPr>
                <w:p w14:paraId="66DF9961">
                  <w:pPr>
                    <w:keepNext w:val="0"/>
                    <w:keepLines w:val="0"/>
                    <w:widowControl/>
                    <w:suppressLineNumbers w:val="0"/>
                    <w:spacing w:line="240" w:lineRule="auto"/>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 xml:space="preserve">1.对澡地河、南麻河、南喊河、板过河、南秀河、南木黑河6条主要穿城河流进行生态综合治理。 </w:t>
                  </w:r>
                </w:p>
                <w:p w14:paraId="4EEC0A3A">
                  <w:pPr>
                    <w:keepNext w:val="0"/>
                    <w:keepLines w:val="0"/>
                    <w:widowControl/>
                    <w:suppressLineNumbers w:val="0"/>
                    <w:spacing w:line="240" w:lineRule="auto"/>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 xml:space="preserve">2.实施污水处理设施提标改造，芒市污水处理厂出水执行一级 A 排放标准，芒市建成区实现污水管网全覆盖、全收集、全处理。 </w:t>
                  </w:r>
                </w:p>
                <w:p w14:paraId="2EEB0472">
                  <w:pPr>
                    <w:keepNext w:val="0"/>
                    <w:keepLines w:val="0"/>
                    <w:widowControl/>
                    <w:suppressLineNumbers w:val="0"/>
                    <w:spacing w:line="240" w:lineRule="auto"/>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 xml:space="preserve">3.实施如何排污口综合整治，取缔芒市大河及其支流的各类入河排污口。 </w:t>
                  </w:r>
                </w:p>
                <w:p w14:paraId="33F49E44">
                  <w:pPr>
                    <w:keepNext w:val="0"/>
                    <w:keepLines w:val="0"/>
                    <w:widowControl/>
                    <w:suppressLineNumbers w:val="0"/>
                    <w:spacing w:line="240" w:lineRule="auto"/>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 xml:space="preserve">4.全面推行建筑工地六个百分百，严格渣土运输车辆规范化管理，严格执行餐饮业油烟排放标准，开展重点时段秸秆禁烧专项巡查，建设芒市秸秆禁烧视频监控信息系统。 </w:t>
                  </w:r>
                </w:p>
                <w:p w14:paraId="4C2A973E">
                  <w:pPr>
                    <w:keepNext w:val="0"/>
                    <w:keepLines w:val="0"/>
                    <w:widowControl/>
                    <w:suppressLineNumbers w:val="0"/>
                    <w:spacing w:line="240" w:lineRule="auto"/>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5.开展 PM</w:t>
                  </w:r>
                  <w:r>
                    <w:rPr>
                      <w:rFonts w:hint="eastAsia" w:asciiTheme="minorEastAsia" w:hAnsiTheme="minorEastAsia" w:eastAsiaTheme="minorEastAsia" w:cstheme="minorEastAsia"/>
                      <w:color w:val="000000" w:themeColor="text1"/>
                      <w:kern w:val="0"/>
                      <w:sz w:val="21"/>
                      <w:szCs w:val="21"/>
                      <w:vertAlign w:val="subscript"/>
                      <w:lang w:val="en-US" w:eastAsia="zh-CN" w:bidi="ar"/>
                      <w14:textFill>
                        <w14:solidFill>
                          <w14:schemeClr w14:val="tx1"/>
                        </w14:solidFill>
                      </w14:textFill>
                    </w:rPr>
                    <w:t>2.5</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和O</w:t>
                  </w:r>
                  <w:r>
                    <w:rPr>
                      <w:rFonts w:hint="eastAsia" w:asciiTheme="minorEastAsia" w:hAnsiTheme="minorEastAsia" w:eastAsiaTheme="minorEastAsia" w:cstheme="minorEastAsia"/>
                      <w:color w:val="000000" w:themeColor="text1"/>
                      <w:kern w:val="0"/>
                      <w:sz w:val="21"/>
                      <w:szCs w:val="21"/>
                      <w:vertAlign w:val="subscript"/>
                      <w:lang w:val="en-US" w:eastAsia="zh-CN" w:bidi="ar"/>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 xml:space="preserve"> 协同控制，全面大气污染成因及来源解析，实施大气污染防治精细化管控项目，开展芒市环境空气O</w:t>
                  </w:r>
                  <w:r>
                    <w:rPr>
                      <w:rFonts w:hint="eastAsia" w:asciiTheme="minorEastAsia" w:hAnsiTheme="minorEastAsia" w:eastAsiaTheme="minorEastAsia" w:cstheme="minorEastAsia"/>
                      <w:color w:val="000000" w:themeColor="text1"/>
                      <w:kern w:val="0"/>
                      <w:sz w:val="21"/>
                      <w:szCs w:val="21"/>
                      <w:vertAlign w:val="subscript"/>
                      <w:lang w:val="en-US" w:eastAsia="zh-CN" w:bidi="ar"/>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 xml:space="preserve">污染来源解析和季节性大气环境承载力核算。 </w:t>
                  </w:r>
                </w:p>
                <w:p w14:paraId="4A5939D2">
                  <w:pPr>
                    <w:keepNext w:val="0"/>
                    <w:keepLines w:val="0"/>
                    <w:widowControl/>
                    <w:suppressLineNumbers w:val="0"/>
                    <w:spacing w:line="240" w:lineRule="auto"/>
                    <w:jc w:val="left"/>
                    <w:rPr>
                      <w:rFonts w:hint="eastAsia" w:asciiTheme="minorEastAsia" w:hAnsiTheme="minorEastAsia" w:eastAsiaTheme="minorEastAsia" w:cstheme="minorEastAsia"/>
                      <w:b w:val="0"/>
                      <w:bCs w:val="0"/>
                      <w:color w:val="000000" w:themeColor="text1"/>
                      <w:kern w:val="0"/>
                      <w:sz w:val="21"/>
                      <w:szCs w:val="21"/>
                      <w:lang w:val="en-US" w:eastAsia="zh-CN" w:bidi="en-U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6.开展与东南亚国家针对生物质燃烧对环境空气质量影响研究的交流合作</w:t>
                  </w:r>
                </w:p>
              </w:tc>
              <w:tc>
                <w:tcPr>
                  <w:tcW w:w="1742" w:type="pct"/>
                  <w:noWrap w:val="0"/>
                  <w:vAlign w:val="center"/>
                </w:tcPr>
                <w:p w14:paraId="031873AD">
                  <w:pPr>
                    <w:pStyle w:val="8"/>
                    <w:widowControl w:val="0"/>
                    <w:adjustRightInd w:val="0"/>
                    <w:snapToGrid w:val="0"/>
                    <w:spacing w:after="0" w:line="240" w:lineRule="auto"/>
                    <w:ind w:firstLine="0" w:firstLineChars="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本</w:t>
                  </w: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项</w:t>
                  </w: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目采用“雨污分流”的方式，项目搅拌机清洗废水排入防渗沉淀池内沉淀后上清液全部回用于搅拌工序的搅拌机内，不外排；少量餐</w:t>
                  </w:r>
                  <w: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t>饮废水经油水分离器预处理后同办公、生活污水经化粪池处理后委托周边村民进行清掏用作农肥，项目区污水不外排</w:t>
                  </w: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；不涉及高污染物排放，不会改变所在区域环境质量。</w:t>
                  </w:r>
                </w:p>
              </w:tc>
              <w:tc>
                <w:tcPr>
                  <w:tcW w:w="453" w:type="pct"/>
                  <w:noWrap w:val="0"/>
                  <w:vAlign w:val="center"/>
                </w:tcPr>
                <w:p w14:paraId="6797A95F">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符合</w:t>
                  </w:r>
                </w:p>
              </w:tc>
            </w:tr>
            <w:tr w14:paraId="7DA9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Merge w:val="continue"/>
                  <w:noWrap w:val="0"/>
                  <w:vAlign w:val="center"/>
                </w:tcPr>
                <w:p w14:paraId="74FE4F75">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rPr>
                  </w:pPr>
                </w:p>
              </w:tc>
              <w:tc>
                <w:tcPr>
                  <w:tcW w:w="599" w:type="pct"/>
                  <w:noWrap w:val="0"/>
                  <w:vAlign w:val="center"/>
                </w:tcPr>
                <w:p w14:paraId="1323D10B">
                  <w:pPr>
                    <w:keepNext w:val="0"/>
                    <w:keepLines w:val="0"/>
                    <w:widowControl/>
                    <w:suppressLineNumbers w:val="0"/>
                    <w:spacing w:line="240" w:lineRule="auto"/>
                    <w:jc w:val="center"/>
                    <w:rPr>
                      <w:rFonts w:ascii="Times New Roman" w:hAnsi="Times New Roman"/>
                      <w:color w:val="auto"/>
                      <w:sz w:val="21"/>
                      <w:szCs w:val="21"/>
                    </w:rPr>
                  </w:pPr>
                  <w:r>
                    <w:rPr>
                      <w:rFonts w:ascii="Times New Roman" w:hAnsi="Times New Roman" w:eastAsia="FZFSK--GBK1-0" w:cs="FZFSK--GBK1-0"/>
                      <w:color w:val="auto"/>
                      <w:kern w:val="0"/>
                      <w:sz w:val="21"/>
                      <w:szCs w:val="21"/>
                      <w:lang w:val="en-US" w:eastAsia="zh-CN" w:bidi="ar"/>
                    </w:rPr>
                    <w:t>环境</w:t>
                  </w:r>
                </w:p>
                <w:p w14:paraId="3B35B1A8">
                  <w:pPr>
                    <w:keepNext w:val="0"/>
                    <w:keepLines w:val="0"/>
                    <w:widowControl/>
                    <w:suppressLineNumbers w:val="0"/>
                    <w:spacing w:line="240" w:lineRule="auto"/>
                    <w:jc w:val="center"/>
                    <w:rPr>
                      <w:rFonts w:ascii="Times New Roman" w:hAnsi="Times New Roman"/>
                      <w:color w:val="auto"/>
                      <w:sz w:val="21"/>
                      <w:szCs w:val="21"/>
                    </w:rPr>
                  </w:pPr>
                  <w:r>
                    <w:rPr>
                      <w:rFonts w:hint="default" w:ascii="Times New Roman" w:hAnsi="Times New Roman" w:eastAsia="FZFSK--GBK1-0" w:cs="FZFSK--GBK1-0"/>
                      <w:color w:val="auto"/>
                      <w:kern w:val="0"/>
                      <w:sz w:val="21"/>
                      <w:szCs w:val="21"/>
                      <w:lang w:val="en-US" w:eastAsia="zh-CN" w:bidi="ar"/>
                    </w:rPr>
                    <w:t>风险</w:t>
                  </w:r>
                </w:p>
                <w:p w14:paraId="62590025">
                  <w:pPr>
                    <w:keepNext w:val="0"/>
                    <w:keepLines w:val="0"/>
                    <w:widowControl/>
                    <w:suppressLineNumbers w:val="0"/>
                    <w:spacing w:line="240" w:lineRule="auto"/>
                    <w:jc w:val="center"/>
                    <w:rPr>
                      <w:rFonts w:ascii="Times New Roman" w:hAnsi="Times New Roman"/>
                      <w:color w:val="auto"/>
                      <w:sz w:val="21"/>
                      <w:szCs w:val="21"/>
                    </w:rPr>
                  </w:pPr>
                  <w:r>
                    <w:rPr>
                      <w:rFonts w:hint="default" w:ascii="Times New Roman" w:hAnsi="Times New Roman" w:eastAsia="FZFSK--GBK1-0" w:cs="FZFSK--GBK1-0"/>
                      <w:color w:val="auto"/>
                      <w:kern w:val="0"/>
                      <w:sz w:val="21"/>
                      <w:szCs w:val="21"/>
                      <w:lang w:val="en-US" w:eastAsia="zh-CN" w:bidi="ar"/>
                    </w:rPr>
                    <w:t>防控</w:t>
                  </w:r>
                </w:p>
                <w:p w14:paraId="57453701">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rPr>
                  </w:pPr>
                </w:p>
              </w:tc>
              <w:tc>
                <w:tcPr>
                  <w:tcW w:w="1914" w:type="pct"/>
                  <w:noWrap w:val="0"/>
                  <w:vAlign w:val="center"/>
                </w:tcPr>
                <w:p w14:paraId="62578AD2">
                  <w:pPr>
                    <w:keepNext w:val="0"/>
                    <w:keepLines w:val="0"/>
                    <w:widowControl/>
                    <w:suppressLineNumbers w:val="0"/>
                    <w:spacing w:line="240" w:lineRule="auto"/>
                    <w:jc w:val="left"/>
                    <w:rPr>
                      <w:rFonts w:ascii="Times New Roman" w:hAnsi="Times New Roman"/>
                      <w:color w:val="auto"/>
                      <w:sz w:val="21"/>
                      <w:szCs w:val="21"/>
                    </w:rPr>
                  </w:pPr>
                  <w:r>
                    <w:rPr>
                      <w:rFonts w:hint="default" w:ascii="Times New Roman" w:hAnsi="Times New Roman" w:eastAsia="宋体" w:cs="Times New Roman"/>
                      <w:color w:val="auto"/>
                      <w:kern w:val="0"/>
                      <w:sz w:val="21"/>
                      <w:szCs w:val="21"/>
                      <w:lang w:val="en-US" w:eastAsia="zh-CN" w:bidi="ar"/>
                    </w:rPr>
                    <w:t>1.</w:t>
                  </w:r>
                  <w:r>
                    <w:rPr>
                      <w:rFonts w:ascii="Times New Roman" w:hAnsi="Times New Roman" w:eastAsia="FZFSK--GBK1-0" w:cs="FZFSK--GBK1-0"/>
                      <w:color w:val="auto"/>
                      <w:kern w:val="0"/>
                      <w:sz w:val="21"/>
                      <w:szCs w:val="21"/>
                      <w:lang w:val="en-US" w:eastAsia="zh-CN" w:bidi="ar"/>
                    </w:rPr>
                    <w:t>对勐板河水库实现防护隔离；建立行政区域内从水源地到水龙头</w:t>
                  </w:r>
                  <w:r>
                    <w:rPr>
                      <w:rFonts w:hint="default" w:ascii="Times New Roman" w:hAnsi="Times New Roman" w:eastAsia="FZFSK--GBK1-0" w:cs="FZFSK--GBK1-0"/>
                      <w:color w:val="auto"/>
                      <w:kern w:val="0"/>
                      <w:sz w:val="21"/>
                      <w:szCs w:val="21"/>
                      <w:lang w:val="en-US" w:eastAsia="zh-CN" w:bidi="ar"/>
                    </w:rPr>
                    <w:t>的全过程监管体系，定期监测、检测和评估饮用水水源、供水厂出水和用户水龙头水质等饮用水安全状况。芒究水库集中式备用饮用水水源地在未调换完成前，对芒究水库定期监测、检测和评估饮用水水源、供水厂出水和用户水龙头水质等饮用水安全状况。</w:t>
                  </w:r>
                </w:p>
                <w:p w14:paraId="41221AE7">
                  <w:pPr>
                    <w:keepNext w:val="0"/>
                    <w:keepLines w:val="0"/>
                    <w:widowControl/>
                    <w:suppressLineNumbers w:val="0"/>
                    <w:spacing w:line="240" w:lineRule="auto"/>
                    <w:jc w:val="left"/>
                    <w:rPr>
                      <w:rFonts w:ascii="Times New Roman" w:hAnsi="Times New Roman"/>
                      <w:color w:val="auto"/>
                      <w:sz w:val="21"/>
                      <w:szCs w:val="21"/>
                    </w:rPr>
                  </w:pPr>
                  <w:r>
                    <w:rPr>
                      <w:rFonts w:hint="default" w:ascii="Times New Roman" w:hAnsi="Times New Roman" w:eastAsia="宋体" w:cs="Times New Roman"/>
                      <w:color w:val="auto"/>
                      <w:kern w:val="0"/>
                      <w:sz w:val="21"/>
                      <w:szCs w:val="21"/>
                      <w:lang w:val="en-US" w:eastAsia="zh-CN" w:bidi="ar"/>
                    </w:rPr>
                    <w:t>2.</w:t>
                  </w:r>
                  <w:r>
                    <w:rPr>
                      <w:rFonts w:ascii="Times New Roman" w:hAnsi="Times New Roman" w:eastAsia="FZFSK--GBK1-0" w:cs="FZFSK--GBK1-0"/>
                      <w:color w:val="auto"/>
                      <w:kern w:val="0"/>
                      <w:sz w:val="21"/>
                      <w:szCs w:val="21"/>
                      <w:lang w:val="en-US" w:eastAsia="zh-CN" w:bidi="ar"/>
                    </w:rPr>
                    <w:t>建立芒市城市环境空气质量预报预警平台，提升预报预警准确</w:t>
                  </w:r>
                  <w:r>
                    <w:rPr>
                      <w:rFonts w:hint="default" w:ascii="Times New Roman" w:hAnsi="Times New Roman" w:eastAsia="FZFSK--GBK1-0" w:cs="FZFSK--GBK1-0"/>
                      <w:color w:val="auto"/>
                      <w:kern w:val="0"/>
                      <w:sz w:val="21"/>
                      <w:szCs w:val="21"/>
                      <w:lang w:val="en-US" w:eastAsia="zh-CN" w:bidi="ar"/>
                    </w:rPr>
                    <w:t xml:space="preserve">率，建立健全污染应急响应机制。 </w:t>
                  </w:r>
                </w:p>
                <w:p w14:paraId="69E6EA8A">
                  <w:pPr>
                    <w:keepNext w:val="0"/>
                    <w:keepLines w:val="0"/>
                    <w:widowControl/>
                    <w:suppressLineNumbers w:val="0"/>
                    <w:spacing w:line="240" w:lineRule="auto"/>
                    <w:jc w:val="left"/>
                    <w:rPr>
                      <w:rFonts w:ascii="Times New Roman" w:hAnsi="Times New Roman"/>
                      <w:color w:val="auto"/>
                      <w:sz w:val="21"/>
                      <w:szCs w:val="21"/>
                    </w:rPr>
                  </w:pPr>
                  <w:r>
                    <w:rPr>
                      <w:rFonts w:hint="default" w:ascii="Times New Roman" w:hAnsi="Times New Roman" w:eastAsia="宋体" w:cs="Times New Roman"/>
                      <w:color w:val="auto"/>
                      <w:kern w:val="0"/>
                      <w:sz w:val="21"/>
                      <w:szCs w:val="21"/>
                      <w:lang w:val="en-US" w:eastAsia="zh-CN" w:bidi="ar"/>
                    </w:rPr>
                    <w:t>3.</w:t>
                  </w:r>
                  <w:r>
                    <w:rPr>
                      <w:rFonts w:hint="default" w:ascii="Times New Roman" w:hAnsi="Times New Roman" w:eastAsia="FZFSK--GBK1-0" w:cs="FZFSK--GBK1-0"/>
                      <w:color w:val="auto"/>
                      <w:kern w:val="0"/>
                      <w:sz w:val="21"/>
                      <w:szCs w:val="21"/>
                      <w:lang w:val="en-US" w:eastAsia="zh-CN" w:bidi="ar"/>
                    </w:rPr>
                    <w:t xml:space="preserve">与瑞丽市建立大气污染防治联防联治机制，实现信息互通。 </w:t>
                  </w:r>
                </w:p>
                <w:p w14:paraId="33C825E2">
                  <w:pPr>
                    <w:keepNext w:val="0"/>
                    <w:keepLines w:val="0"/>
                    <w:widowControl/>
                    <w:suppressLineNumbers w:val="0"/>
                    <w:spacing w:line="240" w:lineRule="auto"/>
                    <w:jc w:val="left"/>
                    <w:rPr>
                      <w:rFonts w:hint="default" w:ascii="Times New Roman" w:hAnsi="Times New Roman" w:eastAsia="宋体" w:cs="Times New Roman"/>
                      <w:b w:val="0"/>
                      <w:bCs w:val="0"/>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ar"/>
                    </w:rPr>
                    <w:t>4.</w:t>
                  </w:r>
                  <w:r>
                    <w:rPr>
                      <w:rFonts w:hint="default" w:ascii="Times New Roman" w:hAnsi="Times New Roman" w:eastAsia="FZFSK--GBK1-0" w:cs="FZFSK--GBK1-0"/>
                      <w:color w:val="auto"/>
                      <w:kern w:val="0"/>
                      <w:sz w:val="21"/>
                      <w:szCs w:val="21"/>
                      <w:lang w:val="en-US" w:eastAsia="zh-CN" w:bidi="ar"/>
                    </w:rPr>
                    <w:t>禁止建设排放重金属、</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FZFSK--GBK1-0" w:cs="FZFSK--GBK1-0"/>
                      <w:color w:val="auto"/>
                      <w:kern w:val="0"/>
                      <w:sz w:val="21"/>
                      <w:szCs w:val="21"/>
                      <w:lang w:val="en-US" w:eastAsia="zh-CN" w:bidi="ar"/>
                    </w:rPr>
                    <w:t>三致物</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FZFSK--GBK1-0" w:cs="FZFSK--GBK1-0"/>
                      <w:color w:val="auto"/>
                      <w:kern w:val="0"/>
                      <w:sz w:val="21"/>
                      <w:szCs w:val="21"/>
                      <w:lang w:val="en-US" w:eastAsia="zh-CN" w:bidi="ar"/>
                    </w:rPr>
                    <w:t>、剧毒物质污染物的项目，严格控制持久性有机污染物的项目</w:t>
                  </w:r>
                </w:p>
              </w:tc>
              <w:tc>
                <w:tcPr>
                  <w:tcW w:w="1742" w:type="pct"/>
                  <w:noWrap w:val="0"/>
                  <w:vAlign w:val="center"/>
                </w:tcPr>
                <w:p w14:paraId="692E0EB3">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项目所在区域不属于水源保护区，项目不属于</w:t>
                  </w:r>
                  <w:r>
                    <w:rPr>
                      <w:rFonts w:hint="default" w:ascii="Times New Roman" w:hAnsi="Times New Roman" w:eastAsia="FZFSK--GBK1-0" w:cs="FZFSK--GBK1-0"/>
                      <w:color w:val="auto"/>
                      <w:kern w:val="0"/>
                      <w:sz w:val="21"/>
                      <w:szCs w:val="21"/>
                      <w:lang w:val="en-US" w:eastAsia="zh-CN" w:bidi="ar"/>
                    </w:rPr>
                    <w:t>排放重金属、</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FZFSK--GBK1-0" w:cs="FZFSK--GBK1-0"/>
                      <w:color w:val="auto"/>
                      <w:kern w:val="0"/>
                      <w:sz w:val="21"/>
                      <w:szCs w:val="21"/>
                      <w:lang w:val="en-US" w:eastAsia="zh-CN" w:bidi="ar"/>
                    </w:rPr>
                    <w:t>三致物</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FZFSK--GBK1-0" w:cs="FZFSK--GBK1-0"/>
                      <w:color w:val="auto"/>
                      <w:kern w:val="0"/>
                      <w:sz w:val="21"/>
                      <w:szCs w:val="21"/>
                      <w:lang w:val="en-US" w:eastAsia="zh-CN" w:bidi="ar"/>
                    </w:rPr>
                    <w:t>、剧毒物质污染物的项目</w:t>
                  </w:r>
                  <w:r>
                    <w:rPr>
                      <w:rFonts w:hint="eastAsia" w:ascii="Times New Roman" w:hAnsi="Times New Roman" w:eastAsia="FZFSK--GBK1-0" w:cs="FZFSK--GBK1-0"/>
                      <w:color w:val="auto"/>
                      <w:kern w:val="0"/>
                      <w:sz w:val="21"/>
                      <w:szCs w:val="21"/>
                      <w:lang w:val="en-US" w:eastAsia="zh-CN" w:bidi="ar"/>
                    </w:rPr>
                    <w:t>，</w:t>
                  </w:r>
                  <w:r>
                    <w:rPr>
                      <w:rFonts w:hint="eastAsia" w:ascii="Times New Roman" w:hAnsi="Times New Roman" w:eastAsia="宋体" w:cs="Times New Roman"/>
                      <w:b w:val="0"/>
                      <w:bCs w:val="0"/>
                      <w:color w:val="auto"/>
                      <w:sz w:val="21"/>
                      <w:szCs w:val="21"/>
                      <w:lang w:val="en-US" w:eastAsia="zh-CN"/>
                    </w:rPr>
                    <w:t>不会改变所在区域环境空气质量</w:t>
                  </w:r>
                </w:p>
              </w:tc>
              <w:tc>
                <w:tcPr>
                  <w:tcW w:w="453" w:type="pct"/>
                  <w:noWrap w:val="0"/>
                  <w:vAlign w:val="center"/>
                </w:tcPr>
                <w:p w14:paraId="7428E1EC">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符合</w:t>
                  </w:r>
                </w:p>
              </w:tc>
            </w:tr>
            <w:tr w14:paraId="1E76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Merge w:val="continue"/>
                  <w:noWrap w:val="0"/>
                  <w:vAlign w:val="center"/>
                </w:tcPr>
                <w:p w14:paraId="077F23F0">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rPr>
                  </w:pPr>
                </w:p>
              </w:tc>
              <w:tc>
                <w:tcPr>
                  <w:tcW w:w="599" w:type="pct"/>
                  <w:noWrap w:val="0"/>
                  <w:vAlign w:val="center"/>
                </w:tcPr>
                <w:p w14:paraId="0C930E88">
                  <w:pPr>
                    <w:keepNext w:val="0"/>
                    <w:keepLines w:val="0"/>
                    <w:widowControl/>
                    <w:suppressLineNumbers w:val="0"/>
                    <w:spacing w:line="240" w:lineRule="auto"/>
                    <w:jc w:val="center"/>
                    <w:rPr>
                      <w:rFonts w:ascii="Times New Roman" w:hAnsi="Times New Roman"/>
                      <w:color w:val="auto"/>
                      <w:sz w:val="21"/>
                      <w:szCs w:val="21"/>
                    </w:rPr>
                  </w:pPr>
                  <w:r>
                    <w:rPr>
                      <w:rFonts w:ascii="Times New Roman" w:hAnsi="Times New Roman" w:eastAsia="FZFSK--GBK1-0" w:cs="FZFSK--GBK1-0"/>
                      <w:color w:val="auto"/>
                      <w:kern w:val="0"/>
                      <w:sz w:val="21"/>
                      <w:szCs w:val="21"/>
                      <w:lang w:val="en-US" w:eastAsia="zh-CN" w:bidi="ar"/>
                    </w:rPr>
                    <w:t>资源</w:t>
                  </w:r>
                </w:p>
                <w:p w14:paraId="74725C9A">
                  <w:pPr>
                    <w:keepNext w:val="0"/>
                    <w:keepLines w:val="0"/>
                    <w:widowControl/>
                    <w:suppressLineNumbers w:val="0"/>
                    <w:spacing w:line="240" w:lineRule="auto"/>
                    <w:jc w:val="center"/>
                    <w:rPr>
                      <w:rFonts w:ascii="Times New Roman" w:hAnsi="Times New Roman"/>
                      <w:color w:val="auto"/>
                      <w:sz w:val="21"/>
                      <w:szCs w:val="21"/>
                    </w:rPr>
                  </w:pPr>
                  <w:r>
                    <w:rPr>
                      <w:rFonts w:hint="default" w:ascii="Times New Roman" w:hAnsi="Times New Roman" w:eastAsia="FZFSK--GBK1-0" w:cs="FZFSK--GBK1-0"/>
                      <w:color w:val="auto"/>
                      <w:kern w:val="0"/>
                      <w:sz w:val="21"/>
                      <w:szCs w:val="21"/>
                      <w:lang w:val="en-US" w:eastAsia="zh-CN" w:bidi="ar"/>
                    </w:rPr>
                    <w:t>开发</w:t>
                  </w:r>
                </w:p>
                <w:p w14:paraId="474F942D">
                  <w:pPr>
                    <w:keepNext w:val="0"/>
                    <w:keepLines w:val="0"/>
                    <w:widowControl/>
                    <w:suppressLineNumbers w:val="0"/>
                    <w:spacing w:line="240" w:lineRule="auto"/>
                    <w:jc w:val="center"/>
                    <w:rPr>
                      <w:rFonts w:ascii="Times New Roman" w:hAnsi="Times New Roman"/>
                      <w:color w:val="auto"/>
                      <w:sz w:val="21"/>
                      <w:szCs w:val="21"/>
                    </w:rPr>
                  </w:pPr>
                  <w:r>
                    <w:rPr>
                      <w:rFonts w:hint="default" w:ascii="Times New Roman" w:hAnsi="Times New Roman" w:eastAsia="FZFSK--GBK1-0" w:cs="FZFSK--GBK1-0"/>
                      <w:color w:val="auto"/>
                      <w:kern w:val="0"/>
                      <w:sz w:val="21"/>
                      <w:szCs w:val="21"/>
                      <w:lang w:val="en-US" w:eastAsia="zh-CN" w:bidi="ar"/>
                    </w:rPr>
                    <w:t>效率</w:t>
                  </w:r>
                </w:p>
                <w:p w14:paraId="6BCAB158">
                  <w:pPr>
                    <w:keepNext w:val="0"/>
                    <w:keepLines w:val="0"/>
                    <w:widowControl/>
                    <w:suppressLineNumbers w:val="0"/>
                    <w:spacing w:line="240" w:lineRule="auto"/>
                    <w:jc w:val="center"/>
                    <w:rPr>
                      <w:rFonts w:ascii="Times New Roman" w:hAnsi="Times New Roman"/>
                      <w:color w:val="auto"/>
                      <w:sz w:val="21"/>
                      <w:szCs w:val="21"/>
                    </w:rPr>
                  </w:pPr>
                  <w:r>
                    <w:rPr>
                      <w:rFonts w:hint="default" w:ascii="Times New Roman" w:hAnsi="Times New Roman" w:eastAsia="FZFSK--GBK1-0" w:cs="FZFSK--GBK1-0"/>
                      <w:color w:val="auto"/>
                      <w:kern w:val="0"/>
                      <w:sz w:val="21"/>
                      <w:szCs w:val="21"/>
                      <w:lang w:val="en-US" w:eastAsia="zh-CN" w:bidi="ar"/>
                    </w:rPr>
                    <w:t>要求</w:t>
                  </w:r>
                </w:p>
                <w:p w14:paraId="2BD863A7">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rPr>
                  </w:pPr>
                </w:p>
              </w:tc>
              <w:tc>
                <w:tcPr>
                  <w:tcW w:w="1914" w:type="pct"/>
                  <w:noWrap w:val="0"/>
                  <w:vAlign w:val="center"/>
                </w:tcPr>
                <w:p w14:paraId="70430EFB">
                  <w:pPr>
                    <w:keepNext w:val="0"/>
                    <w:keepLines w:val="0"/>
                    <w:widowControl/>
                    <w:suppressLineNumbers w:val="0"/>
                    <w:spacing w:line="240" w:lineRule="auto"/>
                    <w:jc w:val="left"/>
                    <w:rPr>
                      <w:rFonts w:ascii="Times New Roman" w:hAnsi="Times New Roman"/>
                      <w:color w:val="auto"/>
                      <w:sz w:val="21"/>
                      <w:szCs w:val="21"/>
                    </w:rPr>
                  </w:pPr>
                  <w:r>
                    <w:rPr>
                      <w:rFonts w:hint="default" w:ascii="Times New Roman" w:hAnsi="Times New Roman" w:eastAsia="宋体" w:cs="Times New Roman"/>
                      <w:color w:val="auto"/>
                      <w:kern w:val="0"/>
                      <w:sz w:val="21"/>
                      <w:szCs w:val="21"/>
                      <w:lang w:val="en-US" w:eastAsia="zh-CN" w:bidi="ar"/>
                    </w:rPr>
                    <w:t>1.</w:t>
                  </w:r>
                  <w:r>
                    <w:rPr>
                      <w:rFonts w:ascii="Times New Roman" w:hAnsi="Times New Roman" w:eastAsia="FZFSK--GBK1-0" w:cs="FZFSK--GBK1-0"/>
                      <w:color w:val="auto"/>
                      <w:kern w:val="0"/>
                      <w:sz w:val="21"/>
                      <w:szCs w:val="21"/>
                      <w:lang w:val="en-US" w:eastAsia="zh-CN" w:bidi="ar"/>
                    </w:rPr>
                    <w:t>鼓励将城市污水处理厂再生水、分散污水处理设施尾水以及经收</w:t>
                  </w:r>
                  <w:r>
                    <w:rPr>
                      <w:rFonts w:hint="default" w:ascii="Times New Roman" w:hAnsi="Times New Roman" w:eastAsia="FZFSK--GBK1-0" w:cs="FZFSK--GBK1-0"/>
                      <w:color w:val="auto"/>
                      <w:kern w:val="0"/>
                      <w:sz w:val="21"/>
                      <w:szCs w:val="21"/>
                      <w:lang w:val="en-US" w:eastAsia="zh-CN" w:bidi="ar"/>
                    </w:rPr>
                    <w:t xml:space="preserve">集和处理后的雨水用于河道生态补水。 </w:t>
                  </w:r>
                </w:p>
                <w:p w14:paraId="53E26887">
                  <w:pPr>
                    <w:keepNext w:val="0"/>
                    <w:keepLines w:val="0"/>
                    <w:widowControl/>
                    <w:suppressLineNumbers w:val="0"/>
                    <w:spacing w:line="240" w:lineRule="auto"/>
                    <w:jc w:val="left"/>
                    <w:rPr>
                      <w:rFonts w:ascii="Times New Roman" w:hAnsi="Times New Roman"/>
                      <w:color w:val="auto"/>
                      <w:sz w:val="21"/>
                      <w:szCs w:val="21"/>
                    </w:rPr>
                  </w:pPr>
                  <w:r>
                    <w:rPr>
                      <w:rFonts w:hint="default" w:ascii="Times New Roman" w:hAnsi="Times New Roman" w:eastAsia="宋体" w:cs="Times New Roman"/>
                      <w:color w:val="auto"/>
                      <w:kern w:val="0"/>
                      <w:sz w:val="21"/>
                      <w:szCs w:val="21"/>
                      <w:lang w:val="en-US" w:eastAsia="zh-CN" w:bidi="ar"/>
                    </w:rPr>
                    <w:t>2.</w:t>
                  </w:r>
                  <w:r>
                    <w:rPr>
                      <w:rFonts w:hint="default" w:ascii="Times New Roman" w:hAnsi="Times New Roman" w:eastAsia="FZFSK--GBK1-0" w:cs="FZFSK--GBK1-0"/>
                      <w:color w:val="auto"/>
                      <w:kern w:val="0"/>
                      <w:sz w:val="21"/>
                      <w:szCs w:val="21"/>
                      <w:lang w:val="en-US" w:eastAsia="zh-CN" w:bidi="ar"/>
                    </w:rPr>
                    <w:t xml:space="preserve">禁燃区内全面禁止使用原（散）煤、洗选煤、蜂窝煤、焦炭、木炭、煤矸石、煤泥、煤焦油、重油、渣油等高污染燃料，全面禁止将废弃沥青、油毡、橡胶、塑料、皮革及其他焚烧产生有毒有害烟尘和恶臭的物质作为燃料使用。 </w:t>
                  </w:r>
                </w:p>
                <w:p w14:paraId="7003102F">
                  <w:pPr>
                    <w:keepNext w:val="0"/>
                    <w:keepLines w:val="0"/>
                    <w:widowControl/>
                    <w:suppressLineNumbers w:val="0"/>
                    <w:spacing w:line="240" w:lineRule="auto"/>
                    <w:jc w:val="left"/>
                    <w:rPr>
                      <w:rFonts w:ascii="Times New Roman" w:hAnsi="Times New Roman"/>
                      <w:color w:val="auto"/>
                      <w:sz w:val="21"/>
                      <w:szCs w:val="21"/>
                    </w:rPr>
                  </w:pPr>
                  <w:r>
                    <w:rPr>
                      <w:rFonts w:hint="default" w:ascii="Times New Roman" w:hAnsi="Times New Roman" w:eastAsia="宋体" w:cs="Times New Roman"/>
                      <w:color w:val="auto"/>
                      <w:kern w:val="0"/>
                      <w:sz w:val="21"/>
                      <w:szCs w:val="21"/>
                      <w:lang w:val="en-US" w:eastAsia="zh-CN" w:bidi="ar"/>
                    </w:rPr>
                    <w:t>3.</w:t>
                  </w:r>
                  <w:r>
                    <w:rPr>
                      <w:rFonts w:hint="default" w:ascii="Times New Roman" w:hAnsi="Times New Roman" w:eastAsia="FZFSK--GBK1-0" w:cs="FZFSK--GBK1-0"/>
                      <w:color w:val="auto"/>
                      <w:kern w:val="0"/>
                      <w:sz w:val="21"/>
                      <w:szCs w:val="21"/>
                      <w:lang w:val="en-US" w:eastAsia="zh-CN" w:bidi="ar"/>
                    </w:rPr>
                    <w:t>推进</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FZFSK--GBK1-0" w:cs="FZFSK--GBK1-0"/>
                      <w:color w:val="auto"/>
                      <w:kern w:val="0"/>
                      <w:sz w:val="21"/>
                      <w:szCs w:val="21"/>
                      <w:lang w:val="en-US" w:eastAsia="zh-CN" w:bidi="ar"/>
                    </w:rPr>
                    <w:t>煤改气</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FZFSK--GBK1-0" w:cs="FZFSK--GBK1-0"/>
                      <w:color w:val="auto"/>
                      <w:kern w:val="0"/>
                      <w:sz w:val="21"/>
                      <w:szCs w:val="21"/>
                      <w:lang w:val="en-US" w:eastAsia="zh-CN" w:bidi="ar"/>
                    </w:rPr>
                    <w:t>煤改电</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FZFSK--GBK1-0" w:cs="FZFSK--GBK1-0"/>
                      <w:color w:val="auto"/>
                      <w:kern w:val="0"/>
                      <w:sz w:val="21"/>
                      <w:szCs w:val="21"/>
                      <w:lang w:val="en-US" w:eastAsia="zh-CN" w:bidi="ar"/>
                    </w:rPr>
                    <w:t>，加快</w:t>
                  </w:r>
                  <w:r>
                    <w:rPr>
                      <w:rFonts w:hint="eastAsia" w:ascii="Times New Roman" w:hAnsi="Times New Roman" w:eastAsia="FZFSK--GBK1-0" w:cs="FZFSK--GBK1-0"/>
                      <w:color w:val="auto"/>
                      <w:kern w:val="0"/>
                      <w:sz w:val="21"/>
                      <w:szCs w:val="21"/>
                      <w:lang w:val="en-US" w:eastAsia="zh-CN" w:bidi="ar"/>
                    </w:rPr>
                    <w:t>柴油</w:t>
                  </w:r>
                  <w:r>
                    <w:rPr>
                      <w:rFonts w:hint="default" w:ascii="Times New Roman" w:hAnsi="Times New Roman" w:eastAsia="FZFSK--GBK1-0" w:cs="FZFSK--GBK1-0"/>
                      <w:color w:val="auto"/>
                      <w:kern w:val="0"/>
                      <w:sz w:val="21"/>
                      <w:szCs w:val="21"/>
                      <w:lang w:val="en-US" w:eastAsia="zh-CN" w:bidi="ar"/>
                    </w:rPr>
                    <w:t xml:space="preserve">建设和推广，加大燃气汽车、 </w:t>
                  </w:r>
                </w:p>
                <w:p w14:paraId="7D69DE93">
                  <w:pPr>
                    <w:keepNext w:val="0"/>
                    <w:keepLines w:val="0"/>
                    <w:widowControl/>
                    <w:suppressLineNumbers w:val="0"/>
                    <w:spacing w:line="240" w:lineRule="auto"/>
                    <w:jc w:val="left"/>
                    <w:rPr>
                      <w:rFonts w:hint="default" w:ascii="Times New Roman" w:hAnsi="Times New Roman" w:eastAsia="宋体" w:cs="Times New Roman"/>
                      <w:b w:val="0"/>
                      <w:bCs w:val="0"/>
                      <w:color w:val="auto"/>
                      <w:kern w:val="0"/>
                      <w:sz w:val="21"/>
                      <w:szCs w:val="21"/>
                      <w:lang w:val="en-US" w:eastAsia="zh-CN" w:bidi="en-US"/>
                    </w:rPr>
                  </w:pPr>
                  <w:r>
                    <w:rPr>
                      <w:rFonts w:hint="default" w:ascii="Times New Roman" w:hAnsi="Times New Roman" w:eastAsia="FZFSK--GBK1-0" w:cs="FZFSK--GBK1-0"/>
                      <w:color w:val="auto"/>
                      <w:kern w:val="0"/>
                      <w:sz w:val="21"/>
                      <w:szCs w:val="21"/>
                      <w:lang w:val="en-US" w:eastAsia="zh-CN" w:bidi="ar"/>
                    </w:rPr>
                    <w:t>混合动力汽车和电动汽车等清洁能源汽车的使用力度，进一步提高清洁能源使用率</w:t>
                  </w:r>
                </w:p>
              </w:tc>
              <w:tc>
                <w:tcPr>
                  <w:tcW w:w="1742" w:type="pct"/>
                  <w:noWrap w:val="0"/>
                  <w:vAlign w:val="center"/>
                </w:tcPr>
                <w:p w14:paraId="2BAD80D5">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本项目不使用煤等高污染燃料</w:t>
                  </w:r>
                </w:p>
              </w:tc>
              <w:tc>
                <w:tcPr>
                  <w:tcW w:w="453" w:type="pct"/>
                  <w:noWrap w:val="0"/>
                  <w:vAlign w:val="center"/>
                </w:tcPr>
                <w:p w14:paraId="4C83D9E7">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符合</w:t>
                  </w:r>
                </w:p>
              </w:tc>
            </w:tr>
          </w:tbl>
          <w:p w14:paraId="3CB0491D">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项目不涉及优先保护单元、水源涵养、生态多样性维护、保水土保持、防风固沙、海洋生态等功能的生态功能重要区域，以及水土流失、土地沙化、石漠化、盐渍化等生态环境敏感脆弱区域；本项目不占用生态红线。</w:t>
            </w:r>
          </w:p>
          <w:p w14:paraId="19A903EB">
            <w:pPr>
              <w:spacing w:line="360" w:lineRule="auto"/>
              <w:ind w:firstLine="480"/>
              <w:rPr>
                <w:rFonts w:hint="eastAsia" w:ascii="宋体" w:hAnsi="宋体" w:eastAsia="宋体" w:cs="宋体"/>
                <w:color w:val="000000"/>
                <w:sz w:val="24"/>
              </w:rPr>
            </w:pPr>
            <w:r>
              <w:rPr>
                <w:rFonts w:hint="eastAsia" w:ascii="宋体" w:hAnsi="宋体" w:eastAsia="宋体" w:cs="宋体"/>
                <w:color w:val="000000"/>
                <w:sz w:val="24"/>
              </w:rPr>
              <w:t>本项目符合云南省、德宏州“三线一单”管控要求。</w:t>
            </w:r>
          </w:p>
          <w:p w14:paraId="3AE4144E">
            <w:pPr>
              <w:pStyle w:val="47"/>
              <w:spacing w:line="362" w:lineRule="auto"/>
              <w:ind w:right="88"/>
              <w:jc w:val="both"/>
              <w:rPr>
                <w:rFonts w:ascii="Times New Roman" w:hAnsi="Times New Roman"/>
                <w:b/>
                <w:color w:val="auto"/>
                <w:sz w:val="24"/>
              </w:rPr>
            </w:pPr>
            <w:r>
              <w:rPr>
                <w:rFonts w:hint="eastAsia" w:ascii="Times New Roman" w:hAnsi="Times New Roman"/>
                <w:b/>
                <w:color w:val="auto"/>
                <w:sz w:val="24"/>
                <w:lang w:val="en-US" w:eastAsia="zh-CN"/>
              </w:rPr>
              <w:t>3</w:t>
            </w:r>
            <w:r>
              <w:rPr>
                <w:rFonts w:ascii="Times New Roman" w:hAnsi="Times New Roman"/>
                <w:b/>
                <w:color w:val="auto"/>
                <w:spacing w:val="-5"/>
                <w:sz w:val="24"/>
              </w:rPr>
              <w:t>、《长江经济带发展负面清单指南》</w:t>
            </w:r>
            <w:r>
              <w:rPr>
                <w:rFonts w:ascii="Times New Roman" w:hAnsi="Times New Roman"/>
                <w:b/>
                <w:color w:val="auto"/>
                <w:sz w:val="24"/>
              </w:rPr>
              <w:t>（试行，2022</w:t>
            </w:r>
            <w:r>
              <w:rPr>
                <w:rFonts w:ascii="Times New Roman" w:hAnsi="Times New Roman"/>
                <w:b/>
                <w:color w:val="auto"/>
                <w:spacing w:val="-26"/>
                <w:sz w:val="24"/>
              </w:rPr>
              <w:t xml:space="preserve"> 年版</w:t>
            </w:r>
            <w:r>
              <w:rPr>
                <w:rFonts w:ascii="Times New Roman" w:hAnsi="Times New Roman"/>
                <w:b/>
                <w:color w:val="auto"/>
                <w:spacing w:val="-10"/>
                <w:sz w:val="24"/>
              </w:rPr>
              <w:t>）</w:t>
            </w:r>
            <w:r>
              <w:rPr>
                <w:rFonts w:ascii="Times New Roman" w:hAnsi="Times New Roman"/>
                <w:b/>
                <w:color w:val="auto"/>
                <w:spacing w:val="-3"/>
                <w:sz w:val="24"/>
              </w:rPr>
              <w:t>的通知》的符合性分析</w:t>
            </w:r>
          </w:p>
          <w:p w14:paraId="6F9E4DD0">
            <w:pPr>
              <w:pStyle w:val="47"/>
              <w:spacing w:line="360" w:lineRule="auto"/>
              <w:ind w:left="111" w:right="47" w:firstLine="480"/>
              <w:jc w:val="both"/>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项目与《长江经济带发展负面清单指南》（试行，2022</w:t>
            </w:r>
            <w:r>
              <w:rPr>
                <w:rFonts w:hint="eastAsia" w:asciiTheme="majorEastAsia" w:hAnsiTheme="majorEastAsia" w:eastAsiaTheme="majorEastAsia" w:cstheme="majorEastAsia"/>
                <w:color w:val="auto"/>
                <w:spacing w:val="-20"/>
                <w:sz w:val="24"/>
              </w:rPr>
              <w:t xml:space="preserve"> 年版</w:t>
            </w:r>
            <w:r>
              <w:rPr>
                <w:rFonts w:hint="eastAsia" w:asciiTheme="majorEastAsia" w:hAnsiTheme="majorEastAsia" w:eastAsiaTheme="majorEastAsia" w:cstheme="majorEastAsia"/>
                <w:color w:val="auto"/>
                <w:sz w:val="24"/>
              </w:rPr>
              <w:t>）</w:t>
            </w:r>
            <w:r>
              <w:rPr>
                <w:rFonts w:hint="eastAsia" w:asciiTheme="majorEastAsia" w:hAnsiTheme="majorEastAsia" w:eastAsiaTheme="majorEastAsia" w:cstheme="majorEastAsia"/>
                <w:color w:val="auto"/>
                <w:spacing w:val="-5"/>
                <w:sz w:val="24"/>
              </w:rPr>
              <w:t>的通知》</w:t>
            </w:r>
            <w:r>
              <w:rPr>
                <w:rFonts w:hint="eastAsia" w:asciiTheme="majorEastAsia" w:hAnsiTheme="majorEastAsia" w:eastAsiaTheme="majorEastAsia" w:cstheme="majorEastAsia"/>
                <w:color w:val="auto"/>
                <w:spacing w:val="-6"/>
                <w:sz w:val="24"/>
              </w:rPr>
              <w:t xml:space="preserve">对比分析情况见下表 </w:t>
            </w:r>
            <w:r>
              <w:rPr>
                <w:rFonts w:hint="eastAsia" w:asciiTheme="majorEastAsia" w:hAnsiTheme="majorEastAsia" w:eastAsiaTheme="majorEastAsia" w:cstheme="majorEastAsia"/>
                <w:color w:val="auto"/>
                <w:sz w:val="24"/>
              </w:rPr>
              <w:t>1-</w:t>
            </w:r>
            <w:r>
              <w:rPr>
                <w:rFonts w:hint="eastAsia" w:asciiTheme="majorEastAsia" w:hAnsiTheme="majorEastAsia" w:eastAsiaTheme="majorEastAsia" w:cstheme="majorEastAsia"/>
                <w:color w:val="auto"/>
                <w:sz w:val="24"/>
                <w:lang w:val="en-US" w:eastAsia="zh-CN"/>
              </w:rPr>
              <w:t>4</w:t>
            </w:r>
            <w:r>
              <w:rPr>
                <w:rFonts w:hint="eastAsia" w:asciiTheme="majorEastAsia" w:hAnsiTheme="majorEastAsia" w:eastAsiaTheme="majorEastAsia" w:cstheme="majorEastAsia"/>
                <w:color w:val="auto"/>
                <w:sz w:val="24"/>
              </w:rPr>
              <w:t>。</w:t>
            </w:r>
          </w:p>
          <w:p w14:paraId="1E492495">
            <w:pPr>
              <w:adjustRightInd w:val="0"/>
              <w:snapToGrid w:val="0"/>
              <w:spacing w:line="360" w:lineRule="auto"/>
              <w:ind w:firstLine="482" w:firstLineChars="200"/>
              <w:jc w:val="center"/>
              <w:rPr>
                <w:rFonts w:hint="eastAsia" w:ascii="Times New Roman" w:hAnsi="Times New Roman" w:eastAsia="宋体" w:cs="宋体"/>
                <w:b/>
                <w:bCs/>
                <w:color w:val="auto"/>
                <w:sz w:val="24"/>
                <w:szCs w:val="24"/>
                <w:lang w:eastAsia="zh-CN"/>
              </w:rPr>
            </w:pPr>
            <w:r>
              <w:rPr>
                <w:rFonts w:hint="eastAsia" w:ascii="Times New Roman" w:hAnsi="Times New Roman" w:eastAsia="宋体" w:cs="宋体"/>
                <w:b/>
                <w:bCs/>
                <w:color w:val="auto"/>
                <w:sz w:val="24"/>
                <w:szCs w:val="24"/>
                <w:lang w:eastAsia="zh-CN"/>
              </w:rPr>
              <w:t>表 1-</w:t>
            </w:r>
            <w:r>
              <w:rPr>
                <w:rFonts w:hint="eastAsia" w:ascii="Times New Roman" w:hAnsi="Times New Roman" w:eastAsia="宋体" w:cs="宋体"/>
                <w:b/>
                <w:bCs/>
                <w:color w:val="auto"/>
                <w:sz w:val="24"/>
                <w:szCs w:val="24"/>
                <w:lang w:val="en-US" w:eastAsia="zh-CN"/>
              </w:rPr>
              <w:t>4  与</w:t>
            </w:r>
            <w:r>
              <w:rPr>
                <w:rFonts w:hint="eastAsia" w:ascii="Times New Roman" w:hAnsi="Times New Roman" w:eastAsia="宋体" w:cs="宋体"/>
                <w:b/>
                <w:bCs/>
                <w:color w:val="auto"/>
                <w:sz w:val="24"/>
                <w:szCs w:val="24"/>
                <w:lang w:eastAsia="zh-CN"/>
              </w:rPr>
              <w:t>《长江经济带发展负面清单指南》相符性</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2"/>
              <w:gridCol w:w="2889"/>
              <w:gridCol w:w="1165"/>
            </w:tblGrid>
            <w:tr w14:paraId="520A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2816" w:type="dxa"/>
                  <w:noWrap w:val="0"/>
                  <w:vAlign w:val="center"/>
                </w:tcPr>
                <w:p w14:paraId="4E838385">
                  <w:pPr>
                    <w:pStyle w:val="8"/>
                    <w:widowControl w:val="0"/>
                    <w:adjustRightInd w:val="0"/>
                    <w:snapToGrid w:val="0"/>
                    <w:spacing w:after="0" w:line="240" w:lineRule="auto"/>
                    <w:ind w:firstLine="0" w:firstLineChars="0"/>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《指南》要求</w:t>
                  </w:r>
                </w:p>
              </w:tc>
              <w:tc>
                <w:tcPr>
                  <w:tcW w:w="2456" w:type="dxa"/>
                  <w:noWrap w:val="0"/>
                  <w:vAlign w:val="center"/>
                </w:tcPr>
                <w:p w14:paraId="2936A56B">
                  <w:pPr>
                    <w:pStyle w:val="8"/>
                    <w:widowControl w:val="0"/>
                    <w:adjustRightInd w:val="0"/>
                    <w:snapToGrid w:val="0"/>
                    <w:spacing w:after="0" w:line="240" w:lineRule="auto"/>
                    <w:ind w:firstLine="0" w:firstLine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本项目</w:t>
                  </w:r>
                </w:p>
              </w:tc>
              <w:tc>
                <w:tcPr>
                  <w:tcW w:w="990" w:type="dxa"/>
                  <w:noWrap w:val="0"/>
                  <w:vAlign w:val="center"/>
                </w:tcPr>
                <w:p w14:paraId="328168BF">
                  <w:pPr>
                    <w:pStyle w:val="8"/>
                    <w:widowControl w:val="0"/>
                    <w:adjustRightInd w:val="0"/>
                    <w:snapToGrid w:val="0"/>
                    <w:spacing w:after="0" w:line="240" w:lineRule="auto"/>
                    <w:ind w:firstLine="0" w:firstLine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相符性</w:t>
                  </w:r>
                </w:p>
              </w:tc>
            </w:tr>
            <w:tr w14:paraId="3159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816" w:type="dxa"/>
                  <w:noWrap w:val="0"/>
                  <w:vAlign w:val="center"/>
                </w:tcPr>
                <w:p w14:paraId="0ACB3EC9">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（一）禁止建设不符合全国和省级港口布局规划以及港口总体夫划的码头项目，禁止建设不符合《长江于线过江通道布局规划》的过长江通道项目</w:t>
                  </w:r>
                </w:p>
              </w:tc>
              <w:tc>
                <w:tcPr>
                  <w:tcW w:w="2456" w:type="dxa"/>
                  <w:noWrap w:val="0"/>
                  <w:vAlign w:val="center"/>
                </w:tcPr>
                <w:p w14:paraId="2D9CE192">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项目位于</w:t>
                  </w:r>
                  <w:r>
                    <w:rPr>
                      <w:rFonts w:hint="eastAsia" w:cs="Times New Roman"/>
                      <w:b w:val="0"/>
                      <w:bCs w:val="0"/>
                      <w:color w:val="auto"/>
                      <w:sz w:val="21"/>
                      <w:szCs w:val="21"/>
                      <w:lang w:val="en-US" w:eastAsia="zh-CN"/>
                    </w:rPr>
                    <w:t>云南省德宏州芒市风平镇帕底村芒市糖厂内</w:t>
                  </w:r>
                  <w:r>
                    <w:rPr>
                      <w:rFonts w:hint="eastAsia" w:ascii="Times New Roman" w:hAnsi="Times New Roman" w:eastAsia="宋体" w:cs="Times New Roman"/>
                      <w:b w:val="0"/>
                      <w:bCs w:val="0"/>
                      <w:color w:val="auto"/>
                      <w:sz w:val="21"/>
                      <w:szCs w:val="21"/>
                      <w:lang w:val="en-US" w:eastAsia="zh-CN"/>
                    </w:rPr>
                    <w:t>，不属于码头或过长江通道项目</w:t>
                  </w:r>
                </w:p>
              </w:tc>
              <w:tc>
                <w:tcPr>
                  <w:tcW w:w="990" w:type="dxa"/>
                  <w:noWrap w:val="0"/>
                  <w:vAlign w:val="center"/>
                </w:tcPr>
                <w:p w14:paraId="6FAD6476">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相符</w:t>
                  </w:r>
                </w:p>
              </w:tc>
            </w:tr>
            <w:tr w14:paraId="47E6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816" w:type="dxa"/>
                  <w:noWrap w:val="0"/>
                  <w:vAlign w:val="center"/>
                </w:tcPr>
                <w:p w14:paraId="0BD86D26">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（二）禁止在自然保护区核心区、缓冲区的岸线 和河段范围内投资建设旅游和生产经营项目。禁止在风景名胜区核心景区的岸线和河段范围内投资建设与风景名胜资源保护无关的项目</w:t>
                  </w:r>
                </w:p>
              </w:tc>
              <w:tc>
                <w:tcPr>
                  <w:tcW w:w="2456" w:type="dxa"/>
                  <w:noWrap w:val="0"/>
                  <w:vAlign w:val="center"/>
                </w:tcPr>
                <w:p w14:paraId="69FEE63C">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项目位于</w:t>
                  </w:r>
                  <w:r>
                    <w:rPr>
                      <w:rFonts w:hint="eastAsia" w:cs="Times New Roman"/>
                      <w:b w:val="0"/>
                      <w:bCs w:val="0"/>
                      <w:color w:val="auto"/>
                      <w:sz w:val="21"/>
                      <w:szCs w:val="21"/>
                      <w:lang w:val="en-US" w:eastAsia="zh-CN"/>
                    </w:rPr>
                    <w:t>云南省德宏州芒市风平镇帕底村芒市糖厂内</w:t>
                  </w:r>
                  <w:r>
                    <w:rPr>
                      <w:rFonts w:hint="eastAsia" w:ascii="Times New Roman" w:hAnsi="Times New Roman" w:eastAsia="宋体" w:cs="Times New Roman"/>
                      <w:b w:val="0"/>
                      <w:bCs w:val="0"/>
                      <w:color w:val="auto"/>
                      <w:sz w:val="21"/>
                      <w:szCs w:val="21"/>
                      <w:lang w:val="en-US" w:eastAsia="zh-CN"/>
                    </w:rPr>
                    <w:t>，项目用地为工业用地，不涉及基本农田，不占用永久基本农田，不占用生态保护红线，选址区域不涉及自然保护区、风景名胜区等，不涉及条款禁止行为</w:t>
                  </w:r>
                </w:p>
              </w:tc>
              <w:tc>
                <w:tcPr>
                  <w:tcW w:w="990" w:type="dxa"/>
                  <w:noWrap w:val="0"/>
                  <w:vAlign w:val="center"/>
                </w:tcPr>
                <w:p w14:paraId="29B6C793">
                  <w:pPr>
                    <w:pStyle w:val="8"/>
                    <w:widowControl w:val="0"/>
                    <w:adjustRightInd w:val="0"/>
                    <w:snapToGrid w:val="0"/>
                    <w:spacing w:after="0" w:line="240" w:lineRule="auto"/>
                    <w:ind w:firstLine="0" w:firstLineChars="0"/>
                    <w:jc w:val="center"/>
                    <w:rPr>
                      <w:rFonts w:hint="eastAsia" w:ascii="Times New Roman" w:hAnsi="Times New Roman" w:eastAsia="宋体" w:cs="Times New Roman"/>
                      <w:b w:val="0"/>
                      <w:bCs w:val="0"/>
                      <w:color w:val="auto"/>
                      <w:sz w:val="21"/>
                      <w:szCs w:val="21"/>
                      <w:lang w:val="en-US" w:eastAsia="zh-CN"/>
                    </w:rPr>
                  </w:pPr>
                </w:p>
                <w:p w14:paraId="43A27089">
                  <w:pPr>
                    <w:pStyle w:val="8"/>
                    <w:widowControl w:val="0"/>
                    <w:adjustRightInd w:val="0"/>
                    <w:snapToGrid w:val="0"/>
                    <w:spacing w:after="0" w:line="240" w:lineRule="auto"/>
                    <w:ind w:firstLine="0" w:firstLineChars="0"/>
                    <w:jc w:val="center"/>
                    <w:rPr>
                      <w:rFonts w:hint="eastAsia" w:ascii="Times New Roman" w:hAnsi="Times New Roman" w:eastAsia="宋体" w:cs="Times New Roman"/>
                      <w:b w:val="0"/>
                      <w:bCs w:val="0"/>
                      <w:color w:val="auto"/>
                      <w:sz w:val="21"/>
                      <w:szCs w:val="21"/>
                      <w:lang w:val="en-US" w:eastAsia="zh-CN"/>
                    </w:rPr>
                  </w:pPr>
                </w:p>
                <w:p w14:paraId="0E72F1E8">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相符</w:t>
                  </w:r>
                </w:p>
              </w:tc>
            </w:tr>
            <w:tr w14:paraId="506E0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816" w:type="dxa"/>
                  <w:noWrap w:val="0"/>
                  <w:vAlign w:val="center"/>
                </w:tcPr>
                <w:p w14:paraId="759A81A4">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（三）禁止在饮用水水源一级保护区的岸线和河 段范围内新建、改建、扩建与供水设施和保护水 源无关的项目，以及网箱养殖、畜禽养殖、旅游 等可能污染饮用水水体的投资建设项目。禁止在饮用水水源二级保护区的岸线和河段范围内新建、改建、扩建排放污染物的投资建设项目</w:t>
                  </w:r>
                </w:p>
              </w:tc>
              <w:tc>
                <w:tcPr>
                  <w:tcW w:w="2456" w:type="dxa"/>
                  <w:noWrap w:val="0"/>
                  <w:vAlign w:val="center"/>
                </w:tcPr>
                <w:p w14:paraId="563BA12D">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项目位于</w:t>
                  </w:r>
                  <w:r>
                    <w:rPr>
                      <w:rFonts w:hint="eastAsia" w:cs="Times New Roman"/>
                      <w:b w:val="0"/>
                      <w:bCs w:val="0"/>
                      <w:color w:val="auto"/>
                      <w:sz w:val="21"/>
                      <w:szCs w:val="21"/>
                      <w:lang w:val="en-US" w:eastAsia="zh-CN"/>
                    </w:rPr>
                    <w:t>云南省德宏州芒市风平镇帕底村芒市糖厂内</w:t>
                  </w:r>
                  <w:r>
                    <w:rPr>
                      <w:rFonts w:hint="eastAsia" w:ascii="Times New Roman" w:hAnsi="Times New Roman" w:eastAsia="宋体" w:cs="Times New Roman"/>
                      <w:b w:val="0"/>
                      <w:bCs w:val="0"/>
                      <w:color w:val="auto"/>
                      <w:sz w:val="21"/>
                      <w:szCs w:val="21"/>
                      <w:lang w:val="en-US" w:eastAsia="zh-CN"/>
                    </w:rPr>
                    <w:t>，项目选址区域不涉及饮用水水源一、二级保护区，不涉及条款禁止行为</w:t>
                  </w:r>
                </w:p>
              </w:tc>
              <w:tc>
                <w:tcPr>
                  <w:tcW w:w="990" w:type="dxa"/>
                  <w:noWrap w:val="0"/>
                  <w:vAlign w:val="center"/>
                </w:tcPr>
                <w:p w14:paraId="300B899F">
                  <w:pPr>
                    <w:pStyle w:val="8"/>
                    <w:widowControl w:val="0"/>
                    <w:adjustRightInd w:val="0"/>
                    <w:snapToGrid w:val="0"/>
                    <w:spacing w:after="0" w:line="240" w:lineRule="auto"/>
                    <w:ind w:firstLine="0" w:firstLineChars="0"/>
                    <w:jc w:val="center"/>
                    <w:rPr>
                      <w:rFonts w:hint="eastAsia" w:ascii="Times New Roman" w:hAnsi="Times New Roman" w:eastAsia="宋体" w:cs="Times New Roman"/>
                      <w:b w:val="0"/>
                      <w:bCs w:val="0"/>
                      <w:color w:val="auto"/>
                      <w:sz w:val="21"/>
                      <w:szCs w:val="21"/>
                      <w:lang w:val="en-US" w:eastAsia="zh-CN"/>
                    </w:rPr>
                  </w:pPr>
                </w:p>
                <w:p w14:paraId="34D639FA">
                  <w:pPr>
                    <w:pStyle w:val="8"/>
                    <w:widowControl w:val="0"/>
                    <w:adjustRightInd w:val="0"/>
                    <w:snapToGrid w:val="0"/>
                    <w:spacing w:after="0" w:line="240" w:lineRule="auto"/>
                    <w:ind w:firstLine="0" w:firstLineChars="0"/>
                    <w:jc w:val="center"/>
                    <w:rPr>
                      <w:rFonts w:hint="eastAsia" w:ascii="Times New Roman" w:hAnsi="Times New Roman" w:eastAsia="宋体" w:cs="Times New Roman"/>
                      <w:b w:val="0"/>
                      <w:bCs w:val="0"/>
                      <w:color w:val="auto"/>
                      <w:sz w:val="21"/>
                      <w:szCs w:val="21"/>
                      <w:lang w:val="en-US" w:eastAsia="zh-CN"/>
                    </w:rPr>
                  </w:pPr>
                </w:p>
                <w:p w14:paraId="3563C77B">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相符</w:t>
                  </w:r>
                </w:p>
              </w:tc>
            </w:tr>
            <w:tr w14:paraId="40FD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816" w:type="dxa"/>
                  <w:noWrap w:val="0"/>
                  <w:vAlign w:val="center"/>
                </w:tcPr>
                <w:p w14:paraId="6C330080">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（四）禁止在水产种质资源保护区的岸线和河段 范围内新建围湖造田、围海造地或围填海等投资 建设项目。禁止在国家湿地公园的岸线和河段范 围内挖沙、采矿，以及任何不符合主体功能定位 的投资建设项目。</w:t>
                  </w:r>
                </w:p>
              </w:tc>
              <w:tc>
                <w:tcPr>
                  <w:tcW w:w="2456" w:type="dxa"/>
                  <w:noWrap w:val="0"/>
                  <w:vAlign w:val="center"/>
                </w:tcPr>
                <w:p w14:paraId="16431C55">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项目不属于在水产种质资源保护区的岸线和河段范围内新建围湖造田、围海造地或围填海等投资建设项目，项目符合主体功能定位的投资建设项目</w:t>
                  </w:r>
                </w:p>
              </w:tc>
              <w:tc>
                <w:tcPr>
                  <w:tcW w:w="990" w:type="dxa"/>
                  <w:noWrap w:val="0"/>
                  <w:vAlign w:val="center"/>
                </w:tcPr>
                <w:p w14:paraId="55EC1D1F">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相符</w:t>
                  </w:r>
                </w:p>
              </w:tc>
            </w:tr>
            <w:tr w14:paraId="52B3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816" w:type="dxa"/>
                  <w:noWrap w:val="0"/>
                  <w:vAlign w:val="center"/>
                </w:tcPr>
                <w:p w14:paraId="3E9D62A4">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（五）禁止违法利用、占用长江流域河湖岸线。禁止在《长江岸线保护和开发利用总体规划》划定的岸线保护区和保留区内投资建设除事关公共安全及公众利益的防洪护岸、河道治理、供水、 生态环境保护、航道整治、国家重要基础设施以外的项目。禁止在《全国重要江河湖泊水功能区划》划定的河段及湖泊保护区、保留区内投资建设不利于水资源及自然生态保护的项目</w:t>
                  </w:r>
                </w:p>
              </w:tc>
              <w:tc>
                <w:tcPr>
                  <w:tcW w:w="2456" w:type="dxa"/>
                  <w:noWrap w:val="0"/>
                  <w:vAlign w:val="center"/>
                </w:tcPr>
                <w:p w14:paraId="53DEC5DF">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项目位于</w:t>
                  </w:r>
                  <w:r>
                    <w:rPr>
                      <w:rFonts w:hint="eastAsia" w:cs="Times New Roman"/>
                      <w:b w:val="0"/>
                      <w:bCs w:val="0"/>
                      <w:color w:val="auto"/>
                      <w:sz w:val="21"/>
                      <w:szCs w:val="21"/>
                      <w:lang w:val="en-US" w:eastAsia="zh-CN"/>
                    </w:rPr>
                    <w:t>云南省德宏州芒市风平镇帕底村芒市糖厂内</w:t>
                  </w:r>
                  <w:r>
                    <w:rPr>
                      <w:rFonts w:hint="eastAsia" w:ascii="Times New Roman" w:hAnsi="Times New Roman" w:eastAsia="宋体" w:cs="Times New Roman"/>
                      <w:b w:val="0"/>
                      <w:bCs w:val="0"/>
                      <w:color w:val="auto"/>
                      <w:sz w:val="21"/>
                      <w:szCs w:val="21"/>
                      <w:lang w:val="en-US" w:eastAsia="zh-CN"/>
                    </w:rPr>
                    <w:t>，项目用地为工业用地，不属于违法利用、占用长江流域河湖岸线和投资建设不利于水资源及自然生态保护的项目</w:t>
                  </w:r>
                </w:p>
              </w:tc>
              <w:tc>
                <w:tcPr>
                  <w:tcW w:w="990" w:type="dxa"/>
                  <w:noWrap w:val="0"/>
                  <w:vAlign w:val="center"/>
                </w:tcPr>
                <w:p w14:paraId="0CE1B6B3">
                  <w:pPr>
                    <w:pStyle w:val="8"/>
                    <w:widowControl w:val="0"/>
                    <w:adjustRightInd w:val="0"/>
                    <w:snapToGrid w:val="0"/>
                    <w:spacing w:after="0" w:line="240" w:lineRule="auto"/>
                    <w:ind w:firstLine="0" w:firstLineChars="0"/>
                    <w:jc w:val="center"/>
                    <w:rPr>
                      <w:rFonts w:hint="eastAsia" w:ascii="Times New Roman" w:hAnsi="Times New Roman" w:eastAsia="宋体" w:cs="Times New Roman"/>
                      <w:b w:val="0"/>
                      <w:bCs w:val="0"/>
                      <w:color w:val="auto"/>
                      <w:sz w:val="21"/>
                      <w:szCs w:val="21"/>
                      <w:lang w:val="en-US" w:eastAsia="zh-CN"/>
                    </w:rPr>
                  </w:pPr>
                </w:p>
                <w:p w14:paraId="1227960D">
                  <w:pPr>
                    <w:pStyle w:val="8"/>
                    <w:widowControl w:val="0"/>
                    <w:adjustRightInd w:val="0"/>
                    <w:snapToGrid w:val="0"/>
                    <w:spacing w:after="0" w:line="240" w:lineRule="auto"/>
                    <w:ind w:firstLine="0" w:firstLineChars="0"/>
                    <w:jc w:val="center"/>
                    <w:rPr>
                      <w:rFonts w:hint="eastAsia" w:ascii="Times New Roman" w:hAnsi="Times New Roman" w:eastAsia="宋体" w:cs="Times New Roman"/>
                      <w:b w:val="0"/>
                      <w:bCs w:val="0"/>
                      <w:color w:val="auto"/>
                      <w:sz w:val="21"/>
                      <w:szCs w:val="21"/>
                      <w:lang w:val="en-US" w:eastAsia="zh-CN"/>
                    </w:rPr>
                  </w:pPr>
                </w:p>
                <w:p w14:paraId="7DDC96CA">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相符</w:t>
                  </w:r>
                </w:p>
              </w:tc>
            </w:tr>
            <w:tr w14:paraId="0440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816" w:type="dxa"/>
                  <w:noWrap w:val="0"/>
                  <w:vAlign w:val="center"/>
                </w:tcPr>
                <w:p w14:paraId="33CBC9B2">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（六）禁止未经许可在长江干支流及湖泊新设、改设或扩大排污口</w:t>
                  </w:r>
                </w:p>
              </w:tc>
              <w:tc>
                <w:tcPr>
                  <w:tcW w:w="2456" w:type="dxa"/>
                  <w:noWrap w:val="0"/>
                  <w:vAlign w:val="center"/>
                </w:tcPr>
                <w:p w14:paraId="4987858C">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项目废水不外排</w:t>
                  </w:r>
                </w:p>
              </w:tc>
              <w:tc>
                <w:tcPr>
                  <w:tcW w:w="990" w:type="dxa"/>
                  <w:noWrap w:val="0"/>
                  <w:vAlign w:val="center"/>
                </w:tcPr>
                <w:p w14:paraId="1DC944BD">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相符</w:t>
                  </w:r>
                </w:p>
              </w:tc>
            </w:tr>
            <w:tr w14:paraId="7C71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816" w:type="dxa"/>
                  <w:noWrap w:val="0"/>
                  <w:vAlign w:val="center"/>
                </w:tcPr>
                <w:p w14:paraId="0DE1FE28">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（七）禁止在“一江一口两湖七河”和 332 个水生生物保护区开展生产性捕捞</w:t>
                  </w:r>
                </w:p>
              </w:tc>
              <w:tc>
                <w:tcPr>
                  <w:tcW w:w="2456" w:type="dxa"/>
                  <w:noWrap w:val="0"/>
                  <w:vAlign w:val="center"/>
                </w:tcPr>
                <w:p w14:paraId="79684D90">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项目不涉及捕捞</w:t>
                  </w:r>
                </w:p>
              </w:tc>
              <w:tc>
                <w:tcPr>
                  <w:tcW w:w="990" w:type="dxa"/>
                  <w:noWrap w:val="0"/>
                  <w:vAlign w:val="center"/>
                </w:tcPr>
                <w:p w14:paraId="498E6B95">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相符</w:t>
                  </w:r>
                </w:p>
              </w:tc>
            </w:tr>
            <w:tr w14:paraId="7C0B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816" w:type="dxa"/>
                  <w:noWrap w:val="0"/>
                  <w:vAlign w:val="center"/>
                </w:tcPr>
                <w:p w14:paraId="3B0DEE37">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（八）禁止在长江干支流、重要湖泊岸线一公里范围内新建、扩建化工园区和化工项目。禁止在长江干流岸线三公里范围内和重要支流岸线一 公里范围内新建、改建、扩建尾矿库、冶炼渣库 和磷石膏库，以提升安全、生态环境保护水平为目的的改建除外</w:t>
                  </w:r>
                </w:p>
              </w:tc>
              <w:tc>
                <w:tcPr>
                  <w:tcW w:w="2456" w:type="dxa"/>
                  <w:noWrap w:val="0"/>
                  <w:vAlign w:val="center"/>
                </w:tcPr>
                <w:p w14:paraId="622BB3CD">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项目位于</w:t>
                  </w:r>
                  <w:r>
                    <w:rPr>
                      <w:rFonts w:hint="eastAsia" w:cs="Times New Roman"/>
                      <w:b w:val="0"/>
                      <w:bCs w:val="0"/>
                      <w:color w:val="auto"/>
                      <w:sz w:val="21"/>
                      <w:szCs w:val="21"/>
                      <w:lang w:val="en-US" w:eastAsia="zh-CN"/>
                    </w:rPr>
                    <w:t>云南省德宏州芒市风平镇帕底村芒市糖厂内</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项目</w:t>
                  </w:r>
                  <w:r>
                    <w:rPr>
                      <w:rFonts w:hint="eastAsia" w:ascii="Times New Roman" w:hAnsi="Times New Roman" w:eastAsia="宋体" w:cs="Times New Roman"/>
                      <w:b w:val="0"/>
                      <w:bCs w:val="0"/>
                      <w:color w:val="auto"/>
                      <w:sz w:val="21"/>
                      <w:szCs w:val="21"/>
                      <w:lang w:val="en-US" w:eastAsia="zh-CN"/>
                    </w:rPr>
                    <w:t>属于水泥制品制造生产项目，</w:t>
                  </w:r>
                  <w:r>
                    <w:rPr>
                      <w:rFonts w:hint="default" w:ascii="Times New Roman" w:hAnsi="Times New Roman" w:eastAsia="宋体" w:cs="Times New Roman"/>
                      <w:b w:val="0"/>
                      <w:bCs w:val="0"/>
                      <w:color w:val="auto"/>
                      <w:sz w:val="21"/>
                      <w:szCs w:val="21"/>
                      <w:lang w:val="en-US" w:eastAsia="zh-CN"/>
                    </w:rPr>
                    <w:t>不属于尾矿库、冶炼渣库和磷石膏库的项目</w:t>
                  </w:r>
                </w:p>
              </w:tc>
              <w:tc>
                <w:tcPr>
                  <w:tcW w:w="990" w:type="dxa"/>
                  <w:noWrap w:val="0"/>
                  <w:vAlign w:val="center"/>
                </w:tcPr>
                <w:p w14:paraId="6295BA67">
                  <w:pPr>
                    <w:pStyle w:val="8"/>
                    <w:widowControl w:val="0"/>
                    <w:adjustRightInd w:val="0"/>
                    <w:snapToGrid w:val="0"/>
                    <w:spacing w:after="0" w:line="240" w:lineRule="auto"/>
                    <w:ind w:firstLine="0" w:firstLineChars="0"/>
                    <w:jc w:val="center"/>
                    <w:rPr>
                      <w:rFonts w:hint="eastAsia" w:ascii="Times New Roman" w:hAnsi="Times New Roman" w:eastAsia="宋体" w:cs="Times New Roman"/>
                      <w:b w:val="0"/>
                      <w:bCs w:val="0"/>
                      <w:color w:val="auto"/>
                      <w:sz w:val="21"/>
                      <w:szCs w:val="21"/>
                      <w:lang w:val="en-US" w:eastAsia="zh-CN"/>
                    </w:rPr>
                  </w:pPr>
                </w:p>
                <w:p w14:paraId="4B893979">
                  <w:pPr>
                    <w:pStyle w:val="8"/>
                    <w:widowControl w:val="0"/>
                    <w:adjustRightInd w:val="0"/>
                    <w:snapToGrid w:val="0"/>
                    <w:spacing w:after="0" w:line="240" w:lineRule="auto"/>
                    <w:ind w:firstLine="0" w:firstLineChars="0"/>
                    <w:jc w:val="center"/>
                    <w:rPr>
                      <w:rFonts w:hint="eastAsia" w:ascii="Times New Roman" w:hAnsi="Times New Roman" w:eastAsia="宋体" w:cs="Times New Roman"/>
                      <w:b w:val="0"/>
                      <w:bCs w:val="0"/>
                      <w:color w:val="auto"/>
                      <w:sz w:val="21"/>
                      <w:szCs w:val="21"/>
                      <w:lang w:val="en-US" w:eastAsia="zh-CN"/>
                    </w:rPr>
                  </w:pPr>
                </w:p>
                <w:p w14:paraId="21B7F021">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相符</w:t>
                  </w:r>
                </w:p>
              </w:tc>
            </w:tr>
            <w:tr w14:paraId="498A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816" w:type="dxa"/>
                  <w:noWrap w:val="0"/>
                  <w:vAlign w:val="center"/>
                </w:tcPr>
                <w:p w14:paraId="41246CE7">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（九）禁止在合规园区外新建、扩建钢铁、石化、 化工、焦化、建材、有色、制浆造纸等高污染项目</w:t>
                  </w:r>
                </w:p>
              </w:tc>
              <w:tc>
                <w:tcPr>
                  <w:tcW w:w="2456" w:type="dxa"/>
                  <w:noWrap w:val="0"/>
                  <w:vAlign w:val="center"/>
                </w:tcPr>
                <w:p w14:paraId="70DA4112">
                  <w:pPr>
                    <w:pStyle w:val="8"/>
                    <w:widowControl w:val="0"/>
                    <w:adjustRightInd w:val="0"/>
                    <w:snapToGrid w:val="0"/>
                    <w:spacing w:after="0" w:line="240" w:lineRule="auto"/>
                    <w:ind w:firstLine="0" w:firstLineChars="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项目位于</w:t>
                  </w:r>
                  <w:r>
                    <w:rPr>
                      <w:rFonts w:hint="eastAsia" w:cs="Times New Roman"/>
                      <w:b w:val="0"/>
                      <w:bCs w:val="0"/>
                      <w:color w:val="auto"/>
                      <w:sz w:val="21"/>
                      <w:szCs w:val="21"/>
                      <w:lang w:val="en-US" w:eastAsia="zh-CN"/>
                    </w:rPr>
                    <w:t>云南省德宏州芒市风平镇帕底村芒市糖厂内</w:t>
                  </w:r>
                  <w:r>
                    <w:rPr>
                      <w:rFonts w:hint="eastAsia" w:ascii="Times New Roman" w:hAnsi="Times New Roman" w:eastAsia="宋体" w:cs="Times New Roman"/>
                      <w:b w:val="0"/>
                      <w:bCs w:val="0"/>
                      <w:color w:val="auto"/>
                      <w:sz w:val="21"/>
                      <w:szCs w:val="21"/>
                      <w:lang w:val="en-US" w:eastAsia="zh-CN"/>
                    </w:rPr>
                    <w:t>，项目属于水泥制品制造生产项目，不属于钢铁、石化、 化工、焦化、建材、有色、制浆造纸等高污染项目</w:t>
                  </w:r>
                </w:p>
              </w:tc>
              <w:tc>
                <w:tcPr>
                  <w:tcW w:w="990" w:type="dxa"/>
                  <w:noWrap w:val="0"/>
                  <w:vAlign w:val="center"/>
                </w:tcPr>
                <w:p w14:paraId="6DF215D9">
                  <w:pPr>
                    <w:pStyle w:val="8"/>
                    <w:widowControl w:val="0"/>
                    <w:adjustRightInd w:val="0"/>
                    <w:snapToGrid w:val="0"/>
                    <w:spacing w:after="0" w:line="240" w:lineRule="auto"/>
                    <w:ind w:firstLine="0" w:firstLineChars="0"/>
                    <w:jc w:val="center"/>
                    <w:rPr>
                      <w:rFonts w:hint="eastAsia" w:ascii="Times New Roman" w:hAnsi="Times New Roman" w:eastAsia="宋体" w:cs="Times New Roman"/>
                      <w:b w:val="0"/>
                      <w:bCs w:val="0"/>
                      <w:color w:val="auto"/>
                      <w:sz w:val="21"/>
                      <w:szCs w:val="21"/>
                      <w:lang w:val="en-US" w:eastAsia="zh-CN"/>
                    </w:rPr>
                  </w:pPr>
                </w:p>
                <w:p w14:paraId="7570D388">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相符</w:t>
                  </w:r>
                </w:p>
              </w:tc>
            </w:tr>
            <w:tr w14:paraId="32CC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2816" w:type="dxa"/>
                  <w:noWrap w:val="0"/>
                  <w:vAlign w:val="center"/>
                </w:tcPr>
                <w:p w14:paraId="42F7B355">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（十）禁止新建、扩建法律法规和相关政策明令禁止的落后产能项目。禁止新建、扩建不符合国家产能置换要求的严重过剩产能行业的项目。禁止新建、扩建不符合要求的高耗能高排放项目</w:t>
                  </w:r>
                </w:p>
              </w:tc>
              <w:tc>
                <w:tcPr>
                  <w:tcW w:w="2456" w:type="dxa"/>
                  <w:noWrap w:val="0"/>
                  <w:vAlign w:val="center"/>
                </w:tcPr>
                <w:p w14:paraId="2E70668C">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项目不属于新建、扩建法律法规和相关政策明令禁止的落后产能项目，不属于禁止新建、扩建不符合国家产能置换要求的严重过剩产能行业的项目，不属于禁止新建、扩建不符合要求的高耗能高排放项目</w:t>
                  </w:r>
                </w:p>
              </w:tc>
              <w:tc>
                <w:tcPr>
                  <w:tcW w:w="990" w:type="dxa"/>
                  <w:noWrap w:val="0"/>
                  <w:vAlign w:val="center"/>
                </w:tcPr>
                <w:p w14:paraId="3050ACCA">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 xml:space="preserve">  </w:t>
                  </w:r>
                </w:p>
                <w:p w14:paraId="2AF9AAD1">
                  <w:pPr>
                    <w:pStyle w:val="8"/>
                    <w:widowControl w:val="0"/>
                    <w:adjustRightInd w:val="0"/>
                    <w:snapToGrid w:val="0"/>
                    <w:spacing w:after="0"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相符</w:t>
                  </w:r>
                </w:p>
              </w:tc>
            </w:tr>
          </w:tbl>
          <w:p w14:paraId="6DD3A719">
            <w:pPr>
              <w:numPr>
                <w:ilvl w:val="0"/>
                <w:numId w:val="0"/>
              </w:numPr>
              <w:ind w:firstLine="480" w:firstLineChars="200"/>
              <w:rPr>
                <w:rFonts w:hint="eastAsia" w:ascii="Times New Roman" w:hAnsi="Times New Roman" w:eastAsia="宋体"/>
                <w:b/>
                <w:bCs/>
                <w:color w:val="auto"/>
                <w:lang w:eastAsia="zh-CN"/>
              </w:rPr>
            </w:pPr>
            <w:r>
              <w:rPr>
                <w:rFonts w:hint="eastAsia" w:ascii="Times New Roman" w:hAnsi="Times New Roman" w:eastAsia="宋体" w:cs="宋体"/>
                <w:color w:val="auto"/>
                <w:sz w:val="24"/>
                <w:szCs w:val="24"/>
              </w:rPr>
              <w:t>由上表可知，本项目符合《长江经济带发展负面清单指南》（试行，2022 年版）</w:t>
            </w:r>
            <w:r>
              <w:rPr>
                <w:rFonts w:hint="eastAsia" w:ascii="Times New Roman" w:hAnsi="Times New Roman" w:eastAsia="宋体" w:cs="宋体"/>
                <w:color w:val="auto"/>
                <w:sz w:val="24"/>
                <w:szCs w:val="24"/>
                <w:lang w:eastAsia="zh-CN"/>
              </w:rPr>
              <w:t>的</w:t>
            </w:r>
            <w:r>
              <w:rPr>
                <w:rFonts w:hint="eastAsia" w:ascii="Times New Roman" w:hAnsi="Times New Roman" w:eastAsia="宋体" w:cs="宋体"/>
                <w:color w:val="auto"/>
                <w:sz w:val="24"/>
                <w:szCs w:val="24"/>
              </w:rPr>
              <w:t>要求。</w:t>
            </w:r>
          </w:p>
          <w:p w14:paraId="75425A2F">
            <w:pPr>
              <w:pStyle w:val="5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eastAsia="宋体" w:cs="宋体"/>
                <w:b/>
                <w:bCs/>
                <w:color w:val="auto"/>
                <w:lang w:val="en-US" w:eastAsia="zh-CN"/>
              </w:rPr>
            </w:pPr>
            <w:r>
              <w:rPr>
                <w:rFonts w:hint="eastAsia" w:ascii="宋体" w:hAnsi="宋体" w:eastAsia="宋体" w:cs="宋体"/>
                <w:b/>
                <w:bCs/>
                <w:color w:val="auto"/>
                <w:sz w:val="24"/>
                <w:szCs w:val="24"/>
                <w:lang w:val="en-US" w:eastAsia="zh-CN"/>
              </w:rPr>
              <w:t>4、项目</w:t>
            </w:r>
            <w:r>
              <w:rPr>
                <w:rFonts w:hint="eastAsia" w:ascii="宋体" w:hAnsi="宋体" w:eastAsia="宋体" w:cs="宋体"/>
                <w:b/>
                <w:bCs/>
                <w:color w:val="auto"/>
              </w:rPr>
              <w:t>选址合理性</w:t>
            </w:r>
            <w:r>
              <w:rPr>
                <w:rFonts w:hint="eastAsia" w:ascii="宋体" w:hAnsi="宋体" w:eastAsia="宋体" w:cs="宋体"/>
                <w:b/>
                <w:bCs/>
                <w:color w:val="auto"/>
                <w:lang w:val="en-US" w:eastAsia="zh-CN"/>
              </w:rPr>
              <w:t>分析</w:t>
            </w:r>
          </w:p>
          <w:p w14:paraId="2918EF31">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建设条件可行性分析</w:t>
            </w:r>
          </w:p>
          <w:p w14:paraId="564D5EC3">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i w:val="0"/>
                <w:iCs w:val="0"/>
                <w:caps w:val="0"/>
                <w:color w:val="auto"/>
                <w:spacing w:val="0"/>
                <w:sz w:val="24"/>
                <w:szCs w:val="24"/>
                <w:shd w:val="clear" w:color="auto" w:fill="FFFFFF"/>
                <w:lang w:val="en-US" w:eastAsia="zh-CN"/>
              </w:rPr>
              <w:t>芒市腾发水泥制品有限公司租用德宏滔盛置业有限公司位于芒市风平镇帕底村芒市糖厂的闲置空地用于建设本项目，</w:t>
            </w:r>
            <w:r>
              <w:rPr>
                <w:rFonts w:hint="eastAsia" w:ascii="宋体" w:hAnsi="宋体" w:eastAsia="宋体" w:cs="宋体"/>
                <w:b w:val="0"/>
                <w:bCs w:val="0"/>
                <w:color w:val="auto"/>
                <w:sz w:val="24"/>
                <w:szCs w:val="24"/>
                <w:highlight w:val="none"/>
                <w:vertAlign w:val="baseline"/>
                <w:lang w:val="en-US" w:eastAsia="zh-CN"/>
              </w:rPr>
              <w:t>项目用地性质为“工业用地/工业”（详见附件3）</w:t>
            </w:r>
            <w:r>
              <w:rPr>
                <w:rFonts w:hint="eastAsia" w:ascii="宋体" w:hAnsi="宋体" w:eastAsia="宋体" w:cs="宋体"/>
                <w:i w:val="0"/>
                <w:iCs w:val="0"/>
                <w:caps w:val="0"/>
                <w:color w:val="auto"/>
                <w:spacing w:val="0"/>
                <w:sz w:val="24"/>
                <w:szCs w:val="24"/>
                <w:shd w:val="clear" w:color="auto" w:fill="FFFFFF"/>
                <w:lang w:val="en-US" w:eastAsia="zh-CN"/>
              </w:rPr>
              <w:t>，</w:t>
            </w:r>
            <w:r>
              <w:rPr>
                <w:rFonts w:hint="eastAsia" w:ascii="宋体" w:hAnsi="宋体" w:eastAsia="宋体" w:cs="宋体"/>
                <w:color w:val="auto"/>
                <w:sz w:val="24"/>
              </w:rPr>
              <w:t>项目所在地</w:t>
            </w:r>
            <w:r>
              <w:rPr>
                <w:rFonts w:hint="eastAsia" w:ascii="宋体" w:hAnsi="宋体" w:eastAsia="宋体" w:cs="宋体"/>
                <w:color w:val="auto"/>
                <w:sz w:val="24"/>
                <w:lang w:val="en-US" w:eastAsia="zh-CN"/>
              </w:rPr>
              <w:t>已有较为平整的道路与项目区连接，</w:t>
            </w:r>
            <w:r>
              <w:rPr>
                <w:rFonts w:hint="eastAsia" w:ascii="宋体" w:hAnsi="宋体" w:cs="宋体"/>
                <w:color w:val="auto"/>
                <w:sz w:val="24"/>
                <w:lang w:val="en-US" w:eastAsia="zh-CN"/>
              </w:rPr>
              <w:t>项目南侧紧邻沪瑞线，</w:t>
            </w:r>
            <w:r>
              <w:rPr>
                <w:rFonts w:hint="eastAsia" w:ascii="宋体" w:hAnsi="宋体" w:eastAsia="宋体" w:cs="宋体"/>
                <w:color w:val="auto"/>
                <w:sz w:val="24"/>
                <w:lang w:val="en-US" w:eastAsia="zh-CN"/>
              </w:rPr>
              <w:t>总体来说，项目区选址</w:t>
            </w:r>
            <w:r>
              <w:rPr>
                <w:rFonts w:hint="eastAsia" w:ascii="宋体" w:hAnsi="宋体" w:eastAsia="宋体" w:cs="宋体"/>
                <w:color w:val="auto"/>
                <w:sz w:val="24"/>
              </w:rPr>
              <w:t>路网畅通，位置优越，交通便利。项目给水由</w:t>
            </w:r>
            <w:r>
              <w:rPr>
                <w:rFonts w:hint="eastAsia" w:ascii="宋体" w:hAnsi="宋体" w:eastAsia="宋体" w:cs="宋体"/>
                <w:color w:val="auto"/>
                <w:sz w:val="24"/>
                <w:lang w:val="en-US" w:eastAsia="zh-CN"/>
              </w:rPr>
              <w:t>市政</w:t>
            </w:r>
            <w:r>
              <w:rPr>
                <w:rFonts w:hint="eastAsia" w:ascii="宋体" w:hAnsi="宋体" w:eastAsia="宋体" w:cs="宋体"/>
                <w:color w:val="auto"/>
                <w:sz w:val="24"/>
              </w:rPr>
              <w:t>管网供给，供电由</w:t>
            </w:r>
            <w:r>
              <w:rPr>
                <w:rFonts w:hint="eastAsia" w:ascii="宋体" w:hAnsi="宋体" w:eastAsia="宋体" w:cs="宋体"/>
                <w:color w:val="auto"/>
                <w:sz w:val="24"/>
                <w:lang w:val="en-US" w:eastAsia="zh-CN"/>
              </w:rPr>
              <w:t>市政</w:t>
            </w:r>
            <w:r>
              <w:rPr>
                <w:rFonts w:hint="eastAsia" w:ascii="宋体" w:hAnsi="宋体" w:eastAsia="宋体" w:cs="宋体"/>
                <w:color w:val="auto"/>
                <w:sz w:val="24"/>
              </w:rPr>
              <w:t>电网引入，项目所在区域配套设施基本完善，交通便利。为项目建设堤供了良好的</w:t>
            </w:r>
            <w:r>
              <w:rPr>
                <w:rFonts w:hint="eastAsia" w:ascii="宋体" w:hAnsi="宋体" w:eastAsia="宋体" w:cs="宋体"/>
                <w:color w:val="auto"/>
                <w:sz w:val="24"/>
                <w:lang w:val="en-US" w:eastAsia="zh-CN"/>
              </w:rPr>
              <w:t>建设</w:t>
            </w:r>
            <w:r>
              <w:rPr>
                <w:rFonts w:hint="eastAsia" w:ascii="宋体" w:hAnsi="宋体" w:eastAsia="宋体" w:cs="宋体"/>
                <w:color w:val="auto"/>
                <w:sz w:val="24"/>
              </w:rPr>
              <w:t>条件</w:t>
            </w:r>
            <w:r>
              <w:rPr>
                <w:rFonts w:hint="eastAsia" w:ascii="宋体" w:hAnsi="宋体" w:eastAsia="宋体" w:cs="宋体"/>
                <w:color w:val="auto"/>
                <w:sz w:val="24"/>
                <w:lang w:eastAsia="zh-CN"/>
              </w:rPr>
              <w:t>。</w:t>
            </w:r>
          </w:p>
          <w:p w14:paraId="70241F69">
            <w:pPr>
              <w:spacing w:line="360" w:lineRule="auto"/>
              <w:ind w:firstLine="482" w:firstLineChars="200"/>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与周边环境相容性</w:t>
            </w:r>
            <w:r>
              <w:rPr>
                <w:rFonts w:hint="eastAsia" w:ascii="宋体" w:hAnsi="宋体" w:eastAsia="宋体" w:cs="宋体"/>
                <w:b/>
                <w:bCs/>
                <w:color w:val="auto"/>
                <w:sz w:val="24"/>
                <w:lang w:val="en-US" w:eastAsia="zh-CN"/>
              </w:rPr>
              <w:t>分析</w:t>
            </w:r>
          </w:p>
          <w:p w14:paraId="301A1FF8">
            <w:pPr>
              <w:spacing w:line="360" w:lineRule="auto"/>
              <w:ind w:firstLine="480" w:firstLineChars="200"/>
              <w:rPr>
                <w:rFonts w:hint="default" w:ascii="Times New Roman" w:hAnsi="Times New Roman" w:eastAsia="宋体" w:cs="Times New Roman"/>
                <w:color w:val="auto"/>
                <w:sz w:val="24"/>
              </w:rPr>
            </w:pPr>
            <w:r>
              <w:rPr>
                <w:rFonts w:hint="eastAsia" w:ascii="宋体" w:hAnsi="宋体" w:eastAsia="宋体" w:cs="宋体"/>
                <w:color w:val="auto"/>
                <w:sz w:val="24"/>
              </w:rPr>
              <w:t>本项目位于</w:t>
            </w:r>
            <w:r>
              <w:rPr>
                <w:rFonts w:hint="eastAsia" w:ascii="宋体" w:hAnsi="宋体" w:eastAsia="宋体" w:cs="宋体"/>
                <w:color w:val="auto"/>
                <w:sz w:val="24"/>
                <w:szCs w:val="24"/>
                <w:highlight w:val="none"/>
                <w:lang w:val="en-US" w:eastAsia="zh-CN"/>
              </w:rPr>
              <w:t>云南省德宏州芒市风平镇帕底村芒市糖厂内</w:t>
            </w:r>
            <w:r>
              <w:rPr>
                <w:rFonts w:hint="eastAsia" w:ascii="宋体" w:hAnsi="宋体" w:eastAsia="宋体" w:cs="宋体"/>
                <w:color w:val="auto"/>
                <w:sz w:val="24"/>
                <w:lang w:eastAsia="zh-CN"/>
              </w:rPr>
              <w:t>，</w:t>
            </w:r>
            <w:r>
              <w:rPr>
                <w:rFonts w:hint="eastAsia" w:ascii="宋体" w:hAnsi="宋体" w:eastAsia="宋体" w:cs="宋体"/>
                <w:color w:val="auto"/>
                <w:sz w:val="24"/>
              </w:rPr>
              <w:t>根据现场踏勘，</w:t>
            </w:r>
            <w:r>
              <w:rPr>
                <w:rFonts w:hint="eastAsia" w:ascii="宋体" w:hAnsi="宋体" w:eastAsia="宋体" w:cs="宋体"/>
                <w:color w:val="auto"/>
                <w:sz w:val="24"/>
                <w:szCs w:val="24"/>
                <w:highlight w:val="none"/>
                <w:lang w:val="en-US" w:eastAsia="zh-CN"/>
              </w:rPr>
              <w:t>项目区域周边及评价范围内</w:t>
            </w:r>
            <w:r>
              <w:rPr>
                <w:rFonts w:hint="eastAsia" w:ascii="宋体" w:hAnsi="宋体" w:eastAsia="宋体" w:cs="宋体"/>
                <w:color w:val="auto"/>
                <w:sz w:val="24"/>
                <w:szCs w:val="24"/>
              </w:rPr>
              <w:t>无特殊保护文物古迹、</w:t>
            </w:r>
            <w:r>
              <w:rPr>
                <w:rFonts w:hint="eastAsia" w:ascii="宋体" w:hAnsi="宋体" w:eastAsia="宋体" w:cs="宋体"/>
                <w:color w:val="auto"/>
                <w:sz w:val="24"/>
                <w:szCs w:val="24"/>
                <w:highlight w:val="none"/>
                <w:lang w:val="en-US" w:eastAsia="zh-CN"/>
              </w:rPr>
              <w:t>风景名胜区、</w:t>
            </w:r>
            <w:r>
              <w:rPr>
                <w:rFonts w:hint="eastAsia" w:ascii="宋体" w:hAnsi="宋体" w:eastAsia="宋体" w:cs="宋体"/>
                <w:color w:val="auto"/>
                <w:sz w:val="24"/>
                <w:szCs w:val="24"/>
              </w:rPr>
              <w:t>自然保护区和特殊环境制约因素。</w:t>
            </w:r>
            <w:r>
              <w:rPr>
                <w:rFonts w:hint="eastAsia" w:ascii="宋体" w:hAnsi="宋体" w:eastAsia="宋体" w:cs="宋体"/>
                <w:color w:val="auto"/>
                <w:sz w:val="24"/>
                <w:szCs w:val="24"/>
                <w:lang w:val="en-US" w:eastAsia="zh-CN"/>
              </w:rPr>
              <w:t>项目区周边主要为芒市糖厂闲置空地和绿化，项目最近的环境保护目标为西</w:t>
            </w:r>
            <w:r>
              <w:rPr>
                <w:rFonts w:hint="eastAsia" w:ascii="宋体" w:hAnsi="宋体" w:eastAsia="宋体" w:cs="宋体"/>
                <w:color w:val="auto"/>
                <w:kern w:val="2"/>
                <w:sz w:val="24"/>
                <w:szCs w:val="24"/>
                <w:vertAlign w:val="baseline"/>
                <w:lang w:val="en-US" w:eastAsia="zh-CN" w:bidi="ar-SA"/>
              </w:rPr>
              <w:t>北侧</w:t>
            </w:r>
            <w:r>
              <w:rPr>
                <w:rFonts w:hint="eastAsia" w:ascii="宋体" w:hAnsi="宋体" w:eastAsia="宋体" w:cs="宋体"/>
                <w:color w:val="auto"/>
                <w:sz w:val="24"/>
                <w:szCs w:val="24"/>
                <w:lang w:val="en-US" w:eastAsia="zh-CN"/>
              </w:rPr>
              <w:t>约400m为芒市糖厂生活区</w:t>
            </w:r>
            <w:r>
              <w:rPr>
                <w:rFonts w:hint="eastAsia" w:ascii="宋体" w:hAnsi="宋体" w:eastAsia="宋体" w:cs="宋体"/>
                <w:color w:val="auto"/>
                <w:kern w:val="2"/>
                <w:sz w:val="24"/>
                <w:szCs w:val="24"/>
                <w:vertAlign w:val="baseline"/>
                <w:lang w:val="en-US" w:eastAsia="zh-CN" w:bidi="ar-SA"/>
              </w:rPr>
              <w:t>，但其位于本项目上风向，项目运营期间主要污染物为废气、固废、废水和噪声，通过采取一系列的环境保护和污染防治措施，项目废气、噪声可实现达标排放，项目运营期间生产废水主要为搅拌机清洗废水排入防渗沉淀池内沉淀后上清液全部回用于搅拌工序的搅拌机内，不外排；生活污水依托化粪池处理后清掏作为农肥，‘不外排’，固体废弃物100%妥善处理处置，不会改变周围环境功能，对保护目标影响较小，与周边环境基本相容。项目</w:t>
            </w:r>
            <w:r>
              <w:rPr>
                <w:rFonts w:hint="eastAsia" w:ascii="宋体" w:hAnsi="宋体" w:eastAsia="宋体" w:cs="宋体"/>
                <w:color w:val="auto"/>
                <w:sz w:val="24"/>
                <w:szCs w:val="24"/>
                <w:lang w:val="en-US" w:eastAsia="zh-CN"/>
              </w:rPr>
              <w:t>周边关系如下表所示</w:t>
            </w:r>
            <w:r>
              <w:rPr>
                <w:rFonts w:hint="eastAsia" w:ascii="宋体" w:hAnsi="宋体" w:eastAsia="宋体" w:cs="宋体"/>
                <w:color w:val="auto"/>
                <w:sz w:val="24"/>
                <w:szCs w:val="24"/>
              </w:rPr>
              <w:t>。</w:t>
            </w:r>
          </w:p>
          <w:p w14:paraId="3B090D29">
            <w:pPr>
              <w:spacing w:line="360" w:lineRule="auto"/>
              <w:jc w:val="center"/>
              <w:rPr>
                <w:rFonts w:hint="default" w:ascii="Times New Roman" w:hAnsi="Times New Roman" w:eastAsia="宋体" w:cs="Times New Roman"/>
                <w:b/>
                <w:bCs/>
                <w:color w:val="auto"/>
                <w:sz w:val="24"/>
                <w:szCs w:val="32"/>
                <w:lang w:val="en-US" w:eastAsia="zh-CN"/>
              </w:rPr>
            </w:pPr>
            <w:r>
              <w:rPr>
                <w:rFonts w:hint="default" w:ascii="Times New Roman" w:hAnsi="Times New Roman" w:eastAsia="宋体" w:cs="Times New Roman"/>
                <w:b/>
                <w:bCs/>
                <w:color w:val="auto"/>
                <w:sz w:val="24"/>
                <w:szCs w:val="32"/>
                <w:lang w:val="en-US" w:eastAsia="zh-CN"/>
              </w:rPr>
              <w:t>表1-</w:t>
            </w:r>
            <w:r>
              <w:rPr>
                <w:rFonts w:hint="eastAsia" w:ascii="Times New Roman" w:hAnsi="Times New Roman" w:eastAsia="宋体" w:cs="Times New Roman"/>
                <w:b/>
                <w:bCs/>
                <w:color w:val="auto"/>
                <w:sz w:val="24"/>
                <w:szCs w:val="32"/>
                <w:lang w:val="en-US" w:eastAsia="zh-CN"/>
              </w:rPr>
              <w:t>5</w:t>
            </w:r>
            <w:r>
              <w:rPr>
                <w:rFonts w:hint="default" w:ascii="Times New Roman" w:hAnsi="Times New Roman" w:eastAsia="宋体" w:cs="Times New Roman"/>
                <w:b/>
                <w:bCs/>
                <w:color w:val="auto"/>
                <w:sz w:val="24"/>
                <w:szCs w:val="32"/>
                <w:lang w:val="en-US" w:eastAsia="zh-CN"/>
              </w:rPr>
              <w:t>周边关系一览表</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625"/>
              <w:gridCol w:w="2195"/>
              <w:gridCol w:w="1427"/>
            </w:tblGrid>
            <w:tr w14:paraId="223A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pct"/>
                  <w:noWrap w:val="0"/>
                  <w:vAlign w:val="center"/>
                </w:tcPr>
                <w:p w14:paraId="21B83F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4"/>
                      <w:vertAlign w:val="baseline"/>
                      <w:lang w:val="en-US" w:eastAsia="zh-CN"/>
                    </w:rPr>
                  </w:pPr>
                  <w:r>
                    <w:rPr>
                      <w:rFonts w:hint="eastAsia" w:ascii="宋体" w:hAnsi="宋体" w:eastAsia="宋体" w:cs="宋体"/>
                      <w:b/>
                      <w:bCs/>
                      <w:color w:val="auto"/>
                      <w:sz w:val="21"/>
                      <w:szCs w:val="24"/>
                      <w:vertAlign w:val="baseline"/>
                      <w:lang w:val="en-US" w:eastAsia="zh-CN"/>
                    </w:rPr>
                    <w:t>序号</w:t>
                  </w:r>
                </w:p>
              </w:tc>
              <w:tc>
                <w:tcPr>
                  <w:tcW w:w="1782" w:type="pct"/>
                  <w:noWrap w:val="0"/>
                  <w:vAlign w:val="center"/>
                </w:tcPr>
                <w:p w14:paraId="32C8D2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4"/>
                      <w:vertAlign w:val="baseline"/>
                      <w:lang w:val="en-US" w:eastAsia="zh-CN"/>
                    </w:rPr>
                  </w:pPr>
                  <w:r>
                    <w:rPr>
                      <w:rFonts w:hint="eastAsia" w:ascii="宋体" w:hAnsi="宋体" w:eastAsia="宋体" w:cs="宋体"/>
                      <w:b/>
                      <w:bCs/>
                      <w:color w:val="auto"/>
                      <w:sz w:val="21"/>
                      <w:szCs w:val="24"/>
                      <w:vertAlign w:val="baseline"/>
                      <w:lang w:val="en-US" w:eastAsia="zh-CN"/>
                    </w:rPr>
                    <w:t>名称</w:t>
                  </w:r>
                </w:p>
              </w:tc>
              <w:tc>
                <w:tcPr>
                  <w:tcW w:w="1490" w:type="pct"/>
                  <w:noWrap w:val="0"/>
                  <w:vAlign w:val="center"/>
                </w:tcPr>
                <w:p w14:paraId="031971D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sz w:val="21"/>
                      <w:szCs w:val="24"/>
                      <w:vertAlign w:val="baseline"/>
                      <w:lang w:val="en-US" w:eastAsia="zh-CN"/>
                    </w:rPr>
                  </w:pPr>
                  <w:r>
                    <w:rPr>
                      <w:rFonts w:hint="eastAsia" w:ascii="宋体" w:hAnsi="宋体" w:eastAsia="宋体" w:cs="宋体"/>
                      <w:b/>
                      <w:bCs/>
                      <w:color w:val="auto"/>
                      <w:sz w:val="21"/>
                      <w:szCs w:val="24"/>
                      <w:vertAlign w:val="baseline"/>
                      <w:lang w:val="en-US" w:eastAsia="zh-CN"/>
                    </w:rPr>
                    <w:t>与本项目相对方位</w:t>
                  </w:r>
                </w:p>
              </w:tc>
              <w:tc>
                <w:tcPr>
                  <w:tcW w:w="968" w:type="pct"/>
                  <w:noWrap w:val="0"/>
                  <w:vAlign w:val="center"/>
                </w:tcPr>
                <w:p w14:paraId="01A56D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4"/>
                      <w:vertAlign w:val="baseline"/>
                      <w:lang w:val="en-US" w:eastAsia="zh-CN"/>
                    </w:rPr>
                  </w:pPr>
                  <w:r>
                    <w:rPr>
                      <w:rFonts w:hint="eastAsia" w:ascii="宋体" w:hAnsi="宋体" w:eastAsia="宋体" w:cs="宋体"/>
                      <w:b/>
                      <w:bCs/>
                      <w:color w:val="auto"/>
                      <w:sz w:val="21"/>
                      <w:szCs w:val="24"/>
                      <w:vertAlign w:val="baseline"/>
                      <w:lang w:val="en-US" w:eastAsia="zh-CN"/>
                    </w:rPr>
                    <w:t>距离（m）</w:t>
                  </w:r>
                </w:p>
              </w:tc>
            </w:tr>
            <w:tr w14:paraId="239D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pct"/>
                  <w:noWrap w:val="0"/>
                  <w:vAlign w:val="center"/>
                </w:tcPr>
                <w:p w14:paraId="0D6000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4"/>
                      <w:vertAlign w:val="baseline"/>
                      <w:lang w:val="en-US" w:eastAsia="zh-CN"/>
                    </w:rPr>
                  </w:pPr>
                  <w:r>
                    <w:rPr>
                      <w:rFonts w:hint="eastAsia" w:ascii="宋体" w:hAnsi="宋体" w:eastAsia="宋体" w:cs="宋体"/>
                      <w:color w:val="auto"/>
                      <w:sz w:val="21"/>
                      <w:szCs w:val="24"/>
                      <w:vertAlign w:val="baseline"/>
                      <w:lang w:val="en-US" w:eastAsia="zh-CN"/>
                    </w:rPr>
                    <w:t>1</w:t>
                  </w:r>
                </w:p>
              </w:tc>
              <w:tc>
                <w:tcPr>
                  <w:tcW w:w="1782" w:type="pct"/>
                  <w:noWrap w:val="0"/>
                  <w:vAlign w:val="center"/>
                </w:tcPr>
                <w:p w14:paraId="33F69F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芒市糖厂生活区</w:t>
                  </w:r>
                </w:p>
              </w:tc>
              <w:tc>
                <w:tcPr>
                  <w:tcW w:w="1490" w:type="pct"/>
                  <w:noWrap w:val="0"/>
                  <w:vAlign w:val="center"/>
                </w:tcPr>
                <w:p w14:paraId="7C5A5F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西北侧</w:t>
                  </w:r>
                </w:p>
              </w:tc>
              <w:tc>
                <w:tcPr>
                  <w:tcW w:w="968" w:type="pct"/>
                  <w:noWrap w:val="0"/>
                  <w:vAlign w:val="center"/>
                </w:tcPr>
                <w:p w14:paraId="1348F6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400</w:t>
                  </w:r>
                </w:p>
              </w:tc>
            </w:tr>
            <w:tr w14:paraId="22E6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758" w:type="pct"/>
                  <w:noWrap w:val="0"/>
                  <w:vAlign w:val="center"/>
                </w:tcPr>
                <w:p w14:paraId="607912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4"/>
                      <w:vertAlign w:val="baseline"/>
                      <w:lang w:val="en-US" w:eastAsia="zh-CN"/>
                    </w:rPr>
                  </w:pPr>
                  <w:r>
                    <w:rPr>
                      <w:rFonts w:hint="eastAsia" w:ascii="宋体" w:hAnsi="宋体" w:eastAsia="宋体" w:cs="宋体"/>
                      <w:color w:val="auto"/>
                      <w:sz w:val="21"/>
                      <w:szCs w:val="24"/>
                      <w:vertAlign w:val="baseline"/>
                      <w:lang w:val="en-US" w:eastAsia="zh-CN"/>
                    </w:rPr>
                    <w:t>2</w:t>
                  </w:r>
                </w:p>
              </w:tc>
              <w:tc>
                <w:tcPr>
                  <w:tcW w:w="1782" w:type="pct"/>
                  <w:noWrap w:val="0"/>
                  <w:vAlign w:val="center"/>
                </w:tcPr>
                <w:p w14:paraId="375B24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沙厂</w:t>
                  </w:r>
                </w:p>
              </w:tc>
              <w:tc>
                <w:tcPr>
                  <w:tcW w:w="1490" w:type="pct"/>
                  <w:noWrap w:val="0"/>
                  <w:vAlign w:val="center"/>
                </w:tcPr>
                <w:p w14:paraId="2B5625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西侧</w:t>
                  </w:r>
                </w:p>
              </w:tc>
              <w:tc>
                <w:tcPr>
                  <w:tcW w:w="968" w:type="pct"/>
                  <w:noWrap w:val="0"/>
                  <w:vAlign w:val="center"/>
                </w:tcPr>
                <w:p w14:paraId="288C9E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10</w:t>
                  </w:r>
                </w:p>
              </w:tc>
            </w:tr>
            <w:tr w14:paraId="04AD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58" w:type="pct"/>
                  <w:noWrap w:val="0"/>
                  <w:vAlign w:val="center"/>
                </w:tcPr>
                <w:p w14:paraId="762D98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4"/>
                      <w:vertAlign w:val="baseline"/>
                      <w:lang w:val="en-US" w:eastAsia="zh-CN"/>
                    </w:rPr>
                  </w:pPr>
                  <w:r>
                    <w:rPr>
                      <w:rFonts w:hint="eastAsia" w:ascii="宋体" w:hAnsi="宋体" w:eastAsia="宋体" w:cs="宋体"/>
                      <w:color w:val="auto"/>
                      <w:sz w:val="21"/>
                      <w:szCs w:val="24"/>
                      <w:vertAlign w:val="baseline"/>
                      <w:lang w:val="en-US" w:eastAsia="zh-CN"/>
                    </w:rPr>
                    <w:t>3</w:t>
                  </w:r>
                </w:p>
              </w:tc>
              <w:tc>
                <w:tcPr>
                  <w:tcW w:w="1782" w:type="pct"/>
                  <w:noWrap w:val="0"/>
                  <w:vAlign w:val="center"/>
                </w:tcPr>
                <w:p w14:paraId="57620A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木材厂</w:t>
                  </w:r>
                </w:p>
              </w:tc>
              <w:tc>
                <w:tcPr>
                  <w:tcW w:w="1490" w:type="pct"/>
                  <w:noWrap w:val="0"/>
                  <w:vAlign w:val="center"/>
                </w:tcPr>
                <w:p w14:paraId="6843D8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西侧</w:t>
                  </w:r>
                </w:p>
              </w:tc>
              <w:tc>
                <w:tcPr>
                  <w:tcW w:w="968" w:type="pct"/>
                  <w:noWrap w:val="0"/>
                  <w:vAlign w:val="center"/>
                </w:tcPr>
                <w:p w14:paraId="4F6F7A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60</w:t>
                  </w:r>
                </w:p>
              </w:tc>
            </w:tr>
            <w:tr w14:paraId="7B5F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58" w:type="pct"/>
                  <w:noWrap w:val="0"/>
                  <w:vAlign w:val="center"/>
                </w:tcPr>
                <w:p w14:paraId="6A7597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4"/>
                      <w:vertAlign w:val="baseline"/>
                      <w:lang w:val="en-US" w:eastAsia="zh-CN"/>
                    </w:rPr>
                  </w:pPr>
                  <w:r>
                    <w:rPr>
                      <w:rFonts w:hint="eastAsia" w:ascii="宋体" w:hAnsi="宋体" w:eastAsia="宋体" w:cs="宋体"/>
                      <w:color w:val="auto"/>
                      <w:sz w:val="21"/>
                      <w:szCs w:val="24"/>
                      <w:vertAlign w:val="baseline"/>
                      <w:lang w:val="en-US" w:eastAsia="zh-CN"/>
                    </w:rPr>
                    <w:t>4</w:t>
                  </w:r>
                </w:p>
              </w:tc>
              <w:tc>
                <w:tcPr>
                  <w:tcW w:w="1782" w:type="pct"/>
                  <w:noWrap w:val="0"/>
                  <w:vAlign w:val="center"/>
                </w:tcPr>
                <w:p w14:paraId="29F7A0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咖啡渣厂</w:t>
                  </w:r>
                </w:p>
              </w:tc>
              <w:tc>
                <w:tcPr>
                  <w:tcW w:w="1490" w:type="pct"/>
                  <w:noWrap w:val="0"/>
                  <w:vAlign w:val="center"/>
                </w:tcPr>
                <w:p w14:paraId="328A9B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北侧</w:t>
                  </w:r>
                </w:p>
              </w:tc>
              <w:tc>
                <w:tcPr>
                  <w:tcW w:w="968" w:type="pct"/>
                  <w:noWrap w:val="0"/>
                  <w:vAlign w:val="center"/>
                </w:tcPr>
                <w:p w14:paraId="4CC5B7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15</w:t>
                  </w:r>
                </w:p>
              </w:tc>
            </w:tr>
            <w:tr w14:paraId="56585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58" w:type="pct"/>
                  <w:noWrap w:val="0"/>
                  <w:vAlign w:val="center"/>
                </w:tcPr>
                <w:p w14:paraId="10365B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4"/>
                      <w:vertAlign w:val="baseline"/>
                      <w:lang w:val="en-US" w:eastAsia="zh-CN"/>
                    </w:rPr>
                  </w:pPr>
                  <w:r>
                    <w:rPr>
                      <w:rFonts w:hint="eastAsia" w:ascii="宋体" w:hAnsi="宋体" w:eastAsia="宋体" w:cs="宋体"/>
                      <w:color w:val="auto"/>
                      <w:sz w:val="21"/>
                      <w:szCs w:val="24"/>
                      <w:vertAlign w:val="baseline"/>
                      <w:lang w:val="en-US" w:eastAsia="zh-CN"/>
                    </w:rPr>
                    <w:t>5</w:t>
                  </w:r>
                </w:p>
              </w:tc>
              <w:tc>
                <w:tcPr>
                  <w:tcW w:w="1782" w:type="pct"/>
                  <w:noWrap w:val="0"/>
                  <w:vAlign w:val="center"/>
                </w:tcPr>
                <w:p w14:paraId="10A21F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废品回收站</w:t>
                  </w:r>
                </w:p>
              </w:tc>
              <w:tc>
                <w:tcPr>
                  <w:tcW w:w="1490" w:type="pct"/>
                  <w:noWrap w:val="0"/>
                  <w:vAlign w:val="center"/>
                </w:tcPr>
                <w:p w14:paraId="29D978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东侧</w:t>
                  </w:r>
                </w:p>
              </w:tc>
              <w:tc>
                <w:tcPr>
                  <w:tcW w:w="968" w:type="pct"/>
                  <w:noWrap w:val="0"/>
                  <w:vAlign w:val="center"/>
                </w:tcPr>
                <w:p w14:paraId="38633A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 xml:space="preserve">35    </w:t>
                  </w:r>
                </w:p>
              </w:tc>
            </w:tr>
            <w:tr w14:paraId="53E8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58" w:type="pct"/>
                  <w:noWrap w:val="0"/>
                  <w:vAlign w:val="center"/>
                </w:tcPr>
                <w:p w14:paraId="151C94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4"/>
                      <w:vertAlign w:val="baseline"/>
                      <w:lang w:val="en-US" w:eastAsia="zh-CN"/>
                    </w:rPr>
                  </w:pPr>
                  <w:r>
                    <w:rPr>
                      <w:rFonts w:hint="eastAsia" w:ascii="宋体" w:hAnsi="宋体" w:eastAsia="宋体" w:cs="宋体"/>
                      <w:color w:val="auto"/>
                      <w:sz w:val="21"/>
                      <w:szCs w:val="24"/>
                      <w:vertAlign w:val="baseline"/>
                      <w:lang w:val="en-US" w:eastAsia="zh-CN"/>
                    </w:rPr>
                    <w:t>6</w:t>
                  </w:r>
                </w:p>
              </w:tc>
              <w:tc>
                <w:tcPr>
                  <w:tcW w:w="1782" w:type="pct"/>
                  <w:noWrap w:val="0"/>
                  <w:vAlign w:val="center"/>
                </w:tcPr>
                <w:p w14:paraId="70DABD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果朗河</w:t>
                  </w:r>
                </w:p>
              </w:tc>
              <w:tc>
                <w:tcPr>
                  <w:tcW w:w="1490" w:type="pct"/>
                  <w:noWrap w:val="0"/>
                  <w:vAlign w:val="center"/>
                </w:tcPr>
                <w:p w14:paraId="268377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东侧</w:t>
                  </w:r>
                </w:p>
              </w:tc>
              <w:tc>
                <w:tcPr>
                  <w:tcW w:w="968" w:type="pct"/>
                  <w:noWrap w:val="0"/>
                  <w:vAlign w:val="center"/>
                </w:tcPr>
                <w:p w14:paraId="281BC9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123</w:t>
                  </w:r>
                </w:p>
              </w:tc>
            </w:tr>
            <w:tr w14:paraId="3CBF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58" w:type="pct"/>
                  <w:noWrap w:val="0"/>
                  <w:vAlign w:val="center"/>
                </w:tcPr>
                <w:p w14:paraId="44CC65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4"/>
                      <w:vertAlign w:val="baseline"/>
                      <w:lang w:val="en-US" w:eastAsia="zh-CN"/>
                    </w:rPr>
                  </w:pPr>
                  <w:r>
                    <w:rPr>
                      <w:rFonts w:hint="eastAsia" w:ascii="宋体" w:hAnsi="宋体" w:eastAsia="宋体" w:cs="宋体"/>
                      <w:color w:val="auto"/>
                      <w:sz w:val="21"/>
                      <w:szCs w:val="24"/>
                      <w:vertAlign w:val="baseline"/>
                      <w:lang w:val="en-US" w:eastAsia="zh-CN"/>
                    </w:rPr>
                    <w:t>7</w:t>
                  </w:r>
                </w:p>
              </w:tc>
              <w:tc>
                <w:tcPr>
                  <w:tcW w:w="1782" w:type="pct"/>
                  <w:noWrap w:val="0"/>
                  <w:vAlign w:val="center"/>
                </w:tcPr>
                <w:p w14:paraId="20472E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芒市大河</w:t>
                  </w:r>
                </w:p>
              </w:tc>
              <w:tc>
                <w:tcPr>
                  <w:tcW w:w="1490" w:type="pct"/>
                  <w:noWrap w:val="0"/>
                  <w:vAlign w:val="center"/>
                </w:tcPr>
                <w:p w14:paraId="63BF0D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北侧</w:t>
                  </w:r>
                </w:p>
              </w:tc>
              <w:tc>
                <w:tcPr>
                  <w:tcW w:w="968" w:type="pct"/>
                  <w:noWrap w:val="0"/>
                  <w:vAlign w:val="center"/>
                </w:tcPr>
                <w:p w14:paraId="26F2B5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480</w:t>
                  </w:r>
                </w:p>
              </w:tc>
            </w:tr>
          </w:tbl>
          <w:p w14:paraId="635A4081">
            <w:pPr>
              <w:autoSpaceDE w:val="0"/>
              <w:autoSpaceDN w:val="0"/>
              <w:adjustRightInd w:val="0"/>
              <w:snapToGrid w:val="0"/>
              <w:spacing w:line="240" w:lineRule="auto"/>
              <w:jc w:val="center"/>
              <w:rPr>
                <w:rFonts w:ascii="Times New Roman" w:hAnsi="Times New Roman"/>
                <w:color w:val="auto"/>
                <w:kern w:val="0"/>
                <w:sz w:val="21"/>
                <w:szCs w:val="21"/>
              </w:rPr>
            </w:pPr>
          </w:p>
        </w:tc>
      </w:tr>
    </w:tbl>
    <w:p w14:paraId="288BAE2A">
      <w:pPr>
        <w:rPr>
          <w:rFonts w:ascii="Times New Roman" w:hAnsi="Times New Roman"/>
          <w:color w:val="auto"/>
        </w:rPr>
      </w:pPr>
      <w:bookmarkStart w:id="9" w:name="_Toc821"/>
      <w:r>
        <w:rPr>
          <w:rFonts w:hint="eastAsia" w:ascii="Times New Roman" w:hAnsi="Times New Roman"/>
          <w:color w:val="auto"/>
        </w:rPr>
        <w:br w:type="page"/>
      </w:r>
    </w:p>
    <w:p w14:paraId="2995A6DE">
      <w:pPr>
        <w:pStyle w:val="2"/>
        <w:jc w:val="center"/>
        <w:rPr>
          <w:rFonts w:ascii="Times New Roman" w:hAnsi="Times New Roman"/>
          <w:color w:val="auto"/>
        </w:rPr>
      </w:pPr>
      <w:bookmarkStart w:id="10" w:name="_Toc10353"/>
      <w:r>
        <w:rPr>
          <w:rFonts w:hint="eastAsia" w:ascii="Times New Roman" w:hAnsi="Times New Roman"/>
          <w:color w:val="auto"/>
        </w:rPr>
        <w:t>二、建设项目工程分析</w:t>
      </w:r>
      <w:bookmarkEnd w:id="9"/>
      <w:bookmarkEnd w:id="10"/>
    </w:p>
    <w:tbl>
      <w:tblPr>
        <w:tblStyle w:val="20"/>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9491"/>
      </w:tblGrid>
      <w:tr w14:paraId="30B1DD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2" w:type="pct"/>
            <w:vAlign w:val="center"/>
          </w:tcPr>
          <w:p w14:paraId="12922F69">
            <w:pPr>
              <w:pStyle w:val="18"/>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color w:val="auto"/>
                <w:szCs w:val="24"/>
              </w:rPr>
              <w:t>建设内容</w:t>
            </w:r>
          </w:p>
        </w:tc>
        <w:tc>
          <w:tcPr>
            <w:tcW w:w="4587" w:type="pct"/>
          </w:tcPr>
          <w:p w14:paraId="521041DD">
            <w:pPr>
              <w:numPr>
                <w:ilvl w:val="0"/>
                <w:numId w:val="0"/>
              </w:numPr>
              <w:ind w:firstLine="241" w:firstLineChars="100"/>
              <w:rPr>
                <w:rFonts w:hint="eastAsia" w:asciiTheme="majorEastAsia" w:hAnsiTheme="majorEastAsia" w:eastAsiaTheme="majorEastAsia" w:cstheme="majorEastAsia"/>
                <w:b/>
                <w:bCs/>
                <w:color w:val="auto"/>
              </w:rPr>
            </w:pPr>
            <w:r>
              <w:rPr>
                <w:rFonts w:hint="eastAsia" w:asciiTheme="majorEastAsia" w:hAnsiTheme="majorEastAsia" w:eastAsiaTheme="majorEastAsia" w:cstheme="majorEastAsia"/>
                <w:b/>
                <w:bCs/>
                <w:color w:val="auto"/>
                <w:lang w:val="en-US" w:eastAsia="zh-CN"/>
              </w:rPr>
              <w:t>1.</w:t>
            </w:r>
            <w:r>
              <w:rPr>
                <w:rFonts w:hint="eastAsia" w:asciiTheme="majorEastAsia" w:hAnsiTheme="majorEastAsia" w:eastAsiaTheme="majorEastAsia" w:cstheme="majorEastAsia"/>
                <w:b/>
                <w:bCs/>
                <w:color w:val="auto"/>
              </w:rPr>
              <w:t>项目由来</w:t>
            </w:r>
          </w:p>
          <w:p w14:paraId="7998CAD6">
            <w:pPr>
              <w:adjustRightInd w:val="0"/>
              <w:snapToGrid w:val="0"/>
              <w:ind w:firstLine="480" w:firstLineChars="200"/>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sz w:val="24"/>
                <w:szCs w:val="24"/>
                <w:lang w:val="en-US" w:eastAsia="zh-CN"/>
              </w:rPr>
              <w:t>芒市腾发水泥制品有限公司于2023年10月27日与德宏滔盛置业有限公司签订了土地租赁合同（见附件4），租用云南省德宏州芒市风平镇帕底村芒市糖厂内的部分厂房、闲置空地约19.3亩，其中租来的约7.7亩外租给沙场，剩余</w:t>
            </w:r>
            <w:r>
              <w:rPr>
                <w:rFonts w:hint="eastAsia" w:asciiTheme="majorEastAsia" w:hAnsiTheme="majorEastAsia" w:eastAsiaTheme="majorEastAsia" w:cstheme="majorEastAsia"/>
                <w:color w:val="auto"/>
                <w:lang w:eastAsia="zh-CN"/>
              </w:rPr>
              <w:t>（约</w:t>
            </w:r>
            <w:r>
              <w:rPr>
                <w:rFonts w:hint="eastAsia" w:asciiTheme="majorEastAsia" w:hAnsiTheme="majorEastAsia" w:eastAsiaTheme="majorEastAsia" w:cstheme="majorEastAsia"/>
                <w:color w:val="auto"/>
                <w:lang w:val="en-US" w:eastAsia="zh-CN"/>
              </w:rPr>
              <w:t>11.6亩</w:t>
            </w:r>
            <w:r>
              <w:rPr>
                <w:rFonts w:hint="eastAsia" w:asciiTheme="majorEastAsia" w:hAnsiTheme="majorEastAsia" w:eastAsiaTheme="majorEastAsia" w:cstheme="majorEastAsia"/>
                <w:color w:val="auto"/>
                <w:lang w:eastAsia="zh-CN"/>
              </w:rPr>
              <w:t>）7733.333</w:t>
            </w:r>
            <w:r>
              <w:rPr>
                <w:rFonts w:hint="eastAsia" w:asciiTheme="majorEastAsia" w:hAnsiTheme="majorEastAsia" w:eastAsiaTheme="majorEastAsia" w:cstheme="majorEastAsia"/>
                <w:color w:val="auto"/>
                <w:sz w:val="24"/>
                <w:szCs w:val="24"/>
                <w:lang w:val="en-US" w:eastAsia="zh-CN"/>
              </w:rPr>
              <w:t>m</w:t>
            </w:r>
            <w:r>
              <w:rPr>
                <w:rFonts w:hint="eastAsia" w:asciiTheme="majorEastAsia" w:hAnsiTheme="majorEastAsia" w:eastAsiaTheme="majorEastAsia" w:cstheme="majorEastAsia"/>
                <w:color w:val="auto"/>
                <w:sz w:val="24"/>
                <w:szCs w:val="24"/>
                <w:vertAlign w:val="superscript"/>
                <w:lang w:val="en-US" w:eastAsia="zh-CN"/>
              </w:rPr>
              <w:t>2</w:t>
            </w:r>
            <w:r>
              <w:rPr>
                <w:rFonts w:hint="eastAsia" w:asciiTheme="majorEastAsia" w:hAnsiTheme="majorEastAsia" w:eastAsiaTheme="majorEastAsia" w:cstheme="majorEastAsia"/>
                <w:color w:val="auto"/>
                <w:sz w:val="24"/>
                <w:szCs w:val="24"/>
                <w:lang w:val="en-US" w:eastAsia="zh-CN"/>
              </w:rPr>
              <w:t>，用于进行水泥制品的生产及销售。</w:t>
            </w:r>
            <w:r>
              <w:rPr>
                <w:rFonts w:hint="eastAsia" w:asciiTheme="majorEastAsia" w:hAnsiTheme="majorEastAsia" w:eastAsiaTheme="majorEastAsia" w:cstheme="majorEastAsia"/>
                <w:color w:val="auto"/>
                <w:lang w:eastAsia="zh-CN"/>
              </w:rPr>
              <w:t>本项目新建</w:t>
            </w:r>
            <w:r>
              <w:rPr>
                <w:rFonts w:hint="eastAsia" w:asciiTheme="majorEastAsia" w:hAnsiTheme="majorEastAsia" w:eastAsiaTheme="majorEastAsia" w:cstheme="majorEastAsia"/>
                <w:color w:val="auto"/>
                <w:lang w:val="en-US" w:eastAsia="zh-CN"/>
              </w:rPr>
              <w:t>2条生产线，1条为水泥管生产线，另1条为共用的彩砖、植草砖、检查井、</w:t>
            </w:r>
            <w:r>
              <w:rPr>
                <w:rFonts w:hint="eastAsia" w:asciiTheme="majorEastAsia" w:hAnsiTheme="majorEastAsia" w:eastAsiaTheme="majorEastAsia" w:cstheme="majorEastAsia"/>
                <w:color w:val="auto"/>
                <w:lang w:eastAsia="zh-CN"/>
              </w:rPr>
              <w:t>井盖、涵管及预制板生产线，其中，水泥管年产5000根</w:t>
            </w:r>
            <w:r>
              <w:rPr>
                <w:rFonts w:hint="eastAsia" w:asciiTheme="majorEastAsia" w:hAnsiTheme="majorEastAsia" w:eastAsiaTheme="majorEastAsia" w:cstheme="majorEastAsia"/>
                <w:color w:val="auto"/>
                <w:lang w:val="en-US" w:eastAsia="zh-CN"/>
              </w:rPr>
              <w:t>；彩砖、植草砖分别年产20万块；检查井年产800座；</w:t>
            </w:r>
            <w:r>
              <w:rPr>
                <w:rFonts w:hint="eastAsia" w:asciiTheme="majorEastAsia" w:hAnsiTheme="majorEastAsia" w:eastAsiaTheme="majorEastAsia" w:cstheme="majorEastAsia"/>
                <w:color w:val="auto"/>
                <w:lang w:eastAsia="zh-CN"/>
              </w:rPr>
              <w:t>井盖年产1万块，涵管年产</w:t>
            </w:r>
            <w:r>
              <w:rPr>
                <w:rFonts w:hint="eastAsia" w:asciiTheme="majorEastAsia" w:hAnsiTheme="majorEastAsia" w:eastAsiaTheme="majorEastAsia" w:cstheme="majorEastAsia"/>
                <w:color w:val="auto"/>
                <w:lang w:val="en-US" w:eastAsia="zh-CN"/>
              </w:rPr>
              <w:t>5000根，预制板年产1万块</w:t>
            </w:r>
            <w:r>
              <w:rPr>
                <w:rFonts w:hint="eastAsia" w:asciiTheme="majorEastAsia" w:hAnsiTheme="majorEastAsia" w:eastAsiaTheme="majorEastAsia" w:cstheme="majorEastAsia"/>
                <w:color w:val="auto"/>
                <w:lang w:eastAsia="zh-CN"/>
              </w:rPr>
              <w:t>。</w:t>
            </w:r>
          </w:p>
          <w:p w14:paraId="17FCDFE1">
            <w:pPr>
              <w:adjustRightInd w:val="0"/>
              <w:snapToGrid w:val="0"/>
              <w:ind w:firstLine="480" w:firstLineChars="200"/>
              <w:rPr>
                <w:rFonts w:hint="eastAsia" w:asciiTheme="majorEastAsia" w:hAnsiTheme="majorEastAsia" w:eastAsiaTheme="majorEastAsia" w:cstheme="majorEastAsia"/>
                <w:snapToGrid w:val="0"/>
                <w:color w:val="auto"/>
                <w:kern w:val="0"/>
                <w:sz w:val="24"/>
                <w:lang w:eastAsia="zh-CN"/>
              </w:rPr>
            </w:pPr>
            <w:r>
              <w:rPr>
                <w:rFonts w:hint="eastAsia" w:asciiTheme="majorEastAsia" w:hAnsiTheme="majorEastAsia" w:eastAsiaTheme="majorEastAsia" w:cstheme="majorEastAsia"/>
                <w:bCs/>
                <w:color w:val="auto"/>
                <w:sz w:val="24"/>
              </w:rPr>
              <w:t>根据《中华人民共和国环境保护法》、《中华人民共和国环境影响评价法》和《建设项目环境保护管理条例》（国务院682号令）的规定，</w:t>
            </w:r>
            <w:r>
              <w:rPr>
                <w:rFonts w:hint="eastAsia" w:asciiTheme="majorEastAsia" w:hAnsiTheme="majorEastAsia" w:eastAsiaTheme="majorEastAsia" w:cstheme="majorEastAsia"/>
                <w:color w:val="auto"/>
                <w:lang w:eastAsia="zh-CN"/>
              </w:rPr>
              <w:t>芒市腾发水泥制品有限公司建设项目</w:t>
            </w:r>
            <w:r>
              <w:rPr>
                <w:rFonts w:hint="eastAsia" w:asciiTheme="majorEastAsia" w:hAnsiTheme="majorEastAsia" w:eastAsiaTheme="majorEastAsia" w:cstheme="majorEastAsia"/>
                <w:bCs/>
                <w:color w:val="auto"/>
                <w:sz w:val="24"/>
              </w:rPr>
              <w:t>应开展环境影响评价工作。</w:t>
            </w:r>
            <w:r>
              <w:rPr>
                <w:rFonts w:hint="eastAsia" w:asciiTheme="majorEastAsia" w:hAnsiTheme="majorEastAsia" w:eastAsiaTheme="majorEastAsia" w:cstheme="majorEastAsia"/>
                <w:snapToGrid w:val="0"/>
                <w:color w:val="auto"/>
                <w:kern w:val="0"/>
                <w:sz w:val="24"/>
              </w:rPr>
              <w:t>按照《建设项目环境影响评价分类管理名录》</w:t>
            </w:r>
            <w:r>
              <w:rPr>
                <w:rFonts w:hint="eastAsia" w:asciiTheme="majorEastAsia" w:hAnsiTheme="majorEastAsia" w:eastAsiaTheme="majorEastAsia" w:cstheme="majorEastAsia"/>
                <w:color w:val="auto"/>
                <w:sz w:val="24"/>
              </w:rPr>
              <w:t>（</w:t>
            </w:r>
            <w:r>
              <w:rPr>
                <w:rFonts w:hint="eastAsia" w:asciiTheme="majorEastAsia" w:hAnsiTheme="majorEastAsia" w:eastAsiaTheme="majorEastAsia" w:cstheme="majorEastAsia"/>
                <w:color w:val="auto"/>
                <w:sz w:val="24"/>
                <w:lang w:val="en-US" w:eastAsia="zh-CN"/>
              </w:rPr>
              <w:t>2021版</w:t>
            </w:r>
            <w:r>
              <w:rPr>
                <w:rFonts w:hint="eastAsia" w:asciiTheme="majorEastAsia" w:hAnsiTheme="majorEastAsia" w:eastAsiaTheme="majorEastAsia" w:cstheme="majorEastAsia"/>
                <w:color w:val="auto"/>
                <w:sz w:val="24"/>
              </w:rPr>
              <w:t>）</w:t>
            </w:r>
            <w:r>
              <w:rPr>
                <w:rFonts w:hint="eastAsia" w:asciiTheme="majorEastAsia" w:hAnsiTheme="majorEastAsia" w:eastAsiaTheme="majorEastAsia" w:cstheme="majorEastAsia"/>
                <w:color w:val="auto"/>
                <w:sz w:val="24"/>
                <w:lang w:eastAsia="zh-CN"/>
              </w:rPr>
              <w:t>，</w:t>
            </w:r>
            <w:r>
              <w:rPr>
                <w:rFonts w:hint="eastAsia" w:asciiTheme="majorEastAsia" w:hAnsiTheme="majorEastAsia" w:eastAsiaTheme="majorEastAsia" w:cstheme="majorEastAsia"/>
                <w:color w:val="auto"/>
                <w:lang w:eastAsia="zh-CN"/>
              </w:rPr>
              <w:t>芒市腾发水泥制品有限公司建设项目</w:t>
            </w:r>
            <w:r>
              <w:rPr>
                <w:rFonts w:hint="eastAsia" w:asciiTheme="majorEastAsia" w:hAnsiTheme="majorEastAsia" w:eastAsiaTheme="majorEastAsia" w:cstheme="majorEastAsia"/>
                <w:snapToGrid w:val="0"/>
                <w:color w:val="auto"/>
                <w:kern w:val="0"/>
                <w:sz w:val="24"/>
              </w:rPr>
              <w:t>属于</w:t>
            </w:r>
            <w:r>
              <w:rPr>
                <w:rFonts w:hint="eastAsia" w:asciiTheme="majorEastAsia" w:hAnsiTheme="majorEastAsia" w:eastAsiaTheme="majorEastAsia" w:cstheme="majorEastAsia"/>
                <w:snapToGrid w:val="0"/>
                <w:color w:val="auto"/>
                <w:kern w:val="0"/>
                <w:sz w:val="24"/>
                <w:lang w:eastAsia="zh-CN"/>
              </w:rPr>
              <w:t>“</w:t>
            </w:r>
            <w:r>
              <w:rPr>
                <w:rFonts w:hint="eastAsia" w:asciiTheme="majorEastAsia" w:hAnsiTheme="majorEastAsia" w:eastAsiaTheme="majorEastAsia" w:cstheme="majorEastAsia"/>
                <w:color w:val="auto"/>
                <w:lang w:eastAsia="zh-CN"/>
              </w:rPr>
              <w:t>二十七-55</w:t>
            </w:r>
            <w:r>
              <w:rPr>
                <w:rFonts w:hint="eastAsia" w:asciiTheme="majorEastAsia" w:hAnsiTheme="majorEastAsia" w:eastAsiaTheme="majorEastAsia" w:cstheme="majorEastAsia"/>
                <w:color w:val="auto"/>
              </w:rPr>
              <w:t xml:space="preserve">石膏、水泥制品及类似制品制造302 </w:t>
            </w:r>
            <w:r>
              <w:rPr>
                <w:rFonts w:hint="eastAsia" w:asciiTheme="majorEastAsia" w:hAnsiTheme="majorEastAsia" w:eastAsiaTheme="majorEastAsia" w:cstheme="majorEastAsia"/>
                <w:snapToGrid w:val="0"/>
                <w:color w:val="auto"/>
                <w:kern w:val="0"/>
                <w:sz w:val="24"/>
                <w:lang w:eastAsia="zh-CN"/>
              </w:rPr>
              <w:t>”</w:t>
            </w:r>
            <w:r>
              <w:rPr>
                <w:rFonts w:hint="eastAsia" w:asciiTheme="majorEastAsia" w:hAnsiTheme="majorEastAsia" w:eastAsiaTheme="majorEastAsia" w:cstheme="majorEastAsia"/>
                <w:snapToGrid w:val="0"/>
                <w:color w:val="auto"/>
                <w:kern w:val="0"/>
                <w:sz w:val="24"/>
              </w:rPr>
              <w:t>中的</w:t>
            </w:r>
            <w:r>
              <w:rPr>
                <w:rFonts w:hint="eastAsia" w:asciiTheme="majorEastAsia" w:hAnsiTheme="majorEastAsia" w:eastAsiaTheme="majorEastAsia" w:cstheme="majorEastAsia"/>
                <w:snapToGrid w:val="0"/>
                <w:color w:val="auto"/>
                <w:kern w:val="0"/>
                <w:sz w:val="24"/>
                <w:lang w:eastAsia="zh-CN"/>
              </w:rPr>
              <w:t>“</w:t>
            </w:r>
            <w:r>
              <w:rPr>
                <w:rFonts w:hint="eastAsia" w:asciiTheme="majorEastAsia" w:hAnsiTheme="majorEastAsia" w:eastAsiaTheme="majorEastAsia" w:cstheme="majorEastAsia"/>
                <w:snapToGrid w:val="0"/>
                <w:color w:val="auto"/>
                <w:kern w:val="0"/>
                <w:sz w:val="24"/>
              </w:rPr>
              <w:t>商品混凝土；砼结构构件制造；水泥制品制造</w:t>
            </w:r>
            <w:r>
              <w:rPr>
                <w:rFonts w:hint="eastAsia" w:asciiTheme="majorEastAsia" w:hAnsiTheme="majorEastAsia" w:eastAsiaTheme="majorEastAsia" w:cstheme="majorEastAsia"/>
                <w:snapToGrid w:val="0"/>
                <w:color w:val="auto"/>
                <w:kern w:val="0"/>
                <w:sz w:val="24"/>
                <w:lang w:eastAsia="zh-CN"/>
              </w:rPr>
              <w:t>”</w:t>
            </w:r>
            <w:r>
              <w:rPr>
                <w:rFonts w:hint="eastAsia" w:asciiTheme="majorEastAsia" w:hAnsiTheme="majorEastAsia" w:eastAsiaTheme="majorEastAsia" w:cstheme="majorEastAsia"/>
                <w:snapToGrid w:val="0"/>
                <w:color w:val="auto"/>
                <w:kern w:val="0"/>
                <w:sz w:val="24"/>
              </w:rPr>
              <w:t>，因此应编制环境影响报告表</w:t>
            </w:r>
            <w:r>
              <w:rPr>
                <w:rFonts w:hint="eastAsia" w:asciiTheme="majorEastAsia" w:hAnsiTheme="majorEastAsia" w:eastAsiaTheme="majorEastAsia" w:cstheme="majorEastAsia"/>
                <w:snapToGrid w:val="0"/>
                <w:color w:val="auto"/>
                <w:kern w:val="0"/>
                <w:sz w:val="24"/>
                <w:lang w:eastAsia="zh-CN"/>
              </w:rPr>
              <w:t>。</w:t>
            </w:r>
          </w:p>
          <w:p w14:paraId="0887DA11">
            <w:pPr>
              <w:adjustRightInd w:val="0"/>
              <w:snapToGrid w:val="0"/>
              <w:ind w:firstLine="480" w:firstLineChars="20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snapToGrid w:val="0"/>
                <w:color w:val="auto"/>
                <w:kern w:val="0"/>
                <w:sz w:val="24"/>
                <w:lang w:val="en-US" w:eastAsia="zh-CN"/>
              </w:rPr>
              <w:t>为了尽快完善环保手续，</w:t>
            </w:r>
            <w:r>
              <w:rPr>
                <w:rFonts w:hint="eastAsia" w:asciiTheme="majorEastAsia" w:hAnsiTheme="majorEastAsia" w:eastAsiaTheme="majorEastAsia" w:cstheme="majorEastAsia"/>
                <w:color w:val="auto"/>
                <w:lang w:eastAsia="zh-CN"/>
              </w:rPr>
              <w:t>芒市腾发水泥制品有限公司委托云南禹含环保科技有限公司</w:t>
            </w:r>
            <w:r>
              <w:rPr>
                <w:rFonts w:hint="eastAsia" w:asciiTheme="majorEastAsia" w:hAnsiTheme="majorEastAsia" w:eastAsiaTheme="majorEastAsia" w:cstheme="majorEastAsia"/>
                <w:color w:val="auto"/>
                <w:sz w:val="24"/>
              </w:rPr>
              <w:t>承担</w:t>
            </w:r>
            <w:r>
              <w:rPr>
                <w:rFonts w:hint="eastAsia" w:asciiTheme="majorEastAsia" w:hAnsiTheme="majorEastAsia" w:eastAsiaTheme="majorEastAsia" w:cstheme="majorEastAsia"/>
                <w:color w:val="auto"/>
                <w:lang w:eastAsia="zh-CN"/>
              </w:rPr>
              <w:t>芒市腾发水泥制品有限公司建设项目的</w:t>
            </w:r>
            <w:r>
              <w:rPr>
                <w:rFonts w:hint="eastAsia" w:asciiTheme="majorEastAsia" w:hAnsiTheme="majorEastAsia" w:eastAsiaTheme="majorEastAsia" w:cstheme="majorEastAsia"/>
                <w:color w:val="auto"/>
                <w:sz w:val="24"/>
              </w:rPr>
              <w:t>环境影响评价工作</w:t>
            </w:r>
            <w:r>
              <w:rPr>
                <w:rFonts w:hint="eastAsia" w:asciiTheme="majorEastAsia" w:hAnsiTheme="majorEastAsia" w:eastAsiaTheme="majorEastAsia" w:cstheme="majorEastAsia"/>
                <w:color w:val="auto"/>
                <w:sz w:val="24"/>
                <w:lang w:eastAsia="zh-CN"/>
              </w:rPr>
              <w:t>（委托书见附件</w:t>
            </w:r>
            <w:r>
              <w:rPr>
                <w:rFonts w:hint="eastAsia" w:asciiTheme="majorEastAsia" w:hAnsiTheme="majorEastAsia" w:eastAsiaTheme="majorEastAsia" w:cstheme="majorEastAsia"/>
                <w:color w:val="auto"/>
                <w:sz w:val="24"/>
                <w:lang w:val="en-US" w:eastAsia="zh-CN"/>
              </w:rPr>
              <w:t>1</w:t>
            </w:r>
            <w:r>
              <w:rPr>
                <w:rFonts w:hint="eastAsia" w:asciiTheme="majorEastAsia" w:hAnsiTheme="majorEastAsia" w:eastAsiaTheme="majorEastAsia" w:cstheme="majorEastAsia"/>
                <w:color w:val="auto"/>
                <w:sz w:val="24"/>
                <w:lang w:eastAsia="zh-CN"/>
              </w:rPr>
              <w:t>）。</w:t>
            </w:r>
            <w:r>
              <w:rPr>
                <w:rFonts w:hint="eastAsia" w:asciiTheme="majorEastAsia" w:hAnsiTheme="majorEastAsia" w:eastAsiaTheme="majorEastAsia" w:cstheme="majorEastAsia"/>
                <w:snapToGrid w:val="0"/>
                <w:color w:val="auto"/>
                <w:kern w:val="0"/>
                <w:sz w:val="24"/>
                <w:lang w:val="en-US" w:eastAsia="zh-CN"/>
              </w:rPr>
              <w:t>我公司接受委托后，结合建设单位提供资料</w:t>
            </w:r>
            <w:r>
              <w:rPr>
                <w:rFonts w:hint="eastAsia" w:asciiTheme="majorEastAsia" w:hAnsiTheme="majorEastAsia" w:eastAsiaTheme="majorEastAsia" w:cstheme="majorEastAsia"/>
                <w:color w:val="auto"/>
                <w:sz w:val="24"/>
              </w:rPr>
              <w:t>开展了详细的现场踏勘、资料收集、整理等前期工作，在掌握了所需资料的基础上，对有关环境现状和可能产生的环境影响进行分析，按环境影响评价技术导则规范的要求，编制了</w:t>
            </w:r>
            <w:r>
              <w:rPr>
                <w:rFonts w:hint="eastAsia" w:asciiTheme="majorEastAsia" w:hAnsiTheme="majorEastAsia" w:eastAsiaTheme="majorEastAsia" w:cstheme="majorEastAsia"/>
                <w:color w:val="auto"/>
                <w:sz w:val="24"/>
                <w:lang w:eastAsia="zh-CN"/>
              </w:rPr>
              <w:t>本</w:t>
            </w:r>
            <w:r>
              <w:rPr>
                <w:rFonts w:hint="eastAsia" w:asciiTheme="majorEastAsia" w:hAnsiTheme="majorEastAsia" w:eastAsiaTheme="majorEastAsia" w:cstheme="majorEastAsia"/>
                <w:color w:val="auto"/>
                <w:sz w:val="24"/>
              </w:rPr>
              <w:t>项目环境影响报告表，以供建设单位上报审批</w:t>
            </w:r>
            <w:r>
              <w:rPr>
                <w:rFonts w:hint="eastAsia" w:asciiTheme="majorEastAsia" w:hAnsiTheme="majorEastAsia" w:eastAsiaTheme="majorEastAsia" w:cstheme="majorEastAsia"/>
                <w:color w:val="auto"/>
              </w:rPr>
              <w:t>。</w:t>
            </w:r>
          </w:p>
          <w:p w14:paraId="505AFAE4">
            <w:pPr>
              <w:numPr>
                <w:ilvl w:val="0"/>
                <w:numId w:val="4"/>
              </w:numPr>
              <w:ind w:firstLine="482" w:firstLineChars="200"/>
              <w:rPr>
                <w:rFonts w:hint="eastAsia" w:asciiTheme="majorEastAsia" w:hAnsiTheme="majorEastAsia" w:eastAsiaTheme="majorEastAsia" w:cstheme="majorEastAsia"/>
                <w:b/>
                <w:bCs/>
                <w:color w:val="auto"/>
              </w:rPr>
            </w:pPr>
            <w:r>
              <w:rPr>
                <w:rFonts w:hint="eastAsia" w:asciiTheme="majorEastAsia" w:hAnsiTheme="majorEastAsia" w:eastAsiaTheme="majorEastAsia" w:cstheme="majorEastAsia"/>
                <w:b/>
                <w:bCs/>
                <w:color w:val="auto"/>
              </w:rPr>
              <w:t>建设内容及规模</w:t>
            </w:r>
          </w:p>
          <w:p w14:paraId="470B7CEF">
            <w:pPr>
              <w:adjustRightInd w:val="0"/>
              <w:snapToGrid w:val="0"/>
              <w:ind w:firstLine="480" w:firstLineChars="200"/>
              <w:rPr>
                <w:rFonts w:hint="eastAsia" w:asciiTheme="majorEastAsia" w:hAnsiTheme="majorEastAsia" w:eastAsiaTheme="majorEastAsia" w:cstheme="majorEastAsia"/>
                <w:color w:val="auto"/>
                <w:kern w:val="0"/>
                <w:lang w:bidi="ar"/>
              </w:rPr>
            </w:pPr>
            <w:r>
              <w:rPr>
                <w:rFonts w:hint="eastAsia" w:asciiTheme="majorEastAsia" w:hAnsiTheme="majorEastAsia" w:eastAsiaTheme="majorEastAsia" w:cstheme="majorEastAsia"/>
                <w:color w:val="auto"/>
                <w:kern w:val="0"/>
                <w:lang w:bidi="ar"/>
              </w:rPr>
              <w:t>项</w:t>
            </w:r>
            <w:r>
              <w:rPr>
                <w:rFonts w:hint="eastAsia" w:asciiTheme="majorEastAsia" w:hAnsiTheme="majorEastAsia" w:eastAsiaTheme="majorEastAsia" w:cstheme="majorEastAsia"/>
                <w:color w:val="000000" w:themeColor="text1"/>
                <w:kern w:val="0"/>
                <w:lang w:bidi="ar"/>
                <w14:textFill>
                  <w14:solidFill>
                    <w14:schemeClr w14:val="tx1"/>
                  </w14:solidFill>
                </w14:textFill>
              </w:rPr>
              <w:t>目占地面积</w:t>
            </w:r>
            <w:r>
              <w:rPr>
                <w:rFonts w:hint="eastAsia" w:asciiTheme="majorEastAsia" w:hAnsiTheme="majorEastAsia" w:eastAsiaTheme="majorEastAsia" w:cstheme="majorEastAsia"/>
                <w:color w:val="000000" w:themeColor="text1"/>
                <w:lang w:eastAsia="zh-CN"/>
                <w14:textFill>
                  <w14:solidFill>
                    <w14:schemeClr w14:val="tx1"/>
                  </w14:solidFill>
                </w14:textFill>
              </w:rPr>
              <w:t>（</w:t>
            </w:r>
            <w:r>
              <w:rPr>
                <w:rFonts w:hint="eastAsia" w:asciiTheme="majorEastAsia" w:hAnsiTheme="majorEastAsia" w:eastAsiaTheme="majorEastAsia" w:cstheme="majorEastAsia"/>
                <w:color w:val="000000" w:themeColor="text1"/>
                <w:lang w:val="en-US" w:eastAsia="zh-CN"/>
                <w14:textFill>
                  <w14:solidFill>
                    <w14:schemeClr w14:val="tx1"/>
                  </w14:solidFill>
                </w14:textFill>
              </w:rPr>
              <w:t>11.6亩</w:t>
            </w:r>
            <w:r>
              <w:rPr>
                <w:rFonts w:hint="eastAsia" w:asciiTheme="majorEastAsia" w:hAnsiTheme="majorEastAsia" w:eastAsiaTheme="majorEastAsia" w:cstheme="majorEastAsia"/>
                <w:color w:val="000000" w:themeColor="text1"/>
                <w:lang w:eastAsia="zh-CN"/>
                <w14:textFill>
                  <w14:solidFill>
                    <w14:schemeClr w14:val="tx1"/>
                  </w14:solidFill>
                </w14:textFill>
              </w:rPr>
              <w:t>）7733.333</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m</w:t>
            </w:r>
            <w:r>
              <w:rPr>
                <w:rFonts w:hint="eastAsia" w:asciiTheme="majorEastAsia" w:hAnsiTheme="majorEastAsia" w:eastAsiaTheme="majorEastAsia" w:cstheme="majorEastAsia"/>
                <w:color w:val="000000" w:themeColor="text1"/>
                <w:sz w:val="24"/>
                <w:szCs w:val="24"/>
                <w:vertAlign w:val="superscript"/>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kern w:val="0"/>
                <w:lang w:bidi="ar"/>
                <w14:textFill>
                  <w14:solidFill>
                    <w14:schemeClr w14:val="tx1"/>
                  </w14:solidFill>
                </w14:textFill>
              </w:rPr>
              <w:t>建筑面积</w:t>
            </w:r>
            <w:r>
              <w:rPr>
                <w:rFonts w:hint="eastAsia" w:asciiTheme="majorEastAsia" w:hAnsiTheme="majorEastAsia" w:eastAsiaTheme="majorEastAsia" w:cstheme="majorEastAsia"/>
                <w:color w:val="000000" w:themeColor="text1"/>
                <w:kern w:val="0"/>
                <w:lang w:eastAsia="zh-CN" w:bidi="ar"/>
                <w14:textFill>
                  <w14:solidFill>
                    <w14:schemeClr w14:val="tx1"/>
                  </w14:solidFill>
                </w14:textFill>
              </w:rPr>
              <w:t>约</w:t>
            </w:r>
            <w:r>
              <w:rPr>
                <w:rFonts w:hint="eastAsia" w:asciiTheme="majorEastAsia" w:hAnsiTheme="majorEastAsia" w:eastAsiaTheme="majorEastAsia" w:cstheme="majorEastAsia"/>
                <w:color w:val="000000" w:themeColor="text1"/>
                <w:kern w:val="0"/>
                <w:lang w:val="en-US" w:eastAsia="zh-CN" w:bidi="ar"/>
                <w14:textFill>
                  <w14:solidFill>
                    <w14:schemeClr w14:val="tx1"/>
                  </w14:solidFill>
                </w14:textFill>
              </w:rPr>
              <w:t>1300</w:t>
            </w:r>
            <w:r>
              <w:rPr>
                <w:rFonts w:hint="eastAsia" w:asciiTheme="majorEastAsia" w:hAnsiTheme="majorEastAsia" w:eastAsiaTheme="majorEastAsia" w:cstheme="majorEastAsia"/>
                <w:color w:val="000000" w:themeColor="text1"/>
                <w:kern w:val="0"/>
                <w:lang w:bidi="ar"/>
                <w14:textFill>
                  <w14:solidFill>
                    <w14:schemeClr w14:val="tx1"/>
                  </w14:solidFill>
                </w14:textFill>
              </w:rPr>
              <w:t>m</w:t>
            </w:r>
            <w:r>
              <w:rPr>
                <w:rFonts w:hint="eastAsia" w:asciiTheme="majorEastAsia" w:hAnsiTheme="majorEastAsia" w:eastAsiaTheme="majorEastAsia" w:cstheme="majorEastAsia"/>
                <w:color w:val="000000" w:themeColor="text1"/>
                <w:kern w:val="0"/>
                <w:vertAlign w:val="superscript"/>
                <w:lang w:bidi="ar"/>
                <w14:textFill>
                  <w14:solidFill>
                    <w14:schemeClr w14:val="tx1"/>
                  </w14:solidFill>
                </w14:textFill>
              </w:rPr>
              <w:t>2</w:t>
            </w:r>
            <w:r>
              <w:rPr>
                <w:rFonts w:hint="eastAsia" w:asciiTheme="majorEastAsia" w:hAnsiTheme="majorEastAsia" w:eastAsiaTheme="majorEastAsia" w:cstheme="majorEastAsia"/>
                <w:color w:val="000000" w:themeColor="text1"/>
                <w:kern w:val="0"/>
                <w:lang w:bidi="ar"/>
                <w14:textFill>
                  <w14:solidFill>
                    <w14:schemeClr w14:val="tx1"/>
                  </w14:solidFill>
                </w14:textFill>
              </w:rPr>
              <w:t>，</w:t>
            </w:r>
            <w:r>
              <w:rPr>
                <w:rFonts w:hint="eastAsia" w:asciiTheme="majorEastAsia" w:hAnsiTheme="majorEastAsia" w:eastAsiaTheme="majorEastAsia" w:cstheme="majorEastAsia"/>
                <w:color w:val="auto"/>
                <w:kern w:val="0"/>
                <w:lang w:bidi="ar"/>
              </w:rPr>
              <w:t>建设生产车间、成品堆放区、原料堆场、办公区、住宿区配套辅助设施及相应环保设施等。项目主要建设内容包括主体工程、公用工程及环保工程等，项目主要建设内容详情见表2-1。</w:t>
            </w:r>
          </w:p>
          <w:p w14:paraId="17199CF7">
            <w:pPr>
              <w:widowControl/>
              <w:jc w:val="center"/>
              <w:rPr>
                <w:rFonts w:hint="eastAsia" w:asciiTheme="majorEastAsia" w:hAnsiTheme="majorEastAsia" w:eastAsiaTheme="majorEastAsia" w:cstheme="majorEastAsia"/>
                <w:b/>
                <w:bCs/>
                <w:color w:val="auto"/>
                <w:kern w:val="0"/>
                <w:lang w:bidi="ar"/>
              </w:rPr>
            </w:pPr>
            <w:r>
              <w:rPr>
                <w:rFonts w:hint="eastAsia" w:asciiTheme="majorEastAsia" w:hAnsiTheme="majorEastAsia" w:eastAsiaTheme="majorEastAsia" w:cstheme="majorEastAsia"/>
                <w:b/>
                <w:bCs/>
                <w:color w:val="auto"/>
                <w:kern w:val="0"/>
                <w:lang w:bidi="ar"/>
              </w:rPr>
              <w:t>表2-1  项目主要建设内容一览表</w:t>
            </w: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491"/>
              <w:gridCol w:w="154"/>
              <w:gridCol w:w="1067"/>
              <w:gridCol w:w="5794"/>
              <w:gridCol w:w="969"/>
            </w:tblGrid>
            <w:tr w14:paraId="20C1A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3" w:type="pct"/>
                  <w:vAlign w:val="center"/>
                </w:tcPr>
                <w:p w14:paraId="6CB96D44">
                  <w:pPr>
                    <w:adjustRightInd w:val="0"/>
                    <w:snapToGrid w:val="0"/>
                    <w:spacing w:line="240" w:lineRule="auto"/>
                    <w:jc w:val="center"/>
                    <w:rPr>
                      <w:rFonts w:ascii="Times New Roman" w:hAnsi="Times New Roman"/>
                      <w:b/>
                      <w:bCs/>
                      <w:color w:val="auto"/>
                      <w:kern w:val="0"/>
                      <w:sz w:val="21"/>
                      <w:szCs w:val="21"/>
                      <w:lang w:bidi="ar"/>
                    </w:rPr>
                  </w:pPr>
                  <w:r>
                    <w:rPr>
                      <w:rFonts w:ascii="Times New Roman" w:hAnsi="Times New Roman"/>
                      <w:b/>
                      <w:bCs/>
                      <w:color w:val="auto"/>
                      <w:kern w:val="0"/>
                      <w:sz w:val="21"/>
                      <w:szCs w:val="21"/>
                      <w:lang w:bidi="ar"/>
                    </w:rPr>
                    <w:t>工程类别</w:t>
                  </w:r>
                </w:p>
              </w:tc>
              <w:tc>
                <w:tcPr>
                  <w:tcW w:w="924" w:type="pct"/>
                  <w:gridSpan w:val="3"/>
                  <w:vAlign w:val="center"/>
                </w:tcPr>
                <w:p w14:paraId="06CA49FD">
                  <w:pPr>
                    <w:adjustRightInd w:val="0"/>
                    <w:snapToGrid w:val="0"/>
                    <w:spacing w:line="240" w:lineRule="auto"/>
                    <w:jc w:val="center"/>
                    <w:rPr>
                      <w:rFonts w:ascii="Times New Roman" w:hAnsi="Times New Roman"/>
                      <w:b/>
                      <w:bCs/>
                      <w:color w:val="auto"/>
                      <w:kern w:val="0"/>
                      <w:sz w:val="21"/>
                      <w:szCs w:val="21"/>
                      <w:lang w:bidi="ar"/>
                    </w:rPr>
                  </w:pPr>
                  <w:r>
                    <w:rPr>
                      <w:rFonts w:ascii="Times New Roman" w:hAnsi="Times New Roman"/>
                      <w:b/>
                      <w:bCs/>
                      <w:color w:val="auto"/>
                      <w:kern w:val="0"/>
                      <w:sz w:val="21"/>
                      <w:szCs w:val="21"/>
                      <w:lang w:bidi="ar"/>
                    </w:rPr>
                    <w:t>项目名称</w:t>
                  </w:r>
                </w:p>
              </w:tc>
              <w:tc>
                <w:tcPr>
                  <w:tcW w:w="3128" w:type="pct"/>
                  <w:vAlign w:val="center"/>
                </w:tcPr>
                <w:p w14:paraId="3F99AE00">
                  <w:pPr>
                    <w:adjustRightInd w:val="0"/>
                    <w:snapToGrid w:val="0"/>
                    <w:spacing w:line="240" w:lineRule="auto"/>
                    <w:jc w:val="center"/>
                    <w:rPr>
                      <w:rFonts w:ascii="Times New Roman" w:hAnsi="Times New Roman"/>
                      <w:b/>
                      <w:bCs/>
                      <w:color w:val="auto"/>
                      <w:kern w:val="0"/>
                      <w:sz w:val="21"/>
                      <w:szCs w:val="21"/>
                      <w:lang w:bidi="ar"/>
                    </w:rPr>
                  </w:pPr>
                  <w:r>
                    <w:rPr>
                      <w:rFonts w:ascii="Times New Roman" w:hAnsi="Times New Roman"/>
                      <w:b/>
                      <w:bCs/>
                      <w:color w:val="auto"/>
                      <w:kern w:val="0"/>
                      <w:sz w:val="21"/>
                      <w:szCs w:val="21"/>
                      <w:lang w:bidi="ar"/>
                    </w:rPr>
                    <w:t>建设内容及规模</w:t>
                  </w:r>
                </w:p>
              </w:tc>
              <w:tc>
                <w:tcPr>
                  <w:tcW w:w="523" w:type="pct"/>
                  <w:vAlign w:val="center"/>
                </w:tcPr>
                <w:p w14:paraId="32E1FF90">
                  <w:pPr>
                    <w:adjustRightInd w:val="0"/>
                    <w:snapToGrid w:val="0"/>
                    <w:spacing w:line="240" w:lineRule="auto"/>
                    <w:jc w:val="center"/>
                    <w:rPr>
                      <w:rFonts w:ascii="Times New Roman" w:hAnsi="Times New Roman"/>
                      <w:b/>
                      <w:bCs/>
                      <w:color w:val="auto"/>
                      <w:kern w:val="0"/>
                      <w:sz w:val="21"/>
                      <w:szCs w:val="21"/>
                      <w:lang w:bidi="ar"/>
                    </w:rPr>
                  </w:pPr>
                  <w:r>
                    <w:rPr>
                      <w:rFonts w:hint="eastAsia" w:ascii="Times New Roman" w:hAnsi="Times New Roman"/>
                      <w:b/>
                      <w:bCs/>
                      <w:color w:val="auto"/>
                      <w:kern w:val="0"/>
                      <w:sz w:val="21"/>
                      <w:szCs w:val="21"/>
                      <w:lang w:bidi="ar"/>
                    </w:rPr>
                    <w:t>备注</w:t>
                  </w:r>
                </w:p>
              </w:tc>
            </w:tr>
            <w:tr w14:paraId="23C0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23" w:type="pct"/>
                  <w:vMerge w:val="restart"/>
                  <w:vAlign w:val="center"/>
                </w:tcPr>
                <w:p w14:paraId="2A95E965">
                  <w:pPr>
                    <w:adjustRightInd w:val="0"/>
                    <w:snapToGrid w:val="0"/>
                    <w:spacing w:line="240" w:lineRule="auto"/>
                    <w:jc w:val="center"/>
                    <w:rPr>
                      <w:rFonts w:ascii="Times New Roman" w:hAnsi="Times New Roman"/>
                      <w:color w:val="auto"/>
                      <w:kern w:val="0"/>
                      <w:sz w:val="21"/>
                      <w:szCs w:val="21"/>
                      <w:lang w:bidi="ar"/>
                    </w:rPr>
                  </w:pPr>
                  <w:r>
                    <w:rPr>
                      <w:rFonts w:ascii="Times New Roman" w:hAnsi="Times New Roman"/>
                      <w:color w:val="auto"/>
                      <w:kern w:val="0"/>
                      <w:sz w:val="21"/>
                      <w:szCs w:val="21"/>
                      <w:lang w:bidi="ar"/>
                    </w:rPr>
                    <w:t>主体工程</w:t>
                  </w:r>
                </w:p>
              </w:tc>
              <w:tc>
                <w:tcPr>
                  <w:tcW w:w="348" w:type="pct"/>
                  <w:gridSpan w:val="2"/>
                  <w:vMerge w:val="restart"/>
                  <w:vAlign w:val="center"/>
                </w:tcPr>
                <w:p w14:paraId="33647DF7">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生产区</w:t>
                  </w:r>
                </w:p>
              </w:tc>
              <w:tc>
                <w:tcPr>
                  <w:tcW w:w="576" w:type="pct"/>
                  <w:vAlign w:val="center"/>
                </w:tcPr>
                <w:p w14:paraId="1BDCD3AB">
                  <w:pPr>
                    <w:adjustRightInd w:val="0"/>
                    <w:snapToGrid w:val="0"/>
                    <w:spacing w:line="240" w:lineRule="auto"/>
                    <w:jc w:val="center"/>
                    <w:rPr>
                      <w:rFonts w:hint="eastAsia" w:asciiTheme="majorEastAsia" w:hAnsiTheme="majorEastAsia" w:eastAsiaTheme="majorEastAsia" w:cstheme="majorEastAsia"/>
                      <w:color w:val="auto"/>
                      <w:kern w:val="0"/>
                      <w:sz w:val="21"/>
                      <w:szCs w:val="21"/>
                      <w:lang w:bidi="ar"/>
                    </w:rPr>
                  </w:pPr>
                  <w:r>
                    <w:rPr>
                      <w:rFonts w:hint="eastAsia" w:asciiTheme="majorEastAsia" w:hAnsiTheme="majorEastAsia" w:eastAsiaTheme="majorEastAsia" w:cstheme="majorEastAsia"/>
                      <w:color w:val="auto"/>
                      <w:kern w:val="0"/>
                      <w:sz w:val="21"/>
                      <w:szCs w:val="21"/>
                      <w:lang w:bidi="ar"/>
                    </w:rPr>
                    <w:t>原料堆场</w:t>
                  </w:r>
                </w:p>
              </w:tc>
              <w:tc>
                <w:tcPr>
                  <w:tcW w:w="3128" w:type="pct"/>
                  <w:vAlign w:val="center"/>
                </w:tcPr>
                <w:p w14:paraId="3855E2E1">
                  <w:pPr>
                    <w:adjustRightInd w:val="0"/>
                    <w:snapToGrid w:val="0"/>
                    <w:spacing w:line="240" w:lineRule="auto"/>
                    <w:jc w:val="center"/>
                    <w:rPr>
                      <w:rFonts w:hint="eastAsia" w:asciiTheme="majorEastAsia" w:hAnsiTheme="majorEastAsia" w:eastAsiaTheme="majorEastAsia" w:cstheme="majorEastAsia"/>
                      <w:color w:val="auto"/>
                      <w:kern w:val="0"/>
                      <w:sz w:val="21"/>
                      <w:szCs w:val="21"/>
                      <w:lang w:eastAsia="zh-CN" w:bidi="ar"/>
                    </w:rPr>
                  </w:pPr>
                  <w:r>
                    <w:rPr>
                      <w:rFonts w:hint="eastAsia" w:asciiTheme="majorEastAsia" w:hAnsiTheme="majorEastAsia" w:eastAsiaTheme="majorEastAsia" w:cstheme="majorEastAsia"/>
                      <w:color w:val="auto"/>
                      <w:kern w:val="0"/>
                      <w:sz w:val="21"/>
                      <w:szCs w:val="21"/>
                      <w:lang w:bidi="ar"/>
                    </w:rPr>
                    <w:t>1F，</w:t>
                  </w:r>
                  <w:r>
                    <w:rPr>
                      <w:rFonts w:hint="eastAsia" w:asciiTheme="majorEastAsia" w:hAnsiTheme="majorEastAsia" w:eastAsiaTheme="majorEastAsia" w:cstheme="majorEastAsia"/>
                      <w:color w:val="auto"/>
                      <w:kern w:val="0"/>
                      <w:sz w:val="21"/>
                      <w:szCs w:val="21"/>
                      <w:lang w:eastAsia="zh-CN" w:bidi="ar"/>
                    </w:rPr>
                    <w:t>租用</w:t>
                  </w:r>
                  <w:r>
                    <w:rPr>
                      <w:rFonts w:hint="eastAsia" w:asciiTheme="minorEastAsia" w:hAnsiTheme="minorEastAsia" w:eastAsiaTheme="minorEastAsia" w:cstheme="minorEastAsia"/>
                      <w:color w:val="auto"/>
                      <w:kern w:val="0"/>
                      <w:sz w:val="21"/>
                      <w:szCs w:val="21"/>
                      <w:lang w:eastAsia="zh-CN" w:bidi="ar"/>
                    </w:rPr>
                    <w:t>场地地面已硬化，</w:t>
                  </w:r>
                  <w:r>
                    <w:rPr>
                      <w:rFonts w:hint="eastAsia" w:asciiTheme="majorEastAsia" w:hAnsiTheme="majorEastAsia" w:eastAsiaTheme="majorEastAsia" w:cstheme="majorEastAsia"/>
                      <w:color w:val="auto"/>
                      <w:kern w:val="0"/>
                      <w:sz w:val="21"/>
                      <w:szCs w:val="21"/>
                      <w:lang w:bidi="ar"/>
                    </w:rPr>
                    <w:t>占地面积</w:t>
                  </w:r>
                  <w:r>
                    <w:rPr>
                      <w:rFonts w:hint="eastAsia" w:asciiTheme="majorEastAsia" w:hAnsiTheme="majorEastAsia" w:eastAsiaTheme="majorEastAsia" w:cstheme="majorEastAsia"/>
                      <w:color w:val="auto"/>
                      <w:kern w:val="0"/>
                      <w:sz w:val="21"/>
                      <w:szCs w:val="21"/>
                      <w:lang w:val="en-US" w:eastAsia="zh-CN" w:bidi="ar"/>
                    </w:rPr>
                    <w:t>130</w:t>
                  </w:r>
                  <w:r>
                    <w:rPr>
                      <w:rFonts w:hint="eastAsia" w:asciiTheme="majorEastAsia" w:hAnsiTheme="majorEastAsia" w:eastAsiaTheme="majorEastAsia" w:cstheme="majorEastAsia"/>
                      <w:color w:val="auto"/>
                      <w:kern w:val="0"/>
                      <w:sz w:val="21"/>
                      <w:szCs w:val="21"/>
                      <w:lang w:bidi="ar"/>
                    </w:rPr>
                    <w:t>m</w:t>
                  </w:r>
                  <w:r>
                    <w:rPr>
                      <w:rFonts w:hint="eastAsia" w:asciiTheme="majorEastAsia" w:hAnsiTheme="majorEastAsia" w:eastAsiaTheme="majorEastAsia" w:cstheme="majorEastAsia"/>
                      <w:color w:val="auto"/>
                      <w:kern w:val="0"/>
                      <w:sz w:val="21"/>
                      <w:szCs w:val="21"/>
                      <w:vertAlign w:val="superscript"/>
                      <w:lang w:bidi="ar"/>
                    </w:rPr>
                    <w:t>2</w:t>
                  </w:r>
                  <w:r>
                    <w:rPr>
                      <w:rFonts w:hint="eastAsia" w:asciiTheme="majorEastAsia" w:hAnsiTheme="majorEastAsia" w:eastAsiaTheme="majorEastAsia" w:cstheme="majorEastAsia"/>
                      <w:color w:val="auto"/>
                      <w:kern w:val="0"/>
                      <w:sz w:val="21"/>
                      <w:szCs w:val="21"/>
                      <w:lang w:bidi="ar"/>
                    </w:rPr>
                    <w:t>，建筑面积</w:t>
                  </w:r>
                  <w:r>
                    <w:rPr>
                      <w:rFonts w:hint="eastAsia" w:asciiTheme="majorEastAsia" w:hAnsiTheme="majorEastAsia" w:eastAsiaTheme="majorEastAsia" w:cstheme="majorEastAsia"/>
                      <w:color w:val="auto"/>
                      <w:kern w:val="0"/>
                      <w:sz w:val="21"/>
                      <w:szCs w:val="21"/>
                      <w:lang w:val="en-US" w:eastAsia="zh-CN" w:bidi="ar"/>
                    </w:rPr>
                    <w:t>130</w:t>
                  </w:r>
                  <w:r>
                    <w:rPr>
                      <w:rFonts w:hint="eastAsia" w:asciiTheme="majorEastAsia" w:hAnsiTheme="majorEastAsia" w:eastAsiaTheme="majorEastAsia" w:cstheme="majorEastAsia"/>
                      <w:color w:val="auto"/>
                      <w:kern w:val="0"/>
                      <w:sz w:val="21"/>
                      <w:szCs w:val="21"/>
                      <w:lang w:bidi="ar"/>
                    </w:rPr>
                    <w:t>m</w:t>
                  </w:r>
                  <w:r>
                    <w:rPr>
                      <w:rFonts w:hint="eastAsia" w:asciiTheme="majorEastAsia" w:hAnsiTheme="majorEastAsia" w:eastAsiaTheme="majorEastAsia" w:cstheme="majorEastAsia"/>
                      <w:color w:val="auto"/>
                      <w:kern w:val="0"/>
                      <w:sz w:val="21"/>
                      <w:szCs w:val="21"/>
                      <w:vertAlign w:val="superscript"/>
                      <w:lang w:bidi="ar"/>
                    </w:rPr>
                    <w:t>2</w:t>
                  </w:r>
                  <w:r>
                    <w:rPr>
                      <w:rFonts w:hint="eastAsia" w:asciiTheme="majorEastAsia" w:hAnsiTheme="majorEastAsia" w:eastAsiaTheme="majorEastAsia" w:cstheme="majorEastAsia"/>
                      <w:color w:val="auto"/>
                      <w:kern w:val="0"/>
                      <w:sz w:val="21"/>
                      <w:szCs w:val="21"/>
                      <w:lang w:bidi="ar"/>
                    </w:rPr>
                    <w:t>，位于项目区</w:t>
                  </w:r>
                  <w:r>
                    <w:rPr>
                      <w:rFonts w:hint="eastAsia" w:asciiTheme="majorEastAsia" w:hAnsiTheme="majorEastAsia" w:eastAsiaTheme="majorEastAsia" w:cstheme="majorEastAsia"/>
                      <w:color w:val="auto"/>
                      <w:kern w:val="0"/>
                      <w:sz w:val="21"/>
                      <w:szCs w:val="21"/>
                      <w:lang w:eastAsia="zh-CN" w:bidi="ar"/>
                    </w:rPr>
                    <w:t>西侧水泥管生产线旁，用于堆放原材料，环评要求搭建顶棚。</w:t>
                  </w:r>
                </w:p>
              </w:tc>
              <w:tc>
                <w:tcPr>
                  <w:tcW w:w="523" w:type="pct"/>
                  <w:vAlign w:val="center"/>
                </w:tcPr>
                <w:p w14:paraId="57C6751A">
                  <w:pPr>
                    <w:adjustRightInd w:val="0"/>
                    <w:snapToGrid w:val="0"/>
                    <w:spacing w:line="240" w:lineRule="auto"/>
                    <w:jc w:val="center"/>
                    <w:rPr>
                      <w:rFonts w:hint="eastAsia" w:ascii="Times New Roman" w:hAnsi="Times New Roman" w:eastAsia="宋体"/>
                      <w:color w:val="auto"/>
                      <w:kern w:val="0"/>
                      <w:sz w:val="21"/>
                      <w:szCs w:val="21"/>
                      <w:lang w:eastAsia="zh-CN" w:bidi="ar"/>
                    </w:rPr>
                  </w:pPr>
                  <w:r>
                    <w:rPr>
                      <w:rFonts w:hint="eastAsia"/>
                      <w:color w:val="auto"/>
                      <w:kern w:val="0"/>
                      <w:sz w:val="21"/>
                      <w:szCs w:val="21"/>
                      <w:lang w:eastAsia="zh-CN" w:bidi="ar"/>
                    </w:rPr>
                    <w:t>依托场地改造</w:t>
                  </w:r>
                </w:p>
              </w:tc>
            </w:tr>
            <w:tr w14:paraId="42DB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23" w:type="pct"/>
                  <w:vMerge w:val="continue"/>
                  <w:vAlign w:val="center"/>
                </w:tcPr>
                <w:p w14:paraId="6D4FCBC1">
                  <w:pPr>
                    <w:adjustRightInd w:val="0"/>
                    <w:snapToGrid w:val="0"/>
                    <w:spacing w:line="240" w:lineRule="auto"/>
                    <w:jc w:val="center"/>
                    <w:rPr>
                      <w:rFonts w:ascii="Times New Roman" w:hAnsi="Times New Roman"/>
                      <w:color w:val="auto"/>
                      <w:kern w:val="0"/>
                      <w:sz w:val="21"/>
                      <w:szCs w:val="21"/>
                      <w:lang w:bidi="ar"/>
                    </w:rPr>
                  </w:pPr>
                </w:p>
              </w:tc>
              <w:tc>
                <w:tcPr>
                  <w:tcW w:w="348" w:type="pct"/>
                  <w:gridSpan w:val="2"/>
                  <w:vMerge w:val="continue"/>
                  <w:vAlign w:val="center"/>
                </w:tcPr>
                <w:p w14:paraId="27094F5F">
                  <w:pPr>
                    <w:adjustRightInd w:val="0"/>
                    <w:snapToGrid w:val="0"/>
                    <w:spacing w:line="240" w:lineRule="auto"/>
                    <w:jc w:val="center"/>
                    <w:rPr>
                      <w:rFonts w:ascii="Times New Roman" w:hAnsi="Times New Roman"/>
                      <w:color w:val="auto"/>
                      <w:kern w:val="0"/>
                      <w:sz w:val="21"/>
                      <w:szCs w:val="21"/>
                      <w:lang w:bidi="ar"/>
                    </w:rPr>
                  </w:pPr>
                </w:p>
              </w:tc>
              <w:tc>
                <w:tcPr>
                  <w:tcW w:w="576" w:type="pct"/>
                  <w:vAlign w:val="center"/>
                </w:tcPr>
                <w:p w14:paraId="5BA2B8E4">
                  <w:pPr>
                    <w:adjustRightInd w:val="0"/>
                    <w:snapToGrid w:val="0"/>
                    <w:spacing w:line="240" w:lineRule="auto"/>
                    <w:jc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1#生产区</w:t>
                  </w:r>
                </w:p>
              </w:tc>
              <w:tc>
                <w:tcPr>
                  <w:tcW w:w="3128" w:type="pct"/>
                  <w:vAlign w:val="center"/>
                </w:tcPr>
                <w:p w14:paraId="298ABD6A">
                  <w:pPr>
                    <w:adjustRightInd w:val="0"/>
                    <w:snapToGrid w:val="0"/>
                    <w:spacing w:line="240" w:lineRule="auto"/>
                    <w:jc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1F，</w:t>
                  </w:r>
                  <w:r>
                    <w:rPr>
                      <w:rFonts w:hint="eastAsia" w:asciiTheme="majorEastAsia" w:hAnsiTheme="majorEastAsia" w:eastAsiaTheme="majorEastAsia" w:cstheme="majorEastAsia"/>
                      <w:color w:val="auto"/>
                      <w:kern w:val="0"/>
                      <w:sz w:val="21"/>
                      <w:szCs w:val="21"/>
                      <w:lang w:eastAsia="zh-CN" w:bidi="ar"/>
                    </w:rPr>
                    <w:t>租用</w:t>
                  </w:r>
                  <w:r>
                    <w:rPr>
                      <w:rFonts w:hint="eastAsia" w:asciiTheme="minorEastAsia" w:hAnsiTheme="minorEastAsia" w:eastAsiaTheme="minorEastAsia" w:cstheme="minorEastAsia"/>
                      <w:color w:val="auto"/>
                      <w:kern w:val="0"/>
                      <w:sz w:val="21"/>
                      <w:szCs w:val="21"/>
                      <w:lang w:eastAsia="zh-CN" w:bidi="ar"/>
                    </w:rPr>
                    <w:t>场地地面已硬化，</w:t>
                  </w:r>
                  <w:r>
                    <w:rPr>
                      <w:rFonts w:hint="eastAsia" w:asciiTheme="minorEastAsia" w:hAnsiTheme="minorEastAsia" w:eastAsiaTheme="minorEastAsia" w:cstheme="minorEastAsia"/>
                      <w:color w:val="auto"/>
                      <w:kern w:val="0"/>
                      <w:sz w:val="21"/>
                      <w:szCs w:val="21"/>
                      <w:lang w:bidi="ar"/>
                    </w:rPr>
                    <w:t>占地面积</w:t>
                  </w:r>
                  <w:r>
                    <w:rPr>
                      <w:rFonts w:hint="eastAsia" w:asciiTheme="minorEastAsia" w:hAnsiTheme="minorEastAsia" w:eastAsiaTheme="minorEastAsia" w:cstheme="minorEastAsia"/>
                      <w:color w:val="auto"/>
                      <w:kern w:val="0"/>
                      <w:sz w:val="21"/>
                      <w:szCs w:val="21"/>
                      <w:lang w:val="en-US" w:eastAsia="zh-CN" w:bidi="ar"/>
                    </w:rPr>
                    <w:t>70</w:t>
                  </w:r>
                  <w:r>
                    <w:rPr>
                      <w:rFonts w:hint="eastAsia" w:asciiTheme="minorEastAsia" w:hAnsiTheme="minorEastAsia" w:eastAsiaTheme="minorEastAsia" w:cstheme="minorEastAsia"/>
                      <w:color w:val="auto"/>
                      <w:kern w:val="0"/>
                      <w:sz w:val="21"/>
                      <w:szCs w:val="21"/>
                      <w:lang w:bidi="ar"/>
                    </w:rPr>
                    <w:t>0m</w:t>
                  </w:r>
                  <w:r>
                    <w:rPr>
                      <w:rFonts w:hint="eastAsia" w:asciiTheme="minorEastAsia" w:hAnsiTheme="minorEastAsia" w:eastAsiaTheme="minorEastAsia" w:cstheme="minorEastAsia"/>
                      <w:color w:val="auto"/>
                      <w:kern w:val="0"/>
                      <w:sz w:val="21"/>
                      <w:szCs w:val="21"/>
                      <w:vertAlign w:val="superscript"/>
                      <w:lang w:bidi="ar"/>
                    </w:rPr>
                    <w:t>2</w:t>
                  </w:r>
                  <w:r>
                    <w:rPr>
                      <w:rFonts w:hint="eastAsia" w:asciiTheme="minorEastAsia" w:hAnsiTheme="minorEastAsia" w:eastAsiaTheme="minorEastAsia" w:cstheme="minorEastAsia"/>
                      <w:color w:val="auto"/>
                      <w:kern w:val="0"/>
                      <w:sz w:val="21"/>
                      <w:szCs w:val="21"/>
                      <w:lang w:bidi="ar"/>
                    </w:rPr>
                    <w:t>，建筑面积</w:t>
                  </w:r>
                  <w:r>
                    <w:rPr>
                      <w:rFonts w:hint="eastAsia" w:asciiTheme="minorEastAsia" w:hAnsiTheme="minorEastAsia" w:eastAsiaTheme="minorEastAsia" w:cstheme="minorEastAsia"/>
                      <w:color w:val="auto"/>
                      <w:kern w:val="0"/>
                      <w:sz w:val="21"/>
                      <w:szCs w:val="21"/>
                      <w:lang w:val="en-US" w:eastAsia="zh-CN" w:bidi="ar"/>
                    </w:rPr>
                    <w:t>70</w:t>
                  </w:r>
                  <w:r>
                    <w:rPr>
                      <w:rFonts w:hint="eastAsia" w:asciiTheme="minorEastAsia" w:hAnsiTheme="minorEastAsia" w:eastAsiaTheme="minorEastAsia" w:cstheme="minorEastAsia"/>
                      <w:color w:val="auto"/>
                      <w:kern w:val="0"/>
                      <w:sz w:val="21"/>
                      <w:szCs w:val="21"/>
                      <w:lang w:bidi="ar"/>
                    </w:rPr>
                    <w:t>0m</w:t>
                  </w:r>
                  <w:r>
                    <w:rPr>
                      <w:rFonts w:hint="eastAsia" w:asciiTheme="minorEastAsia" w:hAnsiTheme="minorEastAsia" w:eastAsiaTheme="minorEastAsia" w:cstheme="minorEastAsia"/>
                      <w:color w:val="auto"/>
                      <w:kern w:val="0"/>
                      <w:sz w:val="21"/>
                      <w:szCs w:val="21"/>
                      <w:vertAlign w:val="superscript"/>
                      <w:lang w:bidi="ar"/>
                    </w:rPr>
                    <w:t>2</w:t>
                  </w:r>
                  <w:r>
                    <w:rPr>
                      <w:rFonts w:hint="eastAsia" w:asciiTheme="minorEastAsia" w:hAnsiTheme="minorEastAsia" w:eastAsiaTheme="minorEastAsia" w:cstheme="minorEastAsia"/>
                      <w:color w:val="auto"/>
                      <w:kern w:val="0"/>
                      <w:sz w:val="21"/>
                      <w:szCs w:val="21"/>
                      <w:lang w:bidi="ar"/>
                    </w:rPr>
                    <w:t>，设置</w:t>
                  </w: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条</w:t>
                  </w:r>
                  <w:r>
                    <w:rPr>
                      <w:rFonts w:hint="eastAsia" w:asciiTheme="minorEastAsia" w:hAnsiTheme="minorEastAsia" w:eastAsiaTheme="minorEastAsia" w:cstheme="minorEastAsia"/>
                      <w:color w:val="auto"/>
                      <w:kern w:val="0"/>
                      <w:sz w:val="21"/>
                      <w:szCs w:val="21"/>
                      <w:lang w:eastAsia="zh-CN" w:bidi="ar"/>
                    </w:rPr>
                    <w:t>水泥管</w:t>
                  </w:r>
                  <w:r>
                    <w:rPr>
                      <w:rFonts w:hint="eastAsia" w:asciiTheme="minorEastAsia" w:hAnsiTheme="minorEastAsia" w:eastAsiaTheme="minorEastAsia" w:cstheme="minorEastAsia"/>
                      <w:color w:val="auto"/>
                      <w:kern w:val="0"/>
                      <w:sz w:val="21"/>
                      <w:szCs w:val="21"/>
                      <w:lang w:bidi="ar"/>
                    </w:rPr>
                    <w:t>生产线，</w:t>
                  </w:r>
                  <w:r>
                    <w:rPr>
                      <w:rFonts w:hint="eastAsia" w:asciiTheme="minorEastAsia" w:hAnsiTheme="minorEastAsia" w:eastAsiaTheme="minorEastAsia" w:cstheme="minorEastAsia"/>
                      <w:color w:val="auto"/>
                      <w:kern w:val="0"/>
                      <w:sz w:val="21"/>
                      <w:szCs w:val="21"/>
                      <w:lang w:eastAsia="zh-CN" w:bidi="ar"/>
                    </w:rPr>
                    <w:t>放置配料机、水泥储罐、搅拌机</w:t>
                  </w:r>
                  <w:r>
                    <w:rPr>
                      <w:rFonts w:hint="eastAsia" w:asciiTheme="minorEastAsia" w:hAnsiTheme="minorEastAsia" w:eastAsiaTheme="minorEastAsia" w:cstheme="minorEastAsia"/>
                      <w:color w:val="auto"/>
                      <w:kern w:val="0"/>
                      <w:sz w:val="21"/>
                      <w:szCs w:val="21"/>
                      <w:lang w:bidi="ar"/>
                    </w:rPr>
                    <w:t>，</w:t>
                  </w:r>
                  <w:r>
                    <w:rPr>
                      <w:rFonts w:hint="eastAsia" w:asciiTheme="minorEastAsia" w:hAnsiTheme="minorEastAsia" w:eastAsiaTheme="minorEastAsia" w:cstheme="minorEastAsia"/>
                      <w:color w:val="auto"/>
                      <w:kern w:val="0"/>
                      <w:sz w:val="21"/>
                      <w:szCs w:val="21"/>
                      <w:lang w:eastAsia="zh-CN" w:bidi="ar"/>
                    </w:rPr>
                    <w:t>航吊机等设备，</w:t>
                  </w:r>
                  <w:r>
                    <w:rPr>
                      <w:rFonts w:hint="eastAsia" w:asciiTheme="minorEastAsia" w:hAnsiTheme="minorEastAsia" w:eastAsiaTheme="minorEastAsia" w:cstheme="minorEastAsia"/>
                      <w:color w:val="auto"/>
                      <w:kern w:val="0"/>
                      <w:sz w:val="21"/>
                      <w:szCs w:val="21"/>
                      <w:lang w:val="en-US" w:eastAsia="zh-CN" w:bidi="ar"/>
                    </w:rPr>
                    <w:t>1#生产区位于项目区西侧，拟露天设置</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shd w:val="clear"/>
                      <w:lang w:val="en-US" w:eastAsia="zh-CN" w:bidi="ar"/>
                      <w14:textFill>
                        <w14:solidFill>
                          <w14:schemeClr w14:val="tx1"/>
                        </w14:solidFill>
                      </w14:textFill>
                    </w:rPr>
                    <w:t>方便进出物料。</w:t>
                  </w:r>
                </w:p>
              </w:tc>
              <w:tc>
                <w:tcPr>
                  <w:tcW w:w="523" w:type="pct"/>
                  <w:vAlign w:val="center"/>
                </w:tcPr>
                <w:p w14:paraId="4922F5D0">
                  <w:pPr>
                    <w:adjustRightInd w:val="0"/>
                    <w:snapToGrid w:val="0"/>
                    <w:spacing w:line="240" w:lineRule="auto"/>
                    <w:jc w:val="center"/>
                    <w:rPr>
                      <w:rFonts w:hint="eastAsia" w:ascii="Times New Roman" w:hAnsi="Times New Roman" w:eastAsia="宋体"/>
                      <w:color w:val="auto"/>
                      <w:kern w:val="0"/>
                      <w:sz w:val="21"/>
                      <w:szCs w:val="21"/>
                      <w:lang w:eastAsia="zh-CN" w:bidi="ar"/>
                    </w:rPr>
                  </w:pPr>
                  <w:r>
                    <w:rPr>
                      <w:rFonts w:hint="eastAsia"/>
                      <w:color w:val="auto"/>
                      <w:kern w:val="0"/>
                      <w:sz w:val="21"/>
                      <w:szCs w:val="21"/>
                      <w:lang w:eastAsia="zh-CN" w:bidi="ar"/>
                    </w:rPr>
                    <w:t>依托场地改造</w:t>
                  </w:r>
                </w:p>
              </w:tc>
            </w:tr>
            <w:tr w14:paraId="1E65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3" w:type="pct"/>
                  <w:vMerge w:val="continue"/>
                  <w:vAlign w:val="center"/>
                </w:tcPr>
                <w:p w14:paraId="3B2DE7BD">
                  <w:pPr>
                    <w:adjustRightInd w:val="0"/>
                    <w:snapToGrid w:val="0"/>
                    <w:spacing w:line="240" w:lineRule="auto"/>
                    <w:jc w:val="center"/>
                    <w:rPr>
                      <w:rFonts w:ascii="Times New Roman" w:hAnsi="Times New Roman"/>
                      <w:color w:val="auto"/>
                      <w:kern w:val="0"/>
                      <w:sz w:val="21"/>
                      <w:szCs w:val="21"/>
                      <w:lang w:bidi="ar"/>
                    </w:rPr>
                  </w:pPr>
                </w:p>
              </w:tc>
              <w:tc>
                <w:tcPr>
                  <w:tcW w:w="348" w:type="pct"/>
                  <w:gridSpan w:val="2"/>
                  <w:vMerge w:val="continue"/>
                  <w:vAlign w:val="center"/>
                </w:tcPr>
                <w:p w14:paraId="13BF9A6F">
                  <w:pPr>
                    <w:adjustRightInd w:val="0"/>
                    <w:snapToGrid w:val="0"/>
                    <w:spacing w:line="240" w:lineRule="auto"/>
                    <w:jc w:val="center"/>
                    <w:rPr>
                      <w:rFonts w:ascii="Times New Roman" w:hAnsi="Times New Roman"/>
                      <w:color w:val="auto"/>
                      <w:kern w:val="0"/>
                      <w:sz w:val="21"/>
                      <w:szCs w:val="21"/>
                      <w:lang w:bidi="ar"/>
                    </w:rPr>
                  </w:pPr>
                </w:p>
              </w:tc>
              <w:tc>
                <w:tcPr>
                  <w:tcW w:w="576" w:type="pct"/>
                  <w:vAlign w:val="center"/>
                </w:tcPr>
                <w:p w14:paraId="16BFECC1">
                  <w:pPr>
                    <w:adjustRightInd w:val="0"/>
                    <w:snapToGrid w:val="0"/>
                    <w:spacing w:line="240" w:lineRule="auto"/>
                    <w:jc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2#生产区</w:t>
                  </w:r>
                </w:p>
              </w:tc>
              <w:tc>
                <w:tcPr>
                  <w:tcW w:w="3128" w:type="pct"/>
                  <w:vAlign w:val="center"/>
                </w:tcPr>
                <w:p w14:paraId="38FCA33D">
                  <w:pPr>
                    <w:adjustRightInd w:val="0"/>
                    <w:snapToGrid w:val="0"/>
                    <w:spacing w:line="240" w:lineRule="auto"/>
                    <w:jc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1F，</w:t>
                  </w:r>
                  <w:r>
                    <w:rPr>
                      <w:rFonts w:hint="eastAsia" w:asciiTheme="minorEastAsia" w:hAnsiTheme="minorEastAsia" w:eastAsiaTheme="minorEastAsia" w:cstheme="minorEastAsia"/>
                      <w:color w:val="auto"/>
                      <w:kern w:val="0"/>
                      <w:sz w:val="21"/>
                      <w:szCs w:val="21"/>
                      <w:lang w:eastAsia="zh-CN" w:bidi="ar"/>
                    </w:rPr>
                    <w:t>租用场地地面已硬化，厂房已搭建顶棚；</w:t>
                  </w:r>
                  <w:r>
                    <w:rPr>
                      <w:rFonts w:hint="eastAsia" w:asciiTheme="minorEastAsia" w:hAnsiTheme="minorEastAsia" w:eastAsiaTheme="minorEastAsia" w:cstheme="minorEastAsia"/>
                      <w:color w:val="auto"/>
                      <w:kern w:val="0"/>
                      <w:sz w:val="21"/>
                      <w:szCs w:val="21"/>
                      <w:lang w:bidi="ar"/>
                    </w:rPr>
                    <w:t>占地面积</w:t>
                  </w:r>
                  <w:r>
                    <w:rPr>
                      <w:rFonts w:hint="eastAsia" w:asciiTheme="minorEastAsia" w:hAnsiTheme="minorEastAsia" w:eastAsiaTheme="minorEastAsia" w:cstheme="minorEastAsia"/>
                      <w:color w:val="auto"/>
                      <w:kern w:val="0"/>
                      <w:sz w:val="21"/>
                      <w:szCs w:val="21"/>
                      <w:lang w:val="en-US" w:eastAsia="zh-CN" w:bidi="ar"/>
                    </w:rPr>
                    <w:t>310</w:t>
                  </w:r>
                  <w:r>
                    <w:rPr>
                      <w:rFonts w:hint="eastAsia" w:asciiTheme="minorEastAsia" w:hAnsiTheme="minorEastAsia" w:eastAsiaTheme="minorEastAsia" w:cstheme="minorEastAsia"/>
                      <w:color w:val="auto"/>
                      <w:kern w:val="0"/>
                      <w:sz w:val="21"/>
                      <w:szCs w:val="21"/>
                      <w:lang w:bidi="ar"/>
                    </w:rPr>
                    <w:t>m</w:t>
                  </w:r>
                  <w:r>
                    <w:rPr>
                      <w:rFonts w:hint="eastAsia" w:asciiTheme="minorEastAsia" w:hAnsiTheme="minorEastAsia" w:eastAsiaTheme="minorEastAsia" w:cstheme="minorEastAsia"/>
                      <w:color w:val="auto"/>
                      <w:kern w:val="0"/>
                      <w:sz w:val="21"/>
                      <w:szCs w:val="21"/>
                      <w:vertAlign w:val="superscript"/>
                      <w:lang w:bidi="ar"/>
                    </w:rPr>
                    <w:t>2</w:t>
                  </w:r>
                  <w:r>
                    <w:rPr>
                      <w:rFonts w:hint="eastAsia" w:asciiTheme="minorEastAsia" w:hAnsiTheme="minorEastAsia" w:eastAsiaTheme="minorEastAsia" w:cstheme="minorEastAsia"/>
                      <w:color w:val="auto"/>
                      <w:kern w:val="0"/>
                      <w:sz w:val="21"/>
                      <w:szCs w:val="21"/>
                      <w:lang w:bidi="ar"/>
                    </w:rPr>
                    <w:t>，建筑面积</w:t>
                  </w:r>
                  <w:r>
                    <w:rPr>
                      <w:rFonts w:hint="eastAsia" w:asciiTheme="minorEastAsia" w:hAnsiTheme="minorEastAsia" w:eastAsiaTheme="minorEastAsia" w:cstheme="minorEastAsia"/>
                      <w:color w:val="auto"/>
                      <w:kern w:val="0"/>
                      <w:sz w:val="21"/>
                      <w:szCs w:val="21"/>
                      <w:lang w:val="en-US" w:eastAsia="zh-CN" w:bidi="ar"/>
                    </w:rPr>
                    <w:t>310</w:t>
                  </w:r>
                  <w:r>
                    <w:rPr>
                      <w:rFonts w:hint="eastAsia" w:asciiTheme="minorEastAsia" w:hAnsiTheme="minorEastAsia" w:eastAsiaTheme="minorEastAsia" w:cstheme="minorEastAsia"/>
                      <w:color w:val="auto"/>
                      <w:kern w:val="0"/>
                      <w:sz w:val="21"/>
                      <w:szCs w:val="21"/>
                      <w:lang w:bidi="ar"/>
                    </w:rPr>
                    <w:t>m</w:t>
                  </w:r>
                  <w:r>
                    <w:rPr>
                      <w:rFonts w:hint="eastAsia" w:asciiTheme="minorEastAsia" w:hAnsiTheme="minorEastAsia" w:eastAsiaTheme="minorEastAsia" w:cstheme="minorEastAsia"/>
                      <w:color w:val="auto"/>
                      <w:kern w:val="0"/>
                      <w:sz w:val="21"/>
                      <w:szCs w:val="21"/>
                      <w:vertAlign w:val="superscript"/>
                      <w:lang w:bidi="ar"/>
                    </w:rPr>
                    <w:t>2</w:t>
                  </w:r>
                  <w:r>
                    <w:rPr>
                      <w:rFonts w:hint="eastAsia" w:asciiTheme="minorEastAsia" w:hAnsiTheme="minorEastAsia" w:eastAsiaTheme="minorEastAsia" w:cstheme="minorEastAsia"/>
                      <w:color w:val="auto"/>
                      <w:kern w:val="0"/>
                      <w:sz w:val="21"/>
                      <w:szCs w:val="21"/>
                      <w:lang w:bidi="ar"/>
                    </w:rPr>
                    <w:t>，</w:t>
                  </w:r>
                  <w:r>
                    <w:rPr>
                      <w:rFonts w:hint="eastAsia" w:asciiTheme="minorEastAsia" w:hAnsiTheme="minorEastAsia" w:eastAsiaTheme="minorEastAsia" w:cstheme="minorEastAsia"/>
                      <w:color w:val="auto"/>
                      <w:kern w:val="0"/>
                      <w:sz w:val="21"/>
                      <w:szCs w:val="21"/>
                      <w:lang w:val="en-US" w:eastAsia="zh-CN" w:bidi="ar"/>
                    </w:rPr>
                    <w:t>2#生产区位于项目区东北部，放置搅拌机、配料机、彩砖、植草砖、检查井、井盖、涵管、预制板模具等。</w:t>
                  </w:r>
                </w:p>
              </w:tc>
              <w:tc>
                <w:tcPr>
                  <w:tcW w:w="523" w:type="pct"/>
                  <w:vAlign w:val="center"/>
                </w:tcPr>
                <w:p w14:paraId="64BA09AE">
                  <w:pPr>
                    <w:adjustRightInd w:val="0"/>
                    <w:snapToGrid w:val="0"/>
                    <w:spacing w:line="240" w:lineRule="auto"/>
                    <w:jc w:val="center"/>
                    <w:rPr>
                      <w:rFonts w:hint="eastAsia" w:ascii="Times New Roman" w:hAnsi="Times New Roman" w:eastAsia="宋体"/>
                      <w:color w:val="auto"/>
                      <w:kern w:val="0"/>
                      <w:sz w:val="21"/>
                      <w:szCs w:val="21"/>
                      <w:lang w:eastAsia="zh-CN" w:bidi="ar"/>
                    </w:rPr>
                  </w:pPr>
                  <w:r>
                    <w:rPr>
                      <w:rFonts w:hint="eastAsia"/>
                      <w:color w:val="auto"/>
                      <w:kern w:val="0"/>
                      <w:sz w:val="21"/>
                      <w:szCs w:val="21"/>
                      <w:lang w:eastAsia="zh-CN" w:bidi="ar"/>
                    </w:rPr>
                    <w:t>依托原有</w:t>
                  </w:r>
                </w:p>
              </w:tc>
            </w:tr>
            <w:tr w14:paraId="21171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3" w:type="pct"/>
                  <w:vMerge w:val="continue"/>
                  <w:vAlign w:val="center"/>
                </w:tcPr>
                <w:p w14:paraId="3C01E913">
                  <w:pPr>
                    <w:adjustRightInd w:val="0"/>
                    <w:snapToGrid w:val="0"/>
                    <w:spacing w:line="240" w:lineRule="auto"/>
                    <w:jc w:val="center"/>
                    <w:rPr>
                      <w:rFonts w:ascii="Times New Roman" w:hAnsi="Times New Roman"/>
                      <w:color w:val="auto"/>
                      <w:kern w:val="0"/>
                      <w:sz w:val="21"/>
                      <w:szCs w:val="21"/>
                      <w:lang w:bidi="ar"/>
                    </w:rPr>
                  </w:pPr>
                </w:p>
              </w:tc>
              <w:tc>
                <w:tcPr>
                  <w:tcW w:w="348" w:type="pct"/>
                  <w:gridSpan w:val="2"/>
                  <w:vMerge w:val="continue"/>
                  <w:vAlign w:val="center"/>
                </w:tcPr>
                <w:p w14:paraId="70AB78FB">
                  <w:pPr>
                    <w:adjustRightInd w:val="0"/>
                    <w:snapToGrid w:val="0"/>
                    <w:spacing w:line="240" w:lineRule="auto"/>
                    <w:jc w:val="center"/>
                    <w:rPr>
                      <w:rFonts w:ascii="Times New Roman" w:hAnsi="Times New Roman"/>
                      <w:color w:val="auto"/>
                      <w:kern w:val="0"/>
                      <w:sz w:val="21"/>
                      <w:szCs w:val="21"/>
                      <w:lang w:bidi="ar"/>
                    </w:rPr>
                  </w:pPr>
                </w:p>
              </w:tc>
              <w:tc>
                <w:tcPr>
                  <w:tcW w:w="576" w:type="pct"/>
                  <w:vAlign w:val="center"/>
                </w:tcPr>
                <w:p w14:paraId="2AB258C2">
                  <w:pPr>
                    <w:adjustRightInd w:val="0"/>
                    <w:snapToGrid w:val="0"/>
                    <w:spacing w:line="240" w:lineRule="auto"/>
                    <w:jc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养护区</w:t>
                  </w:r>
                </w:p>
              </w:tc>
              <w:tc>
                <w:tcPr>
                  <w:tcW w:w="3128" w:type="pct"/>
                  <w:vAlign w:val="center"/>
                </w:tcPr>
                <w:p w14:paraId="0ED71A15">
                  <w:pPr>
                    <w:adjustRightInd w:val="0"/>
                    <w:snapToGrid w:val="0"/>
                    <w:spacing w:line="240" w:lineRule="auto"/>
                    <w:jc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露天，占地面积</w:t>
                  </w:r>
                  <w:r>
                    <w:rPr>
                      <w:rFonts w:hint="eastAsia" w:asciiTheme="minorEastAsia" w:hAnsiTheme="minorEastAsia" w:eastAsiaTheme="minorEastAsia" w:cstheme="minorEastAsia"/>
                      <w:color w:val="auto"/>
                      <w:kern w:val="0"/>
                      <w:sz w:val="21"/>
                      <w:szCs w:val="21"/>
                      <w:lang w:val="en-US" w:eastAsia="zh-CN" w:bidi="ar"/>
                    </w:rPr>
                    <w:t>13</w:t>
                  </w:r>
                  <w:r>
                    <w:rPr>
                      <w:rFonts w:hint="eastAsia" w:asciiTheme="minorEastAsia" w:hAnsiTheme="minorEastAsia" w:eastAsiaTheme="minorEastAsia" w:cstheme="minorEastAsia"/>
                      <w:color w:val="auto"/>
                      <w:kern w:val="0"/>
                      <w:sz w:val="21"/>
                      <w:szCs w:val="21"/>
                      <w:lang w:bidi="ar"/>
                    </w:rPr>
                    <w:t>00m</w:t>
                  </w:r>
                  <w:r>
                    <w:rPr>
                      <w:rFonts w:hint="eastAsia" w:asciiTheme="minorEastAsia" w:hAnsiTheme="minorEastAsia" w:eastAsiaTheme="minorEastAsia" w:cstheme="minorEastAsia"/>
                      <w:color w:val="auto"/>
                      <w:kern w:val="0"/>
                      <w:sz w:val="21"/>
                      <w:szCs w:val="21"/>
                      <w:vertAlign w:val="superscript"/>
                      <w:lang w:bidi="ar"/>
                    </w:rPr>
                    <w:t>2</w:t>
                  </w:r>
                  <w:r>
                    <w:rPr>
                      <w:rFonts w:hint="eastAsia" w:asciiTheme="minorEastAsia" w:hAnsiTheme="minorEastAsia" w:eastAsiaTheme="minorEastAsia" w:cstheme="minorEastAsia"/>
                      <w:color w:val="auto"/>
                      <w:kern w:val="0"/>
                      <w:sz w:val="21"/>
                      <w:szCs w:val="21"/>
                      <w:lang w:bidi="ar"/>
                    </w:rPr>
                    <w:t>，用于养护</w:t>
                  </w:r>
                  <w:r>
                    <w:rPr>
                      <w:rFonts w:hint="eastAsia" w:asciiTheme="minorEastAsia" w:hAnsiTheme="minorEastAsia" w:eastAsiaTheme="minorEastAsia" w:cstheme="minorEastAsia"/>
                      <w:color w:val="auto"/>
                      <w:kern w:val="0"/>
                      <w:sz w:val="21"/>
                      <w:szCs w:val="21"/>
                      <w:lang w:eastAsia="zh-CN" w:bidi="ar"/>
                    </w:rPr>
                    <w:t>成品</w:t>
                  </w:r>
                  <w:r>
                    <w:rPr>
                      <w:rFonts w:hint="eastAsia" w:asciiTheme="minorEastAsia" w:hAnsiTheme="minorEastAsia" w:eastAsiaTheme="minorEastAsia" w:cstheme="minorEastAsia"/>
                      <w:color w:val="auto"/>
                      <w:kern w:val="0"/>
                      <w:sz w:val="21"/>
                      <w:szCs w:val="21"/>
                      <w:lang w:bidi="ar"/>
                    </w:rPr>
                    <w:t>，</w:t>
                  </w:r>
                  <w:r>
                    <w:rPr>
                      <w:rFonts w:hint="eastAsia" w:asciiTheme="minorEastAsia" w:hAnsiTheme="minorEastAsia" w:eastAsiaTheme="minorEastAsia" w:cstheme="minorEastAsia"/>
                      <w:color w:val="auto"/>
                      <w:kern w:val="0"/>
                      <w:sz w:val="21"/>
                      <w:szCs w:val="21"/>
                      <w:lang w:val="en-US" w:eastAsia="zh-CN" w:bidi="ar"/>
                    </w:rPr>
                    <w:t>1#生产区北侧、2#生产区南侧</w:t>
                  </w:r>
                  <w:r>
                    <w:rPr>
                      <w:rFonts w:hint="eastAsia" w:asciiTheme="minorEastAsia" w:hAnsiTheme="minorEastAsia" w:eastAsiaTheme="minorEastAsia" w:cstheme="minorEastAsia"/>
                      <w:color w:val="auto"/>
                      <w:kern w:val="0"/>
                      <w:sz w:val="21"/>
                      <w:szCs w:val="21"/>
                      <w:lang w:bidi="ar"/>
                    </w:rPr>
                    <w:t>的空地上</w:t>
                  </w:r>
                </w:p>
              </w:tc>
              <w:tc>
                <w:tcPr>
                  <w:tcW w:w="523" w:type="pct"/>
                  <w:vAlign w:val="center"/>
                </w:tcPr>
                <w:p w14:paraId="25125062">
                  <w:pPr>
                    <w:adjustRightInd w:val="0"/>
                    <w:snapToGrid w:val="0"/>
                    <w:spacing w:line="240" w:lineRule="auto"/>
                    <w:jc w:val="center"/>
                    <w:rPr>
                      <w:rFonts w:ascii="Times New Roman" w:hAnsi="Times New Roman"/>
                      <w:color w:val="auto"/>
                      <w:kern w:val="0"/>
                      <w:sz w:val="21"/>
                      <w:szCs w:val="21"/>
                      <w:lang w:bidi="ar"/>
                    </w:rPr>
                  </w:pPr>
                  <w:r>
                    <w:rPr>
                      <w:rFonts w:hint="eastAsia"/>
                      <w:color w:val="auto"/>
                      <w:kern w:val="0"/>
                      <w:sz w:val="21"/>
                      <w:szCs w:val="21"/>
                      <w:lang w:eastAsia="zh-CN" w:bidi="ar"/>
                    </w:rPr>
                    <w:t>依托原有</w:t>
                  </w:r>
                </w:p>
              </w:tc>
            </w:tr>
            <w:tr w14:paraId="4E12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3" w:type="pct"/>
                  <w:vMerge w:val="continue"/>
                  <w:vAlign w:val="center"/>
                </w:tcPr>
                <w:p w14:paraId="1A406740">
                  <w:pPr>
                    <w:adjustRightInd w:val="0"/>
                    <w:snapToGrid w:val="0"/>
                    <w:spacing w:line="240" w:lineRule="auto"/>
                    <w:jc w:val="center"/>
                    <w:rPr>
                      <w:rFonts w:ascii="Times New Roman" w:hAnsi="Times New Roman"/>
                      <w:color w:val="auto"/>
                      <w:kern w:val="0"/>
                      <w:sz w:val="21"/>
                      <w:szCs w:val="21"/>
                      <w:lang w:bidi="ar"/>
                    </w:rPr>
                  </w:pPr>
                </w:p>
              </w:tc>
              <w:tc>
                <w:tcPr>
                  <w:tcW w:w="348" w:type="pct"/>
                  <w:gridSpan w:val="2"/>
                  <w:vMerge w:val="continue"/>
                  <w:vAlign w:val="center"/>
                </w:tcPr>
                <w:p w14:paraId="57077BA1">
                  <w:pPr>
                    <w:adjustRightInd w:val="0"/>
                    <w:snapToGrid w:val="0"/>
                    <w:spacing w:line="240" w:lineRule="auto"/>
                    <w:jc w:val="center"/>
                    <w:rPr>
                      <w:rFonts w:ascii="Times New Roman" w:hAnsi="Times New Roman"/>
                      <w:color w:val="auto"/>
                      <w:kern w:val="0"/>
                      <w:sz w:val="21"/>
                      <w:szCs w:val="21"/>
                      <w:lang w:bidi="ar"/>
                    </w:rPr>
                  </w:pPr>
                </w:p>
              </w:tc>
              <w:tc>
                <w:tcPr>
                  <w:tcW w:w="576" w:type="pct"/>
                  <w:vAlign w:val="center"/>
                </w:tcPr>
                <w:p w14:paraId="238C79BD">
                  <w:pPr>
                    <w:adjustRightInd w:val="0"/>
                    <w:snapToGrid w:val="0"/>
                    <w:spacing w:line="240" w:lineRule="auto"/>
                    <w:jc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bidi="ar"/>
                    </w:rPr>
                    <w:t>成品堆场</w:t>
                  </w:r>
                </w:p>
              </w:tc>
              <w:tc>
                <w:tcPr>
                  <w:tcW w:w="3128" w:type="pct"/>
                  <w:vAlign w:val="center"/>
                </w:tcPr>
                <w:p w14:paraId="793A952D">
                  <w:pPr>
                    <w:adjustRightInd w:val="0"/>
                    <w:snapToGrid w:val="0"/>
                    <w:spacing w:line="240" w:lineRule="auto"/>
                    <w:jc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bidi="ar"/>
                    </w:rPr>
                    <w:t>露天，占地面积</w:t>
                  </w:r>
                  <w:r>
                    <w:rPr>
                      <w:rFonts w:hint="eastAsia" w:asciiTheme="minorEastAsia" w:hAnsiTheme="minorEastAsia" w:eastAsiaTheme="minorEastAsia" w:cstheme="minorEastAsia"/>
                      <w:color w:val="auto"/>
                      <w:kern w:val="0"/>
                      <w:sz w:val="21"/>
                      <w:szCs w:val="21"/>
                      <w:lang w:val="en-US" w:eastAsia="zh-CN" w:bidi="ar"/>
                    </w:rPr>
                    <w:t>4000</w:t>
                  </w:r>
                  <w:r>
                    <w:rPr>
                      <w:rFonts w:hint="eastAsia" w:asciiTheme="minorEastAsia" w:hAnsiTheme="minorEastAsia" w:eastAsiaTheme="minorEastAsia" w:cstheme="minorEastAsia"/>
                      <w:color w:val="auto"/>
                      <w:kern w:val="0"/>
                      <w:sz w:val="21"/>
                      <w:szCs w:val="21"/>
                      <w:lang w:bidi="ar"/>
                    </w:rPr>
                    <w:t>m</w:t>
                  </w:r>
                  <w:r>
                    <w:rPr>
                      <w:rFonts w:hint="eastAsia" w:asciiTheme="minorEastAsia" w:hAnsiTheme="minorEastAsia" w:eastAsiaTheme="minorEastAsia" w:cstheme="minorEastAsia"/>
                      <w:color w:val="auto"/>
                      <w:kern w:val="0"/>
                      <w:sz w:val="21"/>
                      <w:szCs w:val="21"/>
                      <w:vertAlign w:val="superscript"/>
                      <w:lang w:bidi="ar"/>
                    </w:rPr>
                    <w:t>2</w:t>
                  </w:r>
                  <w:r>
                    <w:rPr>
                      <w:rFonts w:hint="eastAsia" w:asciiTheme="minorEastAsia" w:hAnsiTheme="minorEastAsia" w:eastAsiaTheme="minorEastAsia" w:cstheme="minorEastAsia"/>
                      <w:color w:val="auto"/>
                      <w:kern w:val="0"/>
                      <w:sz w:val="21"/>
                      <w:szCs w:val="21"/>
                      <w:lang w:bidi="ar"/>
                    </w:rPr>
                    <w:t>，用于堆放养护成品，1#</w:t>
                  </w:r>
                  <w:r>
                    <w:rPr>
                      <w:rFonts w:hint="eastAsia" w:asciiTheme="minorEastAsia" w:hAnsiTheme="minorEastAsia" w:eastAsiaTheme="minorEastAsia" w:cstheme="minorEastAsia"/>
                      <w:color w:val="auto"/>
                      <w:kern w:val="0"/>
                      <w:sz w:val="21"/>
                      <w:szCs w:val="21"/>
                      <w:lang w:eastAsia="zh-CN" w:bidi="ar"/>
                    </w:rPr>
                    <w:t>生产线生产的水泥管成品堆放于生产区北侧，</w:t>
                  </w:r>
                  <w:r>
                    <w:rPr>
                      <w:rFonts w:hint="eastAsia" w:asciiTheme="minorEastAsia" w:hAnsiTheme="minorEastAsia" w:eastAsiaTheme="minorEastAsia" w:cstheme="minorEastAsia"/>
                      <w:color w:val="auto"/>
                      <w:kern w:val="0"/>
                      <w:sz w:val="21"/>
                      <w:szCs w:val="21"/>
                      <w:lang w:val="en-US" w:eastAsia="zh-CN" w:bidi="ar"/>
                    </w:rPr>
                    <w:t>2#生产线生产的彩砖、植草砖、检查井、井盖、涵管、预制板等成品堆放于生产区旁和南侧空地</w:t>
                  </w:r>
                </w:p>
              </w:tc>
              <w:tc>
                <w:tcPr>
                  <w:tcW w:w="523" w:type="pct"/>
                  <w:vAlign w:val="center"/>
                </w:tcPr>
                <w:p w14:paraId="72C51CD7">
                  <w:pPr>
                    <w:adjustRightInd w:val="0"/>
                    <w:snapToGrid w:val="0"/>
                    <w:spacing w:line="240" w:lineRule="auto"/>
                    <w:jc w:val="center"/>
                    <w:rPr>
                      <w:rFonts w:hint="eastAsia" w:ascii="Times New Roman" w:hAnsi="Times New Roman" w:eastAsia="宋体" w:cs="Times New Roman"/>
                      <w:color w:val="auto"/>
                      <w:kern w:val="0"/>
                      <w:sz w:val="21"/>
                      <w:szCs w:val="21"/>
                      <w:lang w:val="en-US" w:eastAsia="zh-CN" w:bidi="ar"/>
                    </w:rPr>
                  </w:pPr>
                  <w:r>
                    <w:rPr>
                      <w:rFonts w:hint="eastAsia"/>
                      <w:color w:val="auto"/>
                      <w:kern w:val="0"/>
                      <w:sz w:val="21"/>
                      <w:szCs w:val="21"/>
                      <w:lang w:eastAsia="zh-CN" w:bidi="ar"/>
                    </w:rPr>
                    <w:t>依托原有</w:t>
                  </w:r>
                </w:p>
              </w:tc>
            </w:tr>
            <w:tr w14:paraId="1D32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3" w:type="pct"/>
                  <w:vMerge w:val="continue"/>
                  <w:vAlign w:val="center"/>
                </w:tcPr>
                <w:p w14:paraId="356B6E06">
                  <w:pPr>
                    <w:adjustRightInd w:val="0"/>
                    <w:snapToGrid w:val="0"/>
                    <w:spacing w:line="240" w:lineRule="auto"/>
                    <w:jc w:val="center"/>
                    <w:rPr>
                      <w:rFonts w:ascii="Times New Roman" w:hAnsi="Times New Roman"/>
                      <w:color w:val="auto"/>
                      <w:kern w:val="0"/>
                      <w:sz w:val="21"/>
                      <w:szCs w:val="21"/>
                      <w:lang w:bidi="ar"/>
                    </w:rPr>
                  </w:pPr>
                </w:p>
              </w:tc>
              <w:tc>
                <w:tcPr>
                  <w:tcW w:w="348" w:type="pct"/>
                  <w:gridSpan w:val="2"/>
                  <w:vMerge w:val="continue"/>
                  <w:vAlign w:val="center"/>
                </w:tcPr>
                <w:p w14:paraId="2FA5C9C9">
                  <w:pPr>
                    <w:adjustRightInd w:val="0"/>
                    <w:snapToGrid w:val="0"/>
                    <w:spacing w:line="240" w:lineRule="auto"/>
                    <w:jc w:val="center"/>
                    <w:rPr>
                      <w:rFonts w:ascii="Times New Roman" w:hAnsi="Times New Roman"/>
                      <w:color w:val="auto"/>
                      <w:kern w:val="0"/>
                      <w:sz w:val="21"/>
                      <w:szCs w:val="21"/>
                      <w:lang w:bidi="ar"/>
                    </w:rPr>
                  </w:pPr>
                </w:p>
              </w:tc>
              <w:tc>
                <w:tcPr>
                  <w:tcW w:w="576" w:type="pct"/>
                  <w:vAlign w:val="center"/>
                </w:tcPr>
                <w:p w14:paraId="5B547381">
                  <w:pPr>
                    <w:adjustRightInd w:val="0"/>
                    <w:snapToGrid w:val="0"/>
                    <w:spacing w:line="240" w:lineRule="auto"/>
                    <w:jc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eastAsia="zh-CN" w:bidi="ar"/>
                    </w:rPr>
                    <w:t>脱模剂储存间</w:t>
                  </w:r>
                </w:p>
              </w:tc>
              <w:tc>
                <w:tcPr>
                  <w:tcW w:w="3128" w:type="pct"/>
                  <w:vAlign w:val="center"/>
                </w:tcPr>
                <w:p w14:paraId="6C2A36C1">
                  <w:pPr>
                    <w:adjustRightInd w:val="0"/>
                    <w:snapToGrid w:val="0"/>
                    <w:spacing w:line="240" w:lineRule="auto"/>
                    <w:jc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bidi="ar"/>
                    </w:rPr>
                    <w:t>1F，占地面积</w:t>
                  </w:r>
                  <w:r>
                    <w:rPr>
                      <w:rFonts w:hint="eastAsia" w:asciiTheme="minorEastAsia" w:hAnsiTheme="minorEastAsia" w:eastAsiaTheme="minorEastAsia" w:cstheme="minorEastAsia"/>
                      <w:color w:val="auto"/>
                      <w:kern w:val="0"/>
                      <w:sz w:val="21"/>
                      <w:szCs w:val="21"/>
                      <w:lang w:val="en-US" w:eastAsia="zh-CN" w:bidi="ar"/>
                    </w:rPr>
                    <w:t>5</w:t>
                  </w:r>
                  <w:r>
                    <w:rPr>
                      <w:rFonts w:hint="eastAsia" w:asciiTheme="minorEastAsia" w:hAnsiTheme="minorEastAsia" w:eastAsiaTheme="minorEastAsia" w:cstheme="minorEastAsia"/>
                      <w:color w:val="auto"/>
                      <w:kern w:val="0"/>
                      <w:sz w:val="21"/>
                      <w:szCs w:val="21"/>
                      <w:lang w:bidi="ar"/>
                    </w:rPr>
                    <w:t>m</w:t>
                  </w:r>
                  <w:r>
                    <w:rPr>
                      <w:rFonts w:hint="eastAsia" w:asciiTheme="minorEastAsia" w:hAnsiTheme="minorEastAsia" w:eastAsiaTheme="minorEastAsia" w:cstheme="minorEastAsia"/>
                      <w:color w:val="auto"/>
                      <w:kern w:val="0"/>
                      <w:sz w:val="21"/>
                      <w:szCs w:val="21"/>
                      <w:vertAlign w:val="superscript"/>
                      <w:lang w:bidi="ar"/>
                    </w:rPr>
                    <w:t>2</w:t>
                  </w:r>
                  <w:r>
                    <w:rPr>
                      <w:rFonts w:hint="eastAsia" w:asciiTheme="minorEastAsia" w:hAnsiTheme="minorEastAsia" w:eastAsiaTheme="minorEastAsia" w:cstheme="minorEastAsia"/>
                      <w:color w:val="auto"/>
                      <w:kern w:val="0"/>
                      <w:sz w:val="21"/>
                      <w:szCs w:val="21"/>
                      <w:lang w:bidi="ar"/>
                    </w:rPr>
                    <w:t>，建筑面积</w:t>
                  </w:r>
                  <w:r>
                    <w:rPr>
                      <w:rFonts w:hint="eastAsia" w:asciiTheme="minorEastAsia" w:hAnsiTheme="minorEastAsia" w:eastAsiaTheme="minorEastAsia" w:cstheme="minorEastAsia"/>
                      <w:color w:val="auto"/>
                      <w:kern w:val="0"/>
                      <w:sz w:val="21"/>
                      <w:szCs w:val="21"/>
                      <w:lang w:val="en-US" w:eastAsia="zh-CN" w:bidi="ar"/>
                    </w:rPr>
                    <w:t>5</w:t>
                  </w:r>
                  <w:r>
                    <w:rPr>
                      <w:rFonts w:hint="eastAsia" w:asciiTheme="minorEastAsia" w:hAnsiTheme="minorEastAsia" w:eastAsiaTheme="minorEastAsia" w:cstheme="minorEastAsia"/>
                      <w:color w:val="auto"/>
                      <w:kern w:val="0"/>
                      <w:sz w:val="21"/>
                      <w:szCs w:val="21"/>
                      <w:lang w:bidi="ar"/>
                    </w:rPr>
                    <w:t>m</w:t>
                  </w:r>
                  <w:r>
                    <w:rPr>
                      <w:rFonts w:hint="eastAsia" w:asciiTheme="minorEastAsia" w:hAnsiTheme="minorEastAsia" w:eastAsiaTheme="minorEastAsia" w:cstheme="minorEastAsia"/>
                      <w:color w:val="auto"/>
                      <w:kern w:val="0"/>
                      <w:sz w:val="21"/>
                      <w:szCs w:val="21"/>
                      <w:vertAlign w:val="superscript"/>
                      <w:lang w:bidi="ar"/>
                    </w:rPr>
                    <w:t>2</w:t>
                  </w:r>
                  <w:r>
                    <w:rPr>
                      <w:rFonts w:hint="eastAsia" w:asciiTheme="minorEastAsia" w:hAnsiTheme="minorEastAsia" w:eastAsiaTheme="minorEastAsia" w:cstheme="minorEastAsia"/>
                      <w:color w:val="auto"/>
                      <w:kern w:val="0"/>
                      <w:sz w:val="21"/>
                      <w:szCs w:val="21"/>
                      <w:lang w:bidi="ar"/>
                    </w:rPr>
                    <w:t>，</w:t>
                  </w:r>
                  <w:r>
                    <w:rPr>
                      <w:rFonts w:hint="eastAsia" w:asciiTheme="minorEastAsia" w:hAnsiTheme="minorEastAsia" w:eastAsiaTheme="minorEastAsia" w:cstheme="minorEastAsia"/>
                      <w:color w:val="auto"/>
                      <w:kern w:val="0"/>
                      <w:sz w:val="21"/>
                      <w:szCs w:val="21"/>
                      <w:lang w:eastAsia="zh-CN" w:bidi="ar"/>
                    </w:rPr>
                    <w:t>脱模剂采用桶储存，</w:t>
                  </w:r>
                  <w:r>
                    <w:rPr>
                      <w:rFonts w:hint="eastAsia" w:asciiTheme="minorEastAsia" w:hAnsiTheme="minorEastAsia" w:eastAsiaTheme="minorEastAsia" w:cstheme="minorEastAsia"/>
                      <w:color w:val="auto"/>
                      <w:kern w:val="0"/>
                      <w:sz w:val="21"/>
                      <w:szCs w:val="21"/>
                      <w:lang w:val="en-US" w:eastAsia="zh-CN" w:bidi="ar"/>
                    </w:rPr>
                    <w:t>200L/桶，需做好“三防”要求、地面围堰要求，位于办公区旁</w:t>
                  </w:r>
                </w:p>
              </w:tc>
              <w:tc>
                <w:tcPr>
                  <w:tcW w:w="523" w:type="pct"/>
                  <w:vAlign w:val="center"/>
                </w:tcPr>
                <w:p w14:paraId="3D46F0E5">
                  <w:pPr>
                    <w:adjustRightInd w:val="0"/>
                    <w:snapToGrid w:val="0"/>
                    <w:spacing w:line="240" w:lineRule="auto"/>
                    <w:jc w:val="center"/>
                    <w:rPr>
                      <w:rFonts w:ascii="Times New Roman" w:hAnsi="Times New Roman"/>
                      <w:color w:val="auto"/>
                      <w:kern w:val="0"/>
                      <w:sz w:val="21"/>
                      <w:szCs w:val="21"/>
                      <w:lang w:bidi="ar"/>
                    </w:rPr>
                  </w:pPr>
                  <w:r>
                    <w:rPr>
                      <w:rFonts w:hint="eastAsia"/>
                      <w:color w:val="auto"/>
                      <w:kern w:val="0"/>
                      <w:sz w:val="21"/>
                      <w:szCs w:val="21"/>
                      <w:lang w:eastAsia="zh-CN" w:bidi="ar"/>
                    </w:rPr>
                    <w:t>依托原有</w:t>
                  </w:r>
                </w:p>
              </w:tc>
            </w:tr>
            <w:tr w14:paraId="4B6F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3" w:type="pct"/>
                  <w:vMerge w:val="continue"/>
                  <w:vAlign w:val="center"/>
                </w:tcPr>
                <w:p w14:paraId="37DFC7DE">
                  <w:pPr>
                    <w:adjustRightInd w:val="0"/>
                    <w:snapToGrid w:val="0"/>
                    <w:spacing w:line="240" w:lineRule="auto"/>
                    <w:jc w:val="center"/>
                    <w:rPr>
                      <w:rFonts w:ascii="Times New Roman" w:hAnsi="Times New Roman"/>
                      <w:color w:val="auto"/>
                      <w:kern w:val="0"/>
                      <w:sz w:val="21"/>
                      <w:szCs w:val="21"/>
                      <w:lang w:bidi="ar"/>
                    </w:rPr>
                  </w:pPr>
                </w:p>
              </w:tc>
              <w:tc>
                <w:tcPr>
                  <w:tcW w:w="348" w:type="pct"/>
                  <w:gridSpan w:val="2"/>
                  <w:vMerge w:val="continue"/>
                  <w:vAlign w:val="center"/>
                </w:tcPr>
                <w:p w14:paraId="4CF5A515">
                  <w:pPr>
                    <w:adjustRightInd w:val="0"/>
                    <w:snapToGrid w:val="0"/>
                    <w:spacing w:line="240" w:lineRule="auto"/>
                    <w:jc w:val="center"/>
                    <w:rPr>
                      <w:rFonts w:ascii="Times New Roman" w:hAnsi="Times New Roman"/>
                      <w:color w:val="auto"/>
                      <w:kern w:val="0"/>
                      <w:sz w:val="21"/>
                      <w:szCs w:val="21"/>
                      <w:lang w:bidi="ar"/>
                    </w:rPr>
                  </w:pPr>
                </w:p>
              </w:tc>
              <w:tc>
                <w:tcPr>
                  <w:tcW w:w="576" w:type="pct"/>
                  <w:vAlign w:val="center"/>
                </w:tcPr>
                <w:p w14:paraId="129E4518">
                  <w:pPr>
                    <w:adjustRightInd w:val="0"/>
                    <w:snapToGrid w:val="0"/>
                    <w:spacing w:line="240" w:lineRule="auto"/>
                    <w:jc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eastAsia="zh-CN" w:bidi="ar"/>
                    </w:rPr>
                    <w:t>焊接区</w:t>
                  </w:r>
                </w:p>
              </w:tc>
              <w:tc>
                <w:tcPr>
                  <w:tcW w:w="3128" w:type="pct"/>
                  <w:vAlign w:val="center"/>
                </w:tcPr>
                <w:p w14:paraId="32A2E5FC">
                  <w:pPr>
                    <w:adjustRightInd w:val="0"/>
                    <w:snapToGrid w:val="0"/>
                    <w:spacing w:line="240" w:lineRule="auto"/>
                    <w:jc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bidi="ar"/>
                    </w:rPr>
                    <w:t>1F，占地面积</w:t>
                  </w:r>
                  <w:r>
                    <w:rPr>
                      <w:rFonts w:hint="eastAsia" w:asciiTheme="minorEastAsia" w:hAnsiTheme="minorEastAsia" w:eastAsiaTheme="minorEastAsia" w:cstheme="minorEastAsia"/>
                      <w:color w:val="auto"/>
                      <w:kern w:val="0"/>
                      <w:sz w:val="21"/>
                      <w:szCs w:val="21"/>
                      <w:lang w:val="en-US" w:eastAsia="zh-CN" w:bidi="ar"/>
                    </w:rPr>
                    <w:t xml:space="preserve"> 40</w:t>
                  </w:r>
                  <w:r>
                    <w:rPr>
                      <w:rFonts w:hint="eastAsia" w:asciiTheme="minorEastAsia" w:hAnsiTheme="minorEastAsia" w:eastAsiaTheme="minorEastAsia" w:cstheme="minorEastAsia"/>
                      <w:color w:val="auto"/>
                      <w:kern w:val="0"/>
                      <w:sz w:val="21"/>
                      <w:szCs w:val="21"/>
                      <w:lang w:bidi="ar"/>
                    </w:rPr>
                    <w:t>m</w:t>
                  </w:r>
                  <w:r>
                    <w:rPr>
                      <w:rFonts w:hint="eastAsia" w:asciiTheme="minorEastAsia" w:hAnsiTheme="minorEastAsia" w:eastAsiaTheme="minorEastAsia" w:cstheme="minorEastAsia"/>
                      <w:color w:val="auto"/>
                      <w:kern w:val="0"/>
                      <w:sz w:val="21"/>
                      <w:szCs w:val="21"/>
                      <w:vertAlign w:val="superscript"/>
                      <w:lang w:bidi="ar"/>
                    </w:rPr>
                    <w:t>2</w:t>
                  </w:r>
                  <w:r>
                    <w:rPr>
                      <w:rFonts w:hint="eastAsia" w:asciiTheme="minorEastAsia" w:hAnsiTheme="minorEastAsia" w:eastAsiaTheme="minorEastAsia" w:cstheme="minorEastAsia"/>
                      <w:color w:val="auto"/>
                      <w:kern w:val="0"/>
                      <w:sz w:val="21"/>
                      <w:szCs w:val="21"/>
                      <w:lang w:bidi="ar"/>
                    </w:rPr>
                    <w:t>，用于摆放建设单位购入的成品钢筋以及对井盖</w:t>
                  </w:r>
                  <w:r>
                    <w:rPr>
                      <w:rFonts w:hint="eastAsia" w:asciiTheme="minorEastAsia" w:hAnsiTheme="minorEastAsia" w:eastAsiaTheme="minorEastAsia" w:cstheme="minorEastAsia"/>
                      <w:color w:val="auto"/>
                      <w:kern w:val="0"/>
                      <w:sz w:val="21"/>
                      <w:szCs w:val="21"/>
                      <w:lang w:eastAsia="zh-CN" w:bidi="ar"/>
                    </w:rPr>
                    <w:t>、检查井</w:t>
                  </w:r>
                  <w:r>
                    <w:rPr>
                      <w:rFonts w:hint="eastAsia" w:asciiTheme="minorEastAsia" w:hAnsiTheme="minorEastAsia" w:eastAsiaTheme="minorEastAsia" w:cstheme="minorEastAsia"/>
                      <w:color w:val="auto"/>
                      <w:kern w:val="0"/>
                      <w:sz w:val="21"/>
                      <w:szCs w:val="21"/>
                      <w:lang w:bidi="ar"/>
                    </w:rPr>
                    <w:t>骨架进行焊接</w:t>
                  </w:r>
                  <w:r>
                    <w:rPr>
                      <w:rFonts w:hint="eastAsia" w:asciiTheme="minorEastAsia" w:hAnsiTheme="minorEastAsia" w:eastAsiaTheme="minorEastAsia" w:cstheme="minorEastAsia"/>
                      <w:color w:val="auto"/>
                      <w:kern w:val="0"/>
                      <w:sz w:val="21"/>
                      <w:szCs w:val="21"/>
                      <w:lang w:eastAsia="zh-CN" w:bidi="ar"/>
                    </w:rPr>
                    <w:t>，位于</w:t>
                  </w:r>
                  <w:r>
                    <w:rPr>
                      <w:rFonts w:hint="eastAsia" w:asciiTheme="minorEastAsia" w:hAnsiTheme="minorEastAsia" w:eastAsiaTheme="minorEastAsia" w:cstheme="minorEastAsia"/>
                      <w:color w:val="auto"/>
                      <w:kern w:val="0"/>
                      <w:sz w:val="21"/>
                      <w:szCs w:val="21"/>
                      <w:lang w:val="en-US" w:eastAsia="zh-CN" w:bidi="ar"/>
                    </w:rPr>
                    <w:t>生产区旁</w:t>
                  </w:r>
                </w:p>
              </w:tc>
              <w:tc>
                <w:tcPr>
                  <w:tcW w:w="523" w:type="pct"/>
                  <w:vAlign w:val="center"/>
                </w:tcPr>
                <w:p w14:paraId="611DB7EC">
                  <w:pPr>
                    <w:adjustRightInd w:val="0"/>
                    <w:snapToGrid w:val="0"/>
                    <w:spacing w:line="240" w:lineRule="auto"/>
                    <w:jc w:val="center"/>
                    <w:rPr>
                      <w:rFonts w:ascii="Times New Roman" w:hAnsi="Times New Roman"/>
                      <w:color w:val="auto"/>
                      <w:kern w:val="0"/>
                      <w:sz w:val="21"/>
                      <w:szCs w:val="21"/>
                      <w:lang w:bidi="ar"/>
                    </w:rPr>
                  </w:pPr>
                  <w:r>
                    <w:rPr>
                      <w:rFonts w:hint="eastAsia"/>
                      <w:color w:val="auto"/>
                      <w:kern w:val="0"/>
                      <w:sz w:val="21"/>
                      <w:szCs w:val="21"/>
                      <w:lang w:eastAsia="zh-CN" w:bidi="ar"/>
                    </w:rPr>
                    <w:t>依托原有</w:t>
                  </w:r>
                </w:p>
              </w:tc>
            </w:tr>
            <w:tr w14:paraId="13F6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3" w:type="pct"/>
                  <w:vMerge w:val="continue"/>
                  <w:vAlign w:val="center"/>
                </w:tcPr>
                <w:p w14:paraId="601B0456">
                  <w:pPr>
                    <w:adjustRightInd w:val="0"/>
                    <w:snapToGrid w:val="0"/>
                    <w:spacing w:line="240" w:lineRule="auto"/>
                    <w:jc w:val="center"/>
                    <w:rPr>
                      <w:rFonts w:ascii="Times New Roman" w:hAnsi="Times New Roman"/>
                      <w:color w:val="auto"/>
                      <w:kern w:val="0"/>
                      <w:sz w:val="21"/>
                      <w:szCs w:val="21"/>
                      <w:lang w:bidi="ar"/>
                    </w:rPr>
                  </w:pPr>
                </w:p>
              </w:tc>
              <w:tc>
                <w:tcPr>
                  <w:tcW w:w="348" w:type="pct"/>
                  <w:gridSpan w:val="2"/>
                  <w:vMerge w:val="restart"/>
                  <w:vAlign w:val="center"/>
                </w:tcPr>
                <w:p w14:paraId="0BE77E01">
                  <w:pPr>
                    <w:adjustRightInd w:val="0"/>
                    <w:snapToGrid w:val="0"/>
                    <w:spacing w:line="240" w:lineRule="auto"/>
                    <w:jc w:val="center"/>
                    <w:rPr>
                      <w:rFonts w:hint="eastAsia" w:ascii="Times New Roman" w:hAnsi="Times New Roman"/>
                      <w:color w:val="auto"/>
                      <w:kern w:val="0"/>
                      <w:sz w:val="21"/>
                      <w:szCs w:val="21"/>
                      <w:lang w:eastAsia="zh-CN" w:bidi="ar"/>
                    </w:rPr>
                  </w:pPr>
                  <w:r>
                    <w:rPr>
                      <w:rFonts w:hint="eastAsia"/>
                      <w:color w:val="auto"/>
                      <w:kern w:val="0"/>
                      <w:sz w:val="21"/>
                      <w:szCs w:val="21"/>
                      <w:lang w:eastAsia="zh-CN" w:bidi="ar"/>
                    </w:rPr>
                    <w:t>办公区</w:t>
                  </w:r>
                </w:p>
              </w:tc>
              <w:tc>
                <w:tcPr>
                  <w:tcW w:w="576" w:type="pct"/>
                  <w:vAlign w:val="center"/>
                </w:tcPr>
                <w:p w14:paraId="67EC4082">
                  <w:pPr>
                    <w:adjustRightInd w:val="0"/>
                    <w:snapToGrid w:val="0"/>
                    <w:spacing w:line="240" w:lineRule="auto"/>
                    <w:jc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bidi="ar"/>
                    </w:rPr>
                    <w:t>办公室</w:t>
                  </w:r>
                </w:p>
              </w:tc>
              <w:tc>
                <w:tcPr>
                  <w:tcW w:w="3128" w:type="pct"/>
                  <w:vAlign w:val="center"/>
                </w:tcPr>
                <w:p w14:paraId="2435EAA4">
                  <w:pPr>
                    <w:adjustRightInd w:val="0"/>
                    <w:snapToGrid w:val="0"/>
                    <w:spacing w:line="240" w:lineRule="auto"/>
                    <w:jc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bidi="ar"/>
                    </w:rPr>
                    <w:t>1F，</w:t>
                  </w:r>
                  <w:r>
                    <w:rPr>
                      <w:rFonts w:hint="eastAsia" w:asciiTheme="minorEastAsia" w:hAnsiTheme="minorEastAsia" w:eastAsiaTheme="minorEastAsia" w:cstheme="minorEastAsia"/>
                      <w:color w:val="auto"/>
                      <w:kern w:val="0"/>
                      <w:sz w:val="21"/>
                      <w:szCs w:val="21"/>
                      <w:lang w:val="en-US" w:eastAsia="zh-CN" w:bidi="ar"/>
                    </w:rPr>
                    <w:t>1间，</w:t>
                  </w:r>
                  <w:r>
                    <w:rPr>
                      <w:rFonts w:hint="eastAsia" w:asciiTheme="minorEastAsia" w:hAnsiTheme="minorEastAsia" w:eastAsiaTheme="minorEastAsia" w:cstheme="minorEastAsia"/>
                      <w:color w:val="auto"/>
                      <w:kern w:val="0"/>
                      <w:sz w:val="21"/>
                      <w:szCs w:val="21"/>
                      <w:lang w:bidi="ar"/>
                    </w:rPr>
                    <w:t>占地面积</w:t>
                  </w:r>
                  <w:r>
                    <w:rPr>
                      <w:rFonts w:hint="eastAsia" w:asciiTheme="minorEastAsia" w:hAnsiTheme="minorEastAsia" w:eastAsiaTheme="minorEastAsia" w:cstheme="minorEastAsia"/>
                      <w:color w:val="auto"/>
                      <w:kern w:val="0"/>
                      <w:sz w:val="21"/>
                      <w:szCs w:val="21"/>
                      <w:lang w:val="en-US" w:eastAsia="zh-CN" w:bidi="ar"/>
                    </w:rPr>
                    <w:t>40</w:t>
                  </w:r>
                  <w:r>
                    <w:rPr>
                      <w:rFonts w:hint="eastAsia" w:asciiTheme="minorEastAsia" w:hAnsiTheme="minorEastAsia" w:eastAsiaTheme="minorEastAsia" w:cstheme="minorEastAsia"/>
                      <w:color w:val="auto"/>
                      <w:kern w:val="0"/>
                      <w:sz w:val="21"/>
                      <w:szCs w:val="21"/>
                      <w:lang w:bidi="ar"/>
                    </w:rPr>
                    <w:t>m</w:t>
                  </w:r>
                  <w:r>
                    <w:rPr>
                      <w:rFonts w:hint="eastAsia" w:asciiTheme="minorEastAsia" w:hAnsiTheme="minorEastAsia" w:eastAsiaTheme="minorEastAsia" w:cstheme="minorEastAsia"/>
                      <w:color w:val="auto"/>
                      <w:kern w:val="0"/>
                      <w:sz w:val="21"/>
                      <w:szCs w:val="21"/>
                      <w:vertAlign w:val="superscript"/>
                      <w:lang w:bidi="ar"/>
                    </w:rPr>
                    <w:t>2</w:t>
                  </w:r>
                  <w:r>
                    <w:rPr>
                      <w:rFonts w:hint="eastAsia" w:asciiTheme="minorEastAsia" w:hAnsiTheme="minorEastAsia" w:eastAsiaTheme="minorEastAsia" w:cstheme="minorEastAsia"/>
                      <w:color w:val="auto"/>
                      <w:kern w:val="0"/>
                      <w:sz w:val="21"/>
                      <w:szCs w:val="21"/>
                      <w:lang w:bidi="ar"/>
                    </w:rPr>
                    <w:t>，建筑面积</w:t>
                  </w:r>
                  <w:r>
                    <w:rPr>
                      <w:rFonts w:hint="eastAsia" w:asciiTheme="minorEastAsia" w:hAnsiTheme="minorEastAsia" w:eastAsiaTheme="minorEastAsia" w:cstheme="minorEastAsia"/>
                      <w:color w:val="auto"/>
                      <w:kern w:val="0"/>
                      <w:sz w:val="21"/>
                      <w:szCs w:val="21"/>
                      <w:lang w:val="en-US" w:eastAsia="zh-CN" w:bidi="ar"/>
                    </w:rPr>
                    <w:t>40</w:t>
                  </w:r>
                  <w:r>
                    <w:rPr>
                      <w:rFonts w:hint="eastAsia" w:asciiTheme="minorEastAsia" w:hAnsiTheme="minorEastAsia" w:eastAsiaTheme="minorEastAsia" w:cstheme="minorEastAsia"/>
                      <w:color w:val="auto"/>
                      <w:kern w:val="0"/>
                      <w:sz w:val="21"/>
                      <w:szCs w:val="21"/>
                      <w:lang w:bidi="ar"/>
                    </w:rPr>
                    <w:t>m</w:t>
                  </w:r>
                  <w:r>
                    <w:rPr>
                      <w:rFonts w:hint="eastAsia" w:asciiTheme="minorEastAsia" w:hAnsiTheme="minorEastAsia" w:eastAsiaTheme="minorEastAsia" w:cstheme="minorEastAsia"/>
                      <w:color w:val="auto"/>
                      <w:kern w:val="0"/>
                      <w:sz w:val="21"/>
                      <w:szCs w:val="21"/>
                      <w:vertAlign w:val="superscript"/>
                      <w:lang w:bidi="ar"/>
                    </w:rPr>
                    <w:t>2</w:t>
                  </w:r>
                  <w:r>
                    <w:rPr>
                      <w:rFonts w:hint="eastAsia" w:asciiTheme="minorEastAsia" w:hAnsiTheme="minorEastAsia" w:eastAsiaTheme="minorEastAsia" w:cstheme="minorEastAsia"/>
                      <w:color w:val="auto"/>
                      <w:kern w:val="0"/>
                      <w:sz w:val="21"/>
                      <w:szCs w:val="21"/>
                      <w:lang w:bidi="ar"/>
                    </w:rPr>
                    <w:t>，</w:t>
                  </w:r>
                  <w:r>
                    <w:rPr>
                      <w:rFonts w:hint="eastAsia" w:asciiTheme="minorEastAsia" w:hAnsiTheme="minorEastAsia" w:eastAsiaTheme="minorEastAsia" w:cstheme="minorEastAsia"/>
                      <w:color w:val="auto"/>
                      <w:kern w:val="0"/>
                      <w:sz w:val="21"/>
                      <w:szCs w:val="21"/>
                      <w:lang w:eastAsia="zh-CN" w:bidi="ar"/>
                    </w:rPr>
                    <w:t>位于项目东侧</w:t>
                  </w:r>
                </w:p>
              </w:tc>
              <w:tc>
                <w:tcPr>
                  <w:tcW w:w="523" w:type="pct"/>
                  <w:vAlign w:val="center"/>
                </w:tcPr>
                <w:p w14:paraId="5D85D42E">
                  <w:pPr>
                    <w:adjustRightInd w:val="0"/>
                    <w:snapToGrid w:val="0"/>
                    <w:spacing w:line="240" w:lineRule="auto"/>
                    <w:jc w:val="center"/>
                    <w:rPr>
                      <w:rFonts w:hint="eastAsia" w:ascii="Times New Roman" w:hAnsi="Times New Roman"/>
                      <w:color w:val="auto"/>
                      <w:kern w:val="0"/>
                      <w:sz w:val="21"/>
                      <w:szCs w:val="21"/>
                      <w:lang w:bidi="ar"/>
                    </w:rPr>
                  </w:pPr>
                  <w:r>
                    <w:rPr>
                      <w:rFonts w:hint="eastAsia"/>
                      <w:color w:val="auto"/>
                      <w:kern w:val="0"/>
                      <w:sz w:val="21"/>
                      <w:szCs w:val="21"/>
                      <w:lang w:eastAsia="zh-CN" w:bidi="ar"/>
                    </w:rPr>
                    <w:t>依托原有</w:t>
                  </w:r>
                </w:p>
              </w:tc>
            </w:tr>
            <w:tr w14:paraId="6E73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3" w:type="pct"/>
                  <w:vMerge w:val="continue"/>
                  <w:vAlign w:val="center"/>
                </w:tcPr>
                <w:p w14:paraId="4DB4E7C7">
                  <w:pPr>
                    <w:adjustRightInd w:val="0"/>
                    <w:snapToGrid w:val="0"/>
                    <w:spacing w:line="240" w:lineRule="auto"/>
                    <w:jc w:val="center"/>
                    <w:rPr>
                      <w:rFonts w:ascii="Times New Roman" w:hAnsi="Times New Roman"/>
                      <w:color w:val="auto"/>
                      <w:kern w:val="0"/>
                      <w:sz w:val="21"/>
                      <w:szCs w:val="21"/>
                      <w:lang w:bidi="ar"/>
                    </w:rPr>
                  </w:pPr>
                </w:p>
              </w:tc>
              <w:tc>
                <w:tcPr>
                  <w:tcW w:w="348" w:type="pct"/>
                  <w:gridSpan w:val="2"/>
                  <w:vMerge w:val="continue"/>
                  <w:vAlign w:val="center"/>
                </w:tcPr>
                <w:p w14:paraId="671E7160">
                  <w:pPr>
                    <w:adjustRightInd w:val="0"/>
                    <w:snapToGrid w:val="0"/>
                    <w:spacing w:line="240" w:lineRule="auto"/>
                    <w:jc w:val="center"/>
                    <w:rPr>
                      <w:rFonts w:ascii="Times New Roman" w:hAnsi="Times New Roman"/>
                      <w:color w:val="auto"/>
                      <w:kern w:val="0"/>
                      <w:sz w:val="21"/>
                      <w:szCs w:val="21"/>
                      <w:lang w:bidi="ar"/>
                    </w:rPr>
                  </w:pPr>
                </w:p>
              </w:tc>
              <w:tc>
                <w:tcPr>
                  <w:tcW w:w="576" w:type="pct"/>
                  <w:vAlign w:val="center"/>
                </w:tcPr>
                <w:p w14:paraId="6D66C229">
                  <w:pPr>
                    <w:adjustRightInd w:val="0"/>
                    <w:snapToGrid w:val="0"/>
                    <w:spacing w:line="240" w:lineRule="auto"/>
                    <w:jc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bidi="ar"/>
                    </w:rPr>
                    <w:t>宿舍</w:t>
                  </w:r>
                </w:p>
              </w:tc>
              <w:tc>
                <w:tcPr>
                  <w:tcW w:w="3128" w:type="pct"/>
                  <w:vAlign w:val="center"/>
                </w:tcPr>
                <w:p w14:paraId="0016CE2E">
                  <w:pPr>
                    <w:adjustRightInd w:val="0"/>
                    <w:snapToGrid w:val="0"/>
                    <w:spacing w:line="240" w:lineRule="auto"/>
                    <w:jc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bidi="ar"/>
                    </w:rPr>
                    <w:t>1F，</w:t>
                  </w:r>
                  <w:r>
                    <w:rPr>
                      <w:rFonts w:hint="eastAsia" w:asciiTheme="minorEastAsia" w:hAnsiTheme="minorEastAsia" w:eastAsiaTheme="minorEastAsia" w:cstheme="minorEastAsia"/>
                      <w:color w:val="auto"/>
                      <w:kern w:val="0"/>
                      <w:sz w:val="21"/>
                      <w:szCs w:val="21"/>
                      <w:lang w:val="en-US" w:eastAsia="zh-CN" w:bidi="ar"/>
                    </w:rPr>
                    <w:t>2间，</w:t>
                  </w:r>
                  <w:r>
                    <w:rPr>
                      <w:rFonts w:hint="eastAsia" w:asciiTheme="minorEastAsia" w:hAnsiTheme="minorEastAsia" w:eastAsiaTheme="minorEastAsia" w:cstheme="minorEastAsia"/>
                      <w:color w:val="auto"/>
                      <w:kern w:val="0"/>
                      <w:sz w:val="21"/>
                      <w:szCs w:val="21"/>
                      <w:lang w:bidi="ar"/>
                    </w:rPr>
                    <w:t>占地面积</w:t>
                  </w:r>
                  <w:r>
                    <w:rPr>
                      <w:rFonts w:hint="eastAsia" w:asciiTheme="minorEastAsia" w:hAnsiTheme="minorEastAsia" w:eastAsiaTheme="minorEastAsia" w:cstheme="minorEastAsia"/>
                      <w:color w:val="auto"/>
                      <w:kern w:val="0"/>
                      <w:sz w:val="21"/>
                      <w:szCs w:val="21"/>
                      <w:lang w:val="en-US" w:eastAsia="zh-CN" w:bidi="ar"/>
                    </w:rPr>
                    <w:t>40</w:t>
                  </w:r>
                  <w:r>
                    <w:rPr>
                      <w:rFonts w:hint="eastAsia" w:asciiTheme="minorEastAsia" w:hAnsiTheme="minorEastAsia" w:eastAsiaTheme="minorEastAsia" w:cstheme="minorEastAsia"/>
                      <w:color w:val="auto"/>
                      <w:kern w:val="0"/>
                      <w:sz w:val="21"/>
                      <w:szCs w:val="21"/>
                      <w:lang w:bidi="ar"/>
                    </w:rPr>
                    <w:t>m</w:t>
                  </w:r>
                  <w:r>
                    <w:rPr>
                      <w:rFonts w:hint="eastAsia" w:asciiTheme="minorEastAsia" w:hAnsiTheme="minorEastAsia" w:eastAsiaTheme="minorEastAsia" w:cstheme="minorEastAsia"/>
                      <w:color w:val="auto"/>
                      <w:kern w:val="0"/>
                      <w:sz w:val="21"/>
                      <w:szCs w:val="21"/>
                      <w:vertAlign w:val="superscript"/>
                      <w:lang w:bidi="ar"/>
                    </w:rPr>
                    <w:t>2</w:t>
                  </w:r>
                  <w:r>
                    <w:rPr>
                      <w:rFonts w:hint="eastAsia" w:asciiTheme="minorEastAsia" w:hAnsiTheme="minorEastAsia" w:eastAsiaTheme="minorEastAsia" w:cstheme="minorEastAsia"/>
                      <w:color w:val="auto"/>
                      <w:kern w:val="0"/>
                      <w:sz w:val="21"/>
                      <w:szCs w:val="21"/>
                      <w:lang w:bidi="ar"/>
                    </w:rPr>
                    <w:t>，建筑面积</w:t>
                  </w:r>
                  <w:r>
                    <w:rPr>
                      <w:rFonts w:hint="eastAsia" w:asciiTheme="minorEastAsia" w:hAnsiTheme="minorEastAsia" w:eastAsiaTheme="minorEastAsia" w:cstheme="minorEastAsia"/>
                      <w:color w:val="auto"/>
                      <w:kern w:val="0"/>
                      <w:sz w:val="21"/>
                      <w:szCs w:val="21"/>
                      <w:lang w:val="en-US" w:eastAsia="zh-CN" w:bidi="ar"/>
                    </w:rPr>
                    <w:t>40</w:t>
                  </w:r>
                  <w:r>
                    <w:rPr>
                      <w:rFonts w:hint="eastAsia" w:asciiTheme="minorEastAsia" w:hAnsiTheme="minorEastAsia" w:eastAsiaTheme="minorEastAsia" w:cstheme="minorEastAsia"/>
                      <w:color w:val="auto"/>
                      <w:kern w:val="0"/>
                      <w:sz w:val="21"/>
                      <w:szCs w:val="21"/>
                      <w:lang w:bidi="ar"/>
                    </w:rPr>
                    <w:t>m</w:t>
                  </w:r>
                  <w:r>
                    <w:rPr>
                      <w:rFonts w:hint="eastAsia" w:asciiTheme="minorEastAsia" w:hAnsiTheme="minorEastAsia" w:eastAsiaTheme="minorEastAsia" w:cstheme="minorEastAsia"/>
                      <w:color w:val="auto"/>
                      <w:kern w:val="0"/>
                      <w:sz w:val="21"/>
                      <w:szCs w:val="21"/>
                      <w:vertAlign w:val="superscript"/>
                      <w:lang w:bidi="ar"/>
                    </w:rPr>
                    <w:t>2</w:t>
                  </w:r>
                  <w:r>
                    <w:rPr>
                      <w:rFonts w:hint="eastAsia" w:asciiTheme="minorEastAsia" w:hAnsiTheme="minorEastAsia" w:eastAsiaTheme="minorEastAsia" w:cstheme="minorEastAsia"/>
                      <w:color w:val="auto"/>
                      <w:kern w:val="0"/>
                      <w:sz w:val="21"/>
                      <w:szCs w:val="21"/>
                      <w:lang w:bidi="ar"/>
                    </w:rPr>
                    <w:t>，</w:t>
                  </w:r>
                  <w:r>
                    <w:rPr>
                      <w:rFonts w:hint="eastAsia" w:asciiTheme="minorEastAsia" w:hAnsiTheme="minorEastAsia" w:eastAsiaTheme="minorEastAsia" w:cstheme="minorEastAsia"/>
                      <w:color w:val="auto"/>
                      <w:kern w:val="0"/>
                      <w:sz w:val="21"/>
                      <w:szCs w:val="21"/>
                      <w:lang w:eastAsia="zh-CN" w:bidi="ar"/>
                    </w:rPr>
                    <w:t>用于值班人员居住，</w:t>
                  </w:r>
                  <w:r>
                    <w:rPr>
                      <w:rFonts w:hint="eastAsia" w:asciiTheme="minorEastAsia" w:hAnsiTheme="minorEastAsia" w:eastAsiaTheme="minorEastAsia" w:cstheme="minorEastAsia"/>
                      <w:color w:val="auto"/>
                      <w:kern w:val="0"/>
                      <w:sz w:val="21"/>
                      <w:szCs w:val="21"/>
                      <w:lang w:bidi="ar"/>
                    </w:rPr>
                    <w:t>位于项目区</w:t>
                  </w:r>
                  <w:r>
                    <w:rPr>
                      <w:rFonts w:hint="eastAsia" w:asciiTheme="minorEastAsia" w:hAnsiTheme="minorEastAsia" w:eastAsiaTheme="minorEastAsia" w:cstheme="minorEastAsia"/>
                      <w:color w:val="auto"/>
                      <w:kern w:val="0"/>
                      <w:sz w:val="21"/>
                      <w:szCs w:val="21"/>
                      <w:lang w:eastAsia="zh-CN" w:bidi="ar"/>
                    </w:rPr>
                    <w:t>东侧</w:t>
                  </w:r>
                  <w:r>
                    <w:rPr>
                      <w:rFonts w:hint="eastAsia" w:asciiTheme="minorEastAsia" w:hAnsiTheme="minorEastAsia" w:eastAsiaTheme="minorEastAsia" w:cstheme="minorEastAsia"/>
                      <w:color w:val="auto"/>
                      <w:kern w:val="0"/>
                      <w:sz w:val="21"/>
                      <w:szCs w:val="21"/>
                      <w:lang w:bidi="ar"/>
                    </w:rPr>
                    <w:t>，办公室</w:t>
                  </w:r>
                  <w:r>
                    <w:rPr>
                      <w:rFonts w:hint="eastAsia" w:asciiTheme="minorEastAsia" w:hAnsiTheme="minorEastAsia" w:eastAsiaTheme="minorEastAsia" w:cstheme="minorEastAsia"/>
                      <w:color w:val="auto"/>
                      <w:kern w:val="0"/>
                      <w:sz w:val="21"/>
                      <w:szCs w:val="21"/>
                      <w:lang w:eastAsia="zh-CN" w:bidi="ar"/>
                    </w:rPr>
                    <w:t>东</w:t>
                  </w:r>
                  <w:r>
                    <w:rPr>
                      <w:rFonts w:hint="eastAsia" w:asciiTheme="minorEastAsia" w:hAnsiTheme="minorEastAsia" w:eastAsiaTheme="minorEastAsia" w:cstheme="minorEastAsia"/>
                      <w:color w:val="auto"/>
                      <w:kern w:val="0"/>
                      <w:sz w:val="21"/>
                      <w:szCs w:val="21"/>
                      <w:lang w:bidi="ar"/>
                    </w:rPr>
                    <w:t>侧</w:t>
                  </w:r>
                </w:p>
              </w:tc>
              <w:tc>
                <w:tcPr>
                  <w:tcW w:w="523" w:type="pct"/>
                  <w:vAlign w:val="center"/>
                </w:tcPr>
                <w:p w14:paraId="335531BC">
                  <w:pPr>
                    <w:adjustRightInd w:val="0"/>
                    <w:snapToGrid w:val="0"/>
                    <w:spacing w:line="240" w:lineRule="auto"/>
                    <w:jc w:val="center"/>
                    <w:rPr>
                      <w:rFonts w:ascii="Times New Roman" w:hAnsi="Times New Roman"/>
                      <w:color w:val="auto"/>
                      <w:kern w:val="0"/>
                      <w:sz w:val="21"/>
                      <w:szCs w:val="21"/>
                      <w:lang w:bidi="ar"/>
                    </w:rPr>
                  </w:pPr>
                  <w:r>
                    <w:rPr>
                      <w:rFonts w:hint="eastAsia"/>
                      <w:color w:val="auto"/>
                      <w:kern w:val="0"/>
                      <w:sz w:val="21"/>
                      <w:szCs w:val="21"/>
                      <w:lang w:eastAsia="zh-CN" w:bidi="ar"/>
                    </w:rPr>
                    <w:t>依托原有</w:t>
                  </w:r>
                </w:p>
              </w:tc>
            </w:tr>
            <w:tr w14:paraId="4094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3" w:type="pct"/>
                  <w:vMerge w:val="continue"/>
                  <w:vAlign w:val="center"/>
                </w:tcPr>
                <w:p w14:paraId="5E65CF50">
                  <w:pPr>
                    <w:adjustRightInd w:val="0"/>
                    <w:snapToGrid w:val="0"/>
                    <w:spacing w:line="240" w:lineRule="auto"/>
                    <w:jc w:val="center"/>
                    <w:rPr>
                      <w:rFonts w:ascii="Times New Roman" w:hAnsi="Times New Roman"/>
                      <w:color w:val="auto"/>
                      <w:kern w:val="0"/>
                      <w:sz w:val="21"/>
                      <w:szCs w:val="21"/>
                      <w:lang w:bidi="ar"/>
                    </w:rPr>
                  </w:pPr>
                </w:p>
              </w:tc>
              <w:tc>
                <w:tcPr>
                  <w:tcW w:w="348" w:type="pct"/>
                  <w:gridSpan w:val="2"/>
                  <w:vMerge w:val="continue"/>
                  <w:vAlign w:val="center"/>
                </w:tcPr>
                <w:p w14:paraId="7368E381">
                  <w:pPr>
                    <w:adjustRightInd w:val="0"/>
                    <w:snapToGrid w:val="0"/>
                    <w:spacing w:line="240" w:lineRule="auto"/>
                    <w:jc w:val="center"/>
                    <w:rPr>
                      <w:rFonts w:ascii="Times New Roman" w:hAnsi="Times New Roman"/>
                      <w:color w:val="auto"/>
                      <w:kern w:val="0"/>
                      <w:sz w:val="21"/>
                      <w:szCs w:val="21"/>
                      <w:lang w:bidi="ar"/>
                    </w:rPr>
                  </w:pPr>
                </w:p>
              </w:tc>
              <w:tc>
                <w:tcPr>
                  <w:tcW w:w="576" w:type="pct"/>
                  <w:vAlign w:val="center"/>
                </w:tcPr>
                <w:p w14:paraId="6B208FDC">
                  <w:pPr>
                    <w:adjustRightInd w:val="0"/>
                    <w:snapToGrid w:val="0"/>
                    <w:spacing w:line="240" w:lineRule="auto"/>
                    <w:jc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bidi="ar"/>
                    </w:rPr>
                    <w:t>厨房</w:t>
                  </w:r>
                </w:p>
              </w:tc>
              <w:tc>
                <w:tcPr>
                  <w:tcW w:w="3128" w:type="pct"/>
                  <w:vAlign w:val="center"/>
                </w:tcPr>
                <w:p w14:paraId="36A95B8A">
                  <w:pPr>
                    <w:adjustRightInd w:val="0"/>
                    <w:snapToGrid w:val="0"/>
                    <w:spacing w:line="240" w:lineRule="auto"/>
                    <w:jc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bidi="ar"/>
                    </w:rPr>
                    <w:t>1F，</w:t>
                  </w:r>
                  <w:r>
                    <w:rPr>
                      <w:rFonts w:hint="eastAsia" w:asciiTheme="minorEastAsia" w:hAnsiTheme="minorEastAsia" w:eastAsiaTheme="minorEastAsia" w:cstheme="minorEastAsia"/>
                      <w:color w:val="auto"/>
                      <w:kern w:val="0"/>
                      <w:sz w:val="21"/>
                      <w:szCs w:val="21"/>
                      <w:lang w:val="en-US" w:eastAsia="zh-CN" w:bidi="ar"/>
                    </w:rPr>
                    <w:t>1间，</w:t>
                  </w:r>
                  <w:r>
                    <w:rPr>
                      <w:rFonts w:hint="eastAsia" w:asciiTheme="minorEastAsia" w:hAnsiTheme="minorEastAsia" w:eastAsiaTheme="minorEastAsia" w:cstheme="minorEastAsia"/>
                      <w:color w:val="auto"/>
                      <w:kern w:val="0"/>
                      <w:sz w:val="21"/>
                      <w:szCs w:val="21"/>
                      <w:lang w:bidi="ar"/>
                    </w:rPr>
                    <w:t>占地面积</w:t>
                  </w:r>
                  <w:r>
                    <w:rPr>
                      <w:rFonts w:hint="eastAsia" w:asciiTheme="minorEastAsia" w:hAnsiTheme="minorEastAsia" w:eastAsiaTheme="minorEastAsia" w:cstheme="minorEastAsia"/>
                      <w:color w:val="auto"/>
                      <w:kern w:val="0"/>
                      <w:sz w:val="21"/>
                      <w:szCs w:val="21"/>
                      <w:lang w:val="en-US" w:eastAsia="zh-CN" w:bidi="ar"/>
                    </w:rPr>
                    <w:t>30</w:t>
                  </w:r>
                  <w:r>
                    <w:rPr>
                      <w:rFonts w:hint="eastAsia" w:asciiTheme="minorEastAsia" w:hAnsiTheme="minorEastAsia" w:eastAsiaTheme="minorEastAsia" w:cstheme="minorEastAsia"/>
                      <w:color w:val="auto"/>
                      <w:kern w:val="0"/>
                      <w:sz w:val="21"/>
                      <w:szCs w:val="21"/>
                      <w:lang w:bidi="ar"/>
                    </w:rPr>
                    <w:t>m</w:t>
                  </w:r>
                  <w:r>
                    <w:rPr>
                      <w:rFonts w:hint="eastAsia" w:asciiTheme="minorEastAsia" w:hAnsiTheme="minorEastAsia" w:eastAsiaTheme="minorEastAsia" w:cstheme="minorEastAsia"/>
                      <w:color w:val="auto"/>
                      <w:kern w:val="0"/>
                      <w:sz w:val="21"/>
                      <w:szCs w:val="21"/>
                      <w:vertAlign w:val="superscript"/>
                      <w:lang w:bidi="ar"/>
                    </w:rPr>
                    <w:t>2</w:t>
                  </w:r>
                  <w:r>
                    <w:rPr>
                      <w:rFonts w:hint="eastAsia" w:asciiTheme="minorEastAsia" w:hAnsiTheme="minorEastAsia" w:eastAsiaTheme="minorEastAsia" w:cstheme="minorEastAsia"/>
                      <w:color w:val="auto"/>
                      <w:kern w:val="0"/>
                      <w:sz w:val="21"/>
                      <w:szCs w:val="21"/>
                      <w:lang w:bidi="ar"/>
                    </w:rPr>
                    <w:t>，建筑面积</w:t>
                  </w:r>
                  <w:r>
                    <w:rPr>
                      <w:rFonts w:hint="eastAsia" w:asciiTheme="minorEastAsia" w:hAnsiTheme="minorEastAsia" w:eastAsiaTheme="minorEastAsia" w:cstheme="minorEastAsia"/>
                      <w:color w:val="auto"/>
                      <w:kern w:val="0"/>
                      <w:sz w:val="21"/>
                      <w:szCs w:val="21"/>
                      <w:lang w:val="en-US" w:eastAsia="zh-CN" w:bidi="ar"/>
                    </w:rPr>
                    <w:t>30</w:t>
                  </w:r>
                  <w:r>
                    <w:rPr>
                      <w:rFonts w:hint="eastAsia" w:asciiTheme="minorEastAsia" w:hAnsiTheme="minorEastAsia" w:eastAsiaTheme="minorEastAsia" w:cstheme="minorEastAsia"/>
                      <w:color w:val="auto"/>
                      <w:kern w:val="0"/>
                      <w:sz w:val="21"/>
                      <w:szCs w:val="21"/>
                      <w:lang w:bidi="ar"/>
                    </w:rPr>
                    <w:t>m</w:t>
                  </w:r>
                  <w:r>
                    <w:rPr>
                      <w:rFonts w:hint="eastAsia" w:asciiTheme="minorEastAsia" w:hAnsiTheme="minorEastAsia" w:eastAsiaTheme="minorEastAsia" w:cstheme="minorEastAsia"/>
                      <w:color w:val="auto"/>
                      <w:kern w:val="0"/>
                      <w:sz w:val="21"/>
                      <w:szCs w:val="21"/>
                      <w:vertAlign w:val="superscript"/>
                      <w:lang w:bidi="ar"/>
                    </w:rPr>
                    <w:t>2</w:t>
                  </w:r>
                  <w:r>
                    <w:rPr>
                      <w:rFonts w:hint="eastAsia" w:asciiTheme="minorEastAsia" w:hAnsiTheme="minorEastAsia" w:eastAsiaTheme="minorEastAsia" w:cstheme="minorEastAsia"/>
                      <w:color w:val="auto"/>
                      <w:kern w:val="0"/>
                      <w:sz w:val="21"/>
                      <w:szCs w:val="21"/>
                      <w:lang w:bidi="ar"/>
                    </w:rPr>
                    <w:t>，位于项目区</w:t>
                  </w:r>
                  <w:r>
                    <w:rPr>
                      <w:rFonts w:hint="eastAsia" w:asciiTheme="minorEastAsia" w:hAnsiTheme="minorEastAsia" w:eastAsiaTheme="minorEastAsia" w:cstheme="minorEastAsia"/>
                      <w:color w:val="auto"/>
                      <w:kern w:val="0"/>
                      <w:sz w:val="21"/>
                      <w:szCs w:val="21"/>
                      <w:lang w:eastAsia="zh-CN" w:bidi="ar"/>
                    </w:rPr>
                    <w:t>东侧</w:t>
                  </w:r>
                  <w:r>
                    <w:rPr>
                      <w:rFonts w:hint="eastAsia" w:asciiTheme="minorEastAsia" w:hAnsiTheme="minorEastAsia" w:eastAsiaTheme="minorEastAsia" w:cstheme="minorEastAsia"/>
                      <w:color w:val="auto"/>
                      <w:kern w:val="0"/>
                      <w:sz w:val="21"/>
                      <w:szCs w:val="21"/>
                      <w:lang w:bidi="ar"/>
                    </w:rPr>
                    <w:t>，</w:t>
                  </w:r>
                  <w:r>
                    <w:rPr>
                      <w:rFonts w:hint="eastAsia" w:asciiTheme="minorEastAsia" w:hAnsiTheme="minorEastAsia" w:eastAsiaTheme="minorEastAsia" w:cstheme="minorEastAsia"/>
                      <w:color w:val="auto"/>
                      <w:kern w:val="0"/>
                      <w:sz w:val="21"/>
                      <w:szCs w:val="21"/>
                      <w:lang w:eastAsia="zh-CN" w:bidi="ar"/>
                    </w:rPr>
                    <w:t>办公室南</w:t>
                  </w:r>
                  <w:r>
                    <w:rPr>
                      <w:rFonts w:hint="eastAsia" w:asciiTheme="minorEastAsia" w:hAnsiTheme="minorEastAsia" w:eastAsiaTheme="minorEastAsia" w:cstheme="minorEastAsia"/>
                      <w:color w:val="auto"/>
                      <w:kern w:val="0"/>
                      <w:sz w:val="21"/>
                      <w:szCs w:val="21"/>
                      <w:lang w:bidi="ar"/>
                    </w:rPr>
                    <w:t>侧</w:t>
                  </w:r>
                </w:p>
              </w:tc>
              <w:tc>
                <w:tcPr>
                  <w:tcW w:w="523" w:type="pct"/>
                  <w:vAlign w:val="center"/>
                </w:tcPr>
                <w:p w14:paraId="73E89FFB">
                  <w:pPr>
                    <w:adjustRightInd w:val="0"/>
                    <w:snapToGrid w:val="0"/>
                    <w:spacing w:line="240" w:lineRule="auto"/>
                    <w:jc w:val="center"/>
                    <w:rPr>
                      <w:rFonts w:ascii="Times New Roman" w:hAnsi="Times New Roman"/>
                      <w:color w:val="auto"/>
                      <w:kern w:val="0"/>
                      <w:sz w:val="21"/>
                      <w:szCs w:val="21"/>
                      <w:lang w:bidi="ar"/>
                    </w:rPr>
                  </w:pPr>
                  <w:r>
                    <w:rPr>
                      <w:rFonts w:hint="eastAsia"/>
                      <w:color w:val="auto"/>
                      <w:kern w:val="0"/>
                      <w:sz w:val="21"/>
                      <w:szCs w:val="21"/>
                      <w:lang w:eastAsia="zh-CN" w:bidi="ar"/>
                    </w:rPr>
                    <w:t>依托原有</w:t>
                  </w:r>
                </w:p>
              </w:tc>
            </w:tr>
            <w:tr w14:paraId="7083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3" w:type="pct"/>
                  <w:vMerge w:val="continue"/>
                  <w:vAlign w:val="center"/>
                </w:tcPr>
                <w:p w14:paraId="5737701B">
                  <w:pPr>
                    <w:adjustRightInd w:val="0"/>
                    <w:snapToGrid w:val="0"/>
                    <w:spacing w:line="240" w:lineRule="auto"/>
                    <w:jc w:val="center"/>
                    <w:rPr>
                      <w:rFonts w:ascii="Times New Roman" w:hAnsi="Times New Roman"/>
                      <w:color w:val="auto"/>
                      <w:kern w:val="0"/>
                      <w:sz w:val="21"/>
                      <w:szCs w:val="21"/>
                      <w:lang w:bidi="ar"/>
                    </w:rPr>
                  </w:pPr>
                </w:p>
              </w:tc>
              <w:tc>
                <w:tcPr>
                  <w:tcW w:w="348" w:type="pct"/>
                  <w:gridSpan w:val="2"/>
                  <w:vMerge w:val="continue"/>
                  <w:vAlign w:val="center"/>
                </w:tcPr>
                <w:p w14:paraId="3DB6164C">
                  <w:pPr>
                    <w:adjustRightInd w:val="0"/>
                    <w:snapToGrid w:val="0"/>
                    <w:spacing w:line="240" w:lineRule="auto"/>
                    <w:jc w:val="center"/>
                    <w:rPr>
                      <w:rFonts w:ascii="Times New Roman" w:hAnsi="Times New Roman"/>
                      <w:color w:val="auto"/>
                      <w:kern w:val="0"/>
                      <w:sz w:val="21"/>
                      <w:szCs w:val="21"/>
                      <w:lang w:bidi="ar"/>
                    </w:rPr>
                  </w:pPr>
                </w:p>
              </w:tc>
              <w:tc>
                <w:tcPr>
                  <w:tcW w:w="576" w:type="pct"/>
                  <w:vAlign w:val="center"/>
                </w:tcPr>
                <w:p w14:paraId="33D67DD0">
                  <w:pPr>
                    <w:adjustRightInd w:val="0"/>
                    <w:snapToGrid w:val="0"/>
                    <w:spacing w:line="240" w:lineRule="auto"/>
                    <w:jc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卫生间</w:t>
                  </w:r>
                </w:p>
              </w:tc>
              <w:tc>
                <w:tcPr>
                  <w:tcW w:w="3128" w:type="pct"/>
                  <w:vAlign w:val="center"/>
                </w:tcPr>
                <w:p w14:paraId="4CAF1B39">
                  <w:pPr>
                    <w:adjustRightInd w:val="0"/>
                    <w:snapToGrid w:val="0"/>
                    <w:spacing w:line="240" w:lineRule="auto"/>
                    <w:jc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1F，占地面积</w:t>
                  </w:r>
                  <w:r>
                    <w:rPr>
                      <w:rFonts w:hint="eastAsia" w:asciiTheme="minorEastAsia" w:hAnsiTheme="minorEastAsia" w:eastAsiaTheme="minorEastAsia" w:cstheme="minorEastAsia"/>
                      <w:color w:val="auto"/>
                      <w:kern w:val="0"/>
                      <w:sz w:val="21"/>
                      <w:szCs w:val="21"/>
                      <w:lang w:val="en-US" w:eastAsia="zh-CN" w:bidi="ar"/>
                    </w:rPr>
                    <w:t>6</w:t>
                  </w:r>
                  <w:r>
                    <w:rPr>
                      <w:rFonts w:hint="eastAsia" w:asciiTheme="minorEastAsia" w:hAnsiTheme="minorEastAsia" w:eastAsiaTheme="minorEastAsia" w:cstheme="minorEastAsia"/>
                      <w:color w:val="auto"/>
                      <w:kern w:val="0"/>
                      <w:sz w:val="21"/>
                      <w:szCs w:val="21"/>
                      <w:lang w:bidi="ar"/>
                    </w:rPr>
                    <w:t>m</w:t>
                  </w:r>
                  <w:r>
                    <w:rPr>
                      <w:rFonts w:hint="eastAsia" w:asciiTheme="minorEastAsia" w:hAnsiTheme="minorEastAsia" w:eastAsiaTheme="minorEastAsia" w:cstheme="minorEastAsia"/>
                      <w:color w:val="auto"/>
                      <w:kern w:val="0"/>
                      <w:sz w:val="21"/>
                      <w:szCs w:val="21"/>
                      <w:vertAlign w:val="superscript"/>
                      <w:lang w:bidi="ar"/>
                    </w:rPr>
                    <w:t>2</w:t>
                  </w:r>
                  <w:r>
                    <w:rPr>
                      <w:rFonts w:hint="eastAsia" w:asciiTheme="minorEastAsia" w:hAnsiTheme="minorEastAsia" w:eastAsiaTheme="minorEastAsia" w:cstheme="minorEastAsia"/>
                      <w:color w:val="auto"/>
                      <w:kern w:val="0"/>
                      <w:sz w:val="21"/>
                      <w:szCs w:val="21"/>
                      <w:lang w:bidi="ar"/>
                    </w:rPr>
                    <w:t>，设1间</w:t>
                  </w:r>
                  <w:r>
                    <w:rPr>
                      <w:rFonts w:hint="eastAsia" w:asciiTheme="minorEastAsia" w:hAnsiTheme="minorEastAsia" w:eastAsiaTheme="minorEastAsia" w:cstheme="minorEastAsia"/>
                      <w:color w:val="auto"/>
                      <w:kern w:val="0"/>
                      <w:sz w:val="21"/>
                      <w:szCs w:val="21"/>
                      <w:lang w:val="en-US" w:eastAsia="zh-CN" w:bidi="ar"/>
                    </w:rPr>
                    <w:t>容积为6</w:t>
                  </w:r>
                  <w:r>
                    <w:rPr>
                      <w:rFonts w:hint="eastAsia" w:asciiTheme="minorEastAsia" w:hAnsiTheme="minorEastAsia" w:eastAsiaTheme="minorEastAsia" w:cstheme="minorEastAsia"/>
                      <w:color w:val="auto"/>
                      <w:kern w:val="0"/>
                      <w:sz w:val="21"/>
                      <w:szCs w:val="21"/>
                      <w:lang w:bidi="ar"/>
                    </w:rPr>
                    <w:t>m</w:t>
                  </w:r>
                  <w:r>
                    <w:rPr>
                      <w:rFonts w:hint="eastAsia" w:asciiTheme="minorEastAsia" w:hAnsiTheme="minorEastAsia" w:eastAsiaTheme="minorEastAsia" w:cstheme="minorEastAsia"/>
                      <w:color w:val="auto"/>
                      <w:kern w:val="0"/>
                      <w:sz w:val="21"/>
                      <w:szCs w:val="21"/>
                      <w:vertAlign w:val="superscript"/>
                      <w:lang w:val="en-US" w:eastAsia="zh-CN" w:bidi="ar"/>
                    </w:rPr>
                    <w:t>3</w:t>
                  </w:r>
                  <w:r>
                    <w:rPr>
                      <w:rFonts w:hint="eastAsia" w:asciiTheme="minorEastAsia" w:hAnsiTheme="minorEastAsia" w:eastAsiaTheme="minorEastAsia" w:cstheme="minorEastAsia"/>
                      <w:color w:val="auto"/>
                      <w:kern w:val="0"/>
                      <w:sz w:val="21"/>
                      <w:szCs w:val="21"/>
                      <w:lang w:bidi="ar"/>
                    </w:rPr>
                    <w:t>的卫生间，位于项目区</w:t>
                  </w:r>
                  <w:r>
                    <w:rPr>
                      <w:rFonts w:hint="eastAsia" w:asciiTheme="minorEastAsia" w:hAnsiTheme="minorEastAsia" w:eastAsiaTheme="minorEastAsia" w:cstheme="minorEastAsia"/>
                      <w:color w:val="auto"/>
                      <w:kern w:val="0"/>
                      <w:sz w:val="21"/>
                      <w:szCs w:val="21"/>
                      <w:lang w:eastAsia="zh-CN" w:bidi="ar"/>
                    </w:rPr>
                    <w:t>东</w:t>
                  </w:r>
                  <w:r>
                    <w:rPr>
                      <w:rFonts w:hint="eastAsia" w:asciiTheme="minorEastAsia" w:hAnsiTheme="minorEastAsia" w:eastAsiaTheme="minorEastAsia" w:cstheme="minorEastAsia"/>
                      <w:color w:val="auto"/>
                      <w:kern w:val="0"/>
                      <w:sz w:val="21"/>
                      <w:szCs w:val="21"/>
                      <w:lang w:bidi="ar"/>
                    </w:rPr>
                    <w:t>部，</w:t>
                  </w:r>
                  <w:r>
                    <w:rPr>
                      <w:rFonts w:hint="eastAsia" w:asciiTheme="minorEastAsia" w:hAnsiTheme="minorEastAsia" w:eastAsiaTheme="minorEastAsia" w:cstheme="minorEastAsia"/>
                      <w:color w:val="auto"/>
                      <w:kern w:val="0"/>
                      <w:sz w:val="21"/>
                      <w:szCs w:val="21"/>
                      <w:lang w:eastAsia="zh-CN" w:bidi="ar"/>
                    </w:rPr>
                    <w:t>办公室旁</w:t>
                  </w:r>
                </w:p>
              </w:tc>
              <w:tc>
                <w:tcPr>
                  <w:tcW w:w="523" w:type="pct"/>
                  <w:vAlign w:val="center"/>
                </w:tcPr>
                <w:p w14:paraId="5ED13570">
                  <w:pPr>
                    <w:adjustRightInd w:val="0"/>
                    <w:snapToGrid w:val="0"/>
                    <w:spacing w:line="240" w:lineRule="auto"/>
                    <w:jc w:val="center"/>
                    <w:rPr>
                      <w:rFonts w:ascii="Times New Roman" w:hAnsi="Times New Roman"/>
                      <w:color w:val="auto"/>
                      <w:kern w:val="0"/>
                      <w:sz w:val="21"/>
                      <w:szCs w:val="21"/>
                      <w:lang w:bidi="ar"/>
                    </w:rPr>
                  </w:pPr>
                  <w:r>
                    <w:rPr>
                      <w:rFonts w:hint="eastAsia"/>
                      <w:color w:val="auto"/>
                      <w:kern w:val="0"/>
                      <w:sz w:val="21"/>
                      <w:szCs w:val="21"/>
                      <w:lang w:eastAsia="zh-CN" w:bidi="ar"/>
                    </w:rPr>
                    <w:t>依托原有</w:t>
                  </w:r>
                </w:p>
              </w:tc>
            </w:tr>
            <w:tr w14:paraId="245C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3" w:type="pct"/>
                  <w:vMerge w:val="restart"/>
                  <w:vAlign w:val="center"/>
                </w:tcPr>
                <w:p w14:paraId="01AF2C48">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公用工程</w:t>
                  </w:r>
                </w:p>
              </w:tc>
              <w:tc>
                <w:tcPr>
                  <w:tcW w:w="924" w:type="pct"/>
                  <w:gridSpan w:val="3"/>
                  <w:vAlign w:val="center"/>
                </w:tcPr>
                <w:p w14:paraId="2869F256">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供水</w:t>
                  </w:r>
                </w:p>
              </w:tc>
              <w:tc>
                <w:tcPr>
                  <w:tcW w:w="3128" w:type="pct"/>
                  <w:vAlign w:val="center"/>
                </w:tcPr>
                <w:p w14:paraId="1C5D5450">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由</w:t>
                  </w:r>
                  <w:r>
                    <w:rPr>
                      <w:rFonts w:hint="eastAsia"/>
                      <w:color w:val="auto"/>
                      <w:kern w:val="0"/>
                      <w:sz w:val="21"/>
                      <w:szCs w:val="21"/>
                      <w:lang w:eastAsia="zh-CN" w:bidi="ar"/>
                    </w:rPr>
                    <w:t>当地</w:t>
                  </w:r>
                  <w:r>
                    <w:rPr>
                      <w:rFonts w:hint="eastAsia" w:ascii="Times New Roman" w:hAnsi="Times New Roman"/>
                      <w:color w:val="auto"/>
                      <w:kern w:val="0"/>
                      <w:sz w:val="21"/>
                      <w:szCs w:val="21"/>
                      <w:lang w:bidi="ar"/>
                    </w:rPr>
                    <w:t>自来水</w:t>
                  </w:r>
                  <w:r>
                    <w:rPr>
                      <w:rFonts w:hint="eastAsia" w:ascii="Times New Roman" w:hAnsi="Times New Roman"/>
                      <w:color w:val="auto"/>
                      <w:kern w:val="0"/>
                      <w:sz w:val="21"/>
                      <w:szCs w:val="21"/>
                      <w:lang w:eastAsia="zh-CN" w:bidi="ar"/>
                    </w:rPr>
                    <w:t>管网</w:t>
                  </w:r>
                  <w:r>
                    <w:rPr>
                      <w:rFonts w:hint="eastAsia" w:ascii="Times New Roman" w:hAnsi="Times New Roman"/>
                      <w:color w:val="auto"/>
                      <w:kern w:val="0"/>
                      <w:sz w:val="21"/>
                      <w:szCs w:val="21"/>
                      <w:lang w:bidi="ar"/>
                    </w:rPr>
                    <w:t>供给</w:t>
                  </w:r>
                </w:p>
              </w:tc>
              <w:tc>
                <w:tcPr>
                  <w:tcW w:w="523" w:type="pct"/>
                  <w:vAlign w:val="center"/>
                </w:tcPr>
                <w:p w14:paraId="4C9C7C2D">
                  <w:pPr>
                    <w:adjustRightInd w:val="0"/>
                    <w:snapToGrid w:val="0"/>
                    <w:spacing w:line="240" w:lineRule="auto"/>
                    <w:jc w:val="center"/>
                    <w:rPr>
                      <w:rFonts w:ascii="Times New Roman" w:hAnsi="Times New Roman"/>
                      <w:color w:val="auto"/>
                      <w:kern w:val="0"/>
                      <w:sz w:val="21"/>
                      <w:szCs w:val="21"/>
                      <w:lang w:bidi="ar"/>
                    </w:rPr>
                  </w:pPr>
                  <w:r>
                    <w:rPr>
                      <w:rFonts w:hint="eastAsia"/>
                      <w:color w:val="auto"/>
                      <w:kern w:val="0"/>
                      <w:sz w:val="21"/>
                      <w:szCs w:val="21"/>
                      <w:lang w:eastAsia="zh-CN" w:bidi="ar"/>
                    </w:rPr>
                    <w:t>依托</w:t>
                  </w:r>
                </w:p>
              </w:tc>
            </w:tr>
            <w:tr w14:paraId="6463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3" w:type="pct"/>
                  <w:vMerge w:val="continue"/>
                  <w:vAlign w:val="center"/>
                </w:tcPr>
                <w:p w14:paraId="595D930B">
                  <w:pPr>
                    <w:adjustRightInd w:val="0"/>
                    <w:snapToGrid w:val="0"/>
                    <w:spacing w:line="240" w:lineRule="auto"/>
                    <w:jc w:val="center"/>
                    <w:rPr>
                      <w:rFonts w:ascii="Times New Roman" w:hAnsi="Times New Roman"/>
                      <w:color w:val="auto"/>
                      <w:kern w:val="0"/>
                      <w:sz w:val="21"/>
                      <w:szCs w:val="21"/>
                      <w:lang w:bidi="ar"/>
                    </w:rPr>
                  </w:pPr>
                </w:p>
              </w:tc>
              <w:tc>
                <w:tcPr>
                  <w:tcW w:w="924" w:type="pct"/>
                  <w:gridSpan w:val="3"/>
                  <w:vAlign w:val="center"/>
                </w:tcPr>
                <w:p w14:paraId="144BA8C7">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供电</w:t>
                  </w:r>
                </w:p>
              </w:tc>
              <w:tc>
                <w:tcPr>
                  <w:tcW w:w="3128" w:type="pct"/>
                  <w:vAlign w:val="center"/>
                </w:tcPr>
                <w:p w14:paraId="23F5E020">
                  <w:pPr>
                    <w:adjustRightInd w:val="0"/>
                    <w:snapToGrid w:val="0"/>
                    <w:spacing w:line="240" w:lineRule="auto"/>
                    <w:jc w:val="center"/>
                    <w:rPr>
                      <w:rFonts w:ascii="Times New Roman" w:hAnsi="Times New Roman"/>
                      <w:color w:val="auto"/>
                      <w:kern w:val="0"/>
                      <w:sz w:val="21"/>
                      <w:szCs w:val="21"/>
                      <w:lang w:bidi="ar"/>
                    </w:rPr>
                  </w:pPr>
                  <w:r>
                    <w:rPr>
                      <w:rFonts w:hint="eastAsia"/>
                      <w:color w:val="auto"/>
                      <w:kern w:val="0"/>
                      <w:sz w:val="21"/>
                      <w:szCs w:val="21"/>
                      <w:lang w:eastAsia="zh-CN" w:bidi="ar"/>
                    </w:rPr>
                    <w:t>项</w:t>
                  </w:r>
                  <w:r>
                    <w:rPr>
                      <w:rFonts w:hint="eastAsia" w:ascii="Times New Roman" w:hAnsi="Times New Roman"/>
                      <w:color w:val="auto"/>
                      <w:kern w:val="0"/>
                      <w:sz w:val="21"/>
                      <w:szCs w:val="21"/>
                      <w:lang w:bidi="ar"/>
                    </w:rPr>
                    <w:t>目由所在区域市政供电管网供电，可以满足项目运行所需</w:t>
                  </w:r>
                </w:p>
              </w:tc>
              <w:tc>
                <w:tcPr>
                  <w:tcW w:w="523" w:type="pct"/>
                  <w:vAlign w:val="center"/>
                </w:tcPr>
                <w:p w14:paraId="13F417A8">
                  <w:pPr>
                    <w:adjustRightInd w:val="0"/>
                    <w:snapToGrid w:val="0"/>
                    <w:spacing w:line="240" w:lineRule="auto"/>
                    <w:jc w:val="center"/>
                    <w:rPr>
                      <w:rFonts w:ascii="Times New Roman" w:hAnsi="Times New Roman"/>
                      <w:color w:val="auto"/>
                      <w:kern w:val="0"/>
                      <w:sz w:val="21"/>
                      <w:szCs w:val="21"/>
                      <w:lang w:bidi="ar"/>
                    </w:rPr>
                  </w:pPr>
                  <w:r>
                    <w:rPr>
                      <w:rFonts w:hint="eastAsia"/>
                      <w:color w:val="auto"/>
                      <w:kern w:val="0"/>
                      <w:sz w:val="21"/>
                      <w:szCs w:val="21"/>
                      <w:lang w:eastAsia="zh-CN" w:bidi="ar"/>
                    </w:rPr>
                    <w:t>依托</w:t>
                  </w:r>
                </w:p>
              </w:tc>
            </w:tr>
            <w:tr w14:paraId="7400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423" w:type="pct"/>
                  <w:vMerge w:val="continue"/>
                  <w:vAlign w:val="center"/>
                </w:tcPr>
                <w:p w14:paraId="57C7E321">
                  <w:pPr>
                    <w:adjustRightInd w:val="0"/>
                    <w:snapToGrid w:val="0"/>
                    <w:spacing w:line="240" w:lineRule="auto"/>
                    <w:jc w:val="center"/>
                    <w:rPr>
                      <w:rFonts w:ascii="Times New Roman" w:hAnsi="Times New Roman"/>
                      <w:color w:val="auto"/>
                      <w:kern w:val="0"/>
                      <w:sz w:val="21"/>
                      <w:szCs w:val="21"/>
                      <w:lang w:bidi="ar"/>
                    </w:rPr>
                  </w:pPr>
                </w:p>
              </w:tc>
              <w:tc>
                <w:tcPr>
                  <w:tcW w:w="924" w:type="pct"/>
                  <w:gridSpan w:val="3"/>
                  <w:vAlign w:val="center"/>
                </w:tcPr>
                <w:p w14:paraId="54AB0E05">
                  <w:pPr>
                    <w:adjustRightInd w:val="0"/>
                    <w:snapToGrid w:val="0"/>
                    <w:spacing w:line="240" w:lineRule="auto"/>
                    <w:jc w:val="center"/>
                    <w:rPr>
                      <w:rFonts w:ascii="Times New Roman" w:hAnsi="Times New Roman"/>
                      <w:color w:val="000000" w:themeColor="text1"/>
                      <w:kern w:val="0"/>
                      <w:sz w:val="21"/>
                      <w:szCs w:val="21"/>
                      <w:lang w:bidi="ar"/>
                      <w14:textFill>
                        <w14:solidFill>
                          <w14:schemeClr w14:val="tx1"/>
                        </w14:solidFill>
                      </w14:textFill>
                    </w:rPr>
                  </w:pPr>
                  <w:r>
                    <w:rPr>
                      <w:rFonts w:hint="eastAsia" w:ascii="Times New Roman" w:hAnsi="Times New Roman"/>
                      <w:color w:val="000000" w:themeColor="text1"/>
                      <w:kern w:val="0"/>
                      <w:sz w:val="21"/>
                      <w:szCs w:val="21"/>
                      <w:lang w:bidi="ar"/>
                      <w14:textFill>
                        <w14:solidFill>
                          <w14:schemeClr w14:val="tx1"/>
                        </w14:solidFill>
                      </w14:textFill>
                    </w:rPr>
                    <w:t>排水</w:t>
                  </w:r>
                </w:p>
              </w:tc>
              <w:tc>
                <w:tcPr>
                  <w:tcW w:w="3128" w:type="pct"/>
                  <w:vAlign w:val="center"/>
                </w:tcPr>
                <w:p w14:paraId="28435862">
                  <w:pPr>
                    <w:adjustRightInd w:val="0"/>
                    <w:snapToGrid w:val="0"/>
                    <w:spacing w:line="240" w:lineRule="auto"/>
                    <w:jc w:val="center"/>
                    <w:rPr>
                      <w:rFonts w:hint="eastAsia" w:ascii="Times New Roman" w:hAnsi="Times New Roman" w:eastAsia="宋体"/>
                      <w:color w:val="000000" w:themeColor="text1"/>
                      <w:kern w:val="0"/>
                      <w:sz w:val="21"/>
                      <w:szCs w:val="21"/>
                      <w:lang w:eastAsia="zh-CN" w:bidi="ar"/>
                      <w14:textFill>
                        <w14:solidFill>
                          <w14:schemeClr w14:val="tx1"/>
                        </w14:solidFill>
                      </w14:textFill>
                    </w:rPr>
                  </w:pPr>
                  <w:r>
                    <w:rPr>
                      <w:rFonts w:hint="eastAsia" w:ascii="Times New Roman" w:hAnsi="Times New Roman"/>
                      <w:color w:val="000000" w:themeColor="text1"/>
                      <w:kern w:val="0"/>
                      <w:sz w:val="21"/>
                      <w:szCs w:val="21"/>
                      <w:lang w:bidi="ar"/>
                      <w14:textFill>
                        <w14:solidFill>
                          <w14:schemeClr w14:val="tx1"/>
                        </w14:solidFill>
                      </w14:textFill>
                    </w:rPr>
                    <w:t>项目实行雨污分流，</w:t>
                  </w:r>
                  <w:r>
                    <w:rPr>
                      <w:rFonts w:hint="eastAsia" w:ascii="Times New Roman" w:hAnsi="Times New Roman" w:eastAsia="宋体" w:cs="Times New Roman"/>
                      <w:color w:val="000000" w:themeColor="text1"/>
                      <w:kern w:val="0"/>
                      <w:sz w:val="21"/>
                      <w:szCs w:val="21"/>
                      <w:lang w:bidi="ar"/>
                      <w14:textFill>
                        <w14:solidFill>
                          <w14:schemeClr w14:val="tx1"/>
                        </w14:solidFill>
                      </w14:textFill>
                    </w:rPr>
                    <w:t>项目</w:t>
                  </w: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搅拌机清洗废水排入防渗沉淀池内沉淀后上清液全部回用于</w:t>
                  </w:r>
                  <w:r>
                    <w:rPr>
                      <w:rFonts w:hint="eastAsia" w:cs="Times New Roman"/>
                      <w:color w:val="000000" w:themeColor="text1"/>
                      <w:kern w:val="0"/>
                      <w:sz w:val="21"/>
                      <w:szCs w:val="21"/>
                      <w:lang w:val="en-US" w:eastAsia="zh-CN" w:bidi="ar"/>
                      <w14:textFill>
                        <w14:solidFill>
                          <w14:schemeClr w14:val="tx1"/>
                        </w14:solidFill>
                      </w14:textFill>
                    </w:rPr>
                    <w:t>搅拌</w:t>
                  </w: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工序的搅拌机内，不外排</w:t>
                  </w:r>
                  <w:r>
                    <w:rPr>
                      <w:rFonts w:hint="eastAsia" w:ascii="Times New Roman" w:hAnsi="Times New Roman" w:eastAsia="宋体" w:cs="Times New Roman"/>
                      <w:color w:val="000000" w:themeColor="text1"/>
                      <w:kern w:val="0"/>
                      <w:sz w:val="21"/>
                      <w:szCs w:val="21"/>
                      <w:lang w:bidi="ar"/>
                      <w14:textFill>
                        <w14:solidFill>
                          <w14:schemeClr w14:val="tx1"/>
                        </w14:solidFill>
                      </w14:textFill>
                    </w:rPr>
                    <w:t xml:space="preserve">； </w:t>
                  </w:r>
                  <w:r>
                    <w:rPr>
                      <w:rFonts w:hint="eastAsia" w:ascii="Times New Roman" w:hAnsi="Times New Roman" w:eastAsia="宋体" w:cs="Times New Roman"/>
                      <w:color w:val="000000" w:themeColor="text1"/>
                      <w:kern w:val="0"/>
                      <w:sz w:val="21"/>
                      <w:szCs w:val="21"/>
                      <w:lang w:eastAsia="zh-CN" w:bidi="ar"/>
                      <w14:textFill>
                        <w14:solidFill>
                          <w14:schemeClr w14:val="tx1"/>
                        </w14:solidFill>
                      </w14:textFill>
                    </w:rPr>
                    <w:t>餐饮废水经</w:t>
                  </w: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油水</w:t>
                  </w:r>
                  <w:r>
                    <w:rPr>
                      <w:rFonts w:hint="eastAsia" w:ascii="Times New Roman" w:hAnsi="Times New Roman"/>
                      <w:color w:val="000000" w:themeColor="text1"/>
                      <w:sz w:val="21"/>
                      <w:szCs w:val="21"/>
                      <w:vertAlign w:val="baseline"/>
                      <w:lang w:val="en-US" w:eastAsia="zh-CN"/>
                      <w14:textFill>
                        <w14:solidFill>
                          <w14:schemeClr w14:val="tx1"/>
                        </w14:solidFill>
                      </w14:textFill>
                    </w:rPr>
                    <w:t>分离器预处理后同办公、生活污水经</w:t>
                  </w:r>
                  <w:r>
                    <w:rPr>
                      <w:rFonts w:ascii="Times New Roman" w:hAnsi="Times New Roman"/>
                      <w:color w:val="000000" w:themeColor="text1"/>
                      <w:sz w:val="21"/>
                      <w:szCs w:val="21"/>
                      <w14:textFill>
                        <w14:solidFill>
                          <w14:schemeClr w14:val="tx1"/>
                        </w14:solidFill>
                      </w14:textFill>
                    </w:rPr>
                    <w:t>化粪池处理后</w:t>
                  </w:r>
                  <w:r>
                    <w:rPr>
                      <w:rFonts w:hint="eastAsia" w:ascii="Times New Roman" w:hAnsi="Times New Roman"/>
                      <w:color w:val="000000" w:themeColor="text1"/>
                      <w:sz w:val="21"/>
                      <w:szCs w:val="21"/>
                      <w14:textFill>
                        <w14:solidFill>
                          <w14:schemeClr w14:val="tx1"/>
                        </w14:solidFill>
                      </w14:textFill>
                    </w:rPr>
                    <w:t>委托周边村民进行清掏用作农肥</w:t>
                  </w:r>
                  <w:r>
                    <w:rPr>
                      <w:rFonts w:hint="eastAsia" w:ascii="Times New Roman" w:hAnsi="Times New Roman"/>
                      <w:color w:val="000000" w:themeColor="text1"/>
                      <w:sz w:val="21"/>
                      <w:szCs w:val="21"/>
                      <w:lang w:eastAsia="zh-CN"/>
                      <w14:textFill>
                        <w14:solidFill>
                          <w14:schemeClr w14:val="tx1"/>
                        </w14:solidFill>
                      </w14:textFill>
                    </w:rPr>
                    <w:t>，不外排</w:t>
                  </w:r>
                </w:p>
              </w:tc>
              <w:tc>
                <w:tcPr>
                  <w:tcW w:w="523" w:type="pct"/>
                  <w:vAlign w:val="center"/>
                </w:tcPr>
                <w:p w14:paraId="6E1B4234">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eastAsia="zh-CN" w:bidi="ar"/>
                    </w:rPr>
                    <w:t>新建</w:t>
                  </w:r>
                </w:p>
              </w:tc>
            </w:tr>
            <w:tr w14:paraId="5B4E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3" w:type="pct"/>
                  <w:vMerge w:val="restart"/>
                  <w:vAlign w:val="center"/>
                </w:tcPr>
                <w:p w14:paraId="375F6DE5">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环保工程</w:t>
                  </w:r>
                </w:p>
              </w:tc>
              <w:tc>
                <w:tcPr>
                  <w:tcW w:w="265" w:type="pct"/>
                  <w:vMerge w:val="restart"/>
                  <w:vAlign w:val="center"/>
                </w:tcPr>
                <w:p w14:paraId="364F87CC">
                  <w:pPr>
                    <w:adjustRightInd w:val="0"/>
                    <w:snapToGrid w:val="0"/>
                    <w:spacing w:line="240" w:lineRule="auto"/>
                    <w:jc w:val="center"/>
                    <w:rPr>
                      <w:rFonts w:ascii="Times New Roman" w:hAnsi="Times New Roman"/>
                      <w:color w:val="auto"/>
                      <w:kern w:val="0"/>
                      <w:sz w:val="21"/>
                      <w:szCs w:val="21"/>
                      <w:lang w:bidi="ar"/>
                    </w:rPr>
                  </w:pPr>
                  <w:r>
                    <w:rPr>
                      <w:rFonts w:hint="eastAsia"/>
                      <w:color w:val="auto"/>
                      <w:kern w:val="0"/>
                      <w:sz w:val="21"/>
                      <w:szCs w:val="21"/>
                      <w:lang w:eastAsia="zh-CN" w:bidi="ar"/>
                    </w:rPr>
                    <w:t>废水</w:t>
                  </w:r>
                </w:p>
              </w:tc>
              <w:tc>
                <w:tcPr>
                  <w:tcW w:w="659" w:type="pct"/>
                  <w:gridSpan w:val="2"/>
                  <w:vAlign w:val="center"/>
                </w:tcPr>
                <w:p w14:paraId="40442AF4">
                  <w:pPr>
                    <w:adjustRightInd w:val="0"/>
                    <w:snapToGrid w:val="0"/>
                    <w:spacing w:line="240" w:lineRule="auto"/>
                    <w:jc w:val="center"/>
                    <w:rPr>
                      <w:rFonts w:hint="eastAsia" w:ascii="Times New Roman" w:hAnsi="Times New Roman"/>
                      <w:color w:val="auto"/>
                      <w:kern w:val="0"/>
                      <w:sz w:val="21"/>
                      <w:szCs w:val="21"/>
                      <w:lang w:eastAsia="zh-CN" w:bidi="ar"/>
                    </w:rPr>
                  </w:pPr>
                  <w:r>
                    <w:rPr>
                      <w:rFonts w:hint="eastAsia" w:ascii="Times New Roman" w:hAnsi="Times New Roman"/>
                      <w:color w:val="auto"/>
                      <w:kern w:val="0"/>
                      <w:sz w:val="21"/>
                      <w:szCs w:val="21"/>
                      <w:lang w:eastAsia="zh-CN" w:bidi="ar"/>
                    </w:rPr>
                    <w:t>生产废水</w:t>
                  </w:r>
                </w:p>
              </w:tc>
              <w:tc>
                <w:tcPr>
                  <w:tcW w:w="3128" w:type="pct"/>
                  <w:vAlign w:val="center"/>
                </w:tcPr>
                <w:p w14:paraId="376CC1A1">
                  <w:pPr>
                    <w:adjustRightInd w:val="0"/>
                    <w:snapToGrid w:val="0"/>
                    <w:spacing w:line="240" w:lineRule="auto"/>
                    <w:jc w:val="center"/>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kern w:val="0"/>
                      <w:sz w:val="21"/>
                      <w:szCs w:val="21"/>
                      <w:lang w:eastAsia="zh-CN" w:bidi="ar"/>
                    </w:rPr>
                    <w:t>沉淀池</w:t>
                  </w:r>
                  <w:r>
                    <w:rPr>
                      <w:rFonts w:hint="eastAsia" w:asciiTheme="majorEastAsia" w:hAnsiTheme="majorEastAsia" w:eastAsiaTheme="majorEastAsia" w:cstheme="majorEastAsia"/>
                      <w:color w:val="auto"/>
                      <w:kern w:val="0"/>
                      <w:sz w:val="21"/>
                      <w:szCs w:val="21"/>
                      <w:lang w:val="en-US" w:eastAsia="zh-CN" w:bidi="ar"/>
                    </w:rPr>
                    <w:t>1个，5</w:t>
                  </w:r>
                  <w:r>
                    <w:rPr>
                      <w:rFonts w:hint="eastAsia" w:asciiTheme="majorEastAsia" w:hAnsiTheme="majorEastAsia" w:eastAsiaTheme="majorEastAsia" w:cstheme="majorEastAsia"/>
                      <w:color w:val="auto"/>
                      <w:kern w:val="0"/>
                      <w:sz w:val="21"/>
                      <w:szCs w:val="21"/>
                      <w:lang w:bidi="ar"/>
                    </w:rPr>
                    <w:t>m</w:t>
                  </w:r>
                  <w:r>
                    <w:rPr>
                      <w:rFonts w:hint="eastAsia" w:asciiTheme="majorEastAsia" w:hAnsiTheme="majorEastAsia" w:eastAsiaTheme="majorEastAsia" w:cstheme="majorEastAsia"/>
                      <w:color w:val="auto"/>
                      <w:kern w:val="0"/>
                      <w:sz w:val="21"/>
                      <w:szCs w:val="21"/>
                      <w:vertAlign w:val="superscript"/>
                      <w:lang w:bidi="ar"/>
                    </w:rPr>
                    <w:t>3</w:t>
                  </w:r>
                </w:p>
              </w:tc>
              <w:tc>
                <w:tcPr>
                  <w:tcW w:w="523" w:type="pct"/>
                  <w:vAlign w:val="center"/>
                </w:tcPr>
                <w:p w14:paraId="5635D2BC">
                  <w:pPr>
                    <w:adjustRightInd w:val="0"/>
                    <w:snapToGrid w:val="0"/>
                    <w:spacing w:line="240" w:lineRule="auto"/>
                    <w:jc w:val="center"/>
                    <w:rPr>
                      <w:rFonts w:hint="eastAsia" w:ascii="Times New Roman" w:hAnsi="Times New Roman"/>
                      <w:color w:val="auto"/>
                      <w:kern w:val="0"/>
                      <w:sz w:val="21"/>
                      <w:szCs w:val="21"/>
                      <w:lang w:eastAsia="zh-CN" w:bidi="ar"/>
                    </w:rPr>
                  </w:pPr>
                  <w:r>
                    <w:rPr>
                      <w:rFonts w:hint="eastAsia" w:ascii="Times New Roman" w:hAnsi="Times New Roman"/>
                      <w:color w:val="auto"/>
                      <w:kern w:val="0"/>
                      <w:sz w:val="21"/>
                      <w:szCs w:val="21"/>
                      <w:lang w:eastAsia="zh-CN" w:bidi="ar"/>
                    </w:rPr>
                    <w:t>新建</w:t>
                  </w:r>
                </w:p>
              </w:tc>
            </w:tr>
            <w:tr w14:paraId="0540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3" w:type="pct"/>
                  <w:vMerge w:val="continue"/>
                  <w:vAlign w:val="center"/>
                </w:tcPr>
                <w:p w14:paraId="6821B769">
                  <w:pPr>
                    <w:adjustRightInd w:val="0"/>
                    <w:snapToGrid w:val="0"/>
                    <w:spacing w:line="240" w:lineRule="auto"/>
                    <w:jc w:val="center"/>
                    <w:rPr>
                      <w:rFonts w:ascii="Times New Roman" w:hAnsi="Times New Roman"/>
                      <w:color w:val="auto"/>
                      <w:kern w:val="0"/>
                      <w:sz w:val="21"/>
                      <w:szCs w:val="21"/>
                      <w:lang w:bidi="ar"/>
                    </w:rPr>
                  </w:pPr>
                </w:p>
              </w:tc>
              <w:tc>
                <w:tcPr>
                  <w:tcW w:w="265" w:type="pct"/>
                  <w:vMerge w:val="continue"/>
                  <w:vAlign w:val="center"/>
                </w:tcPr>
                <w:p w14:paraId="1C30E277">
                  <w:pPr>
                    <w:adjustRightInd w:val="0"/>
                    <w:snapToGrid w:val="0"/>
                    <w:spacing w:line="240" w:lineRule="auto"/>
                    <w:jc w:val="center"/>
                    <w:rPr>
                      <w:rFonts w:ascii="Times New Roman" w:hAnsi="Times New Roman"/>
                      <w:color w:val="auto"/>
                      <w:kern w:val="0"/>
                      <w:sz w:val="21"/>
                      <w:szCs w:val="21"/>
                      <w:lang w:bidi="ar"/>
                    </w:rPr>
                  </w:pPr>
                </w:p>
              </w:tc>
              <w:tc>
                <w:tcPr>
                  <w:tcW w:w="659" w:type="pct"/>
                  <w:gridSpan w:val="2"/>
                  <w:vMerge w:val="restart"/>
                  <w:vAlign w:val="center"/>
                </w:tcPr>
                <w:p w14:paraId="71C4A563">
                  <w:pPr>
                    <w:adjustRightInd w:val="0"/>
                    <w:snapToGrid w:val="0"/>
                    <w:spacing w:line="240" w:lineRule="auto"/>
                    <w:jc w:val="center"/>
                    <w:rPr>
                      <w:rFonts w:hint="eastAsia" w:ascii="Times New Roman" w:hAnsi="Times New Roman"/>
                      <w:color w:val="auto"/>
                      <w:kern w:val="0"/>
                      <w:sz w:val="21"/>
                      <w:szCs w:val="21"/>
                      <w:lang w:bidi="ar"/>
                    </w:rPr>
                  </w:pPr>
                  <w:r>
                    <w:rPr>
                      <w:rFonts w:hint="eastAsia" w:ascii="Times New Roman" w:hAnsi="Times New Roman"/>
                      <w:color w:val="auto"/>
                      <w:kern w:val="0"/>
                      <w:sz w:val="21"/>
                      <w:szCs w:val="21"/>
                      <w:lang w:bidi="ar"/>
                    </w:rPr>
                    <w:t>生活污水</w:t>
                  </w:r>
                </w:p>
              </w:tc>
              <w:tc>
                <w:tcPr>
                  <w:tcW w:w="3128" w:type="pct"/>
                  <w:vAlign w:val="center"/>
                </w:tcPr>
                <w:p w14:paraId="512D02C9">
                  <w:pPr>
                    <w:adjustRightInd w:val="0"/>
                    <w:snapToGrid w:val="0"/>
                    <w:spacing w:line="240" w:lineRule="auto"/>
                    <w:jc w:val="center"/>
                    <w:rPr>
                      <w:rFonts w:hint="eastAsia" w:asciiTheme="majorEastAsia" w:hAnsiTheme="majorEastAsia" w:eastAsiaTheme="majorEastAsia" w:cstheme="majorEastAsia"/>
                      <w:color w:val="auto"/>
                      <w:kern w:val="0"/>
                      <w:sz w:val="21"/>
                      <w:szCs w:val="21"/>
                      <w:lang w:bidi="ar"/>
                    </w:rPr>
                  </w:pPr>
                  <w:r>
                    <w:rPr>
                      <w:rFonts w:hint="eastAsia" w:asciiTheme="majorEastAsia" w:hAnsiTheme="majorEastAsia" w:eastAsiaTheme="majorEastAsia" w:cstheme="majorEastAsia"/>
                      <w:color w:val="auto"/>
                      <w:kern w:val="0"/>
                      <w:sz w:val="21"/>
                      <w:szCs w:val="21"/>
                      <w:lang w:bidi="ar"/>
                    </w:rPr>
                    <w:t>油水分离器1个</w:t>
                  </w:r>
                </w:p>
              </w:tc>
              <w:tc>
                <w:tcPr>
                  <w:tcW w:w="523" w:type="pct"/>
                  <w:vAlign w:val="center"/>
                </w:tcPr>
                <w:p w14:paraId="535173F8">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eastAsia="zh-CN" w:bidi="ar"/>
                    </w:rPr>
                    <w:t>新建</w:t>
                  </w:r>
                </w:p>
              </w:tc>
            </w:tr>
            <w:tr w14:paraId="6198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3" w:type="pct"/>
                  <w:vMerge w:val="continue"/>
                  <w:vAlign w:val="center"/>
                </w:tcPr>
                <w:p w14:paraId="23A1129C">
                  <w:pPr>
                    <w:adjustRightInd w:val="0"/>
                    <w:snapToGrid w:val="0"/>
                    <w:spacing w:line="240" w:lineRule="auto"/>
                    <w:jc w:val="center"/>
                    <w:rPr>
                      <w:rFonts w:ascii="Times New Roman" w:hAnsi="Times New Roman"/>
                      <w:color w:val="auto"/>
                      <w:kern w:val="0"/>
                      <w:sz w:val="21"/>
                      <w:szCs w:val="21"/>
                      <w:lang w:bidi="ar"/>
                    </w:rPr>
                  </w:pPr>
                </w:p>
              </w:tc>
              <w:tc>
                <w:tcPr>
                  <w:tcW w:w="265" w:type="pct"/>
                  <w:vMerge w:val="continue"/>
                  <w:vAlign w:val="center"/>
                </w:tcPr>
                <w:p w14:paraId="3C82A2D0">
                  <w:pPr>
                    <w:adjustRightInd w:val="0"/>
                    <w:snapToGrid w:val="0"/>
                    <w:spacing w:line="240" w:lineRule="auto"/>
                    <w:jc w:val="center"/>
                    <w:rPr>
                      <w:rFonts w:ascii="Times New Roman" w:hAnsi="Times New Roman"/>
                      <w:color w:val="auto"/>
                      <w:kern w:val="0"/>
                      <w:sz w:val="21"/>
                      <w:szCs w:val="21"/>
                      <w:lang w:bidi="ar"/>
                    </w:rPr>
                  </w:pPr>
                </w:p>
              </w:tc>
              <w:tc>
                <w:tcPr>
                  <w:tcW w:w="659" w:type="pct"/>
                  <w:gridSpan w:val="2"/>
                  <w:vMerge w:val="continue"/>
                  <w:vAlign w:val="center"/>
                </w:tcPr>
                <w:p w14:paraId="1140EFC0">
                  <w:pPr>
                    <w:adjustRightInd w:val="0"/>
                    <w:snapToGrid w:val="0"/>
                    <w:spacing w:line="240" w:lineRule="auto"/>
                    <w:jc w:val="center"/>
                    <w:rPr>
                      <w:rFonts w:ascii="Times New Roman" w:hAnsi="Times New Roman"/>
                      <w:color w:val="auto"/>
                      <w:kern w:val="0"/>
                      <w:sz w:val="21"/>
                      <w:szCs w:val="21"/>
                      <w:lang w:bidi="ar"/>
                    </w:rPr>
                  </w:pPr>
                </w:p>
              </w:tc>
              <w:tc>
                <w:tcPr>
                  <w:tcW w:w="3128" w:type="pct"/>
                  <w:vAlign w:val="center"/>
                </w:tcPr>
                <w:p w14:paraId="44907C5C">
                  <w:pPr>
                    <w:adjustRightInd w:val="0"/>
                    <w:snapToGrid w:val="0"/>
                    <w:spacing w:line="240" w:lineRule="auto"/>
                    <w:jc w:val="center"/>
                    <w:rPr>
                      <w:rFonts w:hint="eastAsia" w:asciiTheme="majorEastAsia" w:hAnsiTheme="majorEastAsia" w:eastAsiaTheme="majorEastAsia" w:cstheme="majorEastAsia"/>
                      <w:color w:val="auto"/>
                      <w:kern w:val="0"/>
                      <w:sz w:val="21"/>
                      <w:szCs w:val="21"/>
                      <w:lang w:bidi="ar"/>
                    </w:rPr>
                  </w:pPr>
                  <w:r>
                    <w:rPr>
                      <w:rFonts w:hint="eastAsia" w:asciiTheme="majorEastAsia" w:hAnsiTheme="majorEastAsia" w:eastAsiaTheme="majorEastAsia" w:cstheme="majorEastAsia"/>
                      <w:color w:val="auto"/>
                      <w:kern w:val="0"/>
                      <w:sz w:val="21"/>
                      <w:szCs w:val="21"/>
                      <w:lang w:bidi="ar"/>
                    </w:rPr>
                    <w:t>化粪池1个，</w:t>
                  </w:r>
                  <w:r>
                    <w:rPr>
                      <w:rFonts w:hint="eastAsia" w:asciiTheme="majorEastAsia" w:hAnsiTheme="majorEastAsia" w:eastAsiaTheme="majorEastAsia" w:cstheme="majorEastAsia"/>
                      <w:color w:val="auto"/>
                      <w:kern w:val="0"/>
                      <w:sz w:val="21"/>
                      <w:szCs w:val="21"/>
                      <w:lang w:val="en-US" w:eastAsia="zh-CN" w:bidi="ar"/>
                    </w:rPr>
                    <w:t>6</w:t>
                  </w:r>
                  <w:r>
                    <w:rPr>
                      <w:rFonts w:hint="eastAsia" w:asciiTheme="majorEastAsia" w:hAnsiTheme="majorEastAsia" w:eastAsiaTheme="majorEastAsia" w:cstheme="majorEastAsia"/>
                      <w:color w:val="auto"/>
                      <w:kern w:val="0"/>
                      <w:sz w:val="21"/>
                      <w:szCs w:val="21"/>
                      <w:lang w:bidi="ar"/>
                    </w:rPr>
                    <w:t>m</w:t>
                  </w:r>
                  <w:r>
                    <w:rPr>
                      <w:rFonts w:hint="eastAsia" w:asciiTheme="majorEastAsia" w:hAnsiTheme="majorEastAsia" w:eastAsiaTheme="majorEastAsia" w:cstheme="majorEastAsia"/>
                      <w:color w:val="auto"/>
                      <w:kern w:val="0"/>
                      <w:sz w:val="21"/>
                      <w:szCs w:val="21"/>
                      <w:vertAlign w:val="superscript"/>
                      <w:lang w:bidi="ar"/>
                    </w:rPr>
                    <w:t>3</w:t>
                  </w:r>
                </w:p>
              </w:tc>
              <w:tc>
                <w:tcPr>
                  <w:tcW w:w="523" w:type="pct"/>
                  <w:vAlign w:val="center"/>
                </w:tcPr>
                <w:p w14:paraId="7B353D7B">
                  <w:pPr>
                    <w:adjustRightInd w:val="0"/>
                    <w:snapToGrid w:val="0"/>
                    <w:spacing w:line="240" w:lineRule="auto"/>
                    <w:jc w:val="center"/>
                    <w:rPr>
                      <w:rFonts w:hint="eastAsia" w:ascii="Times New Roman" w:hAnsi="Times New Roman" w:eastAsia="宋体"/>
                      <w:color w:val="auto"/>
                      <w:kern w:val="0"/>
                      <w:sz w:val="21"/>
                      <w:szCs w:val="21"/>
                      <w:lang w:eastAsia="zh-CN" w:bidi="ar"/>
                    </w:rPr>
                  </w:pPr>
                  <w:r>
                    <w:rPr>
                      <w:rFonts w:hint="eastAsia" w:ascii="Times New Roman" w:hAnsi="Times New Roman" w:eastAsia="宋体"/>
                      <w:color w:val="auto"/>
                      <w:kern w:val="0"/>
                      <w:sz w:val="21"/>
                      <w:szCs w:val="21"/>
                      <w:lang w:eastAsia="zh-CN" w:bidi="ar"/>
                    </w:rPr>
                    <w:t>依托原有</w:t>
                  </w:r>
                </w:p>
              </w:tc>
            </w:tr>
            <w:tr w14:paraId="275D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3" w:type="pct"/>
                  <w:vMerge w:val="continue"/>
                  <w:vAlign w:val="center"/>
                </w:tcPr>
                <w:p w14:paraId="2B705670">
                  <w:pPr>
                    <w:adjustRightInd w:val="0"/>
                    <w:snapToGrid w:val="0"/>
                    <w:spacing w:line="240" w:lineRule="auto"/>
                    <w:jc w:val="center"/>
                    <w:rPr>
                      <w:rFonts w:ascii="Times New Roman" w:hAnsi="Times New Roman"/>
                      <w:color w:val="auto"/>
                      <w:kern w:val="0"/>
                      <w:sz w:val="21"/>
                      <w:szCs w:val="21"/>
                      <w:lang w:bidi="ar"/>
                    </w:rPr>
                  </w:pPr>
                </w:p>
              </w:tc>
              <w:tc>
                <w:tcPr>
                  <w:tcW w:w="265" w:type="pct"/>
                  <w:vMerge w:val="restart"/>
                  <w:vAlign w:val="center"/>
                </w:tcPr>
                <w:p w14:paraId="62D3AB60">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bidi="ar"/>
                    </w:rPr>
                    <w:t>废气</w:t>
                  </w:r>
                </w:p>
              </w:tc>
              <w:tc>
                <w:tcPr>
                  <w:tcW w:w="659" w:type="pct"/>
                  <w:gridSpan w:val="2"/>
                  <w:vAlign w:val="center"/>
                </w:tcPr>
                <w:p w14:paraId="219A70CD">
                  <w:pPr>
                    <w:adjustRightInd w:val="0"/>
                    <w:snapToGrid w:val="0"/>
                    <w:spacing w:line="240" w:lineRule="auto"/>
                    <w:jc w:val="center"/>
                    <w:rPr>
                      <w:rFonts w:hint="eastAsia" w:ascii="Times New Roman" w:hAnsi="Times New Roman" w:eastAsia="宋体" w:cs="Times New Roman"/>
                      <w:color w:val="auto"/>
                      <w:kern w:val="0"/>
                      <w:sz w:val="21"/>
                      <w:szCs w:val="21"/>
                      <w:lang w:eastAsia="zh-CN" w:bidi="ar"/>
                    </w:rPr>
                  </w:pPr>
                  <w:r>
                    <w:rPr>
                      <w:rFonts w:hint="eastAsia" w:ascii="Times New Roman" w:hAnsi="Times New Roman" w:eastAsia="宋体" w:cs="Times New Roman"/>
                      <w:color w:val="auto"/>
                      <w:kern w:val="0"/>
                      <w:sz w:val="21"/>
                      <w:szCs w:val="21"/>
                      <w:lang w:eastAsia="zh-CN" w:bidi="ar"/>
                    </w:rPr>
                    <w:t>水泥储罐粉尘</w:t>
                  </w:r>
                </w:p>
              </w:tc>
              <w:tc>
                <w:tcPr>
                  <w:tcW w:w="3128" w:type="pct"/>
                  <w:vAlign w:val="center"/>
                </w:tcPr>
                <w:p w14:paraId="5182AF66">
                  <w:pPr>
                    <w:adjustRightInd w:val="0"/>
                    <w:snapToGrid w:val="0"/>
                    <w:spacing w:line="240" w:lineRule="auto"/>
                    <w:jc w:val="center"/>
                    <w:rPr>
                      <w:rFonts w:hint="eastAsia" w:ascii="Times New Roman" w:hAnsi="Times New Roman" w:eastAsia="宋体" w:cs="Times New Roman"/>
                      <w:color w:val="auto"/>
                      <w:kern w:val="0"/>
                      <w:sz w:val="21"/>
                      <w:szCs w:val="21"/>
                      <w:lang w:eastAsia="zh-CN" w:bidi="ar"/>
                    </w:rPr>
                  </w:pPr>
                  <w:r>
                    <w:rPr>
                      <w:rFonts w:hint="eastAsia" w:ascii="Times New Roman" w:hAnsi="Times New Roman" w:eastAsia="宋体" w:cs="Times New Roman"/>
                      <w:color w:val="auto"/>
                      <w:kern w:val="0"/>
                      <w:sz w:val="21"/>
                      <w:szCs w:val="21"/>
                      <w:lang w:eastAsia="zh-CN" w:bidi="ar"/>
                    </w:rPr>
                    <w:t>水泥传送带密闭输送；</w:t>
                  </w:r>
                  <w:r>
                    <w:rPr>
                      <w:rFonts w:hint="eastAsia" w:ascii="Times New Roman" w:hAnsi="Times New Roman" w:eastAsia="宋体" w:cs="Times New Roman"/>
                      <w:color w:val="auto"/>
                      <w:kern w:val="0"/>
                      <w:sz w:val="21"/>
                      <w:szCs w:val="21"/>
                      <w:lang w:val="en-US" w:eastAsia="zh-CN" w:bidi="ar"/>
                    </w:rPr>
                    <w:t>经自带布袋除尘器设备处理后呈无组织排放</w:t>
                  </w:r>
                </w:p>
              </w:tc>
              <w:tc>
                <w:tcPr>
                  <w:tcW w:w="523" w:type="pct"/>
                  <w:vAlign w:val="center"/>
                </w:tcPr>
                <w:p w14:paraId="4B6E719C">
                  <w:pPr>
                    <w:adjustRightInd w:val="0"/>
                    <w:snapToGrid w:val="0"/>
                    <w:spacing w:line="240" w:lineRule="auto"/>
                    <w:jc w:val="center"/>
                    <w:rPr>
                      <w:rFonts w:hint="eastAsia" w:ascii="Times New Roman" w:hAnsi="Times New Roman"/>
                      <w:color w:val="auto"/>
                      <w:kern w:val="0"/>
                      <w:sz w:val="21"/>
                      <w:szCs w:val="21"/>
                      <w:lang w:bidi="ar"/>
                    </w:rPr>
                  </w:pPr>
                  <w:r>
                    <w:rPr>
                      <w:rFonts w:hint="eastAsia" w:ascii="Times New Roman" w:hAnsi="Times New Roman"/>
                      <w:color w:val="auto"/>
                      <w:kern w:val="0"/>
                      <w:sz w:val="21"/>
                      <w:szCs w:val="21"/>
                      <w:lang w:eastAsia="zh-CN" w:bidi="ar"/>
                    </w:rPr>
                    <w:t>新建</w:t>
                  </w:r>
                </w:p>
              </w:tc>
            </w:tr>
            <w:tr w14:paraId="1297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3" w:type="pct"/>
                  <w:vMerge w:val="continue"/>
                  <w:vAlign w:val="center"/>
                </w:tcPr>
                <w:p w14:paraId="0DF9C858">
                  <w:pPr>
                    <w:adjustRightInd w:val="0"/>
                    <w:snapToGrid w:val="0"/>
                    <w:spacing w:line="240" w:lineRule="auto"/>
                    <w:jc w:val="center"/>
                    <w:rPr>
                      <w:rFonts w:ascii="Times New Roman" w:hAnsi="Times New Roman"/>
                      <w:color w:val="auto"/>
                      <w:kern w:val="0"/>
                      <w:sz w:val="21"/>
                      <w:szCs w:val="21"/>
                      <w:lang w:bidi="ar"/>
                    </w:rPr>
                  </w:pPr>
                </w:p>
              </w:tc>
              <w:tc>
                <w:tcPr>
                  <w:tcW w:w="265" w:type="pct"/>
                  <w:vMerge w:val="continue"/>
                  <w:vAlign w:val="center"/>
                </w:tcPr>
                <w:p w14:paraId="2550123D">
                  <w:pPr>
                    <w:adjustRightInd w:val="0"/>
                    <w:snapToGrid w:val="0"/>
                    <w:spacing w:line="240" w:lineRule="auto"/>
                    <w:jc w:val="center"/>
                    <w:rPr>
                      <w:rFonts w:hint="eastAsia" w:ascii="Times New Roman" w:hAnsi="Times New Roman"/>
                      <w:color w:val="auto"/>
                      <w:kern w:val="0"/>
                      <w:sz w:val="21"/>
                      <w:szCs w:val="21"/>
                      <w:lang w:bidi="ar"/>
                    </w:rPr>
                  </w:pPr>
                </w:p>
              </w:tc>
              <w:tc>
                <w:tcPr>
                  <w:tcW w:w="659" w:type="pct"/>
                  <w:gridSpan w:val="2"/>
                  <w:vAlign w:val="center"/>
                </w:tcPr>
                <w:p w14:paraId="378F2D41">
                  <w:pPr>
                    <w:adjustRightInd w:val="0"/>
                    <w:snapToGrid w:val="0"/>
                    <w:spacing w:line="240" w:lineRule="auto"/>
                    <w:jc w:val="center"/>
                    <w:rPr>
                      <w:rFonts w:hint="eastAsia" w:ascii="Times New Roman" w:hAnsi="Times New Roman"/>
                      <w:color w:val="000000" w:themeColor="text1"/>
                      <w:kern w:val="0"/>
                      <w:sz w:val="21"/>
                      <w:szCs w:val="21"/>
                      <w:lang w:eastAsia="zh-CN" w:bidi="ar"/>
                      <w14:textFill>
                        <w14:solidFill>
                          <w14:schemeClr w14:val="tx1"/>
                        </w14:solidFill>
                      </w14:textFill>
                    </w:rPr>
                  </w:pPr>
                  <w:r>
                    <w:rPr>
                      <w:rFonts w:hint="eastAsia" w:ascii="Times New Roman" w:hAnsi="Times New Roman"/>
                      <w:color w:val="000000" w:themeColor="text1"/>
                      <w:kern w:val="0"/>
                      <w:sz w:val="21"/>
                      <w:szCs w:val="21"/>
                      <w:lang w:eastAsia="zh-CN" w:bidi="ar"/>
                      <w14:textFill>
                        <w14:solidFill>
                          <w14:schemeClr w14:val="tx1"/>
                        </w14:solidFill>
                      </w14:textFill>
                    </w:rPr>
                    <w:t>堆场、搅拌混合粉尘</w:t>
                  </w:r>
                </w:p>
              </w:tc>
              <w:tc>
                <w:tcPr>
                  <w:tcW w:w="3128" w:type="pct"/>
                  <w:vAlign w:val="center"/>
                </w:tcPr>
                <w:p w14:paraId="39422E9F">
                  <w:pPr>
                    <w:adjustRightInd w:val="0"/>
                    <w:snapToGrid w:val="0"/>
                    <w:spacing w:line="240" w:lineRule="auto"/>
                    <w:jc w:val="center"/>
                    <w:rPr>
                      <w:rFonts w:hint="eastAsia" w:ascii="Times New Roman" w:hAnsi="Times New Roman"/>
                      <w:color w:val="000000" w:themeColor="text1"/>
                      <w:kern w:val="0"/>
                      <w:sz w:val="21"/>
                      <w:szCs w:val="21"/>
                      <w:lang w:eastAsia="zh-CN" w:bidi="ar"/>
                      <w14:textFill>
                        <w14:solidFill>
                          <w14:schemeClr w14:val="tx1"/>
                        </w14:solidFill>
                      </w14:textFill>
                    </w:rPr>
                  </w:pPr>
                  <w:r>
                    <w:rPr>
                      <w:rFonts w:hint="eastAsia" w:ascii="Times New Roman" w:hAnsi="Times New Roman"/>
                      <w:color w:val="000000" w:themeColor="text1"/>
                      <w:kern w:val="0"/>
                      <w:sz w:val="21"/>
                      <w:szCs w:val="21"/>
                      <w:lang w:val="en-US" w:eastAsia="zh-CN" w:bidi="ar"/>
                      <w14:textFill>
                        <w14:solidFill>
                          <w14:schemeClr w14:val="tx1"/>
                        </w14:solidFill>
                      </w14:textFill>
                    </w:rPr>
                    <w:t>安装喷淋装置</w:t>
                  </w:r>
                </w:p>
              </w:tc>
              <w:tc>
                <w:tcPr>
                  <w:tcW w:w="523" w:type="pct"/>
                  <w:vAlign w:val="center"/>
                </w:tcPr>
                <w:p w14:paraId="537CCE43">
                  <w:pPr>
                    <w:adjustRightInd w:val="0"/>
                    <w:snapToGrid w:val="0"/>
                    <w:spacing w:line="240" w:lineRule="auto"/>
                    <w:jc w:val="center"/>
                    <w:rPr>
                      <w:rFonts w:hint="eastAsia" w:ascii="Times New Roman" w:hAnsi="Times New Roman" w:eastAsia="宋体"/>
                      <w:color w:val="000000" w:themeColor="text1"/>
                      <w:kern w:val="0"/>
                      <w:sz w:val="21"/>
                      <w:szCs w:val="21"/>
                      <w:lang w:val="en-US" w:eastAsia="zh-CN" w:bidi="ar"/>
                      <w14:textFill>
                        <w14:solidFill>
                          <w14:schemeClr w14:val="tx1"/>
                        </w14:solidFill>
                      </w14:textFill>
                    </w:rPr>
                  </w:pPr>
                  <w:r>
                    <w:rPr>
                      <w:rFonts w:hint="eastAsia"/>
                      <w:color w:val="000000" w:themeColor="text1"/>
                      <w:kern w:val="0"/>
                      <w:sz w:val="21"/>
                      <w:szCs w:val="21"/>
                      <w:lang w:val="en-US" w:eastAsia="zh-CN" w:bidi="ar"/>
                      <w14:textFill>
                        <w14:solidFill>
                          <w14:schemeClr w14:val="tx1"/>
                        </w14:solidFill>
                      </w14:textFill>
                    </w:rPr>
                    <w:t>新建</w:t>
                  </w:r>
                </w:p>
              </w:tc>
            </w:tr>
            <w:tr w14:paraId="6830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3" w:type="pct"/>
                  <w:vMerge w:val="continue"/>
                  <w:vAlign w:val="center"/>
                </w:tcPr>
                <w:p w14:paraId="4F09A46B">
                  <w:pPr>
                    <w:adjustRightInd w:val="0"/>
                    <w:snapToGrid w:val="0"/>
                    <w:spacing w:line="240" w:lineRule="auto"/>
                    <w:jc w:val="center"/>
                    <w:rPr>
                      <w:rFonts w:ascii="Times New Roman" w:hAnsi="Times New Roman"/>
                      <w:color w:val="auto"/>
                      <w:kern w:val="0"/>
                      <w:sz w:val="21"/>
                      <w:szCs w:val="21"/>
                      <w:lang w:bidi="ar"/>
                    </w:rPr>
                  </w:pPr>
                </w:p>
              </w:tc>
              <w:tc>
                <w:tcPr>
                  <w:tcW w:w="265" w:type="pct"/>
                  <w:vMerge w:val="continue"/>
                  <w:vAlign w:val="center"/>
                </w:tcPr>
                <w:p w14:paraId="1DAF4DBE">
                  <w:pPr>
                    <w:adjustRightInd w:val="0"/>
                    <w:snapToGrid w:val="0"/>
                    <w:spacing w:line="240" w:lineRule="auto"/>
                    <w:jc w:val="center"/>
                    <w:rPr>
                      <w:rFonts w:hint="eastAsia" w:ascii="Times New Roman" w:hAnsi="Times New Roman"/>
                      <w:color w:val="auto"/>
                      <w:kern w:val="0"/>
                      <w:sz w:val="21"/>
                      <w:szCs w:val="21"/>
                      <w:lang w:bidi="ar"/>
                    </w:rPr>
                  </w:pPr>
                </w:p>
              </w:tc>
              <w:tc>
                <w:tcPr>
                  <w:tcW w:w="659" w:type="pct"/>
                  <w:gridSpan w:val="2"/>
                  <w:vAlign w:val="center"/>
                </w:tcPr>
                <w:p w14:paraId="4282BD3B">
                  <w:pPr>
                    <w:adjustRightInd w:val="0"/>
                    <w:snapToGrid w:val="0"/>
                    <w:spacing w:line="240" w:lineRule="auto"/>
                    <w:jc w:val="center"/>
                    <w:rPr>
                      <w:rFonts w:hint="eastAsia" w:ascii="Times New Roman" w:hAnsi="Times New Roman"/>
                      <w:color w:val="000000" w:themeColor="text1"/>
                      <w:kern w:val="0"/>
                      <w:sz w:val="21"/>
                      <w:szCs w:val="21"/>
                      <w:lang w:eastAsia="zh-CN" w:bidi="ar"/>
                      <w14:textFill>
                        <w14:solidFill>
                          <w14:schemeClr w14:val="tx1"/>
                        </w14:solidFill>
                      </w14:textFill>
                    </w:rPr>
                  </w:pPr>
                  <w:r>
                    <w:rPr>
                      <w:rFonts w:hint="eastAsia" w:ascii="Times New Roman" w:hAnsi="Times New Roman"/>
                      <w:color w:val="000000" w:themeColor="text1"/>
                      <w:kern w:val="0"/>
                      <w:sz w:val="21"/>
                      <w:szCs w:val="21"/>
                      <w:lang w:val="en-US" w:eastAsia="zh-CN" w:bidi="ar"/>
                      <w14:textFill>
                        <w14:solidFill>
                          <w14:schemeClr w14:val="tx1"/>
                        </w14:solidFill>
                      </w14:textFill>
                    </w:rPr>
                    <w:t>焊接烟尘</w:t>
                  </w:r>
                </w:p>
              </w:tc>
              <w:tc>
                <w:tcPr>
                  <w:tcW w:w="3128" w:type="pct"/>
                  <w:vAlign w:val="center"/>
                </w:tcPr>
                <w:p w14:paraId="31D1C639">
                  <w:pPr>
                    <w:adjustRightInd w:val="0"/>
                    <w:snapToGrid w:val="0"/>
                    <w:spacing w:line="240" w:lineRule="auto"/>
                    <w:jc w:val="center"/>
                    <w:rPr>
                      <w:rFonts w:hint="eastAsia" w:ascii="Times New Roman" w:hAnsi="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color w:val="000000" w:themeColor="text1"/>
                      <w:kern w:val="0"/>
                      <w:sz w:val="21"/>
                      <w:szCs w:val="21"/>
                      <w:lang w:val="en-US" w:eastAsia="zh-CN" w:bidi="ar"/>
                      <w14:textFill>
                        <w14:solidFill>
                          <w14:schemeClr w14:val="tx1"/>
                        </w14:solidFill>
                      </w14:textFill>
                    </w:rPr>
                    <w:t>焊接烟尘在厂</w:t>
                  </w:r>
                  <w:r>
                    <w:rPr>
                      <w:rFonts w:hint="eastAsia"/>
                      <w:color w:val="000000" w:themeColor="text1"/>
                      <w:kern w:val="0"/>
                      <w:sz w:val="21"/>
                      <w:szCs w:val="21"/>
                      <w:lang w:val="en-US" w:eastAsia="zh-CN" w:bidi="ar"/>
                      <w14:textFill>
                        <w14:solidFill>
                          <w14:schemeClr w14:val="tx1"/>
                        </w14:solidFill>
                      </w14:textFill>
                    </w:rPr>
                    <w:t>区</w:t>
                  </w:r>
                  <w:r>
                    <w:rPr>
                      <w:rFonts w:hint="eastAsia" w:ascii="Times New Roman" w:hAnsi="Times New Roman"/>
                      <w:color w:val="000000" w:themeColor="text1"/>
                      <w:kern w:val="0"/>
                      <w:sz w:val="21"/>
                      <w:szCs w:val="21"/>
                      <w:lang w:val="en-US" w:eastAsia="zh-CN" w:bidi="ar"/>
                      <w14:textFill>
                        <w14:solidFill>
                          <w14:schemeClr w14:val="tx1"/>
                        </w14:solidFill>
                      </w14:textFill>
                    </w:rPr>
                    <w:t>内自由扩散，以无组织形式排放。</w:t>
                  </w:r>
                </w:p>
              </w:tc>
              <w:tc>
                <w:tcPr>
                  <w:tcW w:w="523" w:type="pct"/>
                  <w:vAlign w:val="center"/>
                </w:tcPr>
                <w:p w14:paraId="2AC28751">
                  <w:pPr>
                    <w:adjustRightInd w:val="0"/>
                    <w:snapToGrid w:val="0"/>
                    <w:spacing w:line="240" w:lineRule="auto"/>
                    <w:jc w:val="center"/>
                    <w:rPr>
                      <w:rFonts w:hint="eastAsia"/>
                      <w:color w:val="000000" w:themeColor="text1"/>
                      <w:kern w:val="0"/>
                      <w:sz w:val="21"/>
                      <w:szCs w:val="21"/>
                      <w:lang w:val="en-US" w:eastAsia="zh-CN" w:bidi="ar"/>
                      <w14:textFill>
                        <w14:solidFill>
                          <w14:schemeClr w14:val="tx1"/>
                        </w14:solidFill>
                      </w14:textFill>
                    </w:rPr>
                  </w:pPr>
                  <w:r>
                    <w:rPr>
                      <w:rFonts w:hint="eastAsia"/>
                      <w:color w:val="000000" w:themeColor="text1"/>
                      <w:kern w:val="0"/>
                      <w:sz w:val="21"/>
                      <w:szCs w:val="21"/>
                      <w:lang w:val="en-US" w:eastAsia="zh-CN" w:bidi="ar"/>
                      <w14:textFill>
                        <w14:solidFill>
                          <w14:schemeClr w14:val="tx1"/>
                        </w14:solidFill>
                      </w14:textFill>
                    </w:rPr>
                    <w:t>新建</w:t>
                  </w:r>
                </w:p>
              </w:tc>
            </w:tr>
            <w:tr w14:paraId="66AA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3" w:type="pct"/>
                  <w:vMerge w:val="continue"/>
                  <w:vAlign w:val="center"/>
                </w:tcPr>
                <w:p w14:paraId="2BEE8C8B">
                  <w:pPr>
                    <w:adjustRightInd w:val="0"/>
                    <w:snapToGrid w:val="0"/>
                    <w:spacing w:line="240" w:lineRule="auto"/>
                    <w:jc w:val="center"/>
                    <w:rPr>
                      <w:rFonts w:ascii="Times New Roman" w:hAnsi="Times New Roman"/>
                      <w:color w:val="auto"/>
                      <w:kern w:val="0"/>
                      <w:sz w:val="21"/>
                      <w:szCs w:val="21"/>
                      <w:lang w:bidi="ar"/>
                    </w:rPr>
                  </w:pPr>
                </w:p>
              </w:tc>
              <w:tc>
                <w:tcPr>
                  <w:tcW w:w="265" w:type="pct"/>
                  <w:vMerge w:val="continue"/>
                  <w:vAlign w:val="center"/>
                </w:tcPr>
                <w:p w14:paraId="63B02730">
                  <w:pPr>
                    <w:adjustRightInd w:val="0"/>
                    <w:snapToGrid w:val="0"/>
                    <w:spacing w:line="240" w:lineRule="auto"/>
                    <w:jc w:val="center"/>
                    <w:rPr>
                      <w:rFonts w:ascii="Times New Roman" w:hAnsi="Times New Roman"/>
                      <w:color w:val="auto"/>
                      <w:kern w:val="0"/>
                      <w:sz w:val="21"/>
                      <w:szCs w:val="21"/>
                      <w:lang w:bidi="ar"/>
                    </w:rPr>
                  </w:pPr>
                </w:p>
              </w:tc>
              <w:tc>
                <w:tcPr>
                  <w:tcW w:w="659" w:type="pct"/>
                  <w:gridSpan w:val="2"/>
                  <w:vAlign w:val="center"/>
                </w:tcPr>
                <w:p w14:paraId="198B71BF">
                  <w:pPr>
                    <w:adjustRightInd w:val="0"/>
                    <w:snapToGrid w:val="0"/>
                    <w:spacing w:line="240" w:lineRule="auto"/>
                    <w:jc w:val="center"/>
                    <w:rPr>
                      <w:rFonts w:hint="eastAsia" w:ascii="Times New Roman" w:hAnsi="Times New Roman"/>
                      <w:color w:val="auto"/>
                      <w:kern w:val="0"/>
                      <w:sz w:val="21"/>
                      <w:szCs w:val="21"/>
                      <w:lang w:eastAsia="zh-CN" w:bidi="ar"/>
                    </w:rPr>
                  </w:pPr>
                  <w:r>
                    <w:rPr>
                      <w:rFonts w:hint="eastAsia" w:ascii="Times New Roman" w:hAnsi="Times New Roman"/>
                      <w:color w:val="auto"/>
                      <w:kern w:val="0"/>
                      <w:sz w:val="21"/>
                      <w:szCs w:val="21"/>
                      <w:lang w:eastAsia="zh-CN" w:bidi="ar"/>
                    </w:rPr>
                    <w:t>厨房油烟</w:t>
                  </w:r>
                </w:p>
              </w:tc>
              <w:tc>
                <w:tcPr>
                  <w:tcW w:w="3128" w:type="pct"/>
                  <w:vAlign w:val="center"/>
                </w:tcPr>
                <w:p w14:paraId="3BDDFF1B">
                  <w:pPr>
                    <w:adjustRightInd w:val="0"/>
                    <w:snapToGrid w:val="0"/>
                    <w:spacing w:line="240" w:lineRule="auto"/>
                    <w:jc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val="en-US" w:eastAsia="zh-CN" w:bidi="ar"/>
                    </w:rPr>
                    <w:t>安装油烟机1套</w:t>
                  </w:r>
                </w:p>
              </w:tc>
              <w:tc>
                <w:tcPr>
                  <w:tcW w:w="523" w:type="pct"/>
                  <w:vAlign w:val="center"/>
                </w:tcPr>
                <w:p w14:paraId="7F89161B">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eastAsia="zh-CN" w:bidi="ar"/>
                    </w:rPr>
                    <w:t>新建</w:t>
                  </w:r>
                </w:p>
              </w:tc>
            </w:tr>
            <w:tr w14:paraId="01CE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423" w:type="pct"/>
                  <w:vMerge w:val="continue"/>
                  <w:vAlign w:val="center"/>
                </w:tcPr>
                <w:p w14:paraId="7AD79DA8">
                  <w:pPr>
                    <w:adjustRightInd w:val="0"/>
                    <w:snapToGrid w:val="0"/>
                    <w:spacing w:line="240" w:lineRule="auto"/>
                    <w:jc w:val="center"/>
                    <w:rPr>
                      <w:rFonts w:ascii="Times New Roman" w:hAnsi="Times New Roman"/>
                      <w:color w:val="auto"/>
                      <w:kern w:val="0"/>
                      <w:sz w:val="21"/>
                      <w:szCs w:val="21"/>
                      <w:lang w:bidi="ar"/>
                    </w:rPr>
                  </w:pPr>
                </w:p>
              </w:tc>
              <w:tc>
                <w:tcPr>
                  <w:tcW w:w="924" w:type="pct"/>
                  <w:gridSpan w:val="3"/>
                  <w:vMerge w:val="restart"/>
                  <w:vAlign w:val="center"/>
                </w:tcPr>
                <w:p w14:paraId="3DF314D9">
                  <w:pPr>
                    <w:adjustRightInd w:val="0"/>
                    <w:snapToGrid w:val="0"/>
                    <w:spacing w:line="240" w:lineRule="auto"/>
                    <w:jc w:val="center"/>
                    <w:rPr>
                      <w:rFonts w:hint="eastAsia" w:ascii="Times New Roman" w:hAnsi="Times New Roman" w:eastAsia="宋体"/>
                      <w:color w:val="auto"/>
                      <w:kern w:val="0"/>
                      <w:sz w:val="21"/>
                      <w:szCs w:val="21"/>
                      <w:lang w:eastAsia="zh-CN" w:bidi="ar"/>
                    </w:rPr>
                  </w:pPr>
                  <w:r>
                    <w:rPr>
                      <w:rFonts w:hint="eastAsia" w:ascii="Times New Roman" w:hAnsi="Times New Roman"/>
                      <w:color w:val="auto"/>
                      <w:kern w:val="0"/>
                      <w:sz w:val="21"/>
                      <w:szCs w:val="21"/>
                      <w:lang w:eastAsia="zh-CN" w:bidi="ar"/>
                    </w:rPr>
                    <w:t>固体废物</w:t>
                  </w:r>
                </w:p>
              </w:tc>
              <w:tc>
                <w:tcPr>
                  <w:tcW w:w="3128" w:type="pct"/>
                  <w:vAlign w:val="center"/>
                </w:tcPr>
                <w:p w14:paraId="7C65937C">
                  <w:pPr>
                    <w:widowControl/>
                    <w:spacing w:line="240" w:lineRule="auto"/>
                    <w:jc w:val="center"/>
                    <w:rPr>
                      <w:rFonts w:hint="eastAsia" w:ascii="Times New Roman" w:hAnsi="Times New Roman"/>
                      <w:color w:val="auto"/>
                      <w:kern w:val="0"/>
                      <w:sz w:val="21"/>
                      <w:szCs w:val="21"/>
                      <w:lang w:bidi="ar"/>
                    </w:rPr>
                  </w:pPr>
                  <w:r>
                    <w:rPr>
                      <w:rFonts w:hint="eastAsia" w:ascii="Times New Roman" w:hAnsi="Times New Roman"/>
                      <w:color w:val="auto"/>
                      <w:sz w:val="21"/>
                      <w:szCs w:val="21"/>
                      <w:lang w:eastAsia="zh-CN"/>
                    </w:rPr>
                    <w:t>水泥储罐自带的</w:t>
                  </w:r>
                  <w:r>
                    <w:rPr>
                      <w:rFonts w:hint="eastAsia" w:ascii="Times New Roman" w:hAnsi="Times New Roman"/>
                      <w:color w:val="auto"/>
                      <w:sz w:val="21"/>
                      <w:szCs w:val="21"/>
                    </w:rPr>
                    <w:t>布袋除尘器收集后的粉尘用于生产</w:t>
                  </w:r>
                  <w:r>
                    <w:rPr>
                      <w:rFonts w:hint="eastAsia" w:ascii="Times New Roman" w:hAnsi="Times New Roman"/>
                      <w:color w:val="auto"/>
                      <w:sz w:val="21"/>
                      <w:szCs w:val="21"/>
                      <w:lang w:eastAsia="zh-CN"/>
                    </w:rPr>
                    <w:t>；未干化的产品返回生</w:t>
                  </w:r>
                  <w:r>
                    <w:rPr>
                      <w:rFonts w:hint="eastAsia" w:ascii="Times New Roman" w:hAnsi="Times New Roman"/>
                      <w:color w:val="000000" w:themeColor="text1"/>
                      <w:sz w:val="21"/>
                      <w:szCs w:val="21"/>
                      <w:lang w:eastAsia="zh-CN"/>
                      <w14:textFill>
                        <w14:solidFill>
                          <w14:schemeClr w14:val="tx1"/>
                        </w14:solidFill>
                      </w14:textFill>
                    </w:rPr>
                    <w:t>产工艺使用，固化的产品需要先经过人工敲碎后再返回生产工艺使用</w:t>
                  </w:r>
                  <w:r>
                    <w:rPr>
                      <w:rFonts w:hint="eastAsia"/>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lang w:val="en-US" w:eastAsia="zh-CN"/>
                      <w14:textFill>
                        <w14:solidFill>
                          <w14:schemeClr w14:val="tx1"/>
                        </w14:solidFill>
                      </w14:textFill>
                    </w:rPr>
                    <w:t>废弃焊头统一收集后定期外售；废料渣敲碎回用于生产。废脱模剂桶集中存放在脱模剂储存间统一处</w:t>
                  </w:r>
                  <w:r>
                    <w:rPr>
                      <w:rFonts w:hint="eastAsia" w:ascii="Times New Roman" w:hAnsi="Times New Roman"/>
                      <w:color w:val="auto"/>
                      <w:sz w:val="21"/>
                      <w:szCs w:val="21"/>
                      <w:lang w:val="en-US" w:eastAsia="zh-CN"/>
                    </w:rPr>
                    <w:t>置，待收集到一定数量后交由厂家回收处置</w:t>
                  </w:r>
                  <w:r>
                    <w:rPr>
                      <w:rFonts w:hint="eastAsia"/>
                      <w:color w:val="auto"/>
                      <w:sz w:val="21"/>
                      <w:szCs w:val="21"/>
                      <w:lang w:val="en-US" w:eastAsia="zh-CN"/>
                    </w:rPr>
                    <w:t>。</w:t>
                  </w:r>
                </w:p>
              </w:tc>
              <w:tc>
                <w:tcPr>
                  <w:tcW w:w="523" w:type="pct"/>
                  <w:vAlign w:val="center"/>
                </w:tcPr>
                <w:p w14:paraId="60168576">
                  <w:pPr>
                    <w:adjustRightInd w:val="0"/>
                    <w:snapToGrid w:val="0"/>
                    <w:spacing w:line="240" w:lineRule="auto"/>
                    <w:jc w:val="center"/>
                    <w:rPr>
                      <w:rFonts w:hint="eastAsia" w:ascii="Times New Roman" w:hAnsi="Times New Roman"/>
                      <w:color w:val="auto"/>
                      <w:kern w:val="0"/>
                      <w:sz w:val="21"/>
                      <w:szCs w:val="21"/>
                      <w:lang w:eastAsia="zh-CN" w:bidi="ar"/>
                    </w:rPr>
                  </w:pPr>
                  <w:r>
                    <w:rPr>
                      <w:rFonts w:hint="eastAsia" w:ascii="Times New Roman" w:hAnsi="Times New Roman"/>
                      <w:color w:val="auto"/>
                      <w:kern w:val="0"/>
                      <w:sz w:val="21"/>
                      <w:szCs w:val="21"/>
                      <w:lang w:eastAsia="zh-CN" w:bidi="ar"/>
                    </w:rPr>
                    <w:t>新建</w:t>
                  </w:r>
                </w:p>
              </w:tc>
            </w:tr>
            <w:tr w14:paraId="2CEA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23" w:type="pct"/>
                  <w:vMerge w:val="continue"/>
                  <w:vAlign w:val="center"/>
                </w:tcPr>
                <w:p w14:paraId="0E9311A6">
                  <w:pPr>
                    <w:adjustRightInd w:val="0"/>
                    <w:snapToGrid w:val="0"/>
                    <w:spacing w:line="240" w:lineRule="auto"/>
                    <w:jc w:val="center"/>
                    <w:rPr>
                      <w:rFonts w:ascii="Times New Roman" w:hAnsi="Times New Roman"/>
                      <w:color w:val="auto"/>
                      <w:kern w:val="0"/>
                      <w:sz w:val="21"/>
                      <w:szCs w:val="21"/>
                      <w:lang w:bidi="ar"/>
                    </w:rPr>
                  </w:pPr>
                </w:p>
              </w:tc>
              <w:tc>
                <w:tcPr>
                  <w:tcW w:w="924" w:type="pct"/>
                  <w:gridSpan w:val="3"/>
                  <w:vMerge w:val="continue"/>
                  <w:vAlign w:val="center"/>
                </w:tcPr>
                <w:p w14:paraId="5BD6E477">
                  <w:pPr>
                    <w:adjustRightInd w:val="0"/>
                    <w:snapToGrid w:val="0"/>
                    <w:spacing w:line="240" w:lineRule="auto"/>
                    <w:jc w:val="center"/>
                    <w:rPr>
                      <w:rFonts w:ascii="Times New Roman" w:hAnsi="Times New Roman"/>
                      <w:color w:val="auto"/>
                      <w:kern w:val="0"/>
                      <w:sz w:val="21"/>
                      <w:szCs w:val="21"/>
                      <w:lang w:bidi="ar"/>
                    </w:rPr>
                  </w:pPr>
                </w:p>
              </w:tc>
              <w:tc>
                <w:tcPr>
                  <w:tcW w:w="3128" w:type="pct"/>
                  <w:vAlign w:val="center"/>
                </w:tcPr>
                <w:p w14:paraId="0B18ED0C">
                  <w:pPr>
                    <w:widowControl/>
                    <w:spacing w:line="240" w:lineRule="auto"/>
                    <w:jc w:val="center"/>
                    <w:rPr>
                      <w:rFonts w:ascii="Times New Roman" w:hAnsi="Times New Roman"/>
                      <w:color w:val="auto"/>
                      <w:kern w:val="0"/>
                      <w:sz w:val="21"/>
                      <w:szCs w:val="21"/>
                      <w:lang w:bidi="ar"/>
                    </w:rPr>
                  </w:pPr>
                  <w:r>
                    <w:rPr>
                      <w:rFonts w:hint="eastAsia" w:ascii="Times New Roman" w:hAnsi="Times New Roman"/>
                      <w:color w:val="auto"/>
                      <w:sz w:val="21"/>
                      <w:szCs w:val="21"/>
                    </w:rPr>
                    <w:t>生活垃圾</w:t>
                  </w:r>
                  <w:r>
                    <w:rPr>
                      <w:rFonts w:ascii="Times New Roman" w:hAnsi="Times New Roman"/>
                      <w:color w:val="auto"/>
                      <w:sz w:val="21"/>
                      <w:szCs w:val="21"/>
                    </w:rPr>
                    <w:t>收集后</w:t>
                  </w:r>
                  <w:r>
                    <w:rPr>
                      <w:rFonts w:hint="eastAsia" w:ascii="Times New Roman" w:hAnsi="Times New Roman"/>
                      <w:color w:val="auto"/>
                      <w:sz w:val="21"/>
                      <w:szCs w:val="21"/>
                    </w:rPr>
                    <w:t>由</w:t>
                  </w:r>
                  <w:r>
                    <w:rPr>
                      <w:rFonts w:hint="eastAsia" w:ascii="Times New Roman" w:hAnsi="Times New Roman"/>
                      <w:color w:val="auto"/>
                      <w:sz w:val="21"/>
                      <w:szCs w:val="21"/>
                      <w:lang w:eastAsia="zh-CN"/>
                    </w:rPr>
                    <w:t>环卫部门</w:t>
                  </w:r>
                  <w:r>
                    <w:rPr>
                      <w:rFonts w:hint="eastAsia" w:ascii="Times New Roman" w:hAnsi="Times New Roman"/>
                      <w:color w:val="auto"/>
                      <w:sz w:val="21"/>
                      <w:szCs w:val="21"/>
                    </w:rPr>
                    <w:t>定期清运处置；餐厨垃圾</w:t>
                  </w:r>
                  <w:r>
                    <w:rPr>
                      <w:rFonts w:ascii="Times New Roman" w:hAnsi="Times New Roman"/>
                      <w:color w:val="auto"/>
                      <w:sz w:val="21"/>
                      <w:szCs w:val="21"/>
                    </w:rPr>
                    <w:t>用带盖泔水收集桶收集后</w:t>
                  </w:r>
                  <w:r>
                    <w:rPr>
                      <w:rFonts w:hint="eastAsia" w:ascii="Times New Roman" w:hAnsi="Times New Roman"/>
                      <w:color w:val="auto"/>
                      <w:sz w:val="21"/>
                      <w:szCs w:val="21"/>
                    </w:rPr>
                    <w:t>清运至相关部门指定地点处置</w:t>
                  </w:r>
                </w:p>
              </w:tc>
              <w:tc>
                <w:tcPr>
                  <w:tcW w:w="523" w:type="pct"/>
                  <w:vAlign w:val="center"/>
                </w:tcPr>
                <w:p w14:paraId="0BAA6F31">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eastAsia="zh-CN" w:bidi="ar"/>
                    </w:rPr>
                    <w:t>新建</w:t>
                  </w:r>
                </w:p>
              </w:tc>
            </w:tr>
            <w:tr w14:paraId="5DA2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23" w:type="pct"/>
                  <w:vMerge w:val="continue"/>
                  <w:vAlign w:val="center"/>
                </w:tcPr>
                <w:p w14:paraId="2874146D">
                  <w:pPr>
                    <w:adjustRightInd w:val="0"/>
                    <w:snapToGrid w:val="0"/>
                    <w:spacing w:line="240" w:lineRule="auto"/>
                    <w:jc w:val="center"/>
                    <w:rPr>
                      <w:rFonts w:ascii="Times New Roman" w:hAnsi="Times New Roman"/>
                      <w:color w:val="auto"/>
                      <w:kern w:val="0"/>
                      <w:sz w:val="21"/>
                      <w:szCs w:val="21"/>
                      <w:lang w:bidi="ar"/>
                    </w:rPr>
                  </w:pPr>
                </w:p>
              </w:tc>
              <w:tc>
                <w:tcPr>
                  <w:tcW w:w="924" w:type="pct"/>
                  <w:gridSpan w:val="3"/>
                  <w:vAlign w:val="center"/>
                </w:tcPr>
                <w:p w14:paraId="0EE0F10D">
                  <w:pPr>
                    <w:adjustRightInd w:val="0"/>
                    <w:snapToGrid w:val="0"/>
                    <w:spacing w:line="240" w:lineRule="auto"/>
                    <w:jc w:val="center"/>
                    <w:rPr>
                      <w:rFonts w:hint="eastAsia" w:asciiTheme="majorEastAsia" w:hAnsiTheme="majorEastAsia" w:eastAsiaTheme="majorEastAsia" w:cstheme="majorEastAsia"/>
                      <w:color w:val="auto"/>
                      <w:kern w:val="0"/>
                      <w:sz w:val="21"/>
                      <w:szCs w:val="21"/>
                      <w:lang w:bidi="ar"/>
                    </w:rPr>
                  </w:pPr>
                  <w:r>
                    <w:rPr>
                      <w:rFonts w:hint="eastAsia" w:asciiTheme="majorEastAsia" w:hAnsiTheme="majorEastAsia" w:eastAsiaTheme="majorEastAsia" w:cstheme="majorEastAsia"/>
                      <w:color w:val="auto"/>
                      <w:kern w:val="0"/>
                      <w:sz w:val="21"/>
                      <w:szCs w:val="21"/>
                      <w:lang w:bidi="ar"/>
                    </w:rPr>
                    <w:t>噪声</w:t>
                  </w:r>
                </w:p>
              </w:tc>
              <w:tc>
                <w:tcPr>
                  <w:tcW w:w="3128" w:type="pct"/>
                  <w:vAlign w:val="center"/>
                </w:tcPr>
                <w:p w14:paraId="0D7BE110">
                  <w:pPr>
                    <w:adjustRightInd w:val="0"/>
                    <w:snapToGrid w:val="0"/>
                    <w:spacing w:line="240" w:lineRule="auto"/>
                    <w:jc w:val="center"/>
                    <w:rPr>
                      <w:rFonts w:hint="eastAsia" w:asciiTheme="majorEastAsia" w:hAnsiTheme="majorEastAsia" w:eastAsiaTheme="majorEastAsia" w:cstheme="majorEastAsia"/>
                      <w:color w:val="auto"/>
                      <w:kern w:val="0"/>
                      <w:sz w:val="21"/>
                      <w:szCs w:val="21"/>
                      <w:lang w:bidi="ar"/>
                    </w:rPr>
                  </w:pPr>
                  <w:r>
                    <w:rPr>
                      <w:rFonts w:hint="eastAsia" w:asciiTheme="majorEastAsia" w:hAnsiTheme="majorEastAsia" w:eastAsiaTheme="majorEastAsia" w:cstheme="majorEastAsia"/>
                      <w:color w:val="auto"/>
                      <w:sz w:val="21"/>
                      <w:szCs w:val="21"/>
                      <w:lang w:eastAsia="zh-CN"/>
                    </w:rPr>
                    <w:t>对于高噪声设备的操作工人，采取轮换制，并发放耳塞等劳保防护；夜间22时至次日8时禁止生产；对设备进行基础减振、距离衰减、厂房隔声等降噪措施</w:t>
                  </w:r>
                </w:p>
              </w:tc>
              <w:tc>
                <w:tcPr>
                  <w:tcW w:w="523" w:type="pct"/>
                  <w:vAlign w:val="center"/>
                </w:tcPr>
                <w:p w14:paraId="55497872">
                  <w:pPr>
                    <w:adjustRightInd w:val="0"/>
                    <w:snapToGrid w:val="0"/>
                    <w:spacing w:line="240" w:lineRule="auto"/>
                    <w:jc w:val="center"/>
                    <w:rPr>
                      <w:rFonts w:ascii="Times New Roman" w:hAnsi="Times New Roman"/>
                      <w:color w:val="auto"/>
                      <w:kern w:val="0"/>
                      <w:sz w:val="21"/>
                      <w:szCs w:val="21"/>
                      <w:lang w:bidi="ar"/>
                    </w:rPr>
                  </w:pPr>
                  <w:r>
                    <w:rPr>
                      <w:rFonts w:hint="eastAsia" w:ascii="Times New Roman" w:hAnsi="Times New Roman"/>
                      <w:color w:val="auto"/>
                      <w:kern w:val="0"/>
                      <w:sz w:val="21"/>
                      <w:szCs w:val="21"/>
                      <w:lang w:eastAsia="zh-CN" w:bidi="ar"/>
                    </w:rPr>
                    <w:t>新建</w:t>
                  </w:r>
                </w:p>
              </w:tc>
            </w:tr>
          </w:tbl>
          <w:p w14:paraId="2471441C">
            <w:pPr>
              <w:numPr>
                <w:ilvl w:val="0"/>
                <w:numId w:val="0"/>
              </w:numPr>
              <w:adjustRightInd w:val="0"/>
              <w:snapToGrid w:val="0"/>
              <w:ind w:firstLine="241" w:firstLineChars="100"/>
              <w:rPr>
                <w:rFonts w:hint="eastAsia" w:ascii="宋体" w:hAnsi="宋体" w:eastAsia="宋体" w:cs="宋体"/>
                <w:b/>
                <w:bCs/>
                <w:color w:val="auto"/>
                <w:kern w:val="0"/>
                <w:lang w:bidi="ar"/>
              </w:rPr>
            </w:pPr>
            <w:r>
              <w:rPr>
                <w:rFonts w:hint="eastAsia" w:ascii="宋体" w:hAnsi="宋体" w:eastAsia="宋体" w:cs="宋体"/>
                <w:b/>
                <w:bCs/>
                <w:color w:val="auto"/>
                <w:kern w:val="0"/>
                <w:lang w:val="en-US" w:eastAsia="zh-CN" w:bidi="ar"/>
              </w:rPr>
              <w:t>2.</w:t>
            </w:r>
            <w:r>
              <w:rPr>
                <w:rFonts w:hint="eastAsia" w:ascii="宋体" w:hAnsi="宋体" w:eastAsia="宋体" w:cs="宋体"/>
                <w:b/>
                <w:bCs/>
                <w:color w:val="auto"/>
                <w:kern w:val="0"/>
                <w:lang w:bidi="ar"/>
              </w:rPr>
              <w:t>项目产品方案及规模</w:t>
            </w:r>
          </w:p>
          <w:p w14:paraId="00180E08">
            <w:pPr>
              <w:adjustRightInd w:val="0"/>
              <w:snapToGrid w:val="0"/>
              <w:ind w:firstLine="480" w:firstLineChars="200"/>
              <w:rPr>
                <w:rFonts w:hint="eastAsia" w:asciiTheme="majorEastAsia" w:hAnsiTheme="majorEastAsia" w:eastAsiaTheme="majorEastAsia" w:cstheme="majorEastAsia"/>
                <w:color w:val="auto"/>
                <w:kern w:val="0"/>
                <w:lang w:val="en-US" w:eastAsia="zh-CN" w:bidi="ar"/>
              </w:rPr>
            </w:pPr>
            <w:r>
              <w:rPr>
                <w:rFonts w:hint="eastAsia" w:asciiTheme="majorEastAsia" w:hAnsiTheme="majorEastAsia" w:eastAsiaTheme="majorEastAsia" w:cstheme="majorEastAsia"/>
                <w:color w:val="auto"/>
                <w:kern w:val="0"/>
                <w:lang w:bidi="ar"/>
              </w:rPr>
              <w:t>本项目</w:t>
            </w:r>
            <w:r>
              <w:rPr>
                <w:rFonts w:hint="eastAsia" w:asciiTheme="majorEastAsia" w:hAnsiTheme="majorEastAsia" w:eastAsiaTheme="majorEastAsia" w:cstheme="majorEastAsia"/>
                <w:color w:val="auto"/>
                <w:lang w:eastAsia="zh-CN"/>
              </w:rPr>
              <w:t>新建</w:t>
            </w:r>
            <w:r>
              <w:rPr>
                <w:rFonts w:hint="eastAsia" w:asciiTheme="majorEastAsia" w:hAnsiTheme="majorEastAsia" w:eastAsiaTheme="majorEastAsia" w:cstheme="majorEastAsia"/>
                <w:color w:val="auto"/>
                <w:lang w:val="en-US" w:eastAsia="zh-CN"/>
              </w:rPr>
              <w:t>2条生产线，其中1条为水泥管生产线，另1条为共用的彩砖、植草砖、检查井、井盖、涵管及预制板生产线，其中，水泥管年产5000根；彩砖、植草砖分别年产20万块；检查井年产800座；井盖年产1万块，涵管年产5000根，预制板年产1万块</w:t>
            </w:r>
            <w:r>
              <w:rPr>
                <w:rFonts w:hint="eastAsia" w:asciiTheme="majorEastAsia" w:hAnsiTheme="majorEastAsia" w:eastAsiaTheme="majorEastAsia" w:cstheme="majorEastAsia"/>
                <w:color w:val="auto"/>
                <w:kern w:val="0"/>
                <w:lang w:bidi="ar"/>
              </w:rPr>
              <w:t>。</w:t>
            </w:r>
            <w:r>
              <w:rPr>
                <w:rFonts w:hint="eastAsia" w:asciiTheme="majorEastAsia" w:hAnsiTheme="majorEastAsia" w:eastAsiaTheme="majorEastAsia" w:cstheme="majorEastAsia"/>
                <w:color w:val="auto"/>
                <w:kern w:val="0"/>
                <w:lang w:eastAsia="zh-CN" w:bidi="ar"/>
              </w:rPr>
              <w:t>具体产品方案见表</w:t>
            </w:r>
            <w:r>
              <w:rPr>
                <w:rFonts w:hint="eastAsia" w:asciiTheme="majorEastAsia" w:hAnsiTheme="majorEastAsia" w:eastAsiaTheme="majorEastAsia" w:cstheme="majorEastAsia"/>
                <w:color w:val="auto"/>
                <w:kern w:val="0"/>
                <w:lang w:val="en-US" w:eastAsia="zh-CN" w:bidi="ar"/>
              </w:rPr>
              <w:t>2-2。</w:t>
            </w:r>
          </w:p>
          <w:p w14:paraId="71D2C213">
            <w:pPr>
              <w:adjustRightInd w:val="0"/>
              <w:snapToGrid w:val="0"/>
              <w:spacing w:line="360" w:lineRule="auto"/>
              <w:jc w:val="center"/>
              <w:rPr>
                <w:rFonts w:hint="eastAsia" w:asciiTheme="majorEastAsia" w:hAnsiTheme="majorEastAsia" w:eastAsiaTheme="majorEastAsia" w:cstheme="majorEastAsia"/>
                <w:b/>
                <w:bCs/>
                <w:color w:val="auto"/>
                <w:kern w:val="0"/>
                <w:lang w:eastAsia="zh-CN" w:bidi="ar"/>
              </w:rPr>
            </w:pPr>
            <w:r>
              <w:rPr>
                <w:rFonts w:hint="eastAsia" w:asciiTheme="majorEastAsia" w:hAnsiTheme="majorEastAsia" w:eastAsiaTheme="majorEastAsia" w:cstheme="majorEastAsia"/>
                <w:b/>
                <w:bCs/>
                <w:color w:val="auto"/>
                <w:kern w:val="0"/>
                <w:lang w:bidi="ar"/>
              </w:rPr>
              <w:t>表2-2 项目产品方案</w:t>
            </w:r>
            <w:r>
              <w:rPr>
                <w:rFonts w:hint="eastAsia" w:asciiTheme="majorEastAsia" w:hAnsiTheme="majorEastAsia" w:eastAsiaTheme="majorEastAsia" w:cstheme="majorEastAsia"/>
                <w:b/>
                <w:bCs/>
                <w:color w:val="auto"/>
                <w:kern w:val="0"/>
                <w:lang w:eastAsia="zh-CN" w:bidi="ar"/>
              </w:rPr>
              <w:t>一览表</w:t>
            </w: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4951"/>
              <w:gridCol w:w="2681"/>
            </w:tblGrid>
            <w:tr w14:paraId="32E74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880" w:type="pct"/>
                  <w:vAlign w:val="center"/>
                </w:tcPr>
                <w:p w14:paraId="32FCD870">
                  <w:pPr>
                    <w:adjustRightInd w:val="0"/>
                    <w:snapToGrid w:val="0"/>
                    <w:spacing w:line="240" w:lineRule="auto"/>
                    <w:jc w:val="center"/>
                    <w:rPr>
                      <w:rFonts w:hint="eastAsia" w:asciiTheme="majorEastAsia" w:hAnsiTheme="majorEastAsia" w:eastAsiaTheme="majorEastAsia" w:cstheme="majorEastAsia"/>
                      <w:b/>
                      <w:bCs/>
                      <w:color w:val="auto"/>
                      <w:kern w:val="0"/>
                      <w:sz w:val="21"/>
                      <w:szCs w:val="21"/>
                      <w:lang w:bidi="ar"/>
                    </w:rPr>
                  </w:pPr>
                  <w:r>
                    <w:rPr>
                      <w:rFonts w:hint="eastAsia" w:asciiTheme="majorEastAsia" w:hAnsiTheme="majorEastAsia" w:eastAsiaTheme="majorEastAsia" w:cstheme="majorEastAsia"/>
                      <w:b/>
                      <w:bCs/>
                      <w:color w:val="auto"/>
                      <w:kern w:val="0"/>
                      <w:sz w:val="21"/>
                      <w:szCs w:val="21"/>
                      <w:lang w:bidi="ar"/>
                    </w:rPr>
                    <w:t>产品名称</w:t>
                  </w:r>
                </w:p>
              </w:tc>
              <w:tc>
                <w:tcPr>
                  <w:tcW w:w="2672" w:type="pct"/>
                  <w:vAlign w:val="center"/>
                </w:tcPr>
                <w:p w14:paraId="287A0514">
                  <w:pPr>
                    <w:adjustRightInd w:val="0"/>
                    <w:snapToGrid w:val="0"/>
                    <w:spacing w:line="240" w:lineRule="auto"/>
                    <w:jc w:val="center"/>
                    <w:rPr>
                      <w:rFonts w:hint="eastAsia" w:asciiTheme="majorEastAsia" w:hAnsiTheme="majorEastAsia" w:eastAsiaTheme="majorEastAsia" w:cstheme="majorEastAsia"/>
                      <w:b/>
                      <w:bCs/>
                      <w:color w:val="auto"/>
                      <w:kern w:val="0"/>
                      <w:sz w:val="21"/>
                      <w:szCs w:val="21"/>
                      <w:lang w:bidi="ar"/>
                    </w:rPr>
                  </w:pPr>
                  <w:r>
                    <w:rPr>
                      <w:rFonts w:hint="eastAsia" w:asciiTheme="majorEastAsia" w:hAnsiTheme="majorEastAsia" w:eastAsiaTheme="majorEastAsia" w:cstheme="majorEastAsia"/>
                      <w:b/>
                      <w:bCs/>
                      <w:color w:val="auto"/>
                      <w:kern w:val="0"/>
                      <w:sz w:val="21"/>
                      <w:szCs w:val="21"/>
                      <w:lang w:bidi="ar"/>
                    </w:rPr>
                    <w:t>规格</w:t>
                  </w:r>
                </w:p>
              </w:tc>
              <w:tc>
                <w:tcPr>
                  <w:tcW w:w="1447" w:type="pct"/>
                  <w:vAlign w:val="center"/>
                </w:tcPr>
                <w:p w14:paraId="371EAFAF">
                  <w:pPr>
                    <w:adjustRightInd w:val="0"/>
                    <w:snapToGrid w:val="0"/>
                    <w:spacing w:line="240" w:lineRule="auto"/>
                    <w:jc w:val="center"/>
                    <w:rPr>
                      <w:rFonts w:hint="eastAsia" w:asciiTheme="majorEastAsia" w:hAnsiTheme="majorEastAsia" w:eastAsiaTheme="majorEastAsia" w:cstheme="majorEastAsia"/>
                      <w:b/>
                      <w:bCs/>
                      <w:color w:val="auto"/>
                      <w:kern w:val="0"/>
                      <w:sz w:val="21"/>
                      <w:szCs w:val="21"/>
                      <w:lang w:eastAsia="zh-CN" w:bidi="ar"/>
                    </w:rPr>
                  </w:pPr>
                  <w:r>
                    <w:rPr>
                      <w:rFonts w:hint="eastAsia" w:asciiTheme="majorEastAsia" w:hAnsiTheme="majorEastAsia" w:eastAsiaTheme="majorEastAsia" w:cstheme="majorEastAsia"/>
                      <w:b/>
                      <w:bCs/>
                      <w:color w:val="auto"/>
                      <w:kern w:val="0"/>
                      <w:sz w:val="21"/>
                      <w:szCs w:val="21"/>
                      <w:lang w:bidi="ar"/>
                    </w:rPr>
                    <w:t>产量（万块/a</w:t>
                  </w:r>
                  <w:r>
                    <w:rPr>
                      <w:rFonts w:hint="eastAsia" w:asciiTheme="majorEastAsia" w:hAnsiTheme="majorEastAsia" w:eastAsiaTheme="majorEastAsia" w:cstheme="majorEastAsia"/>
                      <w:b/>
                      <w:bCs/>
                      <w:color w:val="auto"/>
                      <w:kern w:val="0"/>
                      <w:sz w:val="21"/>
                      <w:szCs w:val="21"/>
                      <w:lang w:eastAsia="zh-CN" w:bidi="ar"/>
                    </w:rPr>
                    <w:t>）</w:t>
                  </w:r>
                </w:p>
              </w:tc>
            </w:tr>
            <w:tr w14:paraId="5A3C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610" w:type="dxa"/>
                  <w:vAlign w:val="center"/>
                </w:tcPr>
                <w:p w14:paraId="0AE1548E">
                  <w:pPr>
                    <w:spacing w:before="0" w:after="0" w:line="240" w:lineRule="auto"/>
                    <w:ind w:left="0" w:leftChars="0" w:right="0" w:rightChars="0" w:firstLine="0" w:firstLineChars="0"/>
                    <w:jc w:val="center"/>
                    <w:rPr>
                      <w:rFonts w:hint="eastAsia" w:asciiTheme="majorEastAsia" w:hAnsiTheme="majorEastAsia" w:eastAsiaTheme="majorEastAsia" w:cstheme="majorEastAsia"/>
                      <w:b w:val="0"/>
                      <w:bCs/>
                      <w:color w:val="auto"/>
                      <w:kern w:val="0"/>
                      <w:sz w:val="21"/>
                      <w:szCs w:val="21"/>
                      <w:lang w:bidi="ar"/>
                    </w:rPr>
                  </w:pPr>
                  <w:r>
                    <w:rPr>
                      <w:rFonts w:hint="eastAsia" w:asciiTheme="majorEastAsia" w:hAnsiTheme="majorEastAsia" w:eastAsiaTheme="majorEastAsia" w:cstheme="majorEastAsia"/>
                      <w:b w:val="0"/>
                      <w:bCs/>
                      <w:color w:val="auto"/>
                      <w:spacing w:val="0"/>
                      <w:position w:val="0"/>
                      <w:sz w:val="21"/>
                      <w:shd w:val="clear" w:fill="auto"/>
                    </w:rPr>
                    <w:t>水泥管</w:t>
                  </w:r>
                </w:p>
              </w:tc>
              <w:tc>
                <w:tcPr>
                  <w:tcW w:w="4891" w:type="dxa"/>
                  <w:vAlign w:val="center"/>
                </w:tcPr>
                <w:p w14:paraId="2EAC2ABB">
                  <w:pPr>
                    <w:spacing w:before="0" w:after="0" w:line="240" w:lineRule="auto"/>
                    <w:ind w:left="0" w:leftChars="0" w:right="0" w:rightChars="0" w:firstLine="0" w:firstLineChars="0"/>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pacing w:val="0"/>
                      <w:position w:val="0"/>
                      <w:sz w:val="21"/>
                      <w:shd w:val="clear" w:fill="auto"/>
                    </w:rPr>
                    <w:t>300</w:t>
                  </w:r>
                  <w:r>
                    <w:rPr>
                      <w:rFonts w:hint="eastAsia" w:asciiTheme="majorEastAsia" w:hAnsiTheme="majorEastAsia" w:eastAsiaTheme="majorEastAsia" w:cstheme="majorEastAsia"/>
                      <w:color w:val="auto"/>
                      <w:spacing w:val="0"/>
                      <w:position w:val="0"/>
                      <w:sz w:val="21"/>
                      <w:shd w:val="clear" w:fill="auto"/>
                      <w:lang w:val="en-US" w:eastAsia="zh-CN"/>
                    </w:rPr>
                    <w:t>*</w:t>
                  </w:r>
                  <w:r>
                    <w:rPr>
                      <w:rFonts w:hint="eastAsia" w:asciiTheme="majorEastAsia" w:hAnsiTheme="majorEastAsia" w:eastAsiaTheme="majorEastAsia" w:cstheme="majorEastAsia"/>
                      <w:color w:val="auto"/>
                      <w:spacing w:val="0"/>
                      <w:position w:val="0"/>
                      <w:sz w:val="21"/>
                      <w:shd w:val="clear" w:fill="auto"/>
                    </w:rPr>
                    <w:t>1500</w:t>
                  </w:r>
                  <w:r>
                    <w:rPr>
                      <w:rFonts w:hint="eastAsia" w:asciiTheme="majorEastAsia" w:hAnsiTheme="majorEastAsia" w:eastAsiaTheme="majorEastAsia" w:cstheme="majorEastAsia"/>
                      <w:color w:val="auto"/>
                      <w:spacing w:val="0"/>
                      <w:position w:val="0"/>
                      <w:sz w:val="21"/>
                      <w:shd w:val="clear" w:fill="auto"/>
                      <w:lang w:val="en-US" w:eastAsia="zh-CN"/>
                    </w:rPr>
                    <w:t>*</w:t>
                  </w:r>
                  <w:r>
                    <w:rPr>
                      <w:rFonts w:hint="eastAsia" w:asciiTheme="majorEastAsia" w:hAnsiTheme="majorEastAsia" w:eastAsiaTheme="majorEastAsia" w:cstheme="majorEastAsia"/>
                      <w:color w:val="auto"/>
                      <w:spacing w:val="0"/>
                      <w:position w:val="0"/>
                      <w:sz w:val="21"/>
                      <w:shd w:val="clear" w:fill="auto"/>
                    </w:rPr>
                    <w:t>2000mm</w:t>
                  </w:r>
                </w:p>
              </w:tc>
              <w:tc>
                <w:tcPr>
                  <w:tcW w:w="2649" w:type="dxa"/>
                  <w:vAlign w:val="center"/>
                </w:tcPr>
                <w:p w14:paraId="66373D28">
                  <w:pPr>
                    <w:spacing w:before="0" w:after="0" w:line="240" w:lineRule="auto"/>
                    <w:ind w:left="0" w:leftChars="0" w:right="0" w:rightChars="0" w:firstLine="0" w:firstLineChars="0"/>
                    <w:jc w:val="center"/>
                    <w:rPr>
                      <w:rFonts w:hint="eastAsia" w:asciiTheme="majorEastAsia" w:hAnsiTheme="majorEastAsia" w:eastAsiaTheme="majorEastAsia" w:cstheme="majorEastAsia"/>
                      <w:color w:val="auto"/>
                      <w:kern w:val="0"/>
                      <w:sz w:val="21"/>
                      <w:szCs w:val="21"/>
                      <w:lang w:bidi="ar"/>
                    </w:rPr>
                  </w:pPr>
                  <w:r>
                    <w:rPr>
                      <w:rFonts w:hint="eastAsia" w:asciiTheme="majorEastAsia" w:hAnsiTheme="majorEastAsia" w:eastAsiaTheme="majorEastAsia" w:cstheme="majorEastAsia"/>
                      <w:color w:val="auto"/>
                      <w:spacing w:val="0"/>
                      <w:position w:val="0"/>
                      <w:sz w:val="21"/>
                      <w:shd w:val="clear" w:fill="auto"/>
                    </w:rPr>
                    <w:t>5000根/年</w:t>
                  </w:r>
                </w:p>
              </w:tc>
            </w:tr>
            <w:tr w14:paraId="6349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610" w:type="dxa"/>
                  <w:vAlign w:val="center"/>
                </w:tcPr>
                <w:p w14:paraId="042370A6">
                  <w:pPr>
                    <w:spacing w:before="0" w:after="0" w:line="240" w:lineRule="auto"/>
                    <w:ind w:left="0" w:leftChars="0" w:right="0" w:rightChars="0" w:firstLine="0" w:firstLineChars="0"/>
                    <w:jc w:val="center"/>
                    <w:rPr>
                      <w:rFonts w:hint="eastAsia" w:asciiTheme="majorEastAsia" w:hAnsiTheme="majorEastAsia" w:eastAsiaTheme="majorEastAsia" w:cstheme="majorEastAsia"/>
                      <w:b w:val="0"/>
                      <w:bCs/>
                      <w:color w:val="auto"/>
                      <w:spacing w:val="0"/>
                      <w:position w:val="0"/>
                      <w:sz w:val="21"/>
                      <w:shd w:val="clear" w:fill="auto"/>
                      <w:lang w:eastAsia="zh-CN"/>
                    </w:rPr>
                  </w:pPr>
                  <w:r>
                    <w:rPr>
                      <w:rFonts w:hint="eastAsia" w:asciiTheme="majorEastAsia" w:hAnsiTheme="majorEastAsia" w:eastAsiaTheme="majorEastAsia" w:cstheme="majorEastAsia"/>
                      <w:b w:val="0"/>
                      <w:bCs/>
                      <w:color w:val="auto"/>
                      <w:spacing w:val="0"/>
                      <w:position w:val="0"/>
                      <w:sz w:val="21"/>
                      <w:shd w:val="clear" w:fill="auto"/>
                      <w:lang w:eastAsia="zh-CN"/>
                    </w:rPr>
                    <w:t>彩砖</w:t>
                  </w:r>
                </w:p>
              </w:tc>
              <w:tc>
                <w:tcPr>
                  <w:tcW w:w="4891" w:type="dxa"/>
                  <w:vAlign w:val="center"/>
                </w:tcPr>
                <w:p w14:paraId="63D97436">
                  <w:pPr>
                    <w:spacing w:before="0" w:after="0" w:line="240" w:lineRule="auto"/>
                    <w:ind w:left="0" w:leftChars="0" w:right="0" w:rightChars="0" w:firstLine="0" w:firstLineChars="0"/>
                    <w:jc w:val="center"/>
                    <w:rPr>
                      <w:rFonts w:hint="eastAsia" w:asciiTheme="majorEastAsia" w:hAnsiTheme="majorEastAsia" w:eastAsiaTheme="majorEastAsia" w:cstheme="majorEastAsia"/>
                      <w:color w:val="auto"/>
                      <w:spacing w:val="0"/>
                      <w:position w:val="0"/>
                      <w:sz w:val="21"/>
                      <w:shd w:val="clear" w:fill="auto"/>
                    </w:rPr>
                  </w:pPr>
                  <w:r>
                    <w:rPr>
                      <w:rFonts w:hint="eastAsia" w:asciiTheme="majorEastAsia" w:hAnsiTheme="majorEastAsia" w:eastAsiaTheme="majorEastAsia" w:cstheme="majorEastAsia"/>
                      <w:color w:val="auto"/>
                      <w:spacing w:val="0"/>
                      <w:position w:val="0"/>
                      <w:sz w:val="21"/>
                      <w:shd w:val="clear" w:fill="auto"/>
                      <w:lang w:val="en-US" w:eastAsia="zh-CN"/>
                    </w:rPr>
                    <w:t>300*300*60</w:t>
                  </w:r>
                  <w:r>
                    <w:rPr>
                      <w:rFonts w:hint="eastAsia" w:asciiTheme="majorEastAsia" w:hAnsiTheme="majorEastAsia" w:eastAsiaTheme="majorEastAsia" w:cstheme="majorEastAsia"/>
                      <w:color w:val="auto"/>
                      <w:spacing w:val="0"/>
                      <w:position w:val="0"/>
                      <w:sz w:val="21"/>
                      <w:shd w:val="clear" w:fill="auto"/>
                    </w:rPr>
                    <w:t>mm</w:t>
                  </w:r>
                </w:p>
              </w:tc>
              <w:tc>
                <w:tcPr>
                  <w:tcW w:w="2649" w:type="dxa"/>
                  <w:vAlign w:val="center"/>
                </w:tcPr>
                <w:p w14:paraId="7A65444B">
                  <w:pPr>
                    <w:spacing w:before="0" w:after="0" w:line="240" w:lineRule="auto"/>
                    <w:ind w:left="0" w:leftChars="0" w:right="0" w:rightChars="0" w:firstLine="0" w:firstLineChars="0"/>
                    <w:jc w:val="center"/>
                    <w:rPr>
                      <w:rFonts w:hint="eastAsia" w:asciiTheme="majorEastAsia" w:hAnsiTheme="majorEastAsia" w:eastAsiaTheme="majorEastAsia" w:cstheme="majorEastAsia"/>
                      <w:color w:val="auto"/>
                      <w:spacing w:val="0"/>
                      <w:position w:val="0"/>
                      <w:sz w:val="21"/>
                      <w:shd w:val="clear" w:fill="auto"/>
                    </w:rPr>
                  </w:pPr>
                  <w:r>
                    <w:rPr>
                      <w:rFonts w:hint="eastAsia" w:asciiTheme="majorEastAsia" w:hAnsiTheme="majorEastAsia" w:eastAsiaTheme="majorEastAsia" w:cstheme="majorEastAsia"/>
                      <w:color w:val="auto"/>
                      <w:spacing w:val="0"/>
                      <w:position w:val="0"/>
                      <w:sz w:val="21"/>
                      <w:shd w:val="clear" w:fill="auto"/>
                      <w:lang w:val="en-US" w:eastAsia="zh-CN"/>
                    </w:rPr>
                    <w:t>20</w:t>
                  </w:r>
                  <w:r>
                    <w:rPr>
                      <w:rFonts w:hint="eastAsia" w:asciiTheme="majorEastAsia" w:hAnsiTheme="majorEastAsia" w:eastAsiaTheme="majorEastAsia" w:cstheme="majorEastAsia"/>
                      <w:color w:val="auto"/>
                      <w:spacing w:val="0"/>
                      <w:position w:val="0"/>
                      <w:sz w:val="21"/>
                      <w:shd w:val="clear" w:fill="auto"/>
                    </w:rPr>
                    <w:t>万块/年</w:t>
                  </w:r>
                </w:p>
              </w:tc>
            </w:tr>
            <w:tr w14:paraId="64D7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610" w:type="dxa"/>
                  <w:vAlign w:val="center"/>
                </w:tcPr>
                <w:p w14:paraId="17C066BC">
                  <w:pPr>
                    <w:spacing w:before="0" w:after="0" w:line="240" w:lineRule="auto"/>
                    <w:ind w:left="0" w:leftChars="0" w:right="0" w:rightChars="0" w:firstLine="0" w:firstLineChars="0"/>
                    <w:jc w:val="center"/>
                    <w:rPr>
                      <w:rFonts w:hint="eastAsia" w:asciiTheme="majorEastAsia" w:hAnsiTheme="majorEastAsia" w:eastAsiaTheme="majorEastAsia" w:cstheme="majorEastAsia"/>
                      <w:b w:val="0"/>
                      <w:bCs/>
                      <w:color w:val="auto"/>
                      <w:spacing w:val="0"/>
                      <w:position w:val="0"/>
                      <w:sz w:val="21"/>
                      <w:shd w:val="clear" w:fill="auto"/>
                      <w:lang w:eastAsia="zh-CN"/>
                    </w:rPr>
                  </w:pPr>
                  <w:r>
                    <w:rPr>
                      <w:rFonts w:hint="eastAsia" w:asciiTheme="majorEastAsia" w:hAnsiTheme="majorEastAsia" w:eastAsiaTheme="majorEastAsia" w:cstheme="majorEastAsia"/>
                      <w:b w:val="0"/>
                      <w:bCs/>
                      <w:color w:val="auto"/>
                      <w:spacing w:val="0"/>
                      <w:position w:val="0"/>
                      <w:sz w:val="21"/>
                      <w:shd w:val="clear" w:fill="auto"/>
                      <w:lang w:eastAsia="zh-CN"/>
                    </w:rPr>
                    <w:t>植草砖</w:t>
                  </w:r>
                </w:p>
              </w:tc>
              <w:tc>
                <w:tcPr>
                  <w:tcW w:w="4891" w:type="dxa"/>
                  <w:vAlign w:val="center"/>
                </w:tcPr>
                <w:p w14:paraId="7CADA1A5">
                  <w:pPr>
                    <w:spacing w:before="0" w:after="0" w:line="240" w:lineRule="auto"/>
                    <w:ind w:left="0" w:leftChars="0" w:right="0" w:rightChars="0" w:firstLine="0" w:firstLineChars="0"/>
                    <w:jc w:val="center"/>
                    <w:rPr>
                      <w:rFonts w:hint="eastAsia" w:asciiTheme="majorEastAsia" w:hAnsiTheme="majorEastAsia" w:eastAsiaTheme="majorEastAsia" w:cstheme="majorEastAsia"/>
                      <w:color w:val="auto"/>
                      <w:spacing w:val="0"/>
                      <w:position w:val="0"/>
                      <w:sz w:val="21"/>
                      <w:shd w:val="clear" w:fill="auto"/>
                    </w:rPr>
                  </w:pPr>
                  <w:r>
                    <w:rPr>
                      <w:rFonts w:hint="eastAsia" w:asciiTheme="majorEastAsia" w:hAnsiTheme="majorEastAsia" w:eastAsiaTheme="majorEastAsia" w:cstheme="majorEastAsia"/>
                      <w:color w:val="auto"/>
                      <w:spacing w:val="0"/>
                      <w:position w:val="0"/>
                      <w:sz w:val="21"/>
                      <w:shd w:val="clear" w:fill="auto"/>
                    </w:rPr>
                    <w:t>300*300*60mm</w:t>
                  </w:r>
                </w:p>
              </w:tc>
              <w:tc>
                <w:tcPr>
                  <w:tcW w:w="2649" w:type="dxa"/>
                  <w:vAlign w:val="center"/>
                </w:tcPr>
                <w:p w14:paraId="6B717603">
                  <w:pPr>
                    <w:spacing w:before="0" w:after="0" w:line="240" w:lineRule="auto"/>
                    <w:ind w:left="0" w:leftChars="0" w:right="0" w:rightChars="0" w:firstLine="0" w:firstLineChars="0"/>
                    <w:jc w:val="center"/>
                    <w:rPr>
                      <w:rFonts w:hint="eastAsia" w:asciiTheme="majorEastAsia" w:hAnsiTheme="majorEastAsia" w:eastAsiaTheme="majorEastAsia" w:cstheme="majorEastAsia"/>
                      <w:color w:val="auto"/>
                      <w:spacing w:val="0"/>
                      <w:position w:val="0"/>
                      <w:sz w:val="21"/>
                      <w:shd w:val="clear" w:fill="auto"/>
                    </w:rPr>
                  </w:pPr>
                  <w:r>
                    <w:rPr>
                      <w:rFonts w:hint="eastAsia" w:asciiTheme="majorEastAsia" w:hAnsiTheme="majorEastAsia" w:eastAsiaTheme="majorEastAsia" w:cstheme="majorEastAsia"/>
                      <w:color w:val="auto"/>
                      <w:spacing w:val="0"/>
                      <w:position w:val="0"/>
                      <w:sz w:val="21"/>
                      <w:shd w:val="clear" w:fill="auto"/>
                      <w:lang w:val="en-US" w:eastAsia="zh-CN"/>
                    </w:rPr>
                    <w:t>20</w:t>
                  </w:r>
                  <w:r>
                    <w:rPr>
                      <w:rFonts w:hint="eastAsia" w:asciiTheme="majorEastAsia" w:hAnsiTheme="majorEastAsia" w:eastAsiaTheme="majorEastAsia" w:cstheme="majorEastAsia"/>
                      <w:color w:val="auto"/>
                      <w:spacing w:val="0"/>
                      <w:position w:val="0"/>
                      <w:sz w:val="21"/>
                      <w:shd w:val="clear" w:fill="auto"/>
                    </w:rPr>
                    <w:t>万块/年</w:t>
                  </w:r>
                </w:p>
              </w:tc>
            </w:tr>
            <w:tr w14:paraId="726B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610" w:type="dxa"/>
                  <w:vAlign w:val="center"/>
                </w:tcPr>
                <w:p w14:paraId="4FD1A331">
                  <w:pPr>
                    <w:spacing w:before="0" w:after="0" w:line="240" w:lineRule="auto"/>
                    <w:ind w:left="0" w:leftChars="0" w:right="0" w:rightChars="0" w:firstLine="0" w:firstLineChars="0"/>
                    <w:jc w:val="center"/>
                    <w:rPr>
                      <w:rFonts w:hint="eastAsia" w:asciiTheme="majorEastAsia" w:hAnsiTheme="majorEastAsia" w:eastAsiaTheme="majorEastAsia" w:cstheme="majorEastAsia"/>
                      <w:color w:val="auto"/>
                      <w:kern w:val="0"/>
                      <w:sz w:val="21"/>
                      <w:szCs w:val="21"/>
                      <w:lang w:eastAsia="zh-CN" w:bidi="ar"/>
                    </w:rPr>
                  </w:pPr>
                  <w:r>
                    <w:rPr>
                      <w:rFonts w:hint="eastAsia" w:asciiTheme="majorEastAsia" w:hAnsiTheme="majorEastAsia" w:eastAsiaTheme="majorEastAsia" w:cstheme="majorEastAsia"/>
                      <w:color w:val="auto"/>
                      <w:spacing w:val="0"/>
                      <w:position w:val="0"/>
                      <w:sz w:val="22"/>
                      <w:shd w:val="clear" w:fill="auto"/>
                    </w:rPr>
                    <w:t>检查井</w:t>
                  </w:r>
                </w:p>
              </w:tc>
              <w:tc>
                <w:tcPr>
                  <w:tcW w:w="4891" w:type="dxa"/>
                  <w:vAlign w:val="center"/>
                </w:tcPr>
                <w:p w14:paraId="53486D74">
                  <w:pPr>
                    <w:spacing w:before="0" w:after="0" w:line="240" w:lineRule="auto"/>
                    <w:ind w:left="0" w:leftChars="0" w:right="0" w:rightChars="0" w:firstLine="0" w:firstLineChars="0"/>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pacing w:val="0"/>
                      <w:position w:val="0"/>
                      <w:sz w:val="22"/>
                      <w:shd w:val="clear" w:fill="auto"/>
                    </w:rPr>
                    <w:t>1000</w:t>
                  </w:r>
                  <w:r>
                    <w:rPr>
                      <w:rFonts w:hint="eastAsia" w:asciiTheme="majorEastAsia" w:hAnsiTheme="majorEastAsia" w:eastAsiaTheme="majorEastAsia" w:cstheme="majorEastAsia"/>
                      <w:color w:val="auto"/>
                      <w:spacing w:val="0"/>
                      <w:position w:val="0"/>
                      <w:sz w:val="21"/>
                      <w:shd w:val="clear" w:fill="auto"/>
                      <w:lang w:val="en-US" w:eastAsia="zh-CN"/>
                    </w:rPr>
                    <w:t>*</w:t>
                  </w:r>
                  <w:r>
                    <w:rPr>
                      <w:rFonts w:hint="eastAsia" w:asciiTheme="majorEastAsia" w:hAnsiTheme="majorEastAsia" w:eastAsiaTheme="majorEastAsia" w:cstheme="majorEastAsia"/>
                      <w:color w:val="auto"/>
                      <w:spacing w:val="0"/>
                      <w:position w:val="0"/>
                      <w:sz w:val="22"/>
                      <w:shd w:val="clear" w:fill="auto"/>
                    </w:rPr>
                    <w:t>2000</w:t>
                  </w:r>
                  <w:r>
                    <w:rPr>
                      <w:rFonts w:hint="eastAsia" w:asciiTheme="majorEastAsia" w:hAnsiTheme="majorEastAsia" w:eastAsiaTheme="majorEastAsia" w:cstheme="majorEastAsia"/>
                      <w:color w:val="auto"/>
                      <w:spacing w:val="0"/>
                      <w:position w:val="0"/>
                      <w:sz w:val="21"/>
                      <w:shd w:val="clear" w:fill="auto"/>
                      <w:lang w:val="en-US" w:eastAsia="zh-CN"/>
                    </w:rPr>
                    <w:t>*</w:t>
                  </w:r>
                  <w:r>
                    <w:rPr>
                      <w:rFonts w:hint="eastAsia" w:asciiTheme="majorEastAsia" w:hAnsiTheme="majorEastAsia" w:eastAsiaTheme="majorEastAsia" w:cstheme="majorEastAsia"/>
                      <w:color w:val="auto"/>
                      <w:spacing w:val="0"/>
                      <w:position w:val="0"/>
                      <w:sz w:val="22"/>
                      <w:shd w:val="clear" w:fill="auto"/>
                    </w:rPr>
                    <w:t>20mm</w:t>
                  </w:r>
                </w:p>
              </w:tc>
              <w:tc>
                <w:tcPr>
                  <w:tcW w:w="2649" w:type="dxa"/>
                  <w:vAlign w:val="center"/>
                </w:tcPr>
                <w:p w14:paraId="21B99A4F">
                  <w:pPr>
                    <w:spacing w:before="0" w:after="0" w:line="240" w:lineRule="auto"/>
                    <w:ind w:left="0" w:leftChars="0" w:right="0" w:rightChars="0" w:firstLine="0" w:firstLineChars="0"/>
                    <w:jc w:val="center"/>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pacing w:val="0"/>
                      <w:position w:val="0"/>
                      <w:sz w:val="22"/>
                      <w:shd w:val="clear" w:fill="auto"/>
                    </w:rPr>
                    <w:t>800座/年</w:t>
                  </w:r>
                </w:p>
              </w:tc>
            </w:tr>
            <w:tr w14:paraId="3240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610" w:type="dxa"/>
                  <w:vAlign w:val="center"/>
                </w:tcPr>
                <w:p w14:paraId="2DC4A46B">
                  <w:pPr>
                    <w:spacing w:before="0" w:after="0" w:line="240" w:lineRule="auto"/>
                    <w:ind w:left="0" w:leftChars="0" w:right="0" w:rightChars="0" w:firstLine="0" w:firstLineChars="0"/>
                    <w:jc w:val="center"/>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pacing w:val="0"/>
                      <w:position w:val="0"/>
                      <w:sz w:val="21"/>
                      <w:shd w:val="clear" w:fill="auto"/>
                    </w:rPr>
                    <w:t>井盖</w:t>
                  </w:r>
                </w:p>
              </w:tc>
              <w:tc>
                <w:tcPr>
                  <w:tcW w:w="4891" w:type="dxa"/>
                  <w:vAlign w:val="center"/>
                </w:tcPr>
                <w:p w14:paraId="2C32AC98">
                  <w:pPr>
                    <w:spacing w:before="0" w:after="0" w:line="240" w:lineRule="auto"/>
                    <w:ind w:left="0" w:leftChars="0" w:right="0" w:rightChars="0" w:firstLine="0" w:firstLineChars="0"/>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pacing w:val="0"/>
                      <w:position w:val="0"/>
                      <w:sz w:val="21"/>
                      <w:shd w:val="clear" w:fill="auto"/>
                    </w:rPr>
                    <w:t>直径30-100cm</w:t>
                  </w:r>
                </w:p>
              </w:tc>
              <w:tc>
                <w:tcPr>
                  <w:tcW w:w="2649" w:type="dxa"/>
                  <w:vAlign w:val="center"/>
                </w:tcPr>
                <w:p w14:paraId="438B019C">
                  <w:pPr>
                    <w:spacing w:before="0" w:after="0" w:line="240" w:lineRule="auto"/>
                    <w:ind w:left="0" w:leftChars="0" w:right="0" w:rightChars="0" w:firstLine="0" w:firstLineChars="0"/>
                    <w:jc w:val="center"/>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pacing w:val="0"/>
                      <w:position w:val="0"/>
                      <w:sz w:val="21"/>
                      <w:shd w:val="clear" w:fill="auto"/>
                    </w:rPr>
                    <w:t>1万块/年</w:t>
                  </w:r>
                </w:p>
              </w:tc>
            </w:tr>
            <w:tr w14:paraId="659B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10" w:type="dxa"/>
                  <w:vAlign w:val="center"/>
                </w:tcPr>
                <w:p w14:paraId="6852EC9C">
                  <w:pPr>
                    <w:spacing w:before="0" w:after="0" w:line="240" w:lineRule="auto"/>
                    <w:ind w:left="0" w:leftChars="0" w:right="0" w:rightChars="0" w:firstLine="0" w:firstLineChars="0"/>
                    <w:jc w:val="center"/>
                    <w:rPr>
                      <w:rFonts w:hint="eastAsia" w:asciiTheme="majorEastAsia" w:hAnsiTheme="majorEastAsia" w:eastAsiaTheme="majorEastAsia" w:cstheme="majorEastAsia"/>
                      <w:color w:val="auto"/>
                      <w:kern w:val="0"/>
                      <w:sz w:val="21"/>
                      <w:szCs w:val="21"/>
                      <w:lang w:eastAsia="zh-CN" w:bidi="ar"/>
                    </w:rPr>
                  </w:pPr>
                  <w:r>
                    <w:rPr>
                      <w:rFonts w:hint="eastAsia" w:asciiTheme="majorEastAsia" w:hAnsiTheme="majorEastAsia" w:eastAsiaTheme="majorEastAsia" w:cstheme="majorEastAsia"/>
                      <w:color w:val="auto"/>
                      <w:spacing w:val="0"/>
                      <w:position w:val="0"/>
                      <w:sz w:val="21"/>
                      <w:shd w:val="clear" w:fill="auto"/>
                    </w:rPr>
                    <w:t>涵管</w:t>
                  </w:r>
                </w:p>
              </w:tc>
              <w:tc>
                <w:tcPr>
                  <w:tcW w:w="4891" w:type="dxa"/>
                  <w:vAlign w:val="center"/>
                </w:tcPr>
                <w:p w14:paraId="498F1E82">
                  <w:pPr>
                    <w:spacing w:before="0" w:after="0" w:line="240" w:lineRule="auto"/>
                    <w:ind w:left="0" w:right="0" w:firstLine="0"/>
                    <w:jc w:val="center"/>
                    <w:rPr>
                      <w:rFonts w:hint="eastAsia" w:asciiTheme="majorEastAsia" w:hAnsiTheme="majorEastAsia" w:eastAsiaTheme="majorEastAsia" w:cstheme="majorEastAsia"/>
                      <w:color w:val="auto"/>
                      <w:spacing w:val="0"/>
                      <w:position w:val="0"/>
                      <w:sz w:val="21"/>
                      <w:shd w:val="clear" w:fill="auto"/>
                    </w:rPr>
                  </w:pPr>
                  <w:r>
                    <w:rPr>
                      <w:rFonts w:hint="eastAsia" w:asciiTheme="majorEastAsia" w:hAnsiTheme="majorEastAsia" w:eastAsiaTheme="majorEastAsia" w:cstheme="majorEastAsia"/>
                      <w:color w:val="auto"/>
                      <w:spacing w:val="0"/>
                      <w:position w:val="0"/>
                      <w:sz w:val="21"/>
                      <w:shd w:val="clear" w:fill="auto"/>
                    </w:rPr>
                    <w:t>直径30-300cm</w:t>
                  </w:r>
                </w:p>
                <w:p w14:paraId="1F8B7488">
                  <w:pPr>
                    <w:spacing w:before="0" w:after="0" w:line="240" w:lineRule="auto"/>
                    <w:ind w:left="0" w:leftChars="0" w:right="0" w:rightChars="0" w:firstLine="0" w:firstLineChars="0"/>
                    <w:jc w:val="center"/>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pacing w:val="0"/>
                      <w:position w:val="0"/>
                      <w:sz w:val="21"/>
                      <w:shd w:val="clear" w:fill="auto"/>
                    </w:rPr>
                    <w:t>长50-200cm</w:t>
                  </w:r>
                </w:p>
              </w:tc>
              <w:tc>
                <w:tcPr>
                  <w:tcW w:w="2649" w:type="dxa"/>
                  <w:vAlign w:val="center"/>
                </w:tcPr>
                <w:p w14:paraId="286E9EBF">
                  <w:pPr>
                    <w:spacing w:before="0" w:after="0" w:line="240" w:lineRule="auto"/>
                    <w:ind w:left="0" w:leftChars="0" w:right="0" w:rightChars="0" w:firstLine="0" w:firstLineChars="0"/>
                    <w:jc w:val="center"/>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pacing w:val="0"/>
                      <w:position w:val="0"/>
                      <w:sz w:val="21"/>
                      <w:shd w:val="clear" w:fill="auto"/>
                      <w:lang w:val="en-US" w:eastAsia="zh-CN"/>
                    </w:rPr>
                    <w:t>5000</w:t>
                  </w:r>
                  <w:r>
                    <w:rPr>
                      <w:rFonts w:hint="eastAsia" w:asciiTheme="majorEastAsia" w:hAnsiTheme="majorEastAsia" w:eastAsiaTheme="majorEastAsia" w:cstheme="majorEastAsia"/>
                      <w:color w:val="auto"/>
                      <w:spacing w:val="0"/>
                      <w:position w:val="0"/>
                      <w:sz w:val="21"/>
                      <w:shd w:val="clear" w:fill="auto"/>
                      <w:lang w:eastAsia="zh-CN"/>
                    </w:rPr>
                    <w:t>根/年</w:t>
                  </w:r>
                </w:p>
              </w:tc>
            </w:tr>
            <w:tr w14:paraId="3B3D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610" w:type="dxa"/>
                  <w:vAlign w:val="center"/>
                </w:tcPr>
                <w:p w14:paraId="76C7F9CE">
                  <w:pPr>
                    <w:spacing w:before="0" w:after="0" w:line="240" w:lineRule="auto"/>
                    <w:ind w:left="0" w:leftChars="0" w:right="0" w:rightChars="0" w:firstLine="0" w:firstLineChars="0"/>
                    <w:jc w:val="center"/>
                    <w:rPr>
                      <w:rFonts w:hint="eastAsia" w:asciiTheme="majorEastAsia" w:hAnsiTheme="majorEastAsia" w:eastAsiaTheme="majorEastAsia" w:cstheme="majorEastAsia"/>
                      <w:color w:val="auto"/>
                      <w:kern w:val="0"/>
                      <w:sz w:val="21"/>
                      <w:szCs w:val="21"/>
                      <w:lang w:eastAsia="zh-CN" w:bidi="ar"/>
                    </w:rPr>
                  </w:pPr>
                  <w:r>
                    <w:rPr>
                      <w:rFonts w:hint="eastAsia" w:asciiTheme="majorEastAsia" w:hAnsiTheme="majorEastAsia" w:eastAsiaTheme="majorEastAsia" w:cstheme="majorEastAsia"/>
                      <w:color w:val="auto"/>
                      <w:spacing w:val="0"/>
                      <w:position w:val="0"/>
                      <w:sz w:val="21"/>
                      <w:shd w:val="clear" w:fill="auto"/>
                    </w:rPr>
                    <w:t>预制板</w:t>
                  </w:r>
                </w:p>
              </w:tc>
              <w:tc>
                <w:tcPr>
                  <w:tcW w:w="4891" w:type="dxa"/>
                  <w:vAlign w:val="center"/>
                </w:tcPr>
                <w:p w14:paraId="0AF9395C">
                  <w:pPr>
                    <w:spacing w:before="0" w:after="0" w:line="240" w:lineRule="auto"/>
                    <w:ind w:left="0" w:right="0" w:firstLine="0"/>
                    <w:jc w:val="center"/>
                    <w:rPr>
                      <w:rFonts w:hint="eastAsia" w:asciiTheme="majorEastAsia" w:hAnsiTheme="majorEastAsia" w:eastAsiaTheme="majorEastAsia" w:cstheme="majorEastAsia"/>
                      <w:color w:val="auto"/>
                      <w:spacing w:val="0"/>
                      <w:position w:val="0"/>
                      <w:sz w:val="21"/>
                      <w:shd w:val="clear" w:fill="auto"/>
                    </w:rPr>
                  </w:pPr>
                  <w:r>
                    <w:rPr>
                      <w:rFonts w:hint="eastAsia" w:asciiTheme="majorEastAsia" w:hAnsiTheme="majorEastAsia" w:eastAsiaTheme="majorEastAsia" w:cstheme="majorEastAsia"/>
                      <w:color w:val="auto"/>
                      <w:spacing w:val="0"/>
                      <w:position w:val="0"/>
                      <w:sz w:val="21"/>
                      <w:shd w:val="clear" w:fill="auto"/>
                    </w:rPr>
                    <w:t>长50-200cm</w:t>
                  </w:r>
                </w:p>
                <w:p w14:paraId="5A5BF282">
                  <w:pPr>
                    <w:spacing w:before="0" w:after="0" w:line="240" w:lineRule="auto"/>
                    <w:ind w:left="0" w:right="0" w:firstLine="0"/>
                    <w:jc w:val="center"/>
                    <w:rPr>
                      <w:rFonts w:hint="eastAsia" w:asciiTheme="majorEastAsia" w:hAnsiTheme="majorEastAsia" w:eastAsiaTheme="majorEastAsia" w:cstheme="majorEastAsia"/>
                      <w:color w:val="auto"/>
                      <w:spacing w:val="0"/>
                      <w:position w:val="0"/>
                      <w:sz w:val="21"/>
                      <w:shd w:val="clear" w:fill="auto"/>
                    </w:rPr>
                  </w:pPr>
                  <w:r>
                    <w:rPr>
                      <w:rFonts w:hint="eastAsia" w:asciiTheme="majorEastAsia" w:hAnsiTheme="majorEastAsia" w:eastAsiaTheme="majorEastAsia" w:cstheme="majorEastAsia"/>
                      <w:color w:val="auto"/>
                      <w:spacing w:val="0"/>
                      <w:position w:val="0"/>
                      <w:sz w:val="21"/>
                      <w:shd w:val="clear" w:fill="auto"/>
                    </w:rPr>
                    <w:t>宽40-150cm</w:t>
                  </w:r>
                </w:p>
                <w:p w14:paraId="1DC67C6C">
                  <w:pPr>
                    <w:spacing w:before="0" w:after="0" w:line="240" w:lineRule="auto"/>
                    <w:ind w:left="0" w:leftChars="0" w:right="0" w:rightChars="0" w:firstLine="0" w:firstLineChars="0"/>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pacing w:val="0"/>
                      <w:position w:val="0"/>
                      <w:sz w:val="21"/>
                      <w:shd w:val="clear" w:fill="auto"/>
                    </w:rPr>
                    <w:t>厚10-50cm</w:t>
                  </w:r>
                </w:p>
              </w:tc>
              <w:tc>
                <w:tcPr>
                  <w:tcW w:w="2649" w:type="dxa"/>
                  <w:vAlign w:val="center"/>
                </w:tcPr>
                <w:p w14:paraId="30CEA5E6">
                  <w:pPr>
                    <w:spacing w:before="0" w:after="0" w:line="240" w:lineRule="auto"/>
                    <w:ind w:left="0" w:leftChars="0" w:right="0" w:rightChars="0" w:firstLine="0" w:firstLineChars="0"/>
                    <w:jc w:val="center"/>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pacing w:val="0"/>
                      <w:position w:val="0"/>
                      <w:sz w:val="21"/>
                      <w:shd w:val="clear" w:fill="auto"/>
                    </w:rPr>
                    <w:t>1</w:t>
                  </w:r>
                  <w:r>
                    <w:rPr>
                      <w:rFonts w:hint="eastAsia" w:asciiTheme="majorEastAsia" w:hAnsiTheme="majorEastAsia" w:eastAsiaTheme="majorEastAsia" w:cstheme="majorEastAsia"/>
                      <w:color w:val="auto"/>
                      <w:spacing w:val="0"/>
                      <w:position w:val="0"/>
                      <w:sz w:val="21"/>
                      <w:shd w:val="clear" w:fill="auto"/>
                      <w:lang w:eastAsia="zh-CN"/>
                    </w:rPr>
                    <w:t>万块/年</w:t>
                  </w:r>
                </w:p>
              </w:tc>
            </w:tr>
          </w:tbl>
          <w:p w14:paraId="23217643">
            <w:pPr>
              <w:numPr>
                <w:ilvl w:val="0"/>
                <w:numId w:val="4"/>
              </w:numPr>
              <w:adjustRightInd w:val="0"/>
              <w:snapToGrid w:val="0"/>
              <w:ind w:firstLine="482" w:firstLineChars="200"/>
              <w:rPr>
                <w:rFonts w:ascii="Times New Roman" w:hAnsi="Times New Roman"/>
                <w:b/>
                <w:bCs/>
                <w:color w:val="auto"/>
                <w:kern w:val="0"/>
                <w:lang w:bidi="ar"/>
              </w:rPr>
            </w:pPr>
            <w:r>
              <w:rPr>
                <w:rFonts w:hint="eastAsia" w:ascii="Times New Roman" w:hAnsi="Times New Roman"/>
                <w:b/>
                <w:bCs/>
                <w:color w:val="auto"/>
                <w:kern w:val="0"/>
                <w:lang w:bidi="ar"/>
              </w:rPr>
              <w:t>原辅材料及用量</w:t>
            </w:r>
          </w:p>
          <w:p w14:paraId="4AB2E4C4">
            <w:pPr>
              <w:ind w:firstLine="480" w:firstLineChars="20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本项目生产的原料主要为外购</w:t>
            </w:r>
            <w:r>
              <w:rPr>
                <w:rFonts w:hint="eastAsia" w:asciiTheme="majorEastAsia" w:hAnsiTheme="majorEastAsia" w:eastAsiaTheme="majorEastAsia" w:cstheme="majorEastAsia"/>
                <w:color w:val="auto"/>
                <w:lang w:val="en-US" w:eastAsia="zh-CN"/>
              </w:rPr>
              <w:t>水泥</w:t>
            </w:r>
            <w:r>
              <w:rPr>
                <w:rFonts w:hint="eastAsia" w:asciiTheme="majorEastAsia" w:hAnsiTheme="majorEastAsia" w:eastAsiaTheme="majorEastAsia" w:cstheme="majorEastAsia"/>
                <w:color w:val="auto"/>
              </w:rPr>
              <w:t>、</w:t>
            </w:r>
            <w:r>
              <w:rPr>
                <w:rFonts w:hint="eastAsia" w:asciiTheme="majorEastAsia" w:hAnsiTheme="majorEastAsia" w:eastAsiaTheme="majorEastAsia" w:cstheme="majorEastAsia"/>
                <w:color w:val="auto"/>
                <w:lang w:eastAsia="zh-CN"/>
              </w:rPr>
              <w:t>砂子、公分石</w:t>
            </w:r>
            <w:r>
              <w:rPr>
                <w:rFonts w:hint="eastAsia" w:asciiTheme="majorEastAsia" w:hAnsiTheme="majorEastAsia" w:eastAsiaTheme="majorEastAsia" w:cstheme="majorEastAsia"/>
                <w:color w:val="auto"/>
              </w:rPr>
              <w:t>等。项目原料均来源于手续齐全的</w:t>
            </w:r>
            <w:r>
              <w:rPr>
                <w:rFonts w:hint="eastAsia" w:asciiTheme="majorEastAsia" w:hAnsiTheme="majorEastAsia" w:eastAsiaTheme="majorEastAsia" w:cstheme="majorEastAsia"/>
                <w:color w:val="auto"/>
                <w:lang w:eastAsia="zh-CN"/>
              </w:rPr>
              <w:t>单位</w:t>
            </w:r>
            <w:r>
              <w:rPr>
                <w:rFonts w:hint="eastAsia" w:asciiTheme="majorEastAsia" w:hAnsiTheme="majorEastAsia" w:eastAsiaTheme="majorEastAsia" w:cstheme="majorEastAsia"/>
                <w:color w:val="auto"/>
              </w:rPr>
              <w:t>。</w:t>
            </w:r>
            <w:r>
              <w:rPr>
                <w:rFonts w:hint="eastAsia" w:asciiTheme="majorEastAsia" w:hAnsiTheme="majorEastAsia" w:eastAsiaTheme="majorEastAsia" w:cstheme="majorEastAsia"/>
                <w:color w:val="auto"/>
                <w:lang w:val="zh-CN"/>
              </w:rPr>
              <w:t>项目生产原料使用及供应方情况见表</w:t>
            </w:r>
            <w:r>
              <w:rPr>
                <w:rFonts w:hint="eastAsia" w:asciiTheme="majorEastAsia" w:hAnsiTheme="majorEastAsia" w:eastAsiaTheme="majorEastAsia" w:cstheme="majorEastAsia"/>
                <w:color w:val="auto"/>
              </w:rPr>
              <w:t>2-3。</w:t>
            </w:r>
          </w:p>
          <w:p w14:paraId="576F626B">
            <w:pPr>
              <w:adjustRightInd w:val="0"/>
              <w:snapToGrid w:val="0"/>
              <w:spacing w:line="360" w:lineRule="auto"/>
              <w:jc w:val="center"/>
              <w:rPr>
                <w:rFonts w:hint="eastAsia" w:asciiTheme="majorEastAsia" w:hAnsiTheme="majorEastAsia" w:eastAsiaTheme="majorEastAsia" w:cstheme="majorEastAsia"/>
                <w:b/>
                <w:bCs/>
                <w:color w:val="auto"/>
                <w:kern w:val="0"/>
                <w:lang w:bidi="ar"/>
              </w:rPr>
            </w:pPr>
            <w:r>
              <w:rPr>
                <w:rFonts w:hint="eastAsia" w:asciiTheme="majorEastAsia" w:hAnsiTheme="majorEastAsia" w:eastAsiaTheme="majorEastAsia" w:cstheme="majorEastAsia"/>
                <w:b/>
                <w:bCs/>
                <w:color w:val="auto"/>
                <w:kern w:val="0"/>
                <w:lang w:bidi="ar"/>
              </w:rPr>
              <w:t>表2-3 项目原辅材料用量一览表</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858"/>
              <w:gridCol w:w="1525"/>
              <w:gridCol w:w="1623"/>
              <w:gridCol w:w="1764"/>
              <w:gridCol w:w="1786"/>
            </w:tblGrid>
            <w:tr w14:paraId="6A40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80" w:type="pct"/>
                  <w:vAlign w:val="center"/>
                </w:tcPr>
                <w:p w14:paraId="6E3C548B">
                  <w:pPr>
                    <w:pStyle w:val="34"/>
                    <w:snapToGrid w:val="0"/>
                    <w:spacing w:line="240" w:lineRule="auto"/>
                    <w:ind w:firstLine="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序号</w:t>
                  </w:r>
                </w:p>
              </w:tc>
              <w:tc>
                <w:tcPr>
                  <w:tcW w:w="1003" w:type="pct"/>
                  <w:vAlign w:val="center"/>
                </w:tcPr>
                <w:p w14:paraId="60612A82">
                  <w:pPr>
                    <w:pStyle w:val="34"/>
                    <w:snapToGrid w:val="0"/>
                    <w:spacing w:line="240" w:lineRule="auto"/>
                    <w:ind w:firstLine="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材料名称</w:t>
                  </w:r>
                </w:p>
              </w:tc>
              <w:tc>
                <w:tcPr>
                  <w:tcW w:w="823" w:type="pct"/>
                  <w:vAlign w:val="center"/>
                </w:tcPr>
                <w:p w14:paraId="4336E52B">
                  <w:pPr>
                    <w:pStyle w:val="34"/>
                    <w:snapToGrid w:val="0"/>
                    <w:spacing w:line="240" w:lineRule="auto"/>
                    <w:ind w:firstLine="0"/>
                    <w:jc w:val="center"/>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rPr>
                    <w:t>年用量</w:t>
                  </w:r>
                </w:p>
              </w:tc>
              <w:tc>
                <w:tcPr>
                  <w:tcW w:w="876" w:type="pct"/>
                  <w:vAlign w:val="center"/>
                </w:tcPr>
                <w:p w14:paraId="3692F71D">
                  <w:pPr>
                    <w:pStyle w:val="34"/>
                    <w:snapToGrid w:val="0"/>
                    <w:spacing w:line="240" w:lineRule="auto"/>
                    <w:ind w:firstLine="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最大暂存量</w:t>
                  </w:r>
                </w:p>
              </w:tc>
              <w:tc>
                <w:tcPr>
                  <w:tcW w:w="952" w:type="pct"/>
                  <w:vAlign w:val="center"/>
                </w:tcPr>
                <w:p w14:paraId="6864A7E0">
                  <w:pPr>
                    <w:pStyle w:val="34"/>
                    <w:snapToGrid w:val="0"/>
                    <w:spacing w:line="240" w:lineRule="auto"/>
                    <w:ind w:firstLine="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储存方式</w:t>
                  </w:r>
                </w:p>
              </w:tc>
              <w:tc>
                <w:tcPr>
                  <w:tcW w:w="964" w:type="pct"/>
                  <w:vAlign w:val="center"/>
                </w:tcPr>
                <w:p w14:paraId="21069623">
                  <w:pPr>
                    <w:pStyle w:val="34"/>
                    <w:snapToGrid w:val="0"/>
                    <w:spacing w:line="240" w:lineRule="auto"/>
                    <w:ind w:firstLine="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来源</w:t>
                  </w:r>
                </w:p>
              </w:tc>
            </w:tr>
            <w:tr w14:paraId="157D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0" w:type="pct"/>
                  <w:vAlign w:val="center"/>
                </w:tcPr>
                <w:p w14:paraId="49800C35">
                  <w:pPr>
                    <w:pStyle w:val="34"/>
                    <w:snapToGrid w:val="0"/>
                    <w:spacing w:line="240" w:lineRule="auto"/>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1003" w:type="pct"/>
                  <w:vAlign w:val="center"/>
                </w:tcPr>
                <w:p w14:paraId="74A2E81F">
                  <w:pPr>
                    <w:pStyle w:val="34"/>
                    <w:snapToGrid w:val="0"/>
                    <w:spacing w:line="240" w:lineRule="auto"/>
                    <w:ind w:firstLine="0" w:firstLineChars="0"/>
                    <w:jc w:val="center"/>
                    <w:rPr>
                      <w:rFonts w:hint="eastAsia" w:asciiTheme="minorEastAsia" w:hAnsiTheme="minorEastAsia" w:eastAsiaTheme="minorEastAsia" w:cstheme="minorEastAsia"/>
                      <w:color w:val="auto"/>
                      <w:kern w:val="24"/>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砂子</w:t>
                  </w:r>
                </w:p>
              </w:tc>
              <w:tc>
                <w:tcPr>
                  <w:tcW w:w="823" w:type="pct"/>
                  <w:vAlign w:val="center"/>
                </w:tcPr>
                <w:p w14:paraId="19E8AA10">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pacing w:val="0"/>
                      <w:position w:val="0"/>
                      <w:sz w:val="21"/>
                      <w:szCs w:val="21"/>
                      <w:shd w:val="clear" w:fill="auto"/>
                      <w:lang w:val="en-US" w:eastAsia="zh-CN"/>
                    </w:rPr>
                    <w:t>52000</w:t>
                  </w:r>
                  <w:r>
                    <w:rPr>
                      <w:rFonts w:hint="eastAsia" w:asciiTheme="minorEastAsia" w:hAnsiTheme="minorEastAsia" w:eastAsiaTheme="minorEastAsia" w:cstheme="minorEastAsia"/>
                      <w:color w:val="auto"/>
                      <w:spacing w:val="0"/>
                      <w:position w:val="0"/>
                      <w:sz w:val="21"/>
                      <w:szCs w:val="21"/>
                      <w:shd w:val="clear" w:fill="auto"/>
                    </w:rPr>
                    <w:t>t</w:t>
                  </w:r>
                </w:p>
              </w:tc>
              <w:tc>
                <w:tcPr>
                  <w:tcW w:w="876" w:type="pct"/>
                  <w:vAlign w:val="center"/>
                </w:tcPr>
                <w:p w14:paraId="0A17B516">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kern w:val="24"/>
                      <w:sz w:val="21"/>
                      <w:szCs w:val="21"/>
                      <w:lang w:val="en-US" w:eastAsia="zh-CN" w:bidi="ar-SA"/>
                    </w:rPr>
                  </w:pPr>
                  <w:r>
                    <w:rPr>
                      <w:rFonts w:hint="eastAsia" w:asciiTheme="minorEastAsia" w:hAnsiTheme="minorEastAsia" w:eastAsiaTheme="minorEastAsia" w:cstheme="minorEastAsia"/>
                      <w:color w:val="auto"/>
                      <w:spacing w:val="0"/>
                      <w:position w:val="0"/>
                      <w:sz w:val="21"/>
                      <w:szCs w:val="21"/>
                      <w:shd w:val="clear" w:fill="auto"/>
                      <w:lang w:val="en-US" w:eastAsia="zh-CN"/>
                    </w:rPr>
                    <w:t>10</w:t>
                  </w:r>
                  <w:r>
                    <w:rPr>
                      <w:rFonts w:hint="eastAsia" w:asciiTheme="minorEastAsia" w:hAnsiTheme="minorEastAsia" w:eastAsiaTheme="minorEastAsia" w:cstheme="minorEastAsia"/>
                      <w:color w:val="auto"/>
                      <w:spacing w:val="0"/>
                      <w:position w:val="0"/>
                      <w:sz w:val="21"/>
                      <w:szCs w:val="21"/>
                      <w:shd w:val="clear" w:fill="auto"/>
                    </w:rPr>
                    <w:t>00t</w:t>
                  </w:r>
                </w:p>
              </w:tc>
              <w:tc>
                <w:tcPr>
                  <w:tcW w:w="952" w:type="pct"/>
                  <w:vAlign w:val="center"/>
                </w:tcPr>
                <w:p w14:paraId="4BC77258">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kern w:val="24"/>
                      <w:sz w:val="21"/>
                      <w:szCs w:val="21"/>
                      <w:lang w:val="en-US" w:eastAsia="zh-CN" w:bidi="ar-SA"/>
                    </w:rPr>
                  </w:pPr>
                  <w:r>
                    <w:rPr>
                      <w:rFonts w:hint="eastAsia" w:asciiTheme="minorEastAsia" w:hAnsiTheme="minorEastAsia" w:eastAsiaTheme="minorEastAsia" w:cstheme="minorEastAsia"/>
                      <w:color w:val="auto"/>
                      <w:spacing w:val="0"/>
                      <w:position w:val="0"/>
                      <w:sz w:val="21"/>
                      <w:szCs w:val="21"/>
                      <w:shd w:val="clear" w:fill="auto"/>
                    </w:rPr>
                    <w:t>堆放</w:t>
                  </w:r>
                </w:p>
              </w:tc>
              <w:tc>
                <w:tcPr>
                  <w:tcW w:w="964" w:type="pct"/>
                  <w:vAlign w:val="center"/>
                </w:tcPr>
                <w:p w14:paraId="570DB7D4">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kern w:val="24"/>
                      <w:sz w:val="21"/>
                      <w:szCs w:val="21"/>
                      <w:lang w:val="en-US" w:eastAsia="zh-CN" w:bidi="ar-SA"/>
                    </w:rPr>
                  </w:pPr>
                  <w:r>
                    <w:rPr>
                      <w:rFonts w:hint="eastAsia" w:asciiTheme="minorEastAsia" w:hAnsiTheme="minorEastAsia" w:eastAsiaTheme="minorEastAsia" w:cstheme="minorEastAsia"/>
                      <w:color w:val="auto"/>
                      <w:spacing w:val="0"/>
                      <w:position w:val="0"/>
                      <w:sz w:val="21"/>
                      <w:szCs w:val="21"/>
                      <w:shd w:val="clear" w:fill="auto"/>
                    </w:rPr>
                    <w:t>砂石场</w:t>
                  </w:r>
                </w:p>
              </w:tc>
            </w:tr>
            <w:tr w14:paraId="2089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380" w:type="pct"/>
                  <w:vAlign w:val="center"/>
                </w:tcPr>
                <w:p w14:paraId="441E472E">
                  <w:pPr>
                    <w:pStyle w:val="34"/>
                    <w:snapToGrid w:val="0"/>
                    <w:spacing w:line="240" w:lineRule="auto"/>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1003" w:type="pct"/>
                  <w:vAlign w:val="center"/>
                </w:tcPr>
                <w:p w14:paraId="43B217F0">
                  <w:pPr>
                    <w:pStyle w:val="34"/>
                    <w:snapToGrid w:val="0"/>
                    <w:spacing w:line="240" w:lineRule="auto"/>
                    <w:ind w:firstLine="0" w:firstLineChars="0"/>
                    <w:jc w:val="center"/>
                    <w:rPr>
                      <w:rFonts w:hint="eastAsia" w:asciiTheme="minorEastAsia" w:hAnsiTheme="minorEastAsia" w:eastAsiaTheme="minorEastAsia" w:cstheme="minorEastAsia"/>
                      <w:color w:val="auto"/>
                      <w:kern w:val="24"/>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公分石</w:t>
                  </w:r>
                </w:p>
              </w:tc>
              <w:tc>
                <w:tcPr>
                  <w:tcW w:w="823" w:type="pct"/>
                  <w:vAlign w:val="center"/>
                </w:tcPr>
                <w:p w14:paraId="29C3E00C">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pacing w:val="0"/>
                      <w:position w:val="0"/>
                      <w:sz w:val="21"/>
                      <w:szCs w:val="21"/>
                      <w:shd w:val="clear" w:fill="auto"/>
                      <w:lang w:val="en-US" w:eastAsia="zh-CN"/>
                    </w:rPr>
                    <w:t>46000</w:t>
                  </w:r>
                  <w:r>
                    <w:rPr>
                      <w:rFonts w:hint="eastAsia" w:asciiTheme="minorEastAsia" w:hAnsiTheme="minorEastAsia" w:eastAsiaTheme="minorEastAsia" w:cstheme="minorEastAsia"/>
                      <w:color w:val="auto"/>
                      <w:spacing w:val="0"/>
                      <w:position w:val="0"/>
                      <w:sz w:val="21"/>
                      <w:szCs w:val="21"/>
                      <w:shd w:val="clear" w:fill="auto"/>
                    </w:rPr>
                    <w:t>t</w:t>
                  </w:r>
                </w:p>
              </w:tc>
              <w:tc>
                <w:tcPr>
                  <w:tcW w:w="876" w:type="pct"/>
                  <w:vAlign w:val="center"/>
                </w:tcPr>
                <w:p w14:paraId="7251F021">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kern w:val="24"/>
                      <w:sz w:val="21"/>
                      <w:szCs w:val="21"/>
                      <w:lang w:val="en-US" w:eastAsia="zh-CN" w:bidi="ar-SA"/>
                    </w:rPr>
                  </w:pPr>
                  <w:r>
                    <w:rPr>
                      <w:rFonts w:hint="eastAsia" w:asciiTheme="minorEastAsia" w:hAnsiTheme="minorEastAsia" w:eastAsiaTheme="minorEastAsia" w:cstheme="minorEastAsia"/>
                      <w:color w:val="auto"/>
                      <w:spacing w:val="0"/>
                      <w:position w:val="0"/>
                      <w:sz w:val="21"/>
                      <w:szCs w:val="21"/>
                      <w:shd w:val="clear" w:fill="auto"/>
                      <w:lang w:val="en-US" w:eastAsia="zh-CN"/>
                    </w:rPr>
                    <w:t>10</w:t>
                  </w:r>
                  <w:r>
                    <w:rPr>
                      <w:rFonts w:hint="eastAsia" w:asciiTheme="minorEastAsia" w:hAnsiTheme="minorEastAsia" w:eastAsiaTheme="minorEastAsia" w:cstheme="minorEastAsia"/>
                      <w:color w:val="auto"/>
                      <w:spacing w:val="0"/>
                      <w:position w:val="0"/>
                      <w:sz w:val="21"/>
                      <w:szCs w:val="21"/>
                      <w:shd w:val="clear" w:fill="auto"/>
                    </w:rPr>
                    <w:t>00t</w:t>
                  </w:r>
                </w:p>
              </w:tc>
              <w:tc>
                <w:tcPr>
                  <w:tcW w:w="952" w:type="pct"/>
                  <w:vAlign w:val="center"/>
                </w:tcPr>
                <w:p w14:paraId="59A88ED0">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kern w:val="24"/>
                      <w:sz w:val="21"/>
                      <w:szCs w:val="21"/>
                      <w:lang w:val="en-US" w:eastAsia="zh-CN" w:bidi="ar-SA"/>
                    </w:rPr>
                  </w:pPr>
                  <w:r>
                    <w:rPr>
                      <w:rFonts w:hint="eastAsia" w:asciiTheme="minorEastAsia" w:hAnsiTheme="minorEastAsia" w:eastAsiaTheme="minorEastAsia" w:cstheme="minorEastAsia"/>
                      <w:color w:val="auto"/>
                      <w:spacing w:val="0"/>
                      <w:position w:val="0"/>
                      <w:sz w:val="21"/>
                      <w:szCs w:val="21"/>
                      <w:shd w:val="clear" w:fill="auto"/>
                    </w:rPr>
                    <w:t>堆放</w:t>
                  </w:r>
                </w:p>
              </w:tc>
              <w:tc>
                <w:tcPr>
                  <w:tcW w:w="964" w:type="pct"/>
                  <w:vAlign w:val="center"/>
                </w:tcPr>
                <w:p w14:paraId="7AEE0482">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kern w:val="24"/>
                      <w:sz w:val="21"/>
                      <w:szCs w:val="21"/>
                      <w:lang w:val="en-US" w:eastAsia="zh-CN" w:bidi="ar-SA"/>
                    </w:rPr>
                  </w:pPr>
                  <w:r>
                    <w:rPr>
                      <w:rFonts w:hint="eastAsia" w:asciiTheme="minorEastAsia" w:hAnsiTheme="minorEastAsia" w:eastAsiaTheme="minorEastAsia" w:cstheme="minorEastAsia"/>
                      <w:color w:val="auto"/>
                      <w:spacing w:val="0"/>
                      <w:position w:val="0"/>
                      <w:sz w:val="21"/>
                      <w:szCs w:val="21"/>
                      <w:shd w:val="clear" w:fill="auto"/>
                    </w:rPr>
                    <w:t>砂石场</w:t>
                  </w:r>
                </w:p>
              </w:tc>
            </w:tr>
            <w:tr w14:paraId="3C34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380" w:type="pct"/>
                  <w:vAlign w:val="center"/>
                </w:tcPr>
                <w:p w14:paraId="2B0D9A52">
                  <w:pPr>
                    <w:pStyle w:val="34"/>
                    <w:snapToGrid w:val="0"/>
                    <w:spacing w:line="240" w:lineRule="auto"/>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1003" w:type="pct"/>
                  <w:vAlign w:val="center"/>
                </w:tcPr>
                <w:p w14:paraId="14BC373F">
                  <w:pPr>
                    <w:pStyle w:val="34"/>
                    <w:snapToGrid w:val="0"/>
                    <w:spacing w:line="240" w:lineRule="auto"/>
                    <w:ind w:firstLine="0" w:firstLineChars="0"/>
                    <w:jc w:val="center"/>
                    <w:rPr>
                      <w:rFonts w:hint="eastAsia" w:asciiTheme="minorEastAsia" w:hAnsiTheme="minorEastAsia" w:eastAsiaTheme="minorEastAsia" w:cstheme="minorEastAsia"/>
                      <w:color w:val="auto"/>
                      <w:kern w:val="24"/>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水泥</w:t>
                  </w:r>
                </w:p>
              </w:tc>
              <w:tc>
                <w:tcPr>
                  <w:tcW w:w="823" w:type="pct"/>
                  <w:vAlign w:val="center"/>
                </w:tcPr>
                <w:p w14:paraId="3315D445">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pacing w:val="0"/>
                      <w:position w:val="0"/>
                      <w:sz w:val="21"/>
                      <w:szCs w:val="21"/>
                      <w:shd w:val="clear" w:fill="auto"/>
                      <w:lang w:val="en-US" w:eastAsia="zh-CN"/>
                    </w:rPr>
                    <w:t>86</w:t>
                  </w:r>
                  <w:r>
                    <w:rPr>
                      <w:rFonts w:hint="eastAsia" w:asciiTheme="minorEastAsia" w:hAnsiTheme="minorEastAsia" w:eastAsiaTheme="minorEastAsia" w:cstheme="minorEastAsia"/>
                      <w:color w:val="auto"/>
                      <w:spacing w:val="0"/>
                      <w:position w:val="0"/>
                      <w:sz w:val="21"/>
                      <w:szCs w:val="21"/>
                      <w:shd w:val="clear" w:fill="auto"/>
                    </w:rPr>
                    <w:t>00t</w:t>
                  </w:r>
                </w:p>
              </w:tc>
              <w:tc>
                <w:tcPr>
                  <w:tcW w:w="876" w:type="pct"/>
                  <w:vAlign w:val="center"/>
                </w:tcPr>
                <w:p w14:paraId="27848DBA">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kern w:val="24"/>
                      <w:sz w:val="21"/>
                      <w:szCs w:val="21"/>
                      <w:lang w:val="en-US" w:eastAsia="zh-CN" w:bidi="ar-SA"/>
                    </w:rPr>
                  </w:pPr>
                  <w:r>
                    <w:rPr>
                      <w:rFonts w:hint="eastAsia" w:asciiTheme="minorEastAsia" w:hAnsiTheme="minorEastAsia" w:eastAsiaTheme="minorEastAsia" w:cstheme="minorEastAsia"/>
                      <w:color w:val="auto"/>
                      <w:spacing w:val="0"/>
                      <w:position w:val="0"/>
                      <w:sz w:val="21"/>
                      <w:szCs w:val="21"/>
                      <w:shd w:val="clear" w:fill="auto"/>
                      <w:lang w:val="en-US" w:eastAsia="zh-CN"/>
                    </w:rPr>
                    <w:t>69</w:t>
                  </w:r>
                  <w:r>
                    <w:rPr>
                      <w:rFonts w:hint="eastAsia" w:asciiTheme="minorEastAsia" w:hAnsiTheme="minorEastAsia" w:eastAsiaTheme="minorEastAsia" w:cstheme="minorEastAsia"/>
                      <w:color w:val="auto"/>
                      <w:spacing w:val="0"/>
                      <w:position w:val="0"/>
                      <w:sz w:val="21"/>
                      <w:szCs w:val="21"/>
                      <w:shd w:val="clear" w:fill="auto"/>
                    </w:rPr>
                    <w:t>0t</w:t>
                  </w:r>
                </w:p>
              </w:tc>
              <w:tc>
                <w:tcPr>
                  <w:tcW w:w="952" w:type="pct"/>
                  <w:vAlign w:val="center"/>
                </w:tcPr>
                <w:p w14:paraId="256838FD">
                  <w:pPr>
                    <w:spacing w:before="0" w:after="0" w:line="240" w:lineRule="auto"/>
                    <w:ind w:left="0" w:leftChars="0" w:right="0" w:rightChars="0" w:firstLine="0" w:firstLineChars="0"/>
                    <w:jc w:val="both"/>
                    <w:rPr>
                      <w:rFonts w:hint="eastAsia" w:asciiTheme="minorEastAsia" w:hAnsiTheme="minorEastAsia" w:eastAsiaTheme="minorEastAsia" w:cstheme="minorEastAsia"/>
                      <w:color w:val="auto"/>
                      <w:kern w:val="24"/>
                      <w:sz w:val="21"/>
                      <w:szCs w:val="21"/>
                      <w:lang w:val="en-US" w:eastAsia="zh-CN" w:bidi="ar-SA"/>
                    </w:rPr>
                  </w:pPr>
                  <w:r>
                    <w:rPr>
                      <w:rFonts w:hint="eastAsia" w:asciiTheme="minorEastAsia" w:hAnsiTheme="minorEastAsia" w:eastAsiaTheme="minorEastAsia" w:cstheme="minorEastAsia"/>
                      <w:color w:val="auto"/>
                      <w:spacing w:val="0"/>
                      <w:position w:val="0"/>
                      <w:sz w:val="21"/>
                      <w:szCs w:val="21"/>
                      <w:shd w:val="clear" w:fill="auto"/>
                    </w:rPr>
                    <w:t>筒仓（80t/2个）</w:t>
                  </w:r>
                </w:p>
              </w:tc>
              <w:tc>
                <w:tcPr>
                  <w:tcW w:w="964" w:type="pct"/>
                  <w:vAlign w:val="center"/>
                </w:tcPr>
                <w:p w14:paraId="25324965">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kern w:val="24"/>
                      <w:sz w:val="21"/>
                      <w:szCs w:val="21"/>
                      <w:lang w:val="en-US" w:eastAsia="zh-CN" w:bidi="ar-SA"/>
                    </w:rPr>
                  </w:pPr>
                  <w:r>
                    <w:rPr>
                      <w:rFonts w:hint="eastAsia" w:asciiTheme="minorEastAsia" w:hAnsiTheme="minorEastAsia" w:eastAsiaTheme="minorEastAsia" w:cstheme="minorEastAsia"/>
                      <w:color w:val="auto"/>
                      <w:spacing w:val="0"/>
                      <w:position w:val="0"/>
                      <w:sz w:val="21"/>
                      <w:szCs w:val="21"/>
                      <w:shd w:val="clear" w:fill="auto"/>
                    </w:rPr>
                    <w:t>水泥厂</w:t>
                  </w:r>
                </w:p>
              </w:tc>
            </w:tr>
            <w:tr w14:paraId="5D71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380" w:type="pct"/>
                  <w:vAlign w:val="center"/>
                </w:tcPr>
                <w:p w14:paraId="5416FD4A">
                  <w:pPr>
                    <w:pStyle w:val="34"/>
                    <w:snapToGrid w:val="0"/>
                    <w:spacing w:line="240" w:lineRule="auto"/>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1003" w:type="pct"/>
                  <w:vAlign w:val="center"/>
                </w:tcPr>
                <w:p w14:paraId="0CA62C23">
                  <w:pPr>
                    <w:pStyle w:val="34"/>
                    <w:snapToGrid w:val="0"/>
                    <w:spacing w:line="240" w:lineRule="auto"/>
                    <w:ind w:firstLine="0" w:firstLineChars="0"/>
                    <w:jc w:val="center"/>
                    <w:rPr>
                      <w:rFonts w:hint="eastAsia" w:asciiTheme="minorEastAsia" w:hAnsiTheme="minorEastAsia" w:eastAsiaTheme="minorEastAsia" w:cstheme="minorEastAsia"/>
                      <w:color w:val="auto"/>
                      <w:kern w:val="24"/>
                      <w:sz w:val="21"/>
                      <w:szCs w:val="21"/>
                      <w:lang w:val="en-US" w:eastAsia="zh-CN" w:bidi="ar-SA"/>
                    </w:rPr>
                  </w:pPr>
                  <w:r>
                    <w:rPr>
                      <w:rFonts w:hint="eastAsia" w:asciiTheme="minorEastAsia" w:hAnsiTheme="minorEastAsia" w:eastAsiaTheme="minorEastAsia" w:cstheme="minorEastAsia"/>
                      <w:color w:val="auto"/>
                      <w:kern w:val="24"/>
                      <w:sz w:val="21"/>
                      <w:szCs w:val="21"/>
                      <w:lang w:val="en-US" w:eastAsia="zh-CN" w:bidi="ar-SA"/>
                    </w:rPr>
                    <w:t>钢筋</w:t>
                  </w:r>
                </w:p>
              </w:tc>
              <w:tc>
                <w:tcPr>
                  <w:tcW w:w="823" w:type="pct"/>
                  <w:vAlign w:val="center"/>
                </w:tcPr>
                <w:p w14:paraId="5721FA08">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pacing w:val="0"/>
                      <w:position w:val="0"/>
                      <w:sz w:val="21"/>
                      <w:szCs w:val="21"/>
                      <w:shd w:val="clear" w:fill="auto"/>
                      <w:lang w:val="en-US" w:eastAsia="zh-CN"/>
                    </w:rPr>
                    <w:t>130</w:t>
                  </w:r>
                  <w:r>
                    <w:rPr>
                      <w:rFonts w:hint="eastAsia" w:asciiTheme="minorEastAsia" w:hAnsiTheme="minorEastAsia" w:eastAsiaTheme="minorEastAsia" w:cstheme="minorEastAsia"/>
                      <w:color w:val="auto"/>
                      <w:spacing w:val="0"/>
                      <w:position w:val="0"/>
                      <w:sz w:val="21"/>
                      <w:szCs w:val="21"/>
                      <w:shd w:val="clear" w:fill="auto"/>
                    </w:rPr>
                    <w:t>t</w:t>
                  </w:r>
                </w:p>
              </w:tc>
              <w:tc>
                <w:tcPr>
                  <w:tcW w:w="876" w:type="pct"/>
                  <w:vAlign w:val="center"/>
                </w:tcPr>
                <w:p w14:paraId="18BDA0AF">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pacing w:val="0"/>
                      <w:position w:val="0"/>
                      <w:sz w:val="21"/>
                      <w:szCs w:val="21"/>
                      <w:shd w:val="clear" w:fill="auto"/>
                      <w:lang w:val="en-US" w:eastAsia="zh-CN"/>
                    </w:rPr>
                    <w:t>7</w:t>
                  </w:r>
                  <w:r>
                    <w:rPr>
                      <w:rFonts w:hint="eastAsia" w:asciiTheme="minorEastAsia" w:hAnsiTheme="minorEastAsia" w:eastAsiaTheme="minorEastAsia" w:cstheme="minorEastAsia"/>
                      <w:color w:val="auto"/>
                      <w:spacing w:val="0"/>
                      <w:position w:val="0"/>
                      <w:sz w:val="21"/>
                      <w:szCs w:val="21"/>
                      <w:shd w:val="clear" w:fill="auto"/>
                    </w:rPr>
                    <w:t>t</w:t>
                  </w:r>
                </w:p>
              </w:tc>
              <w:tc>
                <w:tcPr>
                  <w:tcW w:w="952" w:type="pct"/>
                  <w:vAlign w:val="center"/>
                </w:tcPr>
                <w:p w14:paraId="0322C476">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pacing w:val="0"/>
                      <w:position w:val="0"/>
                      <w:sz w:val="21"/>
                      <w:szCs w:val="21"/>
                      <w:shd w:val="clear" w:fill="auto"/>
                    </w:rPr>
                    <w:t>捆</w:t>
                  </w:r>
                </w:p>
              </w:tc>
              <w:tc>
                <w:tcPr>
                  <w:tcW w:w="964" w:type="pct"/>
                  <w:vAlign w:val="center"/>
                </w:tcPr>
                <w:p w14:paraId="58E857D9">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spacing w:val="0"/>
                      <w:position w:val="0"/>
                      <w:sz w:val="21"/>
                      <w:szCs w:val="21"/>
                      <w:shd w:val="clear" w:fill="auto"/>
                    </w:rPr>
                    <w:t>市场购入</w:t>
                  </w:r>
                </w:p>
              </w:tc>
            </w:tr>
            <w:tr w14:paraId="3666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80" w:type="pct"/>
                  <w:vAlign w:val="center"/>
                </w:tcPr>
                <w:p w14:paraId="4494933E">
                  <w:pPr>
                    <w:pStyle w:val="34"/>
                    <w:snapToGrid w:val="0"/>
                    <w:spacing w:line="240" w:lineRule="auto"/>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1003" w:type="pct"/>
                  <w:vAlign w:val="center"/>
                </w:tcPr>
                <w:p w14:paraId="1C049F33">
                  <w:pPr>
                    <w:pStyle w:val="34"/>
                    <w:snapToGrid w:val="0"/>
                    <w:spacing w:line="240" w:lineRule="auto"/>
                    <w:ind w:firstLine="0" w:firstLineChars="0"/>
                    <w:jc w:val="center"/>
                    <w:rPr>
                      <w:rFonts w:hint="eastAsia" w:asciiTheme="minorEastAsia" w:hAnsiTheme="minorEastAsia" w:eastAsiaTheme="minorEastAsia" w:cstheme="minorEastAsia"/>
                      <w:color w:val="auto"/>
                      <w:kern w:val="24"/>
                      <w:sz w:val="21"/>
                      <w:szCs w:val="21"/>
                      <w:lang w:val="en-US" w:eastAsia="zh-CN" w:bidi="ar-SA"/>
                    </w:rPr>
                  </w:pPr>
                  <w:r>
                    <w:rPr>
                      <w:rFonts w:hint="eastAsia" w:asciiTheme="minorEastAsia" w:hAnsiTheme="minorEastAsia" w:eastAsiaTheme="minorEastAsia" w:cstheme="minorEastAsia"/>
                      <w:color w:val="auto"/>
                      <w:kern w:val="24"/>
                      <w:sz w:val="21"/>
                      <w:szCs w:val="21"/>
                      <w:lang w:val="en-US" w:eastAsia="zh-CN" w:bidi="ar-SA"/>
                    </w:rPr>
                    <w:t>绑扎丝</w:t>
                  </w:r>
                </w:p>
              </w:tc>
              <w:tc>
                <w:tcPr>
                  <w:tcW w:w="823" w:type="pct"/>
                  <w:vAlign w:val="center"/>
                </w:tcPr>
                <w:p w14:paraId="69B1F41B">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pacing w:val="0"/>
                      <w:position w:val="0"/>
                      <w:sz w:val="21"/>
                      <w:szCs w:val="21"/>
                      <w:shd w:val="clear" w:fill="auto"/>
                      <w:lang w:val="en-US" w:eastAsia="zh-CN"/>
                    </w:rPr>
                    <w:t>3.8</w:t>
                  </w:r>
                  <w:r>
                    <w:rPr>
                      <w:rFonts w:hint="eastAsia" w:asciiTheme="minorEastAsia" w:hAnsiTheme="minorEastAsia" w:eastAsiaTheme="minorEastAsia" w:cstheme="minorEastAsia"/>
                      <w:color w:val="auto"/>
                      <w:spacing w:val="0"/>
                      <w:position w:val="0"/>
                      <w:sz w:val="21"/>
                      <w:szCs w:val="21"/>
                      <w:shd w:val="clear" w:fill="auto"/>
                    </w:rPr>
                    <w:t>t</w:t>
                  </w:r>
                </w:p>
              </w:tc>
              <w:tc>
                <w:tcPr>
                  <w:tcW w:w="876" w:type="pct"/>
                  <w:vAlign w:val="center"/>
                </w:tcPr>
                <w:p w14:paraId="42E47F0B">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pacing w:val="0"/>
                      <w:position w:val="0"/>
                      <w:sz w:val="21"/>
                      <w:szCs w:val="21"/>
                      <w:shd w:val="clear" w:fill="auto"/>
                    </w:rPr>
                    <w:t>0.</w:t>
                  </w:r>
                  <w:r>
                    <w:rPr>
                      <w:rFonts w:hint="eastAsia" w:asciiTheme="minorEastAsia" w:hAnsiTheme="minorEastAsia" w:eastAsiaTheme="minorEastAsia" w:cstheme="minorEastAsia"/>
                      <w:color w:val="auto"/>
                      <w:spacing w:val="0"/>
                      <w:position w:val="0"/>
                      <w:sz w:val="21"/>
                      <w:szCs w:val="21"/>
                      <w:shd w:val="clear" w:fill="auto"/>
                      <w:lang w:val="en-US" w:eastAsia="zh-CN"/>
                    </w:rPr>
                    <w:t>4</w:t>
                  </w:r>
                  <w:r>
                    <w:rPr>
                      <w:rFonts w:hint="eastAsia" w:asciiTheme="minorEastAsia" w:hAnsiTheme="minorEastAsia" w:eastAsiaTheme="minorEastAsia" w:cstheme="minorEastAsia"/>
                      <w:color w:val="auto"/>
                      <w:spacing w:val="0"/>
                      <w:position w:val="0"/>
                      <w:sz w:val="21"/>
                      <w:szCs w:val="21"/>
                      <w:shd w:val="clear" w:fill="auto"/>
                    </w:rPr>
                    <w:t>t</w:t>
                  </w:r>
                </w:p>
              </w:tc>
              <w:tc>
                <w:tcPr>
                  <w:tcW w:w="952" w:type="pct"/>
                  <w:vAlign w:val="center"/>
                </w:tcPr>
                <w:p w14:paraId="48EC0CE9">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pacing w:val="0"/>
                      <w:position w:val="0"/>
                      <w:sz w:val="21"/>
                      <w:szCs w:val="21"/>
                      <w:shd w:val="clear" w:fill="auto"/>
                    </w:rPr>
                    <w:t>捆</w:t>
                  </w:r>
                </w:p>
              </w:tc>
              <w:tc>
                <w:tcPr>
                  <w:tcW w:w="964" w:type="pct"/>
                  <w:vAlign w:val="center"/>
                </w:tcPr>
                <w:p w14:paraId="5310FF3E">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spacing w:val="0"/>
                      <w:position w:val="0"/>
                      <w:sz w:val="21"/>
                      <w:szCs w:val="21"/>
                      <w:shd w:val="clear" w:fill="auto"/>
                    </w:rPr>
                    <w:t>市场购入</w:t>
                  </w:r>
                </w:p>
              </w:tc>
            </w:tr>
            <w:tr w14:paraId="18DE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380" w:type="pct"/>
                  <w:vAlign w:val="center"/>
                </w:tcPr>
                <w:p w14:paraId="54FB9120">
                  <w:pPr>
                    <w:pStyle w:val="34"/>
                    <w:snapToGrid w:val="0"/>
                    <w:spacing w:line="240" w:lineRule="auto"/>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1003" w:type="pct"/>
                  <w:vAlign w:val="center"/>
                </w:tcPr>
                <w:p w14:paraId="55C1DA6F">
                  <w:pPr>
                    <w:pStyle w:val="34"/>
                    <w:snapToGrid w:val="0"/>
                    <w:spacing w:line="240" w:lineRule="auto"/>
                    <w:ind w:firstLine="0" w:firstLineChars="0"/>
                    <w:jc w:val="center"/>
                    <w:rPr>
                      <w:rFonts w:hint="eastAsia" w:asciiTheme="minorEastAsia" w:hAnsiTheme="minorEastAsia" w:eastAsiaTheme="minorEastAsia" w:cstheme="minorEastAsia"/>
                      <w:color w:val="000000" w:themeColor="text1"/>
                      <w:kern w:val="24"/>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4"/>
                      <w:sz w:val="21"/>
                      <w:szCs w:val="21"/>
                      <w:lang w:val="en-US" w:eastAsia="zh-CN" w:bidi="ar-SA"/>
                      <w14:textFill>
                        <w14:solidFill>
                          <w14:schemeClr w14:val="tx1"/>
                        </w14:solidFill>
                      </w14:textFill>
                    </w:rPr>
                    <w:t>焊条</w:t>
                  </w:r>
                </w:p>
              </w:tc>
              <w:tc>
                <w:tcPr>
                  <w:tcW w:w="823" w:type="pct"/>
                  <w:vAlign w:val="center"/>
                </w:tcPr>
                <w:p w14:paraId="1EB51A1A">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1"/>
                      <w:szCs w:val="21"/>
                      <w:shd w:val="clear" w:fill="auto"/>
                      <w14:textFill>
                        <w14:solidFill>
                          <w14:schemeClr w14:val="tx1"/>
                        </w14:solidFill>
                      </w14:textFill>
                    </w:rPr>
                    <w:t>0.</w:t>
                  </w:r>
                  <w:r>
                    <w:rPr>
                      <w:rFonts w:hint="eastAsia" w:asciiTheme="minorEastAsia" w:hAnsiTheme="minorEastAsia" w:eastAsiaTheme="minorEastAsia" w:cstheme="minorEastAsia"/>
                      <w:color w:val="000000" w:themeColor="text1"/>
                      <w:spacing w:val="0"/>
                      <w:position w:val="0"/>
                      <w:sz w:val="21"/>
                      <w:szCs w:val="21"/>
                      <w:shd w:val="clear" w:fill="auto"/>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0"/>
                      <w:position w:val="0"/>
                      <w:sz w:val="21"/>
                      <w:szCs w:val="21"/>
                      <w:shd w:val="clear" w:fill="auto"/>
                      <w14:textFill>
                        <w14:solidFill>
                          <w14:schemeClr w14:val="tx1"/>
                        </w14:solidFill>
                      </w14:textFill>
                    </w:rPr>
                    <w:t>t</w:t>
                  </w:r>
                </w:p>
              </w:tc>
              <w:tc>
                <w:tcPr>
                  <w:tcW w:w="876" w:type="pct"/>
                  <w:vAlign w:val="center"/>
                </w:tcPr>
                <w:p w14:paraId="3E5104C4">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1"/>
                      <w:szCs w:val="21"/>
                      <w:shd w:val="clear" w:fill="auto"/>
                      <w14:textFill>
                        <w14:solidFill>
                          <w14:schemeClr w14:val="tx1"/>
                        </w14:solidFill>
                      </w14:textFill>
                    </w:rPr>
                    <w:t>0.02t</w:t>
                  </w:r>
                </w:p>
              </w:tc>
              <w:tc>
                <w:tcPr>
                  <w:tcW w:w="952" w:type="pct"/>
                  <w:vAlign w:val="center"/>
                </w:tcPr>
                <w:p w14:paraId="38658198">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pacing w:val="0"/>
                      <w:position w:val="0"/>
                      <w:sz w:val="21"/>
                      <w:szCs w:val="21"/>
                      <w:shd w:val="clear" w:fill="auto"/>
                    </w:rPr>
                    <w:t>捆</w:t>
                  </w:r>
                </w:p>
              </w:tc>
              <w:tc>
                <w:tcPr>
                  <w:tcW w:w="964" w:type="pct"/>
                  <w:vAlign w:val="center"/>
                </w:tcPr>
                <w:p w14:paraId="1CC324F7">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spacing w:val="0"/>
                      <w:position w:val="0"/>
                      <w:sz w:val="21"/>
                      <w:szCs w:val="21"/>
                      <w:shd w:val="clear" w:fill="auto"/>
                    </w:rPr>
                    <w:t>市场购入</w:t>
                  </w:r>
                </w:p>
              </w:tc>
            </w:tr>
            <w:tr w14:paraId="7FE4B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380" w:type="pct"/>
                  <w:vAlign w:val="center"/>
                </w:tcPr>
                <w:p w14:paraId="71ABDB3B">
                  <w:pPr>
                    <w:pStyle w:val="34"/>
                    <w:snapToGrid w:val="0"/>
                    <w:spacing w:line="240" w:lineRule="auto"/>
                    <w:ind w:firstLine="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w:t>
                  </w:r>
                </w:p>
              </w:tc>
              <w:tc>
                <w:tcPr>
                  <w:tcW w:w="1003" w:type="pct"/>
                  <w:vAlign w:val="center"/>
                </w:tcPr>
                <w:p w14:paraId="29DF960A">
                  <w:pPr>
                    <w:pStyle w:val="34"/>
                    <w:snapToGrid w:val="0"/>
                    <w:spacing w:line="240" w:lineRule="auto"/>
                    <w:ind w:firstLine="0" w:firstLineChars="0"/>
                    <w:jc w:val="center"/>
                    <w:rPr>
                      <w:rFonts w:hint="eastAsia" w:asciiTheme="minorEastAsia" w:hAnsiTheme="minorEastAsia" w:eastAsiaTheme="minorEastAsia" w:cstheme="minorEastAsia"/>
                      <w:color w:val="000000" w:themeColor="text1"/>
                      <w:kern w:val="24"/>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4"/>
                      <w:sz w:val="21"/>
                      <w:szCs w:val="21"/>
                      <w:lang w:val="en-US" w:eastAsia="zh-CN" w:bidi="ar-SA"/>
                      <w14:textFill>
                        <w14:solidFill>
                          <w14:schemeClr w14:val="tx1"/>
                        </w14:solidFill>
                      </w14:textFill>
                    </w:rPr>
                    <w:t>彩砖色素</w:t>
                  </w:r>
                </w:p>
              </w:tc>
              <w:tc>
                <w:tcPr>
                  <w:tcW w:w="823" w:type="pct"/>
                  <w:vAlign w:val="center"/>
                </w:tcPr>
                <w:p w14:paraId="3250050A">
                  <w:pPr>
                    <w:spacing w:before="0" w:after="0" w:line="240" w:lineRule="auto"/>
                    <w:ind w:left="0" w:leftChars="0" w:right="0" w:rightChars="0" w:firstLine="0" w:firstLineChars="0"/>
                    <w:jc w:val="center"/>
                    <w:rPr>
                      <w:rFonts w:hint="default" w:asciiTheme="minorEastAsia" w:hAnsiTheme="minorEastAsia" w:eastAsiaTheme="minorEastAsia" w:cstheme="minorEastAsia"/>
                      <w:color w:val="000000" w:themeColor="text1"/>
                      <w:spacing w:val="0"/>
                      <w:position w:val="0"/>
                      <w:sz w:val="21"/>
                      <w:szCs w:val="21"/>
                      <w:shd w:val="clear"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1"/>
                      <w:szCs w:val="21"/>
                      <w:shd w:val="clear" w:fill="auto"/>
                      <w:lang w:val="en-US" w:eastAsia="zh-CN"/>
                      <w14:textFill>
                        <w14:solidFill>
                          <w14:schemeClr w14:val="tx1"/>
                        </w14:solidFill>
                      </w14:textFill>
                    </w:rPr>
                    <w:t>3.6t</w:t>
                  </w:r>
                </w:p>
              </w:tc>
              <w:tc>
                <w:tcPr>
                  <w:tcW w:w="876" w:type="pct"/>
                  <w:vAlign w:val="center"/>
                </w:tcPr>
                <w:p w14:paraId="3A0CFD59">
                  <w:pPr>
                    <w:spacing w:before="0" w:after="0" w:line="240" w:lineRule="auto"/>
                    <w:ind w:left="0" w:leftChars="0" w:right="0" w:rightChars="0" w:firstLine="0" w:firstLineChars="0"/>
                    <w:jc w:val="center"/>
                    <w:rPr>
                      <w:rFonts w:hint="default" w:asciiTheme="minorEastAsia" w:hAnsiTheme="minorEastAsia" w:eastAsiaTheme="minorEastAsia" w:cstheme="minorEastAsia"/>
                      <w:color w:val="000000" w:themeColor="text1"/>
                      <w:spacing w:val="0"/>
                      <w:position w:val="0"/>
                      <w:sz w:val="21"/>
                      <w:szCs w:val="21"/>
                      <w:shd w:val="clear"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1"/>
                      <w:szCs w:val="21"/>
                      <w:shd w:val="clear" w:fill="auto"/>
                      <w:lang w:val="en-US" w:eastAsia="zh-CN"/>
                      <w14:textFill>
                        <w14:solidFill>
                          <w14:schemeClr w14:val="tx1"/>
                        </w14:solidFill>
                      </w14:textFill>
                    </w:rPr>
                    <w:t>0.35t</w:t>
                  </w:r>
                </w:p>
              </w:tc>
              <w:tc>
                <w:tcPr>
                  <w:tcW w:w="952" w:type="pct"/>
                  <w:vAlign w:val="center"/>
                </w:tcPr>
                <w:p w14:paraId="6BCFC5C2">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spacing w:val="0"/>
                      <w:position w:val="0"/>
                      <w:sz w:val="21"/>
                      <w:szCs w:val="21"/>
                      <w:shd w:val="clear" w:fill="auto"/>
                      <w:lang w:eastAsia="zh-CN"/>
                    </w:rPr>
                  </w:pPr>
                  <w:r>
                    <w:rPr>
                      <w:rFonts w:hint="eastAsia" w:asciiTheme="minorEastAsia" w:hAnsiTheme="minorEastAsia" w:eastAsiaTheme="minorEastAsia" w:cstheme="minorEastAsia"/>
                      <w:color w:val="auto"/>
                      <w:spacing w:val="0"/>
                      <w:position w:val="0"/>
                      <w:sz w:val="21"/>
                      <w:szCs w:val="21"/>
                      <w:shd w:val="clear" w:fill="auto"/>
                      <w:lang w:eastAsia="zh-CN"/>
                    </w:rPr>
                    <w:t>袋</w:t>
                  </w:r>
                  <w:r>
                    <w:rPr>
                      <w:rFonts w:hint="eastAsia" w:asciiTheme="minorEastAsia" w:hAnsiTheme="minorEastAsia" w:eastAsiaTheme="minorEastAsia" w:cstheme="minorEastAsia"/>
                      <w:color w:val="auto"/>
                      <w:spacing w:val="0"/>
                      <w:position w:val="0"/>
                      <w:sz w:val="21"/>
                      <w:szCs w:val="21"/>
                      <w:shd w:val="clear" w:fill="auto"/>
                    </w:rPr>
                    <w:t>装</w:t>
                  </w:r>
                  <w:r>
                    <w:rPr>
                      <w:rFonts w:hint="eastAsia" w:asciiTheme="minorEastAsia" w:hAnsiTheme="minorEastAsia" w:eastAsiaTheme="minorEastAsia" w:cstheme="minorEastAsia"/>
                      <w:color w:val="auto"/>
                      <w:spacing w:val="0"/>
                      <w:position w:val="0"/>
                      <w:sz w:val="21"/>
                      <w:szCs w:val="21"/>
                      <w:shd w:val="clear" w:fill="auto"/>
                      <w:lang w:eastAsia="zh-CN"/>
                    </w:rPr>
                    <w:t>（</w:t>
                  </w:r>
                  <w:r>
                    <w:rPr>
                      <w:rFonts w:hint="eastAsia" w:asciiTheme="minorEastAsia" w:hAnsiTheme="minorEastAsia" w:eastAsiaTheme="minorEastAsia" w:cstheme="minorEastAsia"/>
                      <w:color w:val="auto"/>
                      <w:spacing w:val="0"/>
                      <w:position w:val="0"/>
                      <w:sz w:val="21"/>
                      <w:szCs w:val="21"/>
                      <w:shd w:val="clear" w:fill="auto"/>
                    </w:rPr>
                    <w:t>2</w:t>
                  </w:r>
                  <w:r>
                    <w:rPr>
                      <w:rFonts w:hint="eastAsia" w:asciiTheme="minorEastAsia" w:hAnsiTheme="minorEastAsia" w:eastAsiaTheme="minorEastAsia" w:cstheme="minorEastAsia"/>
                      <w:color w:val="auto"/>
                      <w:spacing w:val="0"/>
                      <w:position w:val="0"/>
                      <w:sz w:val="21"/>
                      <w:szCs w:val="21"/>
                      <w:shd w:val="clear" w:fill="auto"/>
                      <w:lang w:val="en-US" w:eastAsia="zh-CN"/>
                    </w:rPr>
                    <w:t>5kg</w:t>
                  </w:r>
                  <w:r>
                    <w:rPr>
                      <w:rFonts w:hint="eastAsia" w:asciiTheme="minorEastAsia" w:hAnsiTheme="minorEastAsia" w:eastAsiaTheme="minorEastAsia" w:cstheme="minorEastAsia"/>
                      <w:color w:val="auto"/>
                      <w:spacing w:val="0"/>
                      <w:position w:val="0"/>
                      <w:sz w:val="21"/>
                      <w:szCs w:val="21"/>
                      <w:shd w:val="clear" w:fill="auto"/>
                    </w:rPr>
                    <w:t>/</w:t>
                  </w:r>
                  <w:r>
                    <w:rPr>
                      <w:rFonts w:hint="eastAsia" w:asciiTheme="minorEastAsia" w:hAnsiTheme="minorEastAsia" w:eastAsiaTheme="minorEastAsia" w:cstheme="minorEastAsia"/>
                      <w:color w:val="auto"/>
                      <w:spacing w:val="0"/>
                      <w:position w:val="0"/>
                      <w:sz w:val="21"/>
                      <w:szCs w:val="21"/>
                      <w:shd w:val="clear" w:fill="auto"/>
                      <w:lang w:eastAsia="zh-CN"/>
                    </w:rPr>
                    <w:t>袋）</w:t>
                  </w:r>
                </w:p>
              </w:tc>
              <w:tc>
                <w:tcPr>
                  <w:tcW w:w="964" w:type="pct"/>
                  <w:vAlign w:val="center"/>
                </w:tcPr>
                <w:p w14:paraId="7AF315C5">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auto"/>
                      <w:spacing w:val="0"/>
                      <w:position w:val="0"/>
                      <w:sz w:val="21"/>
                      <w:szCs w:val="21"/>
                      <w:shd w:val="clear" w:fill="auto"/>
                    </w:rPr>
                    <w:t>市场购入</w:t>
                  </w:r>
                </w:p>
              </w:tc>
            </w:tr>
            <w:tr w14:paraId="3775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380" w:type="pct"/>
                  <w:vAlign w:val="center"/>
                </w:tcPr>
                <w:p w14:paraId="7D4288C0">
                  <w:pPr>
                    <w:pStyle w:val="34"/>
                    <w:snapToGrid w:val="0"/>
                    <w:spacing w:line="240" w:lineRule="auto"/>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w:t>
                  </w:r>
                </w:p>
              </w:tc>
              <w:tc>
                <w:tcPr>
                  <w:tcW w:w="1003" w:type="pct"/>
                  <w:vAlign w:val="center"/>
                </w:tcPr>
                <w:p w14:paraId="01775279">
                  <w:pPr>
                    <w:pStyle w:val="34"/>
                    <w:snapToGrid w:val="0"/>
                    <w:spacing w:line="240" w:lineRule="auto"/>
                    <w:ind w:firstLine="0" w:firstLineChars="0"/>
                    <w:jc w:val="center"/>
                    <w:rPr>
                      <w:rFonts w:hint="eastAsia" w:asciiTheme="minorEastAsia" w:hAnsiTheme="minorEastAsia" w:eastAsiaTheme="minorEastAsia" w:cstheme="minorEastAsia"/>
                      <w:color w:val="auto"/>
                      <w:kern w:val="24"/>
                      <w:sz w:val="21"/>
                      <w:szCs w:val="21"/>
                      <w:lang w:val="en-US" w:eastAsia="zh-CN" w:bidi="ar-SA"/>
                    </w:rPr>
                  </w:pPr>
                  <w:r>
                    <w:rPr>
                      <w:rFonts w:hint="eastAsia" w:asciiTheme="minorEastAsia" w:hAnsiTheme="minorEastAsia" w:eastAsiaTheme="minorEastAsia" w:cstheme="minorEastAsia"/>
                      <w:color w:val="auto"/>
                      <w:kern w:val="24"/>
                      <w:sz w:val="21"/>
                      <w:szCs w:val="21"/>
                      <w:lang w:val="en-US" w:eastAsia="zh-CN" w:bidi="ar-SA"/>
                    </w:rPr>
                    <w:t>脱模剂</w:t>
                  </w:r>
                </w:p>
              </w:tc>
              <w:tc>
                <w:tcPr>
                  <w:tcW w:w="823" w:type="pct"/>
                  <w:vAlign w:val="center"/>
                </w:tcPr>
                <w:p w14:paraId="72D33E14">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pacing w:val="0"/>
                      <w:position w:val="0"/>
                      <w:sz w:val="21"/>
                      <w:szCs w:val="21"/>
                      <w:shd w:val="clear" w:fill="auto"/>
                      <w:lang w:val="en-US" w:eastAsia="zh-CN"/>
                    </w:rPr>
                    <w:t>5</w:t>
                  </w:r>
                  <w:r>
                    <w:rPr>
                      <w:rFonts w:hint="eastAsia" w:asciiTheme="minorEastAsia" w:hAnsiTheme="minorEastAsia" w:eastAsiaTheme="minorEastAsia" w:cstheme="minorEastAsia"/>
                      <w:color w:val="auto"/>
                      <w:spacing w:val="0"/>
                      <w:position w:val="0"/>
                      <w:sz w:val="21"/>
                      <w:szCs w:val="21"/>
                      <w:shd w:val="clear" w:fill="auto"/>
                    </w:rPr>
                    <w:t>桶</w:t>
                  </w:r>
                </w:p>
              </w:tc>
              <w:tc>
                <w:tcPr>
                  <w:tcW w:w="876" w:type="pct"/>
                  <w:vAlign w:val="center"/>
                </w:tcPr>
                <w:p w14:paraId="6DA6193F">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pacing w:val="0"/>
                      <w:position w:val="0"/>
                      <w:sz w:val="21"/>
                      <w:szCs w:val="21"/>
                      <w:shd w:val="clear" w:fill="auto"/>
                      <w:lang w:val="en-US" w:eastAsia="zh-CN"/>
                    </w:rPr>
                    <w:t>2</w:t>
                  </w:r>
                  <w:r>
                    <w:rPr>
                      <w:rFonts w:hint="eastAsia" w:asciiTheme="minorEastAsia" w:hAnsiTheme="minorEastAsia" w:eastAsiaTheme="minorEastAsia" w:cstheme="minorEastAsia"/>
                      <w:color w:val="auto"/>
                      <w:spacing w:val="0"/>
                      <w:position w:val="0"/>
                      <w:sz w:val="21"/>
                      <w:szCs w:val="21"/>
                      <w:shd w:val="clear" w:fill="auto"/>
                    </w:rPr>
                    <w:t>桶</w:t>
                  </w:r>
                </w:p>
              </w:tc>
              <w:tc>
                <w:tcPr>
                  <w:tcW w:w="952" w:type="pct"/>
                  <w:vAlign w:val="center"/>
                </w:tcPr>
                <w:p w14:paraId="6C605EC5">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pacing w:val="0"/>
                      <w:position w:val="0"/>
                      <w:sz w:val="21"/>
                      <w:szCs w:val="21"/>
                      <w:shd w:val="clear" w:fill="auto"/>
                    </w:rPr>
                    <w:t>桶装（200L/桶）</w:t>
                  </w:r>
                </w:p>
              </w:tc>
              <w:tc>
                <w:tcPr>
                  <w:tcW w:w="964" w:type="pct"/>
                  <w:vAlign w:val="center"/>
                </w:tcPr>
                <w:p w14:paraId="41AD6C1E">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spacing w:val="0"/>
                      <w:position w:val="0"/>
                      <w:sz w:val="21"/>
                      <w:szCs w:val="21"/>
                      <w:shd w:val="clear" w:fill="auto"/>
                    </w:rPr>
                    <w:t>市场购入</w:t>
                  </w:r>
                </w:p>
              </w:tc>
            </w:tr>
            <w:tr w14:paraId="6B9B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0" w:type="pct"/>
                  <w:vAlign w:val="center"/>
                </w:tcPr>
                <w:p w14:paraId="6512519C">
                  <w:pPr>
                    <w:pStyle w:val="34"/>
                    <w:snapToGrid w:val="0"/>
                    <w:spacing w:line="240" w:lineRule="auto"/>
                    <w:ind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w:t>
                  </w:r>
                </w:p>
              </w:tc>
              <w:tc>
                <w:tcPr>
                  <w:tcW w:w="1003" w:type="pct"/>
                  <w:vAlign w:val="center"/>
                </w:tcPr>
                <w:p w14:paraId="7251E209">
                  <w:pPr>
                    <w:pStyle w:val="34"/>
                    <w:snapToGrid w:val="0"/>
                    <w:spacing w:line="240" w:lineRule="auto"/>
                    <w:ind w:firstLine="0" w:firstLineChars="0"/>
                    <w:jc w:val="center"/>
                    <w:rPr>
                      <w:rFonts w:hint="eastAsia" w:asciiTheme="minorEastAsia" w:hAnsiTheme="minorEastAsia" w:eastAsiaTheme="minorEastAsia" w:cstheme="minorEastAsia"/>
                      <w:color w:val="000000" w:themeColor="text1"/>
                      <w:kern w:val="24"/>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水</w:t>
                  </w:r>
                </w:p>
              </w:tc>
              <w:tc>
                <w:tcPr>
                  <w:tcW w:w="823" w:type="pct"/>
                  <w:vAlign w:val="center"/>
                </w:tcPr>
                <w:p w14:paraId="19D62777">
                  <w:pPr>
                    <w:autoSpaceDE w:val="0"/>
                    <w:autoSpaceDN w:val="0"/>
                    <w:adjustRightInd w:val="0"/>
                    <w:spacing w:line="240" w:lineRule="auto"/>
                    <w:jc w:val="center"/>
                    <w:rPr>
                      <w:rFonts w:hint="eastAsia" w:asciiTheme="minorEastAsia" w:hAnsiTheme="minorEastAsia" w:eastAsiaTheme="minorEastAsia" w:cstheme="minorEastAsia"/>
                      <w:color w:val="000000" w:themeColor="text1"/>
                      <w:spacing w:val="0"/>
                      <w:position w:val="0"/>
                      <w:sz w:val="21"/>
                      <w:szCs w:val="21"/>
                      <w:shd w:val="clear" w:fill="auto"/>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10082.2</w:t>
                  </w:r>
                  <w:r>
                    <w:rPr>
                      <w:rFonts w:hint="eastAsia" w:asciiTheme="minorEastAsia" w:hAnsiTheme="minorEastAsia" w:eastAsiaTheme="minorEastAsia" w:cstheme="minorEastAsia"/>
                      <w:color w:val="000000" w:themeColor="text1"/>
                      <w:sz w:val="21"/>
                      <w:szCs w:val="21"/>
                      <w14:textFill>
                        <w14:solidFill>
                          <w14:schemeClr w14:val="tx1"/>
                        </w14:solidFill>
                      </w14:textFill>
                    </w:rPr>
                    <w:t>m</w:t>
                  </w:r>
                  <w:r>
                    <w:rPr>
                      <w:rFonts w:hint="eastAsia" w:asciiTheme="minorEastAsia" w:hAnsiTheme="minorEastAsia" w:eastAsiaTheme="minorEastAsia" w:cstheme="minorEastAsia"/>
                      <w:color w:val="000000" w:themeColor="text1"/>
                      <w:sz w:val="21"/>
                      <w:szCs w:val="21"/>
                      <w:vertAlign w:val="superscript"/>
                      <w14:textFill>
                        <w14:solidFill>
                          <w14:schemeClr w14:val="tx1"/>
                        </w14:solidFill>
                      </w14:textFill>
                    </w:rPr>
                    <w:t>3</w:t>
                  </w:r>
                  <w:r>
                    <w:rPr>
                      <w:rFonts w:hint="eastAsia" w:asciiTheme="minorEastAsia" w:hAnsiTheme="minorEastAsia" w:eastAsiaTheme="minorEastAsia" w:cstheme="minorEastAsia"/>
                      <w:color w:val="000000" w:themeColor="text1"/>
                      <w:sz w:val="21"/>
                      <w:szCs w:val="21"/>
                      <w14:textFill>
                        <w14:solidFill>
                          <w14:schemeClr w14:val="tx1"/>
                        </w14:solidFill>
                      </w14:textFill>
                    </w:rPr>
                    <w:t>/a</w:t>
                  </w:r>
                </w:p>
              </w:tc>
              <w:tc>
                <w:tcPr>
                  <w:tcW w:w="876" w:type="pct"/>
                  <w:vAlign w:val="center"/>
                </w:tcPr>
                <w:p w14:paraId="1C8313CD">
                  <w:pPr>
                    <w:pStyle w:val="34"/>
                    <w:snapToGrid w:val="0"/>
                    <w:spacing w:line="240" w:lineRule="auto"/>
                    <w:ind w:firstLine="0" w:firstLineChars="0"/>
                    <w:jc w:val="center"/>
                    <w:rPr>
                      <w:rFonts w:hint="eastAsia" w:asciiTheme="minorEastAsia" w:hAnsiTheme="minorEastAsia" w:eastAsiaTheme="minorEastAsia" w:cstheme="minorEastAsia"/>
                      <w:color w:val="000000" w:themeColor="text1"/>
                      <w:spacing w:val="0"/>
                      <w:position w:val="0"/>
                      <w:sz w:val="21"/>
                      <w:szCs w:val="21"/>
                      <w:shd w:val="clear" w:fill="auto"/>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c>
                <w:tcPr>
                  <w:tcW w:w="952" w:type="pct"/>
                  <w:vAlign w:val="center"/>
                </w:tcPr>
                <w:p w14:paraId="05782A56">
                  <w:pPr>
                    <w:pStyle w:val="34"/>
                    <w:snapToGrid w:val="0"/>
                    <w:spacing w:line="240" w:lineRule="auto"/>
                    <w:ind w:firstLine="0" w:firstLineChars="0"/>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auto"/>
                      <w:sz w:val="21"/>
                      <w:szCs w:val="21"/>
                    </w:rPr>
                    <w:t>/</w:t>
                  </w:r>
                </w:p>
              </w:tc>
              <w:tc>
                <w:tcPr>
                  <w:tcW w:w="964" w:type="pct"/>
                  <w:vAlign w:val="center"/>
                </w:tcPr>
                <w:p w14:paraId="5C1A4C36">
                  <w:pPr>
                    <w:pStyle w:val="34"/>
                    <w:snapToGrid w:val="0"/>
                    <w:spacing w:line="240" w:lineRule="auto"/>
                    <w:ind w:firstLine="0" w:firstLineChars="0"/>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auto"/>
                      <w:kern w:val="0"/>
                      <w:sz w:val="21"/>
                      <w:szCs w:val="21"/>
                      <w:lang w:bidi="ar"/>
                    </w:rPr>
                    <w:t>自来水供给</w:t>
                  </w:r>
                </w:p>
              </w:tc>
            </w:tr>
            <w:tr w14:paraId="14ED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80" w:type="pct"/>
                  <w:vAlign w:val="center"/>
                </w:tcPr>
                <w:p w14:paraId="31C6233D">
                  <w:pPr>
                    <w:pStyle w:val="34"/>
                    <w:snapToGrid w:val="0"/>
                    <w:spacing w:line="240" w:lineRule="auto"/>
                    <w:ind w:firstLine="0" w:firstLineChars="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10 </w:t>
                  </w:r>
                </w:p>
              </w:tc>
              <w:tc>
                <w:tcPr>
                  <w:tcW w:w="1003" w:type="pct"/>
                  <w:vAlign w:val="center"/>
                </w:tcPr>
                <w:p w14:paraId="41AF5CDF">
                  <w:pPr>
                    <w:pStyle w:val="34"/>
                    <w:snapToGrid w:val="0"/>
                    <w:spacing w:line="240" w:lineRule="auto"/>
                    <w:ind w:firstLine="0" w:firstLineChars="0"/>
                    <w:jc w:val="center"/>
                    <w:rPr>
                      <w:rFonts w:hint="eastAsia" w:asciiTheme="minorEastAsia" w:hAnsiTheme="minorEastAsia" w:eastAsiaTheme="minorEastAsia" w:cstheme="minorEastAsia"/>
                      <w:color w:val="auto"/>
                      <w:kern w:val="24"/>
                      <w:sz w:val="21"/>
                      <w:szCs w:val="21"/>
                      <w:lang w:val="en-US" w:eastAsia="zh-CN" w:bidi="ar-SA"/>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电</w:t>
                  </w:r>
                </w:p>
              </w:tc>
              <w:tc>
                <w:tcPr>
                  <w:tcW w:w="823" w:type="pct"/>
                  <w:vAlign w:val="center"/>
                </w:tcPr>
                <w:p w14:paraId="41E0E394">
                  <w:pPr>
                    <w:autoSpaceDE w:val="0"/>
                    <w:autoSpaceDN w:val="0"/>
                    <w:adjustRightInd w:val="0"/>
                    <w:spacing w:line="240" w:lineRule="auto"/>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2400</w:t>
                  </w:r>
                  <w:r>
                    <w:rPr>
                      <w:rFonts w:hint="eastAsia" w:asciiTheme="minorEastAsia" w:hAnsiTheme="minorEastAsia" w:eastAsiaTheme="minorEastAsia" w:cstheme="minorEastAsia"/>
                      <w:color w:val="000000" w:themeColor="text1"/>
                      <w:sz w:val="21"/>
                      <w:szCs w:val="21"/>
                      <w14:textFill>
                        <w14:solidFill>
                          <w14:schemeClr w14:val="tx1"/>
                        </w14:solidFill>
                      </w14:textFill>
                    </w:rPr>
                    <w:t>kWh/a</w:t>
                  </w:r>
                </w:p>
              </w:tc>
              <w:tc>
                <w:tcPr>
                  <w:tcW w:w="876" w:type="pct"/>
                  <w:vAlign w:val="center"/>
                </w:tcPr>
                <w:p w14:paraId="239D444D">
                  <w:pPr>
                    <w:pStyle w:val="34"/>
                    <w:snapToGrid w:val="0"/>
                    <w:spacing w:line="240" w:lineRule="auto"/>
                    <w:ind w:firstLine="0" w:firstLineChars="0"/>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c>
                <w:tcPr>
                  <w:tcW w:w="952" w:type="pct"/>
                  <w:vAlign w:val="center"/>
                </w:tcPr>
                <w:p w14:paraId="1B9200C0">
                  <w:pPr>
                    <w:pStyle w:val="34"/>
                    <w:snapToGrid w:val="0"/>
                    <w:spacing w:line="240" w:lineRule="auto"/>
                    <w:ind w:firstLine="0" w:firstLineChars="0"/>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c>
                <w:tcPr>
                  <w:tcW w:w="964" w:type="pct"/>
                  <w:vAlign w:val="center"/>
                </w:tcPr>
                <w:p w14:paraId="0985B5DB">
                  <w:pPr>
                    <w:pStyle w:val="34"/>
                    <w:snapToGrid w:val="0"/>
                    <w:spacing w:line="240" w:lineRule="auto"/>
                    <w:ind w:firstLine="0" w:firstLineChars="0"/>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市政电网供给</w:t>
                  </w:r>
                </w:p>
              </w:tc>
            </w:tr>
          </w:tbl>
          <w:p w14:paraId="7B6B47F9">
            <w:pPr>
              <w:numPr>
                <w:ilvl w:val="0"/>
                <w:numId w:val="0"/>
              </w:numPr>
              <w:adjustRightInd w:val="0"/>
              <w:snapToGrid w:val="0"/>
              <w:ind w:firstLine="482" w:firstLineChars="200"/>
              <w:rPr>
                <w:rFonts w:hint="eastAsia" w:ascii="Times New Roman" w:hAnsi="Times New Roman"/>
                <w:b/>
                <w:bCs/>
                <w:color w:val="auto"/>
                <w:kern w:val="0"/>
                <w:lang w:eastAsia="zh-CN" w:bidi="ar"/>
              </w:rPr>
            </w:pPr>
            <w:r>
              <w:rPr>
                <w:rFonts w:hint="eastAsia"/>
                <w:b/>
                <w:bCs/>
                <w:color w:val="auto"/>
                <w:kern w:val="0"/>
                <w:lang w:eastAsia="zh-CN" w:bidi="ar"/>
              </w:rPr>
              <w:t>彩砖色素：</w:t>
            </w:r>
          </w:p>
          <w:p w14:paraId="2012D920">
            <w:pPr>
              <w:spacing w:line="360" w:lineRule="auto"/>
              <w:ind w:firstLine="480" w:firstLineChars="200"/>
              <w:rPr>
                <w:rFonts w:hint="eastAsia" w:ascii="Times New Roman" w:hAnsi="Times New Roman"/>
                <w:b/>
                <w:bCs/>
                <w:color w:val="auto"/>
                <w:kern w:val="0"/>
                <w:lang w:eastAsia="zh-CN" w:bidi="ar"/>
              </w:rPr>
            </w:pPr>
            <w:r>
              <w:rPr>
                <w:rFonts w:hint="eastAsia" w:asciiTheme="majorEastAsia" w:hAnsiTheme="majorEastAsia" w:eastAsiaTheme="majorEastAsia" w:cstheme="majorEastAsia"/>
                <w:snapToGrid w:val="0"/>
                <w:color w:val="auto"/>
                <w:kern w:val="0"/>
                <w:sz w:val="24"/>
              </w:rPr>
              <w:t>根据市场需求，将需要进行着色的砖坯送入</w:t>
            </w:r>
            <w:r>
              <w:rPr>
                <w:rFonts w:hint="eastAsia" w:asciiTheme="majorEastAsia" w:hAnsiTheme="majorEastAsia" w:eastAsiaTheme="majorEastAsia" w:cstheme="majorEastAsia"/>
                <w:snapToGrid w:val="0"/>
                <w:color w:val="auto"/>
                <w:kern w:val="0"/>
                <w:sz w:val="24"/>
                <w:lang w:eastAsia="zh-CN"/>
              </w:rPr>
              <w:t>彩砖模具</w:t>
            </w:r>
            <w:r>
              <w:rPr>
                <w:rFonts w:hint="eastAsia" w:asciiTheme="majorEastAsia" w:hAnsiTheme="majorEastAsia" w:eastAsiaTheme="majorEastAsia" w:cstheme="majorEastAsia"/>
                <w:snapToGrid w:val="0"/>
                <w:color w:val="auto"/>
                <w:kern w:val="0"/>
                <w:sz w:val="24"/>
              </w:rPr>
              <w:t>进行着色，彩色砖的彩色面料主要为氧化铁</w:t>
            </w:r>
            <w:r>
              <w:rPr>
                <w:rFonts w:hint="eastAsia" w:asciiTheme="majorEastAsia" w:hAnsiTheme="majorEastAsia" w:eastAsiaTheme="majorEastAsia" w:cstheme="majorEastAsia"/>
                <w:snapToGrid w:val="0"/>
                <w:color w:val="auto"/>
                <w:kern w:val="0"/>
                <w:sz w:val="24"/>
                <w:szCs w:val="24"/>
              </w:rPr>
              <w:t>（</w:t>
            </w:r>
            <w:r>
              <w:rPr>
                <w:rFonts w:hint="eastAsia" w:asciiTheme="majorEastAsia" w:hAnsiTheme="majorEastAsia" w:eastAsiaTheme="majorEastAsia" w:cstheme="majorEastAsia"/>
                <w:color w:val="auto"/>
                <w:sz w:val="24"/>
                <w:szCs w:val="24"/>
              </w:rPr>
              <w:t>Fe</w:t>
            </w:r>
            <w:r>
              <w:rPr>
                <w:rFonts w:hint="eastAsia" w:asciiTheme="majorEastAsia" w:hAnsiTheme="majorEastAsia" w:eastAsiaTheme="majorEastAsia" w:cstheme="majorEastAsia"/>
                <w:color w:val="auto"/>
                <w:sz w:val="24"/>
                <w:szCs w:val="24"/>
                <w:vertAlign w:val="subscript"/>
              </w:rPr>
              <w:t>2</w:t>
            </w:r>
            <w:r>
              <w:rPr>
                <w:rFonts w:hint="eastAsia" w:asciiTheme="majorEastAsia" w:hAnsiTheme="majorEastAsia" w:eastAsiaTheme="majorEastAsia" w:cstheme="majorEastAsia"/>
                <w:color w:val="auto"/>
                <w:sz w:val="24"/>
                <w:szCs w:val="24"/>
              </w:rPr>
              <w:t>O</w:t>
            </w:r>
            <w:r>
              <w:rPr>
                <w:rFonts w:hint="eastAsia" w:asciiTheme="majorEastAsia" w:hAnsiTheme="majorEastAsia" w:eastAsiaTheme="majorEastAsia" w:cstheme="majorEastAsia"/>
                <w:color w:val="auto"/>
                <w:sz w:val="24"/>
                <w:szCs w:val="24"/>
                <w:vertAlign w:val="subscript"/>
              </w:rPr>
              <w:t>3</w:t>
            </w:r>
            <w:r>
              <w:rPr>
                <w:rFonts w:hint="eastAsia" w:asciiTheme="majorEastAsia" w:hAnsiTheme="majorEastAsia" w:eastAsiaTheme="majorEastAsia" w:cstheme="majorEastAsia"/>
                <w:snapToGrid w:val="0"/>
                <w:color w:val="auto"/>
                <w:kern w:val="0"/>
                <w:sz w:val="24"/>
                <w:szCs w:val="24"/>
              </w:rPr>
              <w:t>），包</w:t>
            </w:r>
            <w:r>
              <w:rPr>
                <w:rFonts w:hint="eastAsia" w:asciiTheme="majorEastAsia" w:hAnsiTheme="majorEastAsia" w:eastAsiaTheme="majorEastAsia" w:cstheme="majorEastAsia"/>
                <w:snapToGrid w:val="0"/>
                <w:color w:val="auto"/>
                <w:kern w:val="0"/>
                <w:sz w:val="24"/>
              </w:rPr>
              <w:t>括氧化铁红，氧化铁黄，氧化铁绿等。此类颜料涉及的色谱较宽，具有均匀的粒度，良好的着色力和分散性，成本低、稳定性好且无毒。</w:t>
            </w:r>
            <w:r>
              <w:rPr>
                <w:rFonts w:hint="eastAsia" w:asciiTheme="majorEastAsia" w:hAnsiTheme="majorEastAsia" w:eastAsiaTheme="majorEastAsia" w:cstheme="majorEastAsia"/>
                <w:color w:val="auto"/>
                <w:sz w:val="24"/>
                <w:szCs w:val="24"/>
              </w:rPr>
              <w:t>氧化铁颜料在各类混凝土中预制件和建筑制品材料作为颜料或着色剂。用于各种室内外的</w:t>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"http://baike.baidu.com/subview/2700127/2700127.htm" \t "_blank"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彩色混凝土</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t>表面，如墙面、地坪、天花板、支柱、门廊、路面、停车场、阶梯、车站等；以及用于各种</w:t>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"http://baike.baidu.com/subview/577385/577385.htm" \t "_blank"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建筑陶瓷</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t>和琉璃陶瓷，如面砖、地砖、屋瓦、嵌板、</w:t>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"http://baike.baidu.com/subview/79360/79360.htm" \t "_blank"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水磨石</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"http://baike.baidu.com/subview/70505/6355060.htm" \t "_blank"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马赛克</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t>花砖、</w:t>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"http://baike.baidu.com/subview/744225/744225.htm" \t "_blank"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人造大理石</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t>等</w:t>
            </w:r>
            <w:r>
              <w:rPr>
                <w:rFonts w:hint="eastAsia" w:asciiTheme="majorEastAsia" w:hAnsiTheme="majorEastAsia" w:eastAsiaTheme="majorEastAsia" w:cstheme="majorEastAsia"/>
                <w:snapToGrid w:val="0"/>
                <w:color w:val="auto"/>
                <w:kern w:val="0"/>
                <w:sz w:val="24"/>
                <w:szCs w:val="24"/>
              </w:rPr>
              <w:t>。</w:t>
            </w:r>
          </w:p>
          <w:p w14:paraId="70DB2AED">
            <w:pPr>
              <w:numPr>
                <w:ilvl w:val="0"/>
                <w:numId w:val="0"/>
              </w:numPr>
              <w:adjustRightInd w:val="0"/>
              <w:snapToGrid w:val="0"/>
              <w:ind w:firstLine="482" w:firstLineChars="200"/>
              <w:rPr>
                <w:rFonts w:hint="eastAsia" w:ascii="Times New Roman" w:hAnsi="Times New Roman" w:eastAsia="宋体"/>
                <w:b/>
                <w:bCs/>
                <w:color w:val="auto"/>
                <w:kern w:val="0"/>
                <w:lang w:eastAsia="zh-CN" w:bidi="ar"/>
              </w:rPr>
            </w:pPr>
            <w:r>
              <w:rPr>
                <w:rFonts w:hint="eastAsia"/>
                <w:b/>
                <w:bCs/>
                <w:color w:val="auto"/>
                <w:kern w:val="0"/>
                <w:lang w:eastAsia="zh-CN" w:bidi="ar"/>
              </w:rPr>
              <w:t>脱模剂</w:t>
            </w:r>
            <w:r>
              <w:rPr>
                <w:rFonts w:hint="eastAsia" w:ascii="Times New Roman" w:hAnsi="Times New Roman"/>
                <w:b/>
                <w:bCs/>
                <w:color w:val="auto"/>
                <w:kern w:val="0"/>
                <w:lang w:eastAsia="zh-CN" w:bidi="ar"/>
              </w:rPr>
              <w:t>理化性质：</w:t>
            </w:r>
          </w:p>
          <w:p w14:paraId="63B7C7E9">
            <w:pPr>
              <w:numPr>
                <w:ilvl w:val="0"/>
                <w:numId w:val="0"/>
              </w:numPr>
              <w:adjustRightInd w:val="0"/>
              <w:snapToGrid w:val="0"/>
              <w:ind w:firstLine="480" w:firstLineChars="200"/>
              <w:rPr>
                <w:rFonts w:hint="eastAsia" w:asciiTheme="minorEastAsia" w:hAnsiTheme="minorEastAsia" w:eastAsiaTheme="minorEastAsia" w:cstheme="minorEastAsia"/>
                <w:b/>
                <w:bCs/>
                <w:color w:val="auto"/>
                <w:kern w:val="0"/>
                <w:lang w:eastAsia="zh-CN" w:bidi="ar"/>
              </w:rPr>
            </w:pPr>
            <w:r>
              <w:rPr>
                <w:rFonts w:hint="eastAsia" w:asciiTheme="minorEastAsia" w:hAnsiTheme="minorEastAsia" w:eastAsiaTheme="minorEastAsia" w:cstheme="minorEastAsia"/>
                <w:color w:val="auto"/>
                <w:kern w:val="0"/>
                <w:lang w:bidi="ar"/>
              </w:rPr>
              <w:t>脱模剂∶在本项目生产过程中使用脱模剂分离模具与水泥制品。脱模剂是一种介于模具和成品之间的功能性物质，是防止橡胶、塑料、弹性体或其他材料的模制品、层压制品等粘结到模具或其他板面，起到脱离作用的一类加工助剂。脱模剂</w:t>
            </w:r>
            <w:r>
              <w:rPr>
                <w:rFonts w:hint="eastAsia" w:asciiTheme="minorEastAsia" w:hAnsiTheme="minorEastAsia" w:eastAsiaTheme="minorEastAsia" w:cstheme="minorEastAsia"/>
                <w:color w:val="auto"/>
                <w:kern w:val="0"/>
                <w:lang w:eastAsia="zh-CN" w:bidi="ar"/>
              </w:rPr>
              <w:t>一般</w:t>
            </w:r>
            <w:r>
              <w:rPr>
                <w:rFonts w:hint="eastAsia" w:asciiTheme="minorEastAsia" w:hAnsiTheme="minorEastAsia" w:eastAsiaTheme="minorEastAsia" w:cstheme="minorEastAsia"/>
                <w:color w:val="auto"/>
                <w:kern w:val="0"/>
                <w:lang w:bidi="ar"/>
              </w:rPr>
              <w:t>采用高分子有机酸、动物油、松香、亚硝酸钠、脂肪酸等几种原料合制而成，无毒不燃，不含对人体和环境有害的物质，系环保型水泥脱模剂，一般规格200</w:t>
            </w:r>
            <w:r>
              <w:rPr>
                <w:rFonts w:hint="eastAsia" w:asciiTheme="minorEastAsia" w:hAnsiTheme="minorEastAsia" w:eastAsiaTheme="minorEastAsia" w:cstheme="minorEastAsia"/>
                <w:color w:val="auto"/>
                <w:kern w:val="0"/>
                <w:lang w:val="en-US" w:eastAsia="zh-CN" w:bidi="ar"/>
              </w:rPr>
              <w:t>L</w:t>
            </w:r>
            <w:r>
              <w:rPr>
                <w:rFonts w:hint="eastAsia" w:asciiTheme="minorEastAsia" w:hAnsiTheme="minorEastAsia" w:eastAsiaTheme="minorEastAsia" w:cstheme="minorEastAsia"/>
                <w:color w:val="auto"/>
                <w:kern w:val="0"/>
                <w:lang w:bidi="ar"/>
              </w:rPr>
              <w:t>/桶</w:t>
            </w:r>
            <w:r>
              <w:rPr>
                <w:rFonts w:hint="eastAsia" w:asciiTheme="minorEastAsia" w:hAnsiTheme="minorEastAsia" w:eastAsiaTheme="minorEastAsia" w:cstheme="minorEastAsia"/>
                <w:color w:val="auto"/>
                <w:kern w:val="0"/>
                <w:lang w:eastAsia="zh-CN" w:bidi="ar"/>
              </w:rPr>
              <w:t>；也可单独使用豆油、植物油、液压油、机油、洗衣粉等物质作为脱模剂使用。由于大部分脱模剂含有易燃的物质，因此应设置专门的储存间存放脱模剂，同时做好“三防”和地面围堰等工作。本项目拟使用液压油，根据液压油性质、容积等来进行风险识别、环境管理等储存要求，不使用废机油做脱模剂。</w:t>
            </w:r>
          </w:p>
          <w:p w14:paraId="67F4B80A">
            <w:pPr>
              <w:numPr>
                <w:ilvl w:val="0"/>
                <w:numId w:val="0"/>
              </w:numPr>
              <w:adjustRightInd w:val="0"/>
              <w:snapToGrid w:val="0"/>
              <w:rPr>
                <w:rFonts w:hint="eastAsia" w:asciiTheme="minorEastAsia" w:hAnsiTheme="minorEastAsia" w:eastAsiaTheme="minorEastAsia" w:cstheme="minorEastAsia"/>
                <w:b/>
                <w:bCs/>
                <w:color w:val="auto"/>
                <w:kern w:val="0"/>
                <w:lang w:bidi="ar"/>
              </w:rPr>
            </w:pPr>
            <w:r>
              <w:rPr>
                <w:rFonts w:hint="eastAsia" w:asciiTheme="minorEastAsia" w:hAnsiTheme="minorEastAsia" w:eastAsiaTheme="minorEastAsia" w:cstheme="minorEastAsia"/>
                <w:b/>
                <w:bCs/>
                <w:color w:val="auto"/>
                <w:kern w:val="0"/>
                <w:lang w:val="en-US" w:eastAsia="zh-CN" w:bidi="ar"/>
              </w:rPr>
              <w:t>3.</w:t>
            </w:r>
            <w:r>
              <w:rPr>
                <w:rFonts w:hint="eastAsia" w:asciiTheme="minorEastAsia" w:hAnsiTheme="minorEastAsia" w:eastAsiaTheme="minorEastAsia" w:cstheme="minorEastAsia"/>
                <w:b/>
                <w:bCs/>
                <w:color w:val="auto"/>
                <w:kern w:val="0"/>
                <w:lang w:bidi="ar"/>
              </w:rPr>
              <w:t>项目主要生产设备</w:t>
            </w:r>
          </w:p>
          <w:p w14:paraId="3F878855">
            <w:pPr>
              <w:adjustRightInd w:val="0"/>
              <w:snapToGrid w:val="0"/>
              <w:ind w:firstLine="480" w:firstLineChars="200"/>
              <w:rPr>
                <w:rFonts w:hint="eastAsia" w:asciiTheme="minorEastAsia" w:hAnsiTheme="minorEastAsia" w:eastAsiaTheme="minorEastAsia" w:cstheme="minorEastAsia"/>
                <w:color w:val="auto"/>
                <w:kern w:val="0"/>
                <w:lang w:bidi="ar"/>
              </w:rPr>
            </w:pPr>
            <w:r>
              <w:rPr>
                <w:rFonts w:hint="eastAsia" w:asciiTheme="minorEastAsia" w:hAnsiTheme="minorEastAsia" w:eastAsiaTheme="minorEastAsia" w:cstheme="minorEastAsia"/>
                <w:color w:val="auto"/>
                <w:kern w:val="0"/>
                <w:lang w:bidi="ar"/>
              </w:rPr>
              <w:t>项目主要生产设备见表2-4。</w:t>
            </w:r>
          </w:p>
          <w:p w14:paraId="18A7FE15">
            <w:pPr>
              <w:adjustRightInd w:val="0"/>
              <w:snapToGrid w:val="0"/>
              <w:spacing w:line="240" w:lineRule="auto"/>
              <w:jc w:val="center"/>
              <w:rPr>
                <w:rFonts w:hint="eastAsia" w:asciiTheme="minorEastAsia" w:hAnsiTheme="minorEastAsia" w:eastAsiaTheme="minorEastAsia" w:cstheme="minorEastAsia"/>
                <w:b/>
                <w:bCs/>
                <w:color w:val="auto"/>
                <w:kern w:val="0"/>
                <w:lang w:bidi="ar"/>
              </w:rPr>
            </w:pPr>
            <w:r>
              <w:rPr>
                <w:rFonts w:hint="eastAsia" w:asciiTheme="minorEastAsia" w:hAnsiTheme="minorEastAsia" w:eastAsiaTheme="minorEastAsia" w:cstheme="minorEastAsia"/>
                <w:b/>
                <w:bCs/>
                <w:color w:val="auto"/>
                <w:kern w:val="0"/>
                <w:lang w:bidi="ar"/>
              </w:rPr>
              <w:t>表2-4 项目主要生产设备一览表</w:t>
            </w:r>
          </w:p>
          <w:tbl>
            <w:tblPr>
              <w:tblStyle w:val="20"/>
              <w:tblW w:w="9275" w:type="dxa"/>
              <w:jc w:val="center"/>
              <w:tblLayout w:type="autofit"/>
              <w:tblCellMar>
                <w:top w:w="0" w:type="dxa"/>
                <w:left w:w="10" w:type="dxa"/>
                <w:bottom w:w="0" w:type="dxa"/>
                <w:right w:w="10" w:type="dxa"/>
              </w:tblCellMar>
            </w:tblPr>
            <w:tblGrid>
              <w:gridCol w:w="717"/>
              <w:gridCol w:w="1323"/>
              <w:gridCol w:w="1925"/>
              <w:gridCol w:w="929"/>
              <w:gridCol w:w="835"/>
              <w:gridCol w:w="3546"/>
            </w:tblGrid>
            <w:tr w14:paraId="1CF7D901">
              <w:tblPrEx>
                <w:tblCellMar>
                  <w:top w:w="0" w:type="dxa"/>
                  <w:left w:w="10" w:type="dxa"/>
                  <w:bottom w:w="0" w:type="dxa"/>
                  <w:right w:w="10" w:type="dxa"/>
                </w:tblCellMar>
              </w:tblPrEx>
              <w:trPr>
                <w:trHeight w:val="257"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9A3F93">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b/>
                      <w:color w:val="auto"/>
                      <w:spacing w:val="0"/>
                      <w:position w:val="0"/>
                      <w:sz w:val="21"/>
                      <w:szCs w:val="21"/>
                      <w:shd w:val="clear" w:fill="auto"/>
                    </w:rPr>
                    <w:t>序号</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B7F9BF">
                  <w:pPr>
                    <w:spacing w:before="0" w:after="0" w:line="240" w:lineRule="auto"/>
                    <w:ind w:left="0" w:right="0"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b/>
                      <w:color w:val="auto"/>
                      <w:spacing w:val="0"/>
                      <w:position w:val="0"/>
                      <w:sz w:val="21"/>
                      <w:szCs w:val="21"/>
                      <w:shd w:val="clear" w:fill="auto"/>
                    </w:rPr>
                    <w:t>产品名称</w:t>
                  </w:r>
                </w:p>
              </w:tc>
              <w:tc>
                <w:tcPr>
                  <w:tcW w:w="19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7DD096">
                  <w:pPr>
                    <w:spacing w:before="0" w:after="0" w:line="240" w:lineRule="auto"/>
                    <w:ind w:left="0" w:right="0"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b/>
                      <w:color w:val="auto"/>
                      <w:spacing w:val="0"/>
                      <w:position w:val="0"/>
                      <w:sz w:val="21"/>
                      <w:szCs w:val="21"/>
                      <w:shd w:val="clear" w:fill="auto"/>
                    </w:rPr>
                    <w:t>规格型号</w:t>
                  </w:r>
                </w:p>
              </w:tc>
              <w:tc>
                <w:tcPr>
                  <w:tcW w:w="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3048D5">
                  <w:pPr>
                    <w:spacing w:before="0" w:after="0" w:line="240" w:lineRule="auto"/>
                    <w:ind w:left="-122" w:right="-7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b/>
                      <w:color w:val="auto"/>
                      <w:spacing w:val="0"/>
                      <w:position w:val="0"/>
                      <w:sz w:val="21"/>
                      <w:szCs w:val="21"/>
                      <w:shd w:val="clear" w:fill="auto"/>
                    </w:rPr>
                    <w:t>单位</w:t>
                  </w:r>
                </w:p>
              </w:tc>
              <w:tc>
                <w:tcPr>
                  <w:tcW w:w="8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FD455D">
                  <w:pPr>
                    <w:spacing w:before="0" w:after="0" w:line="240" w:lineRule="auto"/>
                    <w:ind w:left="-122" w:right="-7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b/>
                      <w:color w:val="auto"/>
                      <w:spacing w:val="0"/>
                      <w:position w:val="0"/>
                      <w:sz w:val="21"/>
                      <w:szCs w:val="21"/>
                      <w:shd w:val="clear" w:fill="auto"/>
                    </w:rPr>
                    <w:t>数量</w:t>
                  </w:r>
                </w:p>
              </w:tc>
              <w:tc>
                <w:tcPr>
                  <w:tcW w:w="3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3B174F">
                  <w:pPr>
                    <w:spacing w:before="0" w:after="0" w:line="240" w:lineRule="auto"/>
                    <w:ind w:left="-122" w:right="-7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b/>
                      <w:color w:val="auto"/>
                      <w:spacing w:val="0"/>
                      <w:position w:val="0"/>
                      <w:sz w:val="21"/>
                      <w:szCs w:val="21"/>
                      <w:shd w:val="clear" w:fill="auto"/>
                    </w:rPr>
                    <w:t>备注</w:t>
                  </w:r>
                </w:p>
              </w:tc>
            </w:tr>
            <w:tr w14:paraId="7CF9B02C">
              <w:tblPrEx>
                <w:tblCellMar>
                  <w:top w:w="0" w:type="dxa"/>
                  <w:left w:w="10" w:type="dxa"/>
                  <w:bottom w:w="0" w:type="dxa"/>
                  <w:right w:w="10" w:type="dxa"/>
                </w:tblCellMar>
              </w:tblPrEx>
              <w:trPr>
                <w:trHeight w:val="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FA60E1">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1</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A65348">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搅拌机</w:t>
                  </w:r>
                </w:p>
              </w:tc>
              <w:tc>
                <w:tcPr>
                  <w:tcW w:w="19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5E5701">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HZS-50</w:t>
                  </w:r>
                </w:p>
              </w:tc>
              <w:tc>
                <w:tcPr>
                  <w:tcW w:w="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702AF9">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套</w:t>
                  </w:r>
                </w:p>
              </w:tc>
              <w:tc>
                <w:tcPr>
                  <w:tcW w:w="8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2ABE1C">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2</w:t>
                  </w:r>
                </w:p>
              </w:tc>
              <w:tc>
                <w:tcPr>
                  <w:tcW w:w="3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F9FC0A">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w:t>
                  </w:r>
                </w:p>
              </w:tc>
            </w:tr>
            <w:tr w14:paraId="093E0C1A">
              <w:tblPrEx>
                <w:tblCellMar>
                  <w:top w:w="0" w:type="dxa"/>
                  <w:left w:w="10" w:type="dxa"/>
                  <w:bottom w:w="0" w:type="dxa"/>
                  <w:right w:w="10" w:type="dxa"/>
                </w:tblCellMar>
              </w:tblPrEx>
              <w:trPr>
                <w:trHeight w:val="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B65860">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2</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01DD2E">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配料机</w:t>
                  </w:r>
                </w:p>
              </w:tc>
              <w:tc>
                <w:tcPr>
                  <w:tcW w:w="19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5D760D">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HPD800</w:t>
                  </w:r>
                </w:p>
              </w:tc>
              <w:tc>
                <w:tcPr>
                  <w:tcW w:w="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A26296">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台</w:t>
                  </w:r>
                </w:p>
              </w:tc>
              <w:tc>
                <w:tcPr>
                  <w:tcW w:w="8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1403AE">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2</w:t>
                  </w:r>
                </w:p>
              </w:tc>
              <w:tc>
                <w:tcPr>
                  <w:tcW w:w="3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12EB9A">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尺寸：2米×9.6米，功率：7.5千瓦</w:t>
                  </w:r>
                </w:p>
              </w:tc>
            </w:tr>
            <w:tr w14:paraId="3B18F3C8">
              <w:tblPrEx>
                <w:tblCellMar>
                  <w:top w:w="0" w:type="dxa"/>
                  <w:left w:w="10" w:type="dxa"/>
                  <w:bottom w:w="0" w:type="dxa"/>
                  <w:right w:w="10" w:type="dxa"/>
                </w:tblCellMar>
              </w:tblPrEx>
              <w:trPr>
                <w:trHeight w:val="122"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F32D41">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shd w:val="clear" w:fill="auto"/>
                      <w:lang w:val="en-US" w:eastAsia="zh-CN"/>
                    </w:rPr>
                  </w:pPr>
                  <w:r>
                    <w:rPr>
                      <w:rFonts w:hint="eastAsia" w:asciiTheme="minorEastAsia" w:hAnsiTheme="minorEastAsia" w:eastAsiaTheme="minorEastAsia" w:cstheme="minorEastAsia"/>
                      <w:color w:val="auto"/>
                      <w:spacing w:val="0"/>
                      <w:position w:val="0"/>
                      <w:sz w:val="21"/>
                      <w:szCs w:val="21"/>
                      <w:shd w:val="clear" w:fill="auto"/>
                      <w:lang w:val="en-US" w:eastAsia="zh-CN"/>
                    </w:rPr>
                    <w:t>3</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3E4B2C">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shd w:val="clear" w:fill="auto"/>
                      <w:lang w:eastAsia="zh-CN"/>
                    </w:rPr>
                  </w:pPr>
                  <w:r>
                    <w:rPr>
                      <w:rFonts w:hint="eastAsia" w:asciiTheme="minorEastAsia" w:hAnsiTheme="minorEastAsia" w:eastAsiaTheme="minorEastAsia" w:cstheme="minorEastAsia"/>
                      <w:color w:val="auto"/>
                      <w:spacing w:val="0"/>
                      <w:position w:val="0"/>
                      <w:sz w:val="21"/>
                      <w:szCs w:val="21"/>
                      <w:shd w:val="clear" w:fill="auto"/>
                      <w:lang w:eastAsia="zh-CN"/>
                    </w:rPr>
                    <w:t>振动器</w:t>
                  </w:r>
                </w:p>
              </w:tc>
              <w:tc>
                <w:tcPr>
                  <w:tcW w:w="19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54464B">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shd w:val="clear" w:fill="auto"/>
                      <w:lang w:val="en-US" w:eastAsia="zh-CN"/>
                    </w:rPr>
                  </w:pPr>
                  <w:r>
                    <w:rPr>
                      <w:rFonts w:hint="eastAsia" w:asciiTheme="minorEastAsia" w:hAnsiTheme="minorEastAsia" w:eastAsiaTheme="minorEastAsia" w:cstheme="minorEastAsia"/>
                      <w:color w:val="auto"/>
                      <w:spacing w:val="0"/>
                      <w:position w:val="0"/>
                      <w:sz w:val="21"/>
                      <w:szCs w:val="21"/>
                      <w:shd w:val="clear" w:fill="auto"/>
                      <w:lang w:val="en-US" w:eastAsia="zh-CN"/>
                    </w:rPr>
                    <w:t>/</w:t>
                  </w:r>
                </w:p>
              </w:tc>
              <w:tc>
                <w:tcPr>
                  <w:tcW w:w="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0AE505">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auto"/>
                      <w:spacing w:val="0"/>
                      <w:position w:val="0"/>
                      <w:sz w:val="21"/>
                      <w:szCs w:val="21"/>
                      <w:shd w:val="clear" w:fill="auto"/>
                    </w:rPr>
                    <w:t>台</w:t>
                  </w:r>
                </w:p>
              </w:tc>
              <w:tc>
                <w:tcPr>
                  <w:tcW w:w="8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A3683E">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shd w:val="clear" w:fill="auto"/>
                      <w:lang w:val="en-US" w:eastAsia="zh-CN"/>
                    </w:rPr>
                  </w:pPr>
                  <w:r>
                    <w:rPr>
                      <w:rFonts w:hint="eastAsia" w:asciiTheme="minorEastAsia" w:hAnsiTheme="minorEastAsia" w:eastAsiaTheme="minorEastAsia" w:cstheme="minorEastAsia"/>
                      <w:color w:val="auto"/>
                      <w:spacing w:val="0"/>
                      <w:position w:val="0"/>
                      <w:sz w:val="21"/>
                      <w:szCs w:val="21"/>
                      <w:shd w:val="clear" w:fill="auto"/>
                      <w:lang w:val="en-US" w:eastAsia="zh-CN"/>
                    </w:rPr>
                    <w:t>1</w:t>
                  </w:r>
                </w:p>
              </w:tc>
              <w:tc>
                <w:tcPr>
                  <w:tcW w:w="3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3CD8C1">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auto"/>
                      <w:spacing w:val="0"/>
                      <w:position w:val="0"/>
                      <w:sz w:val="21"/>
                      <w:szCs w:val="21"/>
                      <w:shd w:val="clear" w:fill="auto"/>
                    </w:rPr>
                    <w:t>/</w:t>
                  </w:r>
                </w:p>
              </w:tc>
            </w:tr>
            <w:tr w14:paraId="0175E68D">
              <w:tblPrEx>
                <w:tblCellMar>
                  <w:top w:w="0" w:type="dxa"/>
                  <w:left w:w="10" w:type="dxa"/>
                  <w:bottom w:w="0" w:type="dxa"/>
                  <w:right w:w="10" w:type="dxa"/>
                </w:tblCellMar>
              </w:tblPrEx>
              <w:trPr>
                <w:trHeight w:val="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DD6E2C">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shd w:val="clear" w:fill="auto"/>
                      <w:lang w:val="en-US" w:eastAsia="zh-CN"/>
                    </w:rPr>
                  </w:pPr>
                  <w:r>
                    <w:rPr>
                      <w:rFonts w:hint="eastAsia" w:asciiTheme="minorEastAsia" w:hAnsiTheme="minorEastAsia" w:eastAsiaTheme="minorEastAsia" w:cstheme="minorEastAsia"/>
                      <w:color w:val="auto"/>
                      <w:spacing w:val="0"/>
                      <w:position w:val="0"/>
                      <w:sz w:val="21"/>
                      <w:szCs w:val="21"/>
                      <w:shd w:val="clear" w:fill="auto"/>
                      <w:lang w:val="en-US" w:eastAsia="zh-CN"/>
                    </w:rPr>
                    <w:t>4</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20DC63">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shd w:val="clear" w:fill="auto"/>
                      <w:lang w:eastAsia="zh-CN"/>
                    </w:rPr>
                  </w:pPr>
                  <w:r>
                    <w:rPr>
                      <w:rFonts w:hint="eastAsia" w:asciiTheme="minorEastAsia" w:hAnsiTheme="minorEastAsia" w:eastAsiaTheme="minorEastAsia" w:cstheme="minorEastAsia"/>
                      <w:color w:val="auto"/>
                      <w:spacing w:val="0"/>
                      <w:position w:val="0"/>
                      <w:sz w:val="21"/>
                      <w:szCs w:val="21"/>
                      <w:shd w:val="clear" w:fill="auto"/>
                      <w:lang w:eastAsia="zh-CN"/>
                    </w:rPr>
                    <w:t>切割机</w:t>
                  </w:r>
                </w:p>
              </w:tc>
              <w:tc>
                <w:tcPr>
                  <w:tcW w:w="19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5E45C2">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shd w:val="clear" w:fill="auto"/>
                      <w:lang w:val="en-US" w:eastAsia="zh-CN"/>
                    </w:rPr>
                  </w:pPr>
                  <w:r>
                    <w:rPr>
                      <w:rFonts w:hint="eastAsia" w:asciiTheme="minorEastAsia" w:hAnsiTheme="minorEastAsia" w:eastAsiaTheme="minorEastAsia" w:cstheme="minorEastAsia"/>
                      <w:color w:val="auto"/>
                      <w:spacing w:val="0"/>
                      <w:position w:val="0"/>
                      <w:sz w:val="21"/>
                      <w:szCs w:val="21"/>
                      <w:shd w:val="clear" w:fill="auto"/>
                      <w:lang w:val="en-US" w:eastAsia="zh-CN"/>
                    </w:rPr>
                    <w:t>J1G-SM-9355A</w:t>
                  </w:r>
                </w:p>
              </w:tc>
              <w:tc>
                <w:tcPr>
                  <w:tcW w:w="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42C263">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auto"/>
                      <w:spacing w:val="0"/>
                      <w:position w:val="0"/>
                      <w:sz w:val="21"/>
                      <w:szCs w:val="21"/>
                      <w:shd w:val="clear" w:fill="auto"/>
                    </w:rPr>
                    <w:t>台</w:t>
                  </w:r>
                </w:p>
              </w:tc>
              <w:tc>
                <w:tcPr>
                  <w:tcW w:w="8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140222">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shd w:val="clear" w:fill="auto"/>
                      <w:lang w:val="en-US" w:eastAsia="zh-CN"/>
                    </w:rPr>
                  </w:pPr>
                  <w:r>
                    <w:rPr>
                      <w:rFonts w:hint="eastAsia" w:asciiTheme="minorEastAsia" w:hAnsiTheme="minorEastAsia" w:eastAsiaTheme="minorEastAsia" w:cstheme="minorEastAsia"/>
                      <w:color w:val="auto"/>
                      <w:spacing w:val="0"/>
                      <w:position w:val="0"/>
                      <w:sz w:val="21"/>
                      <w:szCs w:val="21"/>
                      <w:shd w:val="clear" w:fill="auto"/>
                      <w:lang w:val="en-US" w:eastAsia="zh-CN"/>
                    </w:rPr>
                    <w:t>1</w:t>
                  </w:r>
                </w:p>
              </w:tc>
              <w:tc>
                <w:tcPr>
                  <w:tcW w:w="3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802414">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shd w:val="clear" w:fill="auto"/>
                      <w:lang w:val="en-US" w:eastAsia="zh-CN"/>
                    </w:rPr>
                  </w:pPr>
                  <w:r>
                    <w:rPr>
                      <w:rFonts w:hint="eastAsia" w:asciiTheme="minorEastAsia" w:hAnsiTheme="minorEastAsia" w:eastAsiaTheme="minorEastAsia" w:cstheme="minorEastAsia"/>
                      <w:color w:val="auto"/>
                      <w:spacing w:val="0"/>
                      <w:position w:val="0"/>
                      <w:sz w:val="21"/>
                      <w:szCs w:val="21"/>
                      <w:shd w:val="clear" w:fill="auto"/>
                      <w:lang w:val="en-US" w:eastAsia="zh-CN"/>
                    </w:rPr>
                    <w:t>220v-50HZ</w:t>
                  </w:r>
                </w:p>
              </w:tc>
            </w:tr>
            <w:tr w14:paraId="6AB61AD3">
              <w:tblPrEx>
                <w:tblCellMar>
                  <w:top w:w="0" w:type="dxa"/>
                  <w:left w:w="10" w:type="dxa"/>
                  <w:bottom w:w="0" w:type="dxa"/>
                  <w:right w:w="10" w:type="dxa"/>
                </w:tblCellMar>
              </w:tblPrEx>
              <w:trPr>
                <w:trHeight w:val="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E7C9A4">
                  <w:pPr>
                    <w:spacing w:before="0" w:after="0" w:line="240" w:lineRule="auto"/>
                    <w:ind w:left="-122" w:leftChars="0" w:right="-122" w:rightChars="0" w:firstLine="0" w:firstLineChars="0"/>
                    <w:jc w:val="center"/>
                    <w:rPr>
                      <w:rFonts w:hint="eastAsia" w:asciiTheme="minorEastAsia" w:hAnsiTheme="minorEastAsia" w:eastAsiaTheme="minorEastAsia" w:cstheme="minorEastAsia"/>
                      <w:color w:val="auto"/>
                      <w:spacing w:val="0"/>
                      <w:position w:val="0"/>
                      <w:sz w:val="21"/>
                      <w:szCs w:val="21"/>
                      <w:shd w:val="clear" w:fill="auto"/>
                      <w:lang w:val="en-US" w:eastAsia="zh-CN"/>
                    </w:rPr>
                  </w:pPr>
                  <w:r>
                    <w:rPr>
                      <w:rFonts w:hint="eastAsia" w:asciiTheme="minorEastAsia" w:hAnsiTheme="minorEastAsia" w:eastAsiaTheme="minorEastAsia" w:cstheme="minorEastAsia"/>
                      <w:color w:val="auto"/>
                      <w:spacing w:val="0"/>
                      <w:position w:val="0"/>
                      <w:sz w:val="21"/>
                      <w:szCs w:val="21"/>
                      <w:shd w:val="clear" w:fill="auto"/>
                    </w:rPr>
                    <w:t>5</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156C08">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shd w:val="clear" w:fill="auto"/>
                      <w:lang w:eastAsia="zh-CN"/>
                    </w:rPr>
                  </w:pPr>
                  <w:r>
                    <w:rPr>
                      <w:rFonts w:hint="eastAsia" w:asciiTheme="minorEastAsia" w:hAnsiTheme="minorEastAsia" w:eastAsiaTheme="minorEastAsia" w:cstheme="minorEastAsia"/>
                      <w:color w:val="auto"/>
                      <w:spacing w:val="0"/>
                      <w:position w:val="0"/>
                      <w:sz w:val="21"/>
                      <w:szCs w:val="21"/>
                      <w:shd w:val="clear" w:fill="auto"/>
                      <w:lang w:eastAsia="zh-CN"/>
                    </w:rPr>
                    <w:t>电焊机</w:t>
                  </w:r>
                </w:p>
              </w:tc>
              <w:tc>
                <w:tcPr>
                  <w:tcW w:w="19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B5A7D">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shd w:val="clear" w:fill="auto"/>
                      <w:lang w:val="en-US" w:eastAsia="zh-CN"/>
                    </w:rPr>
                  </w:pPr>
                  <w:r>
                    <w:rPr>
                      <w:rFonts w:hint="eastAsia" w:asciiTheme="minorEastAsia" w:hAnsiTheme="minorEastAsia" w:eastAsiaTheme="minorEastAsia" w:cstheme="minorEastAsia"/>
                      <w:color w:val="auto"/>
                      <w:spacing w:val="0"/>
                      <w:position w:val="0"/>
                      <w:sz w:val="21"/>
                      <w:szCs w:val="21"/>
                      <w:shd w:val="clear" w:fill="auto"/>
                      <w:lang w:val="en-US" w:eastAsia="zh-CN"/>
                    </w:rPr>
                    <w:t>ZX7-315K</w:t>
                  </w:r>
                </w:p>
              </w:tc>
              <w:tc>
                <w:tcPr>
                  <w:tcW w:w="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F40886">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auto"/>
                      <w:spacing w:val="0"/>
                      <w:position w:val="0"/>
                      <w:sz w:val="21"/>
                      <w:szCs w:val="21"/>
                      <w:shd w:val="clear" w:fill="auto"/>
                    </w:rPr>
                    <w:t>台</w:t>
                  </w:r>
                </w:p>
              </w:tc>
              <w:tc>
                <w:tcPr>
                  <w:tcW w:w="8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0BCC9B">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shd w:val="clear" w:fill="auto"/>
                      <w:lang w:val="en-US" w:eastAsia="zh-CN"/>
                    </w:rPr>
                  </w:pPr>
                  <w:r>
                    <w:rPr>
                      <w:rFonts w:hint="eastAsia" w:asciiTheme="minorEastAsia" w:hAnsiTheme="minorEastAsia" w:eastAsiaTheme="minorEastAsia" w:cstheme="minorEastAsia"/>
                      <w:color w:val="auto"/>
                      <w:spacing w:val="0"/>
                      <w:position w:val="0"/>
                      <w:sz w:val="21"/>
                      <w:szCs w:val="21"/>
                      <w:shd w:val="clear" w:fill="auto"/>
                      <w:lang w:val="en-US" w:eastAsia="zh-CN"/>
                    </w:rPr>
                    <w:t>2</w:t>
                  </w:r>
                </w:p>
              </w:tc>
              <w:tc>
                <w:tcPr>
                  <w:tcW w:w="3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CA4581">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auto"/>
                      <w:spacing w:val="0"/>
                      <w:position w:val="0"/>
                      <w:sz w:val="21"/>
                      <w:szCs w:val="21"/>
                      <w:shd w:val="clear" w:fill="auto"/>
                    </w:rPr>
                    <w:t>/</w:t>
                  </w:r>
                </w:p>
              </w:tc>
            </w:tr>
            <w:tr w14:paraId="4A05A4BF">
              <w:tblPrEx>
                <w:tblCellMar>
                  <w:top w:w="0" w:type="dxa"/>
                  <w:left w:w="10" w:type="dxa"/>
                  <w:bottom w:w="0" w:type="dxa"/>
                  <w:right w:w="10" w:type="dxa"/>
                </w:tblCellMar>
              </w:tblPrEx>
              <w:trPr>
                <w:trHeight w:val="227"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6B62B6">
                  <w:pPr>
                    <w:spacing w:before="0" w:after="0" w:line="240" w:lineRule="auto"/>
                    <w:ind w:left="-122" w:leftChars="0" w:right="-122" w:rightChars="0" w:firstLine="0" w:firstLineChars="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6</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5A8622">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输送机</w:t>
                  </w:r>
                </w:p>
              </w:tc>
              <w:tc>
                <w:tcPr>
                  <w:tcW w:w="19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0211FD">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HD650</w:t>
                  </w:r>
                </w:p>
              </w:tc>
              <w:tc>
                <w:tcPr>
                  <w:tcW w:w="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FCBE54">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台</w:t>
                  </w:r>
                </w:p>
              </w:tc>
              <w:tc>
                <w:tcPr>
                  <w:tcW w:w="8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E49A3C">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3</w:t>
                  </w:r>
                </w:p>
              </w:tc>
              <w:tc>
                <w:tcPr>
                  <w:tcW w:w="3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6D9E70">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功率：5千瓦</w:t>
                  </w:r>
                </w:p>
              </w:tc>
            </w:tr>
            <w:tr w14:paraId="250F2FD1">
              <w:tblPrEx>
                <w:tblCellMar>
                  <w:top w:w="0" w:type="dxa"/>
                  <w:left w:w="10" w:type="dxa"/>
                  <w:bottom w:w="0" w:type="dxa"/>
                  <w:right w:w="10" w:type="dxa"/>
                </w:tblCellMar>
              </w:tblPrEx>
              <w:trPr>
                <w:trHeight w:val="212"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D93241">
                  <w:pPr>
                    <w:spacing w:before="0" w:after="0" w:line="240" w:lineRule="auto"/>
                    <w:ind w:left="-122" w:leftChars="0" w:right="-122" w:rightChars="0" w:firstLine="0" w:firstLineChars="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7</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3C7BAC">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水泥罐</w:t>
                  </w:r>
                </w:p>
              </w:tc>
              <w:tc>
                <w:tcPr>
                  <w:tcW w:w="19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EBBFD7">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80吨</w:t>
                  </w:r>
                </w:p>
              </w:tc>
              <w:tc>
                <w:tcPr>
                  <w:tcW w:w="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B6A9B4">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个</w:t>
                  </w:r>
                </w:p>
              </w:tc>
              <w:tc>
                <w:tcPr>
                  <w:tcW w:w="8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68656E">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2</w:t>
                  </w:r>
                </w:p>
              </w:tc>
              <w:tc>
                <w:tcPr>
                  <w:tcW w:w="3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88CA7E">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尺寸：3米×13米</w:t>
                  </w:r>
                </w:p>
              </w:tc>
            </w:tr>
            <w:tr w14:paraId="48CFC764">
              <w:tblPrEx>
                <w:tblCellMar>
                  <w:top w:w="0" w:type="dxa"/>
                  <w:left w:w="10" w:type="dxa"/>
                  <w:bottom w:w="0" w:type="dxa"/>
                  <w:right w:w="10" w:type="dxa"/>
                </w:tblCellMar>
              </w:tblPrEx>
              <w:trPr>
                <w:trHeight w:val="219"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9C8A85">
                  <w:pPr>
                    <w:spacing w:before="0" w:after="0" w:line="240" w:lineRule="auto"/>
                    <w:ind w:left="-122" w:leftChars="0" w:right="-122" w:rightChars="0" w:firstLine="0" w:firstLineChars="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8</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B1BB93">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螺旋机</w:t>
                  </w:r>
                </w:p>
              </w:tc>
              <w:tc>
                <w:tcPr>
                  <w:tcW w:w="19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39A8A2">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QS219-9</w:t>
                  </w:r>
                </w:p>
              </w:tc>
              <w:tc>
                <w:tcPr>
                  <w:tcW w:w="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E53CF5">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条</w:t>
                  </w:r>
                </w:p>
              </w:tc>
              <w:tc>
                <w:tcPr>
                  <w:tcW w:w="8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423ACF">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2</w:t>
                  </w:r>
                </w:p>
              </w:tc>
              <w:tc>
                <w:tcPr>
                  <w:tcW w:w="3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2CCDE5">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尺寸：9米长，功率：11千瓦</w:t>
                  </w:r>
                </w:p>
              </w:tc>
            </w:tr>
            <w:tr w14:paraId="034753D0">
              <w:tblPrEx>
                <w:tblCellMar>
                  <w:top w:w="0" w:type="dxa"/>
                  <w:left w:w="10" w:type="dxa"/>
                  <w:bottom w:w="0" w:type="dxa"/>
                  <w:right w:w="10" w:type="dxa"/>
                </w:tblCellMar>
              </w:tblPrEx>
              <w:trPr>
                <w:trHeight w:val="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A3B03F">
                  <w:pPr>
                    <w:spacing w:before="0" w:after="0" w:line="240" w:lineRule="auto"/>
                    <w:ind w:left="-122" w:leftChars="0" w:right="-122" w:rightChars="0" w:firstLine="0" w:firstLineChars="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9</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FACADE">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水泥称</w:t>
                  </w:r>
                </w:p>
              </w:tc>
              <w:tc>
                <w:tcPr>
                  <w:tcW w:w="19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658B02">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JS100</w:t>
                  </w:r>
                </w:p>
              </w:tc>
              <w:tc>
                <w:tcPr>
                  <w:tcW w:w="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56CE58">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台</w:t>
                  </w:r>
                </w:p>
              </w:tc>
              <w:tc>
                <w:tcPr>
                  <w:tcW w:w="8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E215D1">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2</w:t>
                  </w:r>
                </w:p>
              </w:tc>
              <w:tc>
                <w:tcPr>
                  <w:tcW w:w="3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7DDDB6">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w:t>
                  </w:r>
                </w:p>
              </w:tc>
            </w:tr>
            <w:tr w14:paraId="43033774">
              <w:tblPrEx>
                <w:tblCellMar>
                  <w:top w:w="0" w:type="dxa"/>
                  <w:left w:w="10" w:type="dxa"/>
                  <w:bottom w:w="0" w:type="dxa"/>
                  <w:right w:w="10" w:type="dxa"/>
                </w:tblCellMar>
              </w:tblPrEx>
              <w:trPr>
                <w:trHeight w:val="197"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ADDC65">
                  <w:pPr>
                    <w:spacing w:before="0" w:after="0" w:line="240" w:lineRule="auto"/>
                    <w:ind w:left="-122" w:leftChars="0" w:right="-122" w:rightChars="0" w:firstLine="0" w:firstLineChars="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10</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DBC582">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水称</w:t>
                  </w:r>
                </w:p>
              </w:tc>
              <w:tc>
                <w:tcPr>
                  <w:tcW w:w="19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C0A728">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JS100</w:t>
                  </w:r>
                </w:p>
              </w:tc>
              <w:tc>
                <w:tcPr>
                  <w:tcW w:w="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22466F">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台</w:t>
                  </w:r>
                </w:p>
              </w:tc>
              <w:tc>
                <w:tcPr>
                  <w:tcW w:w="8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36C1C2">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2</w:t>
                  </w:r>
                </w:p>
              </w:tc>
              <w:tc>
                <w:tcPr>
                  <w:tcW w:w="3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00C317">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功率：2.2千瓦</w:t>
                  </w:r>
                </w:p>
              </w:tc>
            </w:tr>
            <w:tr w14:paraId="2B008599">
              <w:tblPrEx>
                <w:tblCellMar>
                  <w:top w:w="0" w:type="dxa"/>
                  <w:left w:w="10" w:type="dxa"/>
                  <w:bottom w:w="0" w:type="dxa"/>
                  <w:right w:w="10" w:type="dxa"/>
                </w:tblCellMar>
              </w:tblPrEx>
              <w:trPr>
                <w:trHeight w:val="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4D67C1">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lang w:val="en-US" w:eastAsia="zh-CN"/>
                    </w:rPr>
                  </w:pPr>
                  <w:r>
                    <w:rPr>
                      <w:rFonts w:hint="eastAsia" w:asciiTheme="minorEastAsia" w:hAnsiTheme="minorEastAsia" w:eastAsiaTheme="minorEastAsia" w:cstheme="minorEastAsia"/>
                      <w:color w:val="auto"/>
                      <w:spacing w:val="0"/>
                      <w:position w:val="0"/>
                      <w:sz w:val="21"/>
                      <w:szCs w:val="21"/>
                      <w:shd w:val="clear" w:fill="auto"/>
                      <w:lang w:val="en-US" w:eastAsia="zh-CN"/>
                    </w:rPr>
                    <w:t>11</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D75E5">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钢筋切割机</w:t>
                  </w:r>
                </w:p>
              </w:tc>
              <w:tc>
                <w:tcPr>
                  <w:tcW w:w="19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042E0E">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w:t>
                  </w:r>
                </w:p>
              </w:tc>
              <w:tc>
                <w:tcPr>
                  <w:tcW w:w="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4C1D32">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台</w:t>
                  </w:r>
                </w:p>
              </w:tc>
              <w:tc>
                <w:tcPr>
                  <w:tcW w:w="8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2C5261">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1</w:t>
                  </w:r>
                </w:p>
              </w:tc>
              <w:tc>
                <w:tcPr>
                  <w:tcW w:w="3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DFC163">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w:t>
                  </w:r>
                </w:p>
              </w:tc>
            </w:tr>
            <w:tr w14:paraId="75DC45B6">
              <w:tblPrEx>
                <w:tblCellMar>
                  <w:top w:w="0" w:type="dxa"/>
                  <w:left w:w="10" w:type="dxa"/>
                  <w:bottom w:w="0" w:type="dxa"/>
                  <w:right w:w="10" w:type="dxa"/>
                </w:tblCellMar>
              </w:tblPrEx>
              <w:trPr>
                <w:trHeight w:val="9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61D125">
                  <w:pPr>
                    <w:spacing w:before="0" w:after="0" w:line="240" w:lineRule="auto"/>
                    <w:ind w:left="-122" w:leftChars="0" w:right="-122" w:rightChars="0" w:firstLine="0" w:firstLineChars="0"/>
                    <w:jc w:val="center"/>
                    <w:rPr>
                      <w:rFonts w:hint="eastAsia" w:asciiTheme="minorEastAsia" w:hAnsiTheme="minorEastAsia" w:eastAsiaTheme="minorEastAsia" w:cstheme="minorEastAsia"/>
                      <w:color w:val="auto"/>
                      <w:spacing w:val="0"/>
                      <w:position w:val="0"/>
                      <w:sz w:val="21"/>
                      <w:szCs w:val="21"/>
                      <w:lang w:val="en-US" w:eastAsia="zh-CN"/>
                    </w:rPr>
                  </w:pPr>
                  <w:r>
                    <w:rPr>
                      <w:rFonts w:hint="eastAsia" w:asciiTheme="minorEastAsia" w:hAnsiTheme="minorEastAsia" w:eastAsiaTheme="minorEastAsia" w:cstheme="minorEastAsia"/>
                      <w:color w:val="auto"/>
                      <w:spacing w:val="0"/>
                      <w:position w:val="0"/>
                      <w:sz w:val="21"/>
                      <w:szCs w:val="21"/>
                      <w:shd w:val="clear" w:fill="auto"/>
                    </w:rPr>
                    <w:t>1</w:t>
                  </w:r>
                  <w:r>
                    <w:rPr>
                      <w:rFonts w:hint="eastAsia" w:asciiTheme="minorEastAsia" w:hAnsiTheme="minorEastAsia" w:eastAsiaTheme="minorEastAsia" w:cstheme="minorEastAsia"/>
                      <w:color w:val="auto"/>
                      <w:spacing w:val="0"/>
                      <w:position w:val="0"/>
                      <w:sz w:val="21"/>
                      <w:szCs w:val="21"/>
                      <w:shd w:val="clear" w:fill="auto"/>
                      <w:lang w:val="en-US" w:eastAsia="zh-CN"/>
                    </w:rPr>
                    <w:t>2</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A112CC">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滚焊机</w:t>
                  </w:r>
                </w:p>
              </w:tc>
              <w:tc>
                <w:tcPr>
                  <w:tcW w:w="19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E526A2">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300-1500</w:t>
                  </w:r>
                </w:p>
              </w:tc>
              <w:tc>
                <w:tcPr>
                  <w:tcW w:w="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F51C93">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台</w:t>
                  </w:r>
                </w:p>
              </w:tc>
              <w:tc>
                <w:tcPr>
                  <w:tcW w:w="8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10C4F7">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1</w:t>
                  </w:r>
                </w:p>
              </w:tc>
              <w:tc>
                <w:tcPr>
                  <w:tcW w:w="3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918870">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11千瓦</w:t>
                  </w:r>
                </w:p>
              </w:tc>
            </w:tr>
            <w:tr w14:paraId="5C5925E9">
              <w:tblPrEx>
                <w:tblCellMar>
                  <w:top w:w="0" w:type="dxa"/>
                  <w:left w:w="10" w:type="dxa"/>
                  <w:bottom w:w="0" w:type="dxa"/>
                  <w:right w:w="10" w:type="dxa"/>
                </w:tblCellMar>
              </w:tblPrEx>
              <w:trPr>
                <w:trHeight w:val="152"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7C2673">
                  <w:pPr>
                    <w:spacing w:before="0" w:after="0" w:line="240" w:lineRule="auto"/>
                    <w:ind w:left="-122" w:leftChars="0" w:right="-122" w:rightChars="0" w:firstLine="0" w:firstLineChars="0"/>
                    <w:jc w:val="center"/>
                    <w:rPr>
                      <w:rFonts w:hint="eastAsia" w:asciiTheme="minorEastAsia" w:hAnsiTheme="minorEastAsia" w:eastAsiaTheme="minorEastAsia" w:cstheme="minorEastAsia"/>
                      <w:color w:val="auto"/>
                      <w:spacing w:val="0"/>
                      <w:position w:val="0"/>
                      <w:sz w:val="21"/>
                      <w:szCs w:val="21"/>
                      <w:lang w:eastAsia="zh-CN"/>
                    </w:rPr>
                  </w:pPr>
                  <w:r>
                    <w:rPr>
                      <w:rFonts w:hint="eastAsia" w:asciiTheme="minorEastAsia" w:hAnsiTheme="minorEastAsia" w:eastAsiaTheme="minorEastAsia" w:cstheme="minorEastAsia"/>
                      <w:color w:val="auto"/>
                      <w:spacing w:val="0"/>
                      <w:position w:val="0"/>
                      <w:sz w:val="21"/>
                      <w:szCs w:val="21"/>
                      <w:shd w:val="clear" w:fill="auto"/>
                    </w:rPr>
                    <w:t>1</w:t>
                  </w:r>
                  <w:r>
                    <w:rPr>
                      <w:rFonts w:hint="eastAsia" w:asciiTheme="minorEastAsia" w:hAnsiTheme="minorEastAsia" w:eastAsiaTheme="minorEastAsia" w:cstheme="minorEastAsia"/>
                      <w:color w:val="auto"/>
                      <w:spacing w:val="0"/>
                      <w:position w:val="0"/>
                      <w:sz w:val="21"/>
                      <w:szCs w:val="21"/>
                      <w:shd w:val="clear" w:fill="auto"/>
                      <w:lang w:val="en-US" w:eastAsia="zh-CN"/>
                    </w:rPr>
                    <w:t>3</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8B0053">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装载机</w:t>
                  </w:r>
                </w:p>
              </w:tc>
              <w:tc>
                <w:tcPr>
                  <w:tcW w:w="19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88676">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938A</w:t>
                  </w:r>
                </w:p>
              </w:tc>
              <w:tc>
                <w:tcPr>
                  <w:tcW w:w="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583474">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台</w:t>
                  </w:r>
                </w:p>
              </w:tc>
              <w:tc>
                <w:tcPr>
                  <w:tcW w:w="8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260CB5">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1</w:t>
                  </w:r>
                </w:p>
              </w:tc>
              <w:tc>
                <w:tcPr>
                  <w:tcW w:w="3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E1D33">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w:t>
                  </w:r>
                </w:p>
              </w:tc>
            </w:tr>
            <w:tr w14:paraId="27868016">
              <w:tblPrEx>
                <w:tblCellMar>
                  <w:top w:w="0" w:type="dxa"/>
                  <w:left w:w="10" w:type="dxa"/>
                  <w:bottom w:w="0" w:type="dxa"/>
                  <w:right w:w="10" w:type="dxa"/>
                </w:tblCellMar>
              </w:tblPrEx>
              <w:trPr>
                <w:trHeight w:val="287"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10D33F">
                  <w:pPr>
                    <w:spacing w:before="0" w:after="0" w:line="240" w:lineRule="auto"/>
                    <w:ind w:left="-122" w:leftChars="0" w:right="-122" w:rightChars="0" w:firstLine="0" w:firstLineChars="0"/>
                    <w:jc w:val="center"/>
                    <w:rPr>
                      <w:rFonts w:hint="eastAsia" w:asciiTheme="minorEastAsia" w:hAnsiTheme="minorEastAsia" w:eastAsiaTheme="minorEastAsia" w:cstheme="minorEastAsia"/>
                      <w:color w:val="auto"/>
                      <w:spacing w:val="0"/>
                      <w:position w:val="0"/>
                      <w:sz w:val="21"/>
                      <w:szCs w:val="21"/>
                      <w:lang w:eastAsia="zh-CN"/>
                    </w:rPr>
                  </w:pPr>
                  <w:r>
                    <w:rPr>
                      <w:rFonts w:hint="eastAsia" w:asciiTheme="minorEastAsia" w:hAnsiTheme="minorEastAsia" w:eastAsiaTheme="minorEastAsia" w:cstheme="minorEastAsia"/>
                      <w:color w:val="auto"/>
                      <w:spacing w:val="0"/>
                      <w:position w:val="0"/>
                      <w:sz w:val="21"/>
                      <w:szCs w:val="21"/>
                      <w:shd w:val="clear" w:fill="auto"/>
                      <w:lang w:val="en-US" w:eastAsia="zh-CN"/>
                    </w:rPr>
                    <w:t>14</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97FED6">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lang w:eastAsia="zh-CN"/>
                    </w:rPr>
                  </w:pPr>
                  <w:r>
                    <w:rPr>
                      <w:rFonts w:hint="eastAsia" w:asciiTheme="minorEastAsia" w:hAnsiTheme="minorEastAsia" w:eastAsiaTheme="minorEastAsia" w:cstheme="minorEastAsia"/>
                      <w:color w:val="auto"/>
                      <w:spacing w:val="0"/>
                      <w:position w:val="0"/>
                      <w:sz w:val="21"/>
                      <w:szCs w:val="21"/>
                      <w:shd w:val="clear" w:fill="auto"/>
                      <w:lang w:eastAsia="zh-CN"/>
                    </w:rPr>
                    <w:t>龙门吊</w:t>
                  </w:r>
                </w:p>
              </w:tc>
              <w:tc>
                <w:tcPr>
                  <w:tcW w:w="19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4FBA69">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2.8吨</w:t>
                  </w:r>
                </w:p>
              </w:tc>
              <w:tc>
                <w:tcPr>
                  <w:tcW w:w="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76D739">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台</w:t>
                  </w:r>
                </w:p>
              </w:tc>
              <w:tc>
                <w:tcPr>
                  <w:tcW w:w="8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B8F31E">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2</w:t>
                  </w:r>
                </w:p>
              </w:tc>
              <w:tc>
                <w:tcPr>
                  <w:tcW w:w="3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57A29E">
                  <w:pPr>
                    <w:spacing w:before="0" w:after="0" w:line="240" w:lineRule="auto"/>
                    <w:ind w:left="-122" w:right="-122" w:firstLine="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shd w:val="clear" w:fill="auto"/>
                    </w:rPr>
                    <w:t>11千瓦</w:t>
                  </w:r>
                </w:p>
              </w:tc>
            </w:tr>
            <w:tr w14:paraId="1F9EE677">
              <w:tblPrEx>
                <w:tblCellMar>
                  <w:top w:w="0" w:type="dxa"/>
                  <w:left w:w="10" w:type="dxa"/>
                  <w:bottom w:w="0" w:type="dxa"/>
                  <w:right w:w="10" w:type="dxa"/>
                </w:tblCellMar>
              </w:tblPrEx>
              <w:trPr>
                <w:trHeight w:val="207"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5676CA">
                  <w:pPr>
                    <w:spacing w:before="0" w:after="0" w:line="240" w:lineRule="auto"/>
                    <w:ind w:left="-122" w:leftChars="0" w:right="-122" w:rightChars="0" w:firstLine="0" w:firstLineChars="0"/>
                    <w:jc w:val="center"/>
                    <w:rPr>
                      <w:rFonts w:hint="eastAsia" w:asciiTheme="minorEastAsia" w:hAnsiTheme="minorEastAsia" w:eastAsiaTheme="minorEastAsia" w:cstheme="minorEastAsia"/>
                      <w:color w:val="auto"/>
                      <w:spacing w:val="0"/>
                      <w:position w:val="0"/>
                      <w:sz w:val="21"/>
                      <w:szCs w:val="21"/>
                      <w:shd w:val="clear" w:fill="auto"/>
                      <w:lang w:val="en-US" w:eastAsia="zh-CN"/>
                    </w:rPr>
                  </w:pPr>
                  <w:r>
                    <w:rPr>
                      <w:rFonts w:hint="eastAsia" w:asciiTheme="minorEastAsia" w:hAnsiTheme="minorEastAsia" w:eastAsiaTheme="minorEastAsia" w:cstheme="minorEastAsia"/>
                      <w:color w:val="auto"/>
                      <w:spacing w:val="0"/>
                      <w:position w:val="0"/>
                      <w:sz w:val="21"/>
                      <w:szCs w:val="21"/>
                      <w:shd w:val="clear" w:fill="auto"/>
                      <w:lang w:val="en-US" w:eastAsia="zh-CN"/>
                    </w:rPr>
                    <w:t>15</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48FFBD">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spacing w:val="0"/>
                      <w:position w:val="0"/>
                      <w:sz w:val="21"/>
                      <w:szCs w:val="21"/>
                      <w:shd w:val="clear" w:fill="auto"/>
                      <w:lang w:eastAsia="zh-CN"/>
                    </w:rPr>
                  </w:pPr>
                  <w:r>
                    <w:rPr>
                      <w:rFonts w:hint="eastAsia" w:asciiTheme="minorEastAsia" w:hAnsiTheme="minorEastAsia" w:eastAsiaTheme="minorEastAsia" w:cstheme="minorEastAsia"/>
                      <w:b w:val="0"/>
                      <w:bCs/>
                      <w:color w:val="auto"/>
                      <w:spacing w:val="0"/>
                      <w:position w:val="0"/>
                      <w:sz w:val="21"/>
                      <w:szCs w:val="21"/>
                      <w:shd w:val="clear" w:fill="auto"/>
                      <w:lang w:eastAsia="zh-CN"/>
                    </w:rPr>
                    <w:t>彩砖模具</w:t>
                  </w:r>
                </w:p>
              </w:tc>
              <w:tc>
                <w:tcPr>
                  <w:tcW w:w="19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A7A8F7">
                  <w:pPr>
                    <w:spacing w:line="240" w:lineRule="auto"/>
                    <w:ind w:left="-122" w:leftChars="-51" w:right="-122" w:rightChars="-51"/>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auto"/>
                      <w:kern w:val="0"/>
                      <w:sz w:val="21"/>
                      <w:szCs w:val="21"/>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562034">
                  <w:pPr>
                    <w:spacing w:line="240" w:lineRule="auto"/>
                    <w:ind w:left="-122" w:leftChars="-51" w:right="-122" w:rightChars="-51"/>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auto"/>
                      <w:kern w:val="0"/>
                      <w:sz w:val="21"/>
                      <w:szCs w:val="21"/>
                      <w:lang w:val="en-US" w:eastAsia="zh-CN" w:bidi="ar"/>
                    </w:rPr>
                    <w:t>套</w:t>
                  </w:r>
                </w:p>
              </w:tc>
              <w:tc>
                <w:tcPr>
                  <w:tcW w:w="8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1EB360">
                  <w:pPr>
                    <w:spacing w:line="240" w:lineRule="auto"/>
                    <w:ind w:left="-122" w:leftChars="-51" w:right="-122" w:rightChars="-51"/>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auto"/>
                      <w:kern w:val="0"/>
                      <w:sz w:val="21"/>
                      <w:szCs w:val="21"/>
                      <w:lang w:val="en-US" w:eastAsia="zh-CN" w:bidi="ar"/>
                    </w:rPr>
                    <w:t>300</w:t>
                  </w:r>
                </w:p>
              </w:tc>
              <w:tc>
                <w:tcPr>
                  <w:tcW w:w="3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C0500A">
                  <w:pPr>
                    <w:spacing w:line="240" w:lineRule="auto"/>
                    <w:ind w:left="-122" w:leftChars="-51" w:right="-122" w:rightChars="-51"/>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auto"/>
                      <w:kern w:val="0"/>
                      <w:sz w:val="21"/>
                      <w:szCs w:val="21"/>
                      <w:lang w:val="en-US" w:eastAsia="zh-CN" w:bidi="ar"/>
                    </w:rPr>
                    <w:t>/</w:t>
                  </w:r>
                </w:p>
              </w:tc>
            </w:tr>
            <w:tr w14:paraId="71FE2C78">
              <w:tblPrEx>
                <w:tblCellMar>
                  <w:top w:w="0" w:type="dxa"/>
                  <w:left w:w="10" w:type="dxa"/>
                  <w:bottom w:w="0" w:type="dxa"/>
                  <w:right w:w="10" w:type="dxa"/>
                </w:tblCellMar>
              </w:tblPrEx>
              <w:trPr>
                <w:trHeight w:val="207"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79BE55">
                  <w:pPr>
                    <w:spacing w:before="0" w:after="0" w:line="240" w:lineRule="auto"/>
                    <w:ind w:left="-122" w:leftChars="0" w:right="-122" w:rightChars="0" w:firstLine="0" w:firstLineChars="0"/>
                    <w:jc w:val="center"/>
                    <w:rPr>
                      <w:rFonts w:hint="eastAsia" w:asciiTheme="minorEastAsia" w:hAnsiTheme="minorEastAsia" w:eastAsiaTheme="minorEastAsia" w:cstheme="minorEastAsia"/>
                      <w:color w:val="auto"/>
                      <w:spacing w:val="0"/>
                      <w:position w:val="0"/>
                      <w:sz w:val="21"/>
                      <w:szCs w:val="21"/>
                      <w:shd w:val="clear" w:fill="auto"/>
                      <w:lang w:val="en-US" w:eastAsia="zh-CN"/>
                    </w:rPr>
                  </w:pPr>
                  <w:r>
                    <w:rPr>
                      <w:rFonts w:hint="eastAsia" w:asciiTheme="minorEastAsia" w:hAnsiTheme="minorEastAsia" w:eastAsiaTheme="minorEastAsia" w:cstheme="minorEastAsia"/>
                      <w:color w:val="auto"/>
                      <w:spacing w:val="0"/>
                      <w:position w:val="0"/>
                      <w:sz w:val="21"/>
                      <w:szCs w:val="21"/>
                      <w:shd w:val="clear" w:fill="auto"/>
                      <w:lang w:val="en-US" w:eastAsia="zh-CN"/>
                    </w:rPr>
                    <w:t>16</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ECBC96">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spacing w:val="0"/>
                      <w:position w:val="0"/>
                      <w:sz w:val="21"/>
                      <w:szCs w:val="21"/>
                      <w:shd w:val="clear" w:fill="auto"/>
                      <w:lang w:eastAsia="zh-CN"/>
                    </w:rPr>
                  </w:pPr>
                  <w:r>
                    <w:rPr>
                      <w:rFonts w:hint="eastAsia" w:asciiTheme="minorEastAsia" w:hAnsiTheme="minorEastAsia" w:eastAsiaTheme="minorEastAsia" w:cstheme="minorEastAsia"/>
                      <w:b w:val="0"/>
                      <w:bCs/>
                      <w:color w:val="auto"/>
                      <w:spacing w:val="0"/>
                      <w:position w:val="0"/>
                      <w:sz w:val="21"/>
                      <w:szCs w:val="21"/>
                      <w:shd w:val="clear" w:fill="auto"/>
                      <w:lang w:eastAsia="zh-CN"/>
                    </w:rPr>
                    <w:t>植草砖模具</w:t>
                  </w:r>
                </w:p>
              </w:tc>
              <w:tc>
                <w:tcPr>
                  <w:tcW w:w="19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57EC9">
                  <w:pPr>
                    <w:spacing w:line="240" w:lineRule="auto"/>
                    <w:ind w:left="-122" w:leftChars="-51" w:right="-122" w:rightChars="-51"/>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auto"/>
                      <w:kern w:val="0"/>
                      <w:sz w:val="21"/>
                      <w:szCs w:val="21"/>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BCBA37">
                  <w:pPr>
                    <w:spacing w:line="240" w:lineRule="auto"/>
                    <w:ind w:left="-122" w:leftChars="-51" w:right="-122" w:rightChars="-51"/>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auto"/>
                      <w:kern w:val="0"/>
                      <w:sz w:val="21"/>
                      <w:szCs w:val="21"/>
                      <w:lang w:val="en-US" w:eastAsia="zh-CN" w:bidi="ar"/>
                    </w:rPr>
                    <w:t>套</w:t>
                  </w:r>
                </w:p>
              </w:tc>
              <w:tc>
                <w:tcPr>
                  <w:tcW w:w="8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2BB8B6">
                  <w:pPr>
                    <w:spacing w:line="240" w:lineRule="auto"/>
                    <w:ind w:left="-122" w:leftChars="-51" w:right="-122" w:rightChars="-51"/>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auto"/>
                      <w:kern w:val="0"/>
                      <w:sz w:val="21"/>
                      <w:szCs w:val="21"/>
                      <w:lang w:val="en-US" w:eastAsia="zh-CN" w:bidi="ar"/>
                    </w:rPr>
                    <w:t>300</w:t>
                  </w:r>
                </w:p>
              </w:tc>
              <w:tc>
                <w:tcPr>
                  <w:tcW w:w="3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35BA31">
                  <w:pPr>
                    <w:spacing w:line="240" w:lineRule="auto"/>
                    <w:ind w:left="-122" w:leftChars="-51" w:right="-122" w:rightChars="-51"/>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auto"/>
                      <w:kern w:val="0"/>
                      <w:sz w:val="21"/>
                      <w:szCs w:val="21"/>
                      <w:lang w:val="en-US" w:eastAsia="zh-CN" w:bidi="ar"/>
                    </w:rPr>
                    <w:t>/</w:t>
                  </w:r>
                </w:p>
              </w:tc>
            </w:tr>
            <w:tr w14:paraId="281263FC">
              <w:tblPrEx>
                <w:tblCellMar>
                  <w:top w:w="0" w:type="dxa"/>
                  <w:left w:w="10" w:type="dxa"/>
                  <w:bottom w:w="0" w:type="dxa"/>
                  <w:right w:w="10" w:type="dxa"/>
                </w:tblCellMar>
              </w:tblPrEx>
              <w:trPr>
                <w:trHeight w:val="207"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366EA7">
                  <w:pPr>
                    <w:spacing w:before="0" w:after="0" w:line="240" w:lineRule="auto"/>
                    <w:ind w:left="-122" w:leftChars="0" w:right="-122" w:rightChars="0" w:firstLine="0" w:firstLineChars="0"/>
                    <w:jc w:val="center"/>
                    <w:rPr>
                      <w:rFonts w:hint="eastAsia" w:asciiTheme="minorEastAsia" w:hAnsiTheme="minorEastAsia" w:eastAsiaTheme="minorEastAsia" w:cstheme="minorEastAsia"/>
                      <w:color w:val="auto"/>
                      <w:spacing w:val="0"/>
                      <w:position w:val="0"/>
                      <w:sz w:val="21"/>
                      <w:szCs w:val="21"/>
                      <w:shd w:val="clear" w:fill="auto"/>
                      <w:lang w:val="en-US" w:eastAsia="zh-CN"/>
                    </w:rPr>
                  </w:pPr>
                  <w:r>
                    <w:rPr>
                      <w:rFonts w:hint="eastAsia" w:asciiTheme="minorEastAsia" w:hAnsiTheme="minorEastAsia" w:eastAsiaTheme="minorEastAsia" w:cstheme="minorEastAsia"/>
                      <w:color w:val="auto"/>
                      <w:spacing w:val="0"/>
                      <w:position w:val="0"/>
                      <w:sz w:val="21"/>
                      <w:szCs w:val="21"/>
                      <w:shd w:val="clear" w:fill="auto"/>
                      <w:lang w:val="en-US" w:eastAsia="zh-CN"/>
                    </w:rPr>
                    <w:t>17</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0755D9">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spacing w:val="0"/>
                      <w:position w:val="0"/>
                      <w:sz w:val="21"/>
                      <w:szCs w:val="21"/>
                      <w:shd w:val="clear" w:fill="auto"/>
                      <w:lang w:eastAsia="zh-CN"/>
                    </w:rPr>
                  </w:pPr>
                  <w:r>
                    <w:rPr>
                      <w:rFonts w:hint="eastAsia" w:asciiTheme="minorEastAsia" w:hAnsiTheme="minorEastAsia" w:eastAsiaTheme="minorEastAsia" w:cstheme="minorEastAsia"/>
                      <w:color w:val="auto"/>
                      <w:spacing w:val="0"/>
                      <w:position w:val="0"/>
                      <w:sz w:val="21"/>
                      <w:szCs w:val="21"/>
                      <w:shd w:val="clear" w:fill="auto"/>
                    </w:rPr>
                    <w:t>检查井</w:t>
                  </w:r>
                  <w:r>
                    <w:rPr>
                      <w:rFonts w:hint="eastAsia" w:asciiTheme="minorEastAsia" w:hAnsiTheme="minorEastAsia" w:eastAsiaTheme="minorEastAsia" w:cstheme="minorEastAsia"/>
                      <w:b w:val="0"/>
                      <w:bCs/>
                      <w:color w:val="auto"/>
                      <w:spacing w:val="0"/>
                      <w:position w:val="0"/>
                      <w:sz w:val="21"/>
                      <w:szCs w:val="21"/>
                      <w:shd w:val="clear" w:fill="auto"/>
                      <w:lang w:eastAsia="zh-CN"/>
                    </w:rPr>
                    <w:t>模具</w:t>
                  </w:r>
                </w:p>
              </w:tc>
              <w:tc>
                <w:tcPr>
                  <w:tcW w:w="19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D2883F">
                  <w:pPr>
                    <w:spacing w:line="240" w:lineRule="auto"/>
                    <w:ind w:left="-122" w:leftChars="-51" w:right="-122" w:rightChars="-51"/>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auto"/>
                      <w:kern w:val="0"/>
                      <w:sz w:val="21"/>
                      <w:szCs w:val="21"/>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2192B2">
                  <w:pPr>
                    <w:spacing w:line="240" w:lineRule="auto"/>
                    <w:ind w:left="-122" w:leftChars="-51" w:right="-122" w:rightChars="-51"/>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auto"/>
                      <w:kern w:val="0"/>
                      <w:sz w:val="21"/>
                      <w:szCs w:val="21"/>
                      <w:lang w:val="en-US" w:eastAsia="zh-CN" w:bidi="ar"/>
                    </w:rPr>
                    <w:t>套</w:t>
                  </w:r>
                </w:p>
              </w:tc>
              <w:tc>
                <w:tcPr>
                  <w:tcW w:w="8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FA0861">
                  <w:pPr>
                    <w:spacing w:line="240" w:lineRule="auto"/>
                    <w:ind w:left="-122" w:leftChars="-51" w:right="-122" w:rightChars="-51"/>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auto"/>
                      <w:kern w:val="0"/>
                      <w:sz w:val="21"/>
                      <w:szCs w:val="21"/>
                      <w:lang w:val="en-US" w:eastAsia="zh-CN" w:bidi="ar"/>
                    </w:rPr>
                    <w:t>100</w:t>
                  </w:r>
                </w:p>
              </w:tc>
              <w:tc>
                <w:tcPr>
                  <w:tcW w:w="3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0588FD">
                  <w:pPr>
                    <w:spacing w:line="240" w:lineRule="auto"/>
                    <w:ind w:left="-122" w:leftChars="-51" w:right="-122" w:rightChars="-51"/>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auto"/>
                      <w:kern w:val="0"/>
                      <w:sz w:val="21"/>
                      <w:szCs w:val="21"/>
                      <w:lang w:val="en-US" w:eastAsia="zh-CN" w:bidi="ar"/>
                    </w:rPr>
                    <w:t>/</w:t>
                  </w:r>
                </w:p>
              </w:tc>
            </w:tr>
            <w:tr w14:paraId="3F5915EF">
              <w:tblPrEx>
                <w:tblCellMar>
                  <w:top w:w="0" w:type="dxa"/>
                  <w:left w:w="10" w:type="dxa"/>
                  <w:bottom w:w="0" w:type="dxa"/>
                  <w:right w:w="10" w:type="dxa"/>
                </w:tblCellMar>
              </w:tblPrEx>
              <w:trPr>
                <w:trHeight w:val="207"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4FEF89">
                  <w:pPr>
                    <w:spacing w:before="0" w:after="0" w:line="240" w:lineRule="auto"/>
                    <w:ind w:left="-122" w:leftChars="0" w:right="-122" w:rightChars="0" w:firstLine="0" w:firstLineChars="0"/>
                    <w:jc w:val="center"/>
                    <w:rPr>
                      <w:rFonts w:hint="eastAsia" w:asciiTheme="minorEastAsia" w:hAnsiTheme="minorEastAsia" w:eastAsiaTheme="minorEastAsia" w:cstheme="minorEastAsia"/>
                      <w:color w:val="auto"/>
                      <w:spacing w:val="0"/>
                      <w:position w:val="0"/>
                      <w:sz w:val="21"/>
                      <w:szCs w:val="21"/>
                      <w:shd w:val="clear" w:fill="auto"/>
                      <w:lang w:val="en-US" w:eastAsia="zh-CN"/>
                    </w:rPr>
                  </w:pPr>
                  <w:r>
                    <w:rPr>
                      <w:rFonts w:hint="eastAsia" w:asciiTheme="minorEastAsia" w:hAnsiTheme="minorEastAsia" w:eastAsiaTheme="minorEastAsia" w:cstheme="minorEastAsia"/>
                      <w:color w:val="auto"/>
                      <w:spacing w:val="0"/>
                      <w:position w:val="0"/>
                      <w:sz w:val="21"/>
                      <w:szCs w:val="21"/>
                      <w:shd w:val="clear" w:fill="auto"/>
                      <w:lang w:val="en-US" w:eastAsia="zh-CN"/>
                    </w:rPr>
                    <w:t>18</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F1993F">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spacing w:val="0"/>
                      <w:position w:val="0"/>
                      <w:sz w:val="21"/>
                      <w:szCs w:val="21"/>
                      <w:shd w:val="clear" w:fill="auto"/>
                      <w:lang w:eastAsia="zh-CN"/>
                    </w:rPr>
                  </w:pPr>
                  <w:r>
                    <w:rPr>
                      <w:rFonts w:hint="eastAsia" w:asciiTheme="minorEastAsia" w:hAnsiTheme="minorEastAsia" w:eastAsiaTheme="minorEastAsia" w:cstheme="minorEastAsia"/>
                      <w:color w:val="auto"/>
                      <w:spacing w:val="0"/>
                      <w:position w:val="0"/>
                      <w:sz w:val="21"/>
                      <w:szCs w:val="21"/>
                      <w:shd w:val="clear" w:fill="auto"/>
                    </w:rPr>
                    <w:t>井盖</w:t>
                  </w:r>
                  <w:r>
                    <w:rPr>
                      <w:rFonts w:hint="eastAsia" w:asciiTheme="minorEastAsia" w:hAnsiTheme="minorEastAsia" w:eastAsiaTheme="minorEastAsia" w:cstheme="minorEastAsia"/>
                      <w:b w:val="0"/>
                      <w:bCs/>
                      <w:color w:val="auto"/>
                      <w:spacing w:val="0"/>
                      <w:position w:val="0"/>
                      <w:sz w:val="21"/>
                      <w:szCs w:val="21"/>
                      <w:shd w:val="clear" w:fill="auto"/>
                      <w:lang w:eastAsia="zh-CN"/>
                    </w:rPr>
                    <w:t>模具</w:t>
                  </w:r>
                </w:p>
              </w:tc>
              <w:tc>
                <w:tcPr>
                  <w:tcW w:w="19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A441BB">
                  <w:pPr>
                    <w:spacing w:line="240" w:lineRule="auto"/>
                    <w:ind w:left="-122" w:leftChars="-51" w:right="-122" w:rightChars="-51"/>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auto"/>
                      <w:kern w:val="0"/>
                      <w:sz w:val="21"/>
                      <w:szCs w:val="21"/>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6F4E3D">
                  <w:pPr>
                    <w:spacing w:line="240" w:lineRule="auto"/>
                    <w:ind w:left="-122" w:leftChars="-51" w:right="-122" w:rightChars="-51"/>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auto"/>
                      <w:kern w:val="0"/>
                      <w:sz w:val="21"/>
                      <w:szCs w:val="21"/>
                      <w:lang w:val="en-US" w:eastAsia="zh-CN" w:bidi="ar"/>
                    </w:rPr>
                    <w:t>套</w:t>
                  </w:r>
                </w:p>
              </w:tc>
              <w:tc>
                <w:tcPr>
                  <w:tcW w:w="8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5FF039">
                  <w:pPr>
                    <w:spacing w:line="240" w:lineRule="auto"/>
                    <w:ind w:left="-122" w:leftChars="-51" w:right="-122" w:rightChars="-51"/>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auto"/>
                      <w:kern w:val="0"/>
                      <w:sz w:val="21"/>
                      <w:szCs w:val="21"/>
                      <w:lang w:val="en-US" w:eastAsia="zh-CN" w:bidi="ar"/>
                    </w:rPr>
                    <w:t>200</w:t>
                  </w:r>
                </w:p>
              </w:tc>
              <w:tc>
                <w:tcPr>
                  <w:tcW w:w="3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5C9661">
                  <w:pPr>
                    <w:spacing w:line="240" w:lineRule="auto"/>
                    <w:ind w:left="-122" w:leftChars="-51" w:right="-122" w:rightChars="-51"/>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auto"/>
                      <w:kern w:val="0"/>
                      <w:sz w:val="21"/>
                      <w:szCs w:val="21"/>
                      <w:lang w:val="en-US" w:eastAsia="zh-CN" w:bidi="ar"/>
                    </w:rPr>
                    <w:t>/</w:t>
                  </w:r>
                </w:p>
              </w:tc>
            </w:tr>
            <w:tr w14:paraId="3DF4B913">
              <w:tblPrEx>
                <w:tblCellMar>
                  <w:top w:w="0" w:type="dxa"/>
                  <w:left w:w="10" w:type="dxa"/>
                  <w:bottom w:w="0" w:type="dxa"/>
                  <w:right w:w="10" w:type="dxa"/>
                </w:tblCellMar>
              </w:tblPrEx>
              <w:trPr>
                <w:trHeight w:val="207"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34FED5">
                  <w:pPr>
                    <w:spacing w:before="0" w:after="0" w:line="240" w:lineRule="auto"/>
                    <w:ind w:left="-122" w:leftChars="0" w:right="-122" w:rightChars="0" w:firstLine="0" w:firstLineChars="0"/>
                    <w:jc w:val="center"/>
                    <w:rPr>
                      <w:rFonts w:hint="eastAsia" w:asciiTheme="minorEastAsia" w:hAnsiTheme="minorEastAsia" w:eastAsiaTheme="minorEastAsia" w:cstheme="minorEastAsia"/>
                      <w:color w:val="auto"/>
                      <w:spacing w:val="0"/>
                      <w:position w:val="0"/>
                      <w:sz w:val="21"/>
                      <w:szCs w:val="21"/>
                      <w:shd w:val="clear" w:fill="auto"/>
                      <w:lang w:val="en-US" w:eastAsia="zh-CN"/>
                    </w:rPr>
                  </w:pPr>
                  <w:r>
                    <w:rPr>
                      <w:rFonts w:hint="eastAsia" w:asciiTheme="minorEastAsia" w:hAnsiTheme="minorEastAsia" w:eastAsiaTheme="minorEastAsia" w:cstheme="minorEastAsia"/>
                      <w:color w:val="auto"/>
                      <w:spacing w:val="0"/>
                      <w:position w:val="0"/>
                      <w:sz w:val="21"/>
                      <w:szCs w:val="21"/>
                      <w:shd w:val="clear" w:fill="auto"/>
                      <w:lang w:val="en-US" w:eastAsia="zh-CN"/>
                    </w:rPr>
                    <w:t>19</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1ECF62">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spacing w:val="0"/>
                      <w:position w:val="0"/>
                      <w:sz w:val="21"/>
                      <w:szCs w:val="21"/>
                      <w:shd w:val="clear" w:fill="auto"/>
                      <w:lang w:eastAsia="zh-CN"/>
                    </w:rPr>
                  </w:pPr>
                  <w:r>
                    <w:rPr>
                      <w:rFonts w:hint="eastAsia" w:asciiTheme="minorEastAsia" w:hAnsiTheme="minorEastAsia" w:eastAsiaTheme="minorEastAsia" w:cstheme="minorEastAsia"/>
                      <w:color w:val="auto"/>
                      <w:spacing w:val="0"/>
                      <w:position w:val="0"/>
                      <w:sz w:val="21"/>
                      <w:szCs w:val="21"/>
                      <w:shd w:val="clear" w:fill="auto"/>
                    </w:rPr>
                    <w:t>涵管</w:t>
                  </w:r>
                  <w:r>
                    <w:rPr>
                      <w:rFonts w:hint="eastAsia" w:asciiTheme="minorEastAsia" w:hAnsiTheme="minorEastAsia" w:eastAsiaTheme="minorEastAsia" w:cstheme="minorEastAsia"/>
                      <w:b w:val="0"/>
                      <w:bCs/>
                      <w:color w:val="auto"/>
                      <w:spacing w:val="0"/>
                      <w:position w:val="0"/>
                      <w:sz w:val="21"/>
                      <w:szCs w:val="21"/>
                      <w:shd w:val="clear" w:fill="auto"/>
                      <w:lang w:eastAsia="zh-CN"/>
                    </w:rPr>
                    <w:t>模具</w:t>
                  </w:r>
                </w:p>
              </w:tc>
              <w:tc>
                <w:tcPr>
                  <w:tcW w:w="19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2612F6">
                  <w:pPr>
                    <w:spacing w:line="240" w:lineRule="auto"/>
                    <w:ind w:left="-122" w:leftChars="-51" w:right="-122" w:rightChars="-51"/>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auto"/>
                      <w:kern w:val="0"/>
                      <w:sz w:val="21"/>
                      <w:szCs w:val="21"/>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B74499">
                  <w:pPr>
                    <w:spacing w:line="240" w:lineRule="auto"/>
                    <w:ind w:left="-122" w:leftChars="-51" w:right="-122" w:rightChars="-51"/>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auto"/>
                      <w:kern w:val="0"/>
                      <w:sz w:val="21"/>
                      <w:szCs w:val="21"/>
                      <w:lang w:val="en-US" w:eastAsia="zh-CN" w:bidi="ar"/>
                    </w:rPr>
                    <w:t>套</w:t>
                  </w:r>
                </w:p>
              </w:tc>
              <w:tc>
                <w:tcPr>
                  <w:tcW w:w="8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44999A">
                  <w:pPr>
                    <w:spacing w:line="240" w:lineRule="auto"/>
                    <w:ind w:left="-122" w:leftChars="-51" w:right="-122" w:rightChars="-51"/>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auto"/>
                      <w:kern w:val="0"/>
                      <w:sz w:val="21"/>
                      <w:szCs w:val="21"/>
                      <w:lang w:val="en-US" w:eastAsia="zh-CN" w:bidi="ar"/>
                    </w:rPr>
                    <w:t>140</w:t>
                  </w:r>
                </w:p>
              </w:tc>
              <w:tc>
                <w:tcPr>
                  <w:tcW w:w="3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FD9729">
                  <w:pPr>
                    <w:spacing w:line="240" w:lineRule="auto"/>
                    <w:ind w:left="-122" w:leftChars="-51" w:right="-122" w:rightChars="-51"/>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auto"/>
                      <w:kern w:val="0"/>
                      <w:sz w:val="21"/>
                      <w:szCs w:val="21"/>
                      <w:lang w:val="en-US" w:eastAsia="zh-CN" w:bidi="ar"/>
                    </w:rPr>
                    <w:t>/</w:t>
                  </w:r>
                </w:p>
              </w:tc>
            </w:tr>
            <w:tr w14:paraId="4E6C1AF5">
              <w:tblPrEx>
                <w:tblCellMar>
                  <w:top w:w="0" w:type="dxa"/>
                  <w:left w:w="10" w:type="dxa"/>
                  <w:bottom w:w="0" w:type="dxa"/>
                  <w:right w:w="10" w:type="dxa"/>
                </w:tblCellMar>
              </w:tblPrEx>
              <w:trPr>
                <w:trHeight w:val="207"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1FE90D">
                  <w:pPr>
                    <w:spacing w:before="0" w:after="0" w:line="240" w:lineRule="auto"/>
                    <w:ind w:left="-122" w:leftChars="0" w:right="-122" w:rightChars="0" w:firstLine="0" w:firstLineChars="0"/>
                    <w:jc w:val="center"/>
                    <w:rPr>
                      <w:rFonts w:hint="default" w:asciiTheme="minorEastAsia" w:hAnsiTheme="minorEastAsia" w:eastAsiaTheme="minorEastAsia" w:cstheme="minorEastAsia"/>
                      <w:color w:val="auto"/>
                      <w:spacing w:val="0"/>
                      <w:position w:val="0"/>
                      <w:sz w:val="21"/>
                      <w:szCs w:val="21"/>
                      <w:shd w:val="clear" w:fill="auto"/>
                      <w:lang w:val="en-US" w:eastAsia="zh-CN"/>
                    </w:rPr>
                  </w:pPr>
                  <w:r>
                    <w:rPr>
                      <w:rFonts w:hint="eastAsia" w:asciiTheme="minorEastAsia" w:hAnsiTheme="minorEastAsia" w:eastAsiaTheme="minorEastAsia" w:cstheme="minorEastAsia"/>
                      <w:color w:val="auto"/>
                      <w:spacing w:val="0"/>
                      <w:position w:val="0"/>
                      <w:sz w:val="21"/>
                      <w:szCs w:val="21"/>
                      <w:shd w:val="clear" w:fill="auto"/>
                      <w:lang w:val="en-US" w:eastAsia="zh-CN"/>
                    </w:rPr>
                    <w:t>20</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FAA4C1">
                  <w:pPr>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spacing w:val="0"/>
                      <w:position w:val="0"/>
                      <w:sz w:val="21"/>
                      <w:szCs w:val="21"/>
                      <w:shd w:val="clear" w:fill="auto"/>
                      <w:lang w:eastAsia="zh-CN"/>
                    </w:rPr>
                  </w:pPr>
                  <w:r>
                    <w:rPr>
                      <w:rFonts w:hint="eastAsia" w:asciiTheme="minorEastAsia" w:hAnsiTheme="minorEastAsia" w:eastAsiaTheme="minorEastAsia" w:cstheme="minorEastAsia"/>
                      <w:color w:val="auto"/>
                      <w:spacing w:val="0"/>
                      <w:position w:val="0"/>
                      <w:sz w:val="21"/>
                      <w:szCs w:val="21"/>
                      <w:shd w:val="clear" w:fill="auto"/>
                    </w:rPr>
                    <w:t>预制板</w:t>
                  </w:r>
                  <w:r>
                    <w:rPr>
                      <w:rFonts w:hint="eastAsia" w:asciiTheme="minorEastAsia" w:hAnsiTheme="minorEastAsia" w:eastAsiaTheme="minorEastAsia" w:cstheme="minorEastAsia"/>
                      <w:b w:val="0"/>
                      <w:bCs/>
                      <w:color w:val="auto"/>
                      <w:spacing w:val="0"/>
                      <w:position w:val="0"/>
                      <w:sz w:val="21"/>
                      <w:szCs w:val="21"/>
                      <w:shd w:val="clear" w:fill="auto"/>
                      <w:lang w:eastAsia="zh-CN"/>
                    </w:rPr>
                    <w:t>模具</w:t>
                  </w:r>
                </w:p>
              </w:tc>
              <w:tc>
                <w:tcPr>
                  <w:tcW w:w="19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683948">
                  <w:pPr>
                    <w:spacing w:line="240" w:lineRule="auto"/>
                    <w:ind w:left="-122" w:leftChars="-51" w:right="-122" w:rightChars="-51"/>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auto"/>
                      <w:kern w:val="0"/>
                      <w:sz w:val="21"/>
                      <w:szCs w:val="21"/>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748E6C">
                  <w:pPr>
                    <w:spacing w:line="240" w:lineRule="auto"/>
                    <w:ind w:left="-122" w:leftChars="-51" w:right="-122" w:rightChars="-51"/>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auto"/>
                      <w:kern w:val="0"/>
                      <w:sz w:val="21"/>
                      <w:szCs w:val="21"/>
                      <w:lang w:val="en-US" w:eastAsia="zh-CN" w:bidi="ar"/>
                    </w:rPr>
                    <w:t>套</w:t>
                  </w:r>
                </w:p>
              </w:tc>
              <w:tc>
                <w:tcPr>
                  <w:tcW w:w="8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87CBDA">
                  <w:pPr>
                    <w:spacing w:line="240" w:lineRule="auto"/>
                    <w:ind w:left="-122" w:leftChars="-51" w:right="-122" w:rightChars="-51"/>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auto"/>
                      <w:kern w:val="0"/>
                      <w:sz w:val="21"/>
                      <w:szCs w:val="21"/>
                      <w:lang w:val="en-US" w:eastAsia="zh-CN" w:bidi="ar"/>
                    </w:rPr>
                    <w:t>200</w:t>
                  </w:r>
                </w:p>
              </w:tc>
              <w:tc>
                <w:tcPr>
                  <w:tcW w:w="3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19590">
                  <w:pPr>
                    <w:spacing w:line="240" w:lineRule="auto"/>
                    <w:ind w:left="-122" w:leftChars="-51" w:right="-122" w:rightChars="-51"/>
                    <w:jc w:val="center"/>
                    <w:rPr>
                      <w:rFonts w:hint="eastAsia" w:asciiTheme="minorEastAsia" w:hAnsiTheme="minorEastAsia" w:eastAsiaTheme="minorEastAsia" w:cstheme="minorEastAsia"/>
                      <w:color w:val="auto"/>
                      <w:spacing w:val="0"/>
                      <w:position w:val="0"/>
                      <w:sz w:val="21"/>
                      <w:szCs w:val="21"/>
                      <w:shd w:val="clear" w:fill="auto"/>
                    </w:rPr>
                  </w:pPr>
                  <w:r>
                    <w:rPr>
                      <w:rFonts w:hint="eastAsia" w:asciiTheme="minorEastAsia" w:hAnsiTheme="minorEastAsia" w:eastAsiaTheme="minorEastAsia" w:cstheme="minorEastAsia"/>
                      <w:color w:val="auto"/>
                      <w:kern w:val="0"/>
                      <w:sz w:val="21"/>
                      <w:szCs w:val="21"/>
                      <w:lang w:val="en-US" w:eastAsia="zh-CN" w:bidi="ar"/>
                    </w:rPr>
                    <w:t>/</w:t>
                  </w:r>
                </w:p>
              </w:tc>
            </w:tr>
          </w:tbl>
          <w:p w14:paraId="087F875F">
            <w:pPr>
              <w:numPr>
                <w:ilvl w:val="0"/>
                <w:numId w:val="4"/>
              </w:numPr>
              <w:adjustRightInd w:val="0"/>
              <w:snapToGrid w:val="0"/>
              <w:ind w:firstLine="482" w:firstLineChars="200"/>
              <w:rPr>
                <w:rFonts w:hint="eastAsia" w:asciiTheme="minorEastAsia" w:hAnsiTheme="minorEastAsia" w:eastAsiaTheme="minorEastAsia" w:cstheme="minorEastAsia"/>
                <w:b/>
                <w:bCs/>
                <w:color w:val="auto"/>
                <w:kern w:val="0"/>
                <w:lang w:bidi="ar"/>
              </w:rPr>
            </w:pPr>
            <w:r>
              <w:rPr>
                <w:rFonts w:hint="eastAsia" w:asciiTheme="minorEastAsia" w:hAnsiTheme="minorEastAsia" w:eastAsiaTheme="minorEastAsia" w:cstheme="minorEastAsia"/>
                <w:b/>
                <w:bCs/>
                <w:color w:val="auto"/>
                <w:kern w:val="0"/>
                <w:lang w:bidi="ar"/>
              </w:rPr>
              <w:t>劳动定员及工作时间</w:t>
            </w:r>
          </w:p>
          <w:p w14:paraId="392840BB">
            <w:pPr>
              <w:adjustRightInd w:val="0"/>
              <w:snapToGrid w:val="0"/>
              <w:ind w:firstLine="480" w:firstLineChars="200"/>
              <w:rPr>
                <w:rFonts w:hint="eastAsia" w:asciiTheme="minorEastAsia" w:hAnsiTheme="minorEastAsia" w:eastAsiaTheme="minorEastAsia" w:cstheme="minorEastAsia"/>
                <w:color w:val="auto"/>
                <w:kern w:val="0"/>
                <w:lang w:bidi="ar"/>
              </w:rPr>
            </w:pPr>
            <w:r>
              <w:rPr>
                <w:rFonts w:hint="eastAsia" w:asciiTheme="minorEastAsia" w:hAnsiTheme="minorEastAsia" w:eastAsiaTheme="minorEastAsia" w:cstheme="minorEastAsia"/>
                <w:color w:val="auto"/>
                <w:kern w:val="0"/>
                <w:lang w:bidi="ar"/>
              </w:rPr>
              <w:t>本项目劳动定员</w:t>
            </w:r>
            <w:r>
              <w:rPr>
                <w:rFonts w:hint="eastAsia" w:asciiTheme="minorEastAsia" w:hAnsiTheme="minorEastAsia" w:eastAsiaTheme="minorEastAsia" w:cstheme="minorEastAsia"/>
                <w:color w:val="auto"/>
                <w:kern w:val="0"/>
                <w:lang w:val="en-US" w:eastAsia="zh-CN" w:bidi="ar"/>
              </w:rPr>
              <w:t>8</w:t>
            </w:r>
            <w:r>
              <w:rPr>
                <w:rFonts w:hint="eastAsia" w:asciiTheme="minorEastAsia" w:hAnsiTheme="minorEastAsia" w:eastAsiaTheme="minorEastAsia" w:cstheme="minorEastAsia"/>
                <w:color w:val="auto"/>
                <w:kern w:val="0"/>
                <w:lang w:bidi="ar"/>
              </w:rPr>
              <w:t>人，年工作</w:t>
            </w:r>
            <w:r>
              <w:rPr>
                <w:rFonts w:hint="eastAsia" w:asciiTheme="minorEastAsia" w:hAnsiTheme="minorEastAsia" w:eastAsiaTheme="minorEastAsia" w:cstheme="minorEastAsia"/>
                <w:color w:val="auto"/>
                <w:kern w:val="0"/>
                <w:lang w:val="en-US" w:eastAsia="zh-CN" w:bidi="ar"/>
              </w:rPr>
              <w:t>2</w:t>
            </w:r>
            <w:r>
              <w:rPr>
                <w:rFonts w:hint="eastAsia" w:asciiTheme="minorEastAsia" w:hAnsiTheme="minorEastAsia" w:eastAsiaTheme="minorEastAsia" w:cstheme="minorEastAsia"/>
                <w:color w:val="auto"/>
                <w:kern w:val="0"/>
                <w:lang w:bidi="ar"/>
              </w:rPr>
              <w:t>00天，每天8h。</w:t>
            </w:r>
          </w:p>
          <w:p w14:paraId="55826364">
            <w:pPr>
              <w:numPr>
                <w:ilvl w:val="0"/>
                <w:numId w:val="4"/>
              </w:numPr>
              <w:adjustRightInd w:val="0"/>
              <w:snapToGrid w:val="0"/>
              <w:ind w:firstLine="482" w:firstLineChars="200"/>
              <w:rPr>
                <w:rFonts w:hint="eastAsia" w:asciiTheme="minorEastAsia" w:hAnsiTheme="minorEastAsia" w:eastAsiaTheme="minorEastAsia" w:cstheme="minorEastAsia"/>
                <w:b/>
                <w:bCs/>
                <w:color w:val="auto"/>
                <w:kern w:val="0"/>
                <w:lang w:bidi="ar"/>
              </w:rPr>
            </w:pPr>
            <w:r>
              <w:rPr>
                <w:rFonts w:hint="eastAsia" w:asciiTheme="minorEastAsia" w:hAnsiTheme="minorEastAsia" w:eastAsiaTheme="minorEastAsia" w:cstheme="minorEastAsia"/>
                <w:b/>
                <w:bCs/>
                <w:color w:val="auto"/>
                <w:kern w:val="0"/>
                <w:lang w:bidi="ar"/>
              </w:rPr>
              <w:t>项目平面布置</w:t>
            </w:r>
          </w:p>
          <w:p w14:paraId="46A0C813">
            <w:pPr>
              <w:adjustRightInd w:val="0"/>
              <w:snapToGrid w:val="0"/>
              <w:ind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kern w:val="0"/>
                <w:lang w:bidi="ar"/>
              </w:rPr>
              <w:t>本项目位于</w:t>
            </w:r>
            <w:r>
              <w:rPr>
                <w:rFonts w:hint="eastAsia" w:asciiTheme="minorEastAsia" w:hAnsiTheme="minorEastAsia" w:eastAsiaTheme="minorEastAsia" w:cstheme="minorEastAsia"/>
                <w:color w:val="auto"/>
                <w:lang w:eastAsia="zh-CN"/>
              </w:rPr>
              <w:t>云南省德宏州芒市风平镇帕底村芒市糖厂内</w:t>
            </w:r>
            <w:r>
              <w:rPr>
                <w:rFonts w:hint="eastAsia" w:asciiTheme="minorEastAsia" w:hAnsiTheme="minorEastAsia" w:eastAsiaTheme="minorEastAsia" w:cstheme="minorEastAsia"/>
                <w:color w:val="auto"/>
                <w:kern w:val="0"/>
                <w:lang w:bidi="ar"/>
              </w:rPr>
              <w:t>，</w:t>
            </w:r>
            <w:r>
              <w:rPr>
                <w:rFonts w:hint="eastAsia" w:asciiTheme="minorEastAsia" w:hAnsiTheme="minorEastAsia" w:eastAsiaTheme="minorEastAsia" w:cstheme="minorEastAsia"/>
                <w:color w:val="auto"/>
                <w:lang w:val="zh-CN"/>
              </w:rPr>
              <w:t>厂区东侧设</w:t>
            </w:r>
            <w:r>
              <w:rPr>
                <w:rFonts w:hint="eastAsia" w:asciiTheme="minorEastAsia" w:hAnsiTheme="minorEastAsia" w:eastAsiaTheme="minorEastAsia" w:cstheme="minorEastAsia"/>
                <w:color w:val="auto"/>
                <w:lang w:val="en-US" w:eastAsia="zh-CN"/>
              </w:rPr>
              <w:t>1</w:t>
            </w:r>
            <w:r>
              <w:rPr>
                <w:rFonts w:hint="eastAsia" w:asciiTheme="minorEastAsia" w:hAnsiTheme="minorEastAsia" w:eastAsiaTheme="minorEastAsia" w:cstheme="minorEastAsia"/>
                <w:color w:val="auto"/>
              </w:rPr>
              <w:t>个出入口，</w:t>
            </w:r>
            <w:r>
              <w:rPr>
                <w:rFonts w:hint="eastAsia" w:asciiTheme="minorEastAsia" w:hAnsiTheme="minorEastAsia" w:eastAsiaTheme="minorEastAsia" w:cstheme="minorEastAsia"/>
                <w:color w:val="auto"/>
                <w:lang w:val="zh-CN"/>
              </w:rPr>
              <w:t>项目场地</w:t>
            </w:r>
            <w:r>
              <w:rPr>
                <w:rFonts w:hint="eastAsia" w:asciiTheme="minorEastAsia" w:hAnsiTheme="minorEastAsia" w:eastAsiaTheme="minorEastAsia" w:cstheme="minorEastAsia"/>
                <w:color w:val="auto"/>
              </w:rPr>
              <w:t>整体</w:t>
            </w:r>
            <w:r>
              <w:rPr>
                <w:rFonts w:hint="eastAsia" w:asciiTheme="minorEastAsia" w:hAnsiTheme="minorEastAsia" w:eastAsiaTheme="minorEastAsia" w:cstheme="minorEastAsia"/>
                <w:color w:val="auto"/>
                <w:lang w:val="zh-CN"/>
              </w:rPr>
              <w:t>划分为</w:t>
            </w: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lang w:val="zh-CN"/>
              </w:rPr>
              <w:t>个区域，即</w:t>
            </w:r>
            <w:r>
              <w:rPr>
                <w:rFonts w:hint="eastAsia" w:asciiTheme="minorEastAsia" w:hAnsiTheme="minorEastAsia" w:eastAsiaTheme="minorEastAsia" w:cstheme="minorEastAsia"/>
                <w:color w:val="auto"/>
              </w:rPr>
              <w:t>生产区、办公生活区。</w:t>
            </w:r>
            <w:r>
              <w:rPr>
                <w:rFonts w:hint="eastAsia" w:asciiTheme="minorEastAsia" w:hAnsiTheme="minorEastAsia" w:eastAsiaTheme="minorEastAsia" w:cstheme="minorEastAsia"/>
                <w:color w:val="auto"/>
                <w:lang w:val="en-US" w:eastAsia="zh-CN"/>
              </w:rPr>
              <w:t>1#生产区水泥管</w:t>
            </w:r>
            <w:r>
              <w:rPr>
                <w:rFonts w:hint="eastAsia" w:asciiTheme="minorEastAsia" w:hAnsiTheme="minorEastAsia" w:eastAsiaTheme="minorEastAsia" w:cstheme="minorEastAsia"/>
                <w:color w:val="auto"/>
              </w:rPr>
              <w:t>生产</w:t>
            </w:r>
            <w:r>
              <w:rPr>
                <w:rFonts w:hint="eastAsia" w:asciiTheme="minorEastAsia" w:hAnsiTheme="minorEastAsia" w:eastAsiaTheme="minorEastAsia" w:cstheme="minorEastAsia"/>
                <w:color w:val="auto"/>
                <w:lang w:eastAsia="zh-CN"/>
              </w:rPr>
              <w:t>线</w:t>
            </w:r>
            <w:r>
              <w:rPr>
                <w:rFonts w:hint="eastAsia" w:asciiTheme="minorEastAsia" w:hAnsiTheme="minorEastAsia" w:eastAsiaTheme="minorEastAsia" w:cstheme="minorEastAsia"/>
                <w:color w:val="auto"/>
              </w:rPr>
              <w:t>位于项目区</w:t>
            </w:r>
            <w:r>
              <w:rPr>
                <w:rFonts w:hint="eastAsia" w:asciiTheme="minorEastAsia" w:hAnsiTheme="minorEastAsia" w:eastAsiaTheme="minorEastAsia" w:cstheme="minorEastAsia"/>
                <w:color w:val="auto"/>
                <w:lang w:eastAsia="zh-CN"/>
              </w:rPr>
              <w:t>西部</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eastAsia="zh-CN"/>
              </w:rPr>
              <w:t>自南部向北部依次设置为</w:t>
            </w:r>
            <w:r>
              <w:rPr>
                <w:rFonts w:hint="eastAsia" w:asciiTheme="minorEastAsia" w:hAnsiTheme="minorEastAsia" w:eastAsiaTheme="minorEastAsia" w:cstheme="minorEastAsia"/>
                <w:color w:val="auto"/>
              </w:rPr>
              <w:t>原料堆场、</w:t>
            </w:r>
            <w:r>
              <w:rPr>
                <w:rFonts w:hint="eastAsia" w:asciiTheme="minorEastAsia" w:hAnsiTheme="minorEastAsia" w:eastAsiaTheme="minorEastAsia" w:cstheme="minorEastAsia"/>
                <w:color w:val="auto"/>
                <w:lang w:eastAsia="zh-CN"/>
              </w:rPr>
              <w:t>生产区、成品堆放区；</w:t>
            </w:r>
            <w:r>
              <w:rPr>
                <w:rFonts w:hint="eastAsia" w:asciiTheme="minorEastAsia" w:hAnsiTheme="minorEastAsia" w:eastAsiaTheme="minorEastAsia" w:cstheme="minorEastAsia"/>
                <w:color w:val="auto"/>
                <w:lang w:val="en-US" w:eastAsia="zh-CN"/>
              </w:rPr>
              <w:t>2#生产区（彩砖、植草砖、检查井、井盖、涵管及预制板）生产线布置于项目区东北部，成品堆场位于生产区西侧以及南侧空地上。养护区位于1#生产区北侧、2#生产区南侧的空地上。办公生活区集中位于项目区东部；生活区以北向南依次设置办公室和厨房，宿舍位于办公室东部；厂区根据生产工艺、生产制造顺序进行合理布设，做到分区合理，生产方便；道路沿各区设置，道路连接各区域，满足场内外生产要求，可以做到厂内运输不交叉，人流、物流互不干扰，具体项目平面布置图见附图2。</w:t>
            </w:r>
          </w:p>
          <w:p w14:paraId="2204E931">
            <w:pPr>
              <w:numPr>
                <w:ilvl w:val="0"/>
                <w:numId w:val="5"/>
              </w:numPr>
              <w:adjustRightInd w:val="0"/>
              <w:snapToGrid w:val="0"/>
              <w:ind w:firstLine="482" w:firstLineChars="200"/>
              <w:rPr>
                <w:rFonts w:hint="eastAsia" w:ascii="Times New Roman" w:hAnsi="Times New Roman"/>
                <w:b/>
                <w:bCs/>
                <w:color w:val="auto"/>
                <w:lang w:val="en-US" w:eastAsia="zh-CN"/>
              </w:rPr>
            </w:pPr>
            <w:r>
              <w:rPr>
                <w:rFonts w:hint="eastAsia" w:ascii="Times New Roman" w:hAnsi="Times New Roman"/>
                <w:b/>
                <w:bCs/>
                <w:color w:val="auto"/>
                <w:lang w:val="en-US" w:eastAsia="zh-CN"/>
              </w:rPr>
              <w:t>环保投资</w:t>
            </w:r>
          </w:p>
          <w:p w14:paraId="0D3D0F58">
            <w:pPr>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本项目投资</w:t>
            </w: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lang w:eastAsia="zh-CN"/>
              </w:rPr>
              <w:t>0</w:t>
            </w:r>
            <w:r>
              <w:rPr>
                <w:rFonts w:hint="eastAsia" w:asciiTheme="minorEastAsia" w:hAnsiTheme="minorEastAsia" w:eastAsiaTheme="minorEastAsia" w:cstheme="minorEastAsia"/>
                <w:color w:val="auto"/>
              </w:rPr>
              <w:t>万元，其中环保投资</w:t>
            </w:r>
            <w:r>
              <w:rPr>
                <w:rFonts w:hint="eastAsia" w:asciiTheme="minorEastAsia" w:hAnsiTheme="minorEastAsia" w:eastAsiaTheme="minorEastAsia" w:cstheme="minorEastAsia"/>
                <w:color w:val="auto"/>
                <w:lang w:val="en-US" w:eastAsia="zh-CN"/>
              </w:rPr>
              <w:t>12.2</w:t>
            </w:r>
            <w:r>
              <w:rPr>
                <w:rFonts w:hint="eastAsia" w:asciiTheme="minorEastAsia" w:hAnsiTheme="minorEastAsia" w:eastAsiaTheme="minorEastAsia" w:cstheme="minorEastAsia"/>
                <w:color w:val="auto"/>
              </w:rPr>
              <w:t>万元，环保投资占总投资</w:t>
            </w:r>
            <w:r>
              <w:rPr>
                <w:rFonts w:hint="eastAsia" w:asciiTheme="minorEastAsia" w:hAnsiTheme="minorEastAsia" w:eastAsiaTheme="minorEastAsia" w:cstheme="minorEastAsia"/>
                <w:color w:val="auto"/>
                <w:lang w:val="en-US" w:eastAsia="zh-CN"/>
              </w:rPr>
              <w:t>20.33</w:t>
            </w:r>
            <w:r>
              <w:rPr>
                <w:rFonts w:hint="eastAsia" w:asciiTheme="minorEastAsia" w:hAnsiTheme="minorEastAsia" w:eastAsiaTheme="minorEastAsia" w:cstheme="minorEastAsia"/>
                <w:color w:val="auto"/>
              </w:rPr>
              <w:t>%，环保投资估算见下表。</w:t>
            </w:r>
          </w:p>
          <w:p w14:paraId="584E887C">
            <w:pPr>
              <w:ind w:firstLine="482" w:firstLineChars="200"/>
              <w:jc w:val="center"/>
              <w:rPr>
                <w:rFonts w:hint="eastAsia" w:asciiTheme="majorEastAsia" w:hAnsiTheme="majorEastAsia" w:eastAsiaTheme="majorEastAsia" w:cstheme="majorEastAsia"/>
                <w:b/>
                <w:bCs/>
                <w:color w:val="auto"/>
              </w:rPr>
            </w:pPr>
            <w:r>
              <w:rPr>
                <w:rFonts w:hint="eastAsia" w:asciiTheme="majorEastAsia" w:hAnsiTheme="majorEastAsia" w:eastAsiaTheme="majorEastAsia" w:cstheme="majorEastAsia"/>
                <w:b/>
                <w:bCs/>
                <w:color w:val="auto"/>
              </w:rPr>
              <w:t>表</w:t>
            </w:r>
            <w:r>
              <w:rPr>
                <w:rFonts w:hint="eastAsia" w:asciiTheme="majorEastAsia" w:hAnsiTheme="majorEastAsia" w:eastAsiaTheme="majorEastAsia" w:cstheme="majorEastAsia"/>
                <w:b/>
                <w:bCs/>
                <w:color w:val="auto"/>
                <w:lang w:val="en-US" w:eastAsia="zh-CN"/>
              </w:rPr>
              <w:t>2-5</w:t>
            </w:r>
            <w:r>
              <w:rPr>
                <w:rFonts w:hint="eastAsia" w:asciiTheme="majorEastAsia" w:hAnsiTheme="majorEastAsia" w:eastAsiaTheme="majorEastAsia" w:cstheme="majorEastAsia"/>
                <w:b/>
                <w:bCs/>
                <w:color w:val="auto"/>
              </w:rPr>
              <w:t xml:space="preserve"> 环保投资估算表</w:t>
            </w: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2029"/>
              <w:gridCol w:w="4131"/>
              <w:gridCol w:w="1980"/>
            </w:tblGrid>
            <w:tr w14:paraId="399D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4" w:type="pct"/>
                  <w:vAlign w:val="center"/>
                </w:tcPr>
                <w:p w14:paraId="49DFBB7F">
                  <w:pPr>
                    <w:spacing w:line="240" w:lineRule="auto"/>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项目</w:t>
                  </w:r>
                </w:p>
              </w:tc>
              <w:tc>
                <w:tcPr>
                  <w:tcW w:w="1096" w:type="pct"/>
                  <w:vAlign w:val="center"/>
                </w:tcPr>
                <w:p w14:paraId="52459776">
                  <w:pPr>
                    <w:spacing w:line="240" w:lineRule="auto"/>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污染物</w:t>
                  </w:r>
                </w:p>
              </w:tc>
              <w:tc>
                <w:tcPr>
                  <w:tcW w:w="2231" w:type="pct"/>
                  <w:vAlign w:val="center"/>
                </w:tcPr>
                <w:p w14:paraId="57EAD205">
                  <w:pPr>
                    <w:spacing w:line="240" w:lineRule="auto"/>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环保措施</w:t>
                  </w:r>
                </w:p>
              </w:tc>
              <w:tc>
                <w:tcPr>
                  <w:tcW w:w="1068" w:type="pct"/>
                  <w:vAlign w:val="center"/>
                </w:tcPr>
                <w:p w14:paraId="00C9A675">
                  <w:pPr>
                    <w:spacing w:line="240" w:lineRule="auto"/>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环保投资（万元）</w:t>
                  </w:r>
                </w:p>
              </w:tc>
            </w:tr>
            <w:tr w14:paraId="7548B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000" w:type="pct"/>
                  <w:gridSpan w:val="4"/>
                  <w:vAlign w:val="center"/>
                </w:tcPr>
                <w:p w14:paraId="4319979D">
                  <w:pPr>
                    <w:spacing w:line="240" w:lineRule="auto"/>
                    <w:jc w:val="left"/>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一、施工期</w:t>
                  </w:r>
                </w:p>
              </w:tc>
            </w:tr>
            <w:tr w14:paraId="0F5D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604" w:type="pct"/>
                  <w:vAlign w:val="center"/>
                </w:tcPr>
                <w:p w14:paraId="4698E388">
                  <w:pPr>
                    <w:spacing w:line="240" w:lineRule="auto"/>
                    <w:jc w:val="center"/>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废气</w:t>
                  </w:r>
                </w:p>
              </w:tc>
              <w:tc>
                <w:tcPr>
                  <w:tcW w:w="1096" w:type="pct"/>
                  <w:vAlign w:val="center"/>
                </w:tcPr>
                <w:p w14:paraId="732CDB0F">
                  <w:pPr>
                    <w:spacing w:line="240" w:lineRule="auto"/>
                    <w:jc w:val="center"/>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粉尘</w:t>
                  </w:r>
                </w:p>
              </w:tc>
              <w:tc>
                <w:tcPr>
                  <w:tcW w:w="2231" w:type="pct"/>
                  <w:vAlign w:val="center"/>
                </w:tcPr>
                <w:p w14:paraId="13737855">
                  <w:pPr>
                    <w:spacing w:line="240" w:lineRule="auto"/>
                    <w:jc w:val="center"/>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洒水抑尘、设置围挡、施工人员防护装备</w:t>
                  </w:r>
                </w:p>
              </w:tc>
              <w:tc>
                <w:tcPr>
                  <w:tcW w:w="1068" w:type="pct"/>
                  <w:vAlign w:val="center"/>
                </w:tcPr>
                <w:p w14:paraId="51C51696">
                  <w:pPr>
                    <w:spacing w:line="240" w:lineRule="auto"/>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1.5</w:t>
                  </w:r>
                </w:p>
              </w:tc>
            </w:tr>
            <w:tr w14:paraId="1DC5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604" w:type="pct"/>
                  <w:vAlign w:val="center"/>
                </w:tcPr>
                <w:p w14:paraId="6C876F33">
                  <w:pPr>
                    <w:spacing w:line="240" w:lineRule="auto"/>
                    <w:jc w:val="center"/>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废水</w:t>
                  </w:r>
                </w:p>
              </w:tc>
              <w:tc>
                <w:tcPr>
                  <w:tcW w:w="1096" w:type="pct"/>
                  <w:vAlign w:val="center"/>
                </w:tcPr>
                <w:p w14:paraId="33DBF8F0">
                  <w:pPr>
                    <w:spacing w:line="240" w:lineRule="auto"/>
                    <w:jc w:val="center"/>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施工废水</w:t>
                  </w:r>
                </w:p>
              </w:tc>
              <w:tc>
                <w:tcPr>
                  <w:tcW w:w="2231" w:type="pct"/>
                  <w:vAlign w:val="center"/>
                </w:tcPr>
                <w:p w14:paraId="66492D6A">
                  <w:pPr>
                    <w:spacing w:line="240" w:lineRule="auto"/>
                    <w:jc w:val="center"/>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临时沉淀池</w:t>
                  </w:r>
                </w:p>
              </w:tc>
              <w:tc>
                <w:tcPr>
                  <w:tcW w:w="1068" w:type="pct"/>
                  <w:vAlign w:val="center"/>
                </w:tcPr>
                <w:p w14:paraId="21B271FA">
                  <w:pPr>
                    <w:spacing w:line="240" w:lineRule="auto"/>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0.5</w:t>
                  </w:r>
                </w:p>
              </w:tc>
            </w:tr>
            <w:tr w14:paraId="1780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4"/>
                  <w:vAlign w:val="center"/>
                </w:tcPr>
                <w:p w14:paraId="0CC6CF95">
                  <w:pPr>
                    <w:spacing w:line="240" w:lineRule="auto"/>
                    <w:jc w:val="left"/>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二、运营期</w:t>
                  </w:r>
                </w:p>
              </w:tc>
            </w:tr>
            <w:tr w14:paraId="1A07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4" w:type="pct"/>
                  <w:vMerge w:val="restart"/>
                  <w:vAlign w:val="center"/>
                </w:tcPr>
                <w:p w14:paraId="443DCCD7">
                  <w:pPr>
                    <w:spacing w:line="240" w:lineRule="auto"/>
                    <w:jc w:val="center"/>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废气</w:t>
                  </w:r>
                </w:p>
              </w:tc>
              <w:tc>
                <w:tcPr>
                  <w:tcW w:w="1096" w:type="pct"/>
                  <w:vAlign w:val="center"/>
                </w:tcPr>
                <w:p w14:paraId="3F9CEF16">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水泥储罐粉尘</w:t>
                  </w:r>
                </w:p>
              </w:tc>
              <w:tc>
                <w:tcPr>
                  <w:tcW w:w="2231" w:type="pct"/>
                  <w:vAlign w:val="center"/>
                </w:tcPr>
                <w:p w14:paraId="03C9589F">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储罐自带布袋除尘器</w:t>
                  </w:r>
                </w:p>
              </w:tc>
              <w:tc>
                <w:tcPr>
                  <w:tcW w:w="1068" w:type="pct"/>
                  <w:vAlign w:val="center"/>
                </w:tcPr>
                <w:p w14:paraId="74E01B9D">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r>
            <w:tr w14:paraId="030C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04" w:type="pct"/>
                  <w:vMerge w:val="continue"/>
                  <w:vAlign w:val="center"/>
                </w:tcPr>
                <w:p w14:paraId="210C204D">
                  <w:pPr>
                    <w:spacing w:line="240" w:lineRule="auto"/>
                    <w:jc w:val="center"/>
                    <w:rPr>
                      <w:rFonts w:hint="eastAsia" w:asciiTheme="majorEastAsia" w:hAnsiTheme="majorEastAsia" w:eastAsiaTheme="majorEastAsia" w:cstheme="majorEastAsia"/>
                      <w:color w:val="auto"/>
                      <w:sz w:val="21"/>
                      <w:szCs w:val="21"/>
                    </w:rPr>
                  </w:pPr>
                </w:p>
              </w:tc>
              <w:tc>
                <w:tcPr>
                  <w:tcW w:w="1096" w:type="pct"/>
                  <w:vAlign w:val="center"/>
                </w:tcPr>
                <w:p w14:paraId="7E9D6D63">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物料输送、储存粉尘</w:t>
                  </w:r>
                </w:p>
              </w:tc>
              <w:tc>
                <w:tcPr>
                  <w:tcW w:w="2231" w:type="pct"/>
                  <w:vAlign w:val="center"/>
                </w:tcPr>
                <w:p w14:paraId="2F1B947F">
                  <w:pPr>
                    <w:spacing w:line="240" w:lineRule="auto"/>
                    <w:jc w:val="center"/>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rPr>
                    <w:t>堆场</w:t>
                  </w:r>
                  <w:r>
                    <w:rPr>
                      <w:rFonts w:hint="eastAsia" w:asciiTheme="majorEastAsia" w:hAnsiTheme="majorEastAsia" w:eastAsiaTheme="majorEastAsia" w:cstheme="majorEastAsia"/>
                      <w:color w:val="auto"/>
                      <w:sz w:val="21"/>
                      <w:szCs w:val="21"/>
                      <w:lang w:eastAsia="zh-CN"/>
                    </w:rPr>
                    <w:t>搭建顶棚</w:t>
                  </w:r>
                  <w:r>
                    <w:rPr>
                      <w:rFonts w:hint="eastAsia" w:asciiTheme="majorEastAsia" w:hAnsiTheme="majorEastAsia" w:eastAsiaTheme="majorEastAsia" w:cstheme="majorEastAsia"/>
                      <w:color w:val="auto"/>
                      <w:sz w:val="21"/>
                      <w:szCs w:val="21"/>
                    </w:rPr>
                    <w:t>，</w:t>
                  </w:r>
                  <w:r>
                    <w:rPr>
                      <w:rFonts w:hint="eastAsia" w:asciiTheme="majorEastAsia" w:hAnsiTheme="majorEastAsia" w:eastAsiaTheme="majorEastAsia" w:cstheme="majorEastAsia"/>
                      <w:color w:val="auto"/>
                      <w:sz w:val="21"/>
                      <w:szCs w:val="21"/>
                      <w:lang w:eastAsia="zh-CN"/>
                    </w:rPr>
                    <w:t>设置喷淋装置进行洒水抑尘</w:t>
                  </w:r>
                </w:p>
              </w:tc>
              <w:tc>
                <w:tcPr>
                  <w:tcW w:w="1068" w:type="pct"/>
                  <w:vAlign w:val="center"/>
                </w:tcPr>
                <w:p w14:paraId="1D1FFE45">
                  <w:pPr>
                    <w:spacing w:line="240" w:lineRule="auto"/>
                    <w:jc w:val="center"/>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val="en-US" w:eastAsia="zh-CN"/>
                    </w:rPr>
                    <w:t>3</w:t>
                  </w:r>
                </w:p>
              </w:tc>
            </w:tr>
            <w:tr w14:paraId="16A9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04" w:type="pct"/>
                  <w:vMerge w:val="continue"/>
                  <w:vAlign w:val="center"/>
                </w:tcPr>
                <w:p w14:paraId="4E214A18">
                  <w:pPr>
                    <w:spacing w:line="240" w:lineRule="auto"/>
                    <w:jc w:val="center"/>
                    <w:rPr>
                      <w:rFonts w:hint="eastAsia" w:asciiTheme="majorEastAsia" w:hAnsiTheme="majorEastAsia" w:eastAsiaTheme="majorEastAsia" w:cstheme="majorEastAsia"/>
                      <w:color w:val="auto"/>
                      <w:sz w:val="21"/>
                      <w:szCs w:val="21"/>
                    </w:rPr>
                  </w:pPr>
                </w:p>
              </w:tc>
              <w:tc>
                <w:tcPr>
                  <w:tcW w:w="1096" w:type="pct"/>
                  <w:vAlign w:val="center"/>
                </w:tcPr>
                <w:p w14:paraId="1540F87F">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物料混合及搅拌粉尘</w:t>
                  </w:r>
                </w:p>
              </w:tc>
              <w:tc>
                <w:tcPr>
                  <w:tcW w:w="2231" w:type="pct"/>
                  <w:vAlign w:val="center"/>
                </w:tcPr>
                <w:p w14:paraId="602CC01A">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eastAsia="zh-CN"/>
                    </w:rPr>
                    <w:t>水泥仓自带布袋除尘器，同时设置喷淋装置进行洒水抑尘</w:t>
                  </w:r>
                </w:p>
              </w:tc>
              <w:tc>
                <w:tcPr>
                  <w:tcW w:w="1068" w:type="pct"/>
                  <w:vAlign w:val="center"/>
                </w:tcPr>
                <w:p w14:paraId="5CEF74C0">
                  <w:pPr>
                    <w:spacing w:line="240" w:lineRule="auto"/>
                    <w:jc w:val="center"/>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val="en-US" w:eastAsia="zh-CN"/>
                    </w:rPr>
                    <w:t>2</w:t>
                  </w:r>
                </w:p>
              </w:tc>
            </w:tr>
            <w:tr w14:paraId="5720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604" w:type="pct"/>
                  <w:vMerge w:val="restart"/>
                  <w:vAlign w:val="center"/>
                </w:tcPr>
                <w:p w14:paraId="484F6583">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废水</w:t>
                  </w:r>
                </w:p>
              </w:tc>
              <w:tc>
                <w:tcPr>
                  <w:tcW w:w="1096" w:type="pct"/>
                  <w:vAlign w:val="center"/>
                </w:tcPr>
                <w:p w14:paraId="044FB215">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雨污分流</w:t>
                  </w:r>
                </w:p>
              </w:tc>
              <w:tc>
                <w:tcPr>
                  <w:tcW w:w="2231" w:type="pct"/>
                  <w:vAlign w:val="center"/>
                </w:tcPr>
                <w:p w14:paraId="5030F057">
                  <w:pPr>
                    <w:spacing w:line="240" w:lineRule="auto"/>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rPr>
                    <w:t>雨污分流</w:t>
                  </w:r>
                </w:p>
              </w:tc>
              <w:tc>
                <w:tcPr>
                  <w:tcW w:w="1068" w:type="pct"/>
                  <w:vAlign w:val="center"/>
                </w:tcPr>
                <w:p w14:paraId="6C1B6AE8">
                  <w:pPr>
                    <w:spacing w:line="240" w:lineRule="auto"/>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3.5</w:t>
                  </w:r>
                </w:p>
              </w:tc>
            </w:tr>
            <w:tr w14:paraId="5693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604" w:type="pct"/>
                  <w:vMerge w:val="continue"/>
                  <w:vAlign w:val="center"/>
                </w:tcPr>
                <w:p w14:paraId="319F6B5A">
                  <w:pPr>
                    <w:spacing w:line="240" w:lineRule="auto"/>
                    <w:jc w:val="center"/>
                    <w:rPr>
                      <w:rFonts w:hint="eastAsia" w:asciiTheme="majorEastAsia" w:hAnsiTheme="majorEastAsia" w:eastAsiaTheme="majorEastAsia" w:cstheme="majorEastAsia"/>
                      <w:color w:val="auto"/>
                      <w:sz w:val="21"/>
                      <w:szCs w:val="21"/>
                    </w:rPr>
                  </w:pPr>
                </w:p>
              </w:tc>
              <w:tc>
                <w:tcPr>
                  <w:tcW w:w="1096" w:type="pct"/>
                  <w:vAlign w:val="center"/>
                </w:tcPr>
                <w:p w14:paraId="3998D335">
                  <w:pPr>
                    <w:spacing w:line="240" w:lineRule="auto"/>
                    <w:jc w:val="center"/>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搅拌机清洗废水</w:t>
                  </w:r>
                </w:p>
              </w:tc>
              <w:tc>
                <w:tcPr>
                  <w:tcW w:w="2231" w:type="pct"/>
                  <w:vAlign w:val="center"/>
                </w:tcPr>
                <w:p w14:paraId="51F4ADD2">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5</w:t>
                  </w:r>
                  <w:r>
                    <w:rPr>
                      <w:rFonts w:hint="eastAsia" w:asciiTheme="majorEastAsia" w:hAnsiTheme="majorEastAsia" w:eastAsiaTheme="majorEastAsia" w:cstheme="majorEastAsia"/>
                      <w:color w:val="auto"/>
                      <w:sz w:val="21"/>
                      <w:szCs w:val="21"/>
                    </w:rPr>
                    <w:t>m</w:t>
                  </w:r>
                  <w:r>
                    <w:rPr>
                      <w:rFonts w:hint="eastAsia" w:asciiTheme="majorEastAsia" w:hAnsiTheme="majorEastAsia" w:eastAsiaTheme="majorEastAsia" w:cstheme="majorEastAsia"/>
                      <w:color w:val="auto"/>
                      <w:sz w:val="21"/>
                      <w:szCs w:val="21"/>
                      <w:vertAlign w:val="superscript"/>
                    </w:rPr>
                    <w:t>3</w:t>
                  </w:r>
                  <w:r>
                    <w:rPr>
                      <w:rFonts w:hint="eastAsia" w:asciiTheme="majorEastAsia" w:hAnsiTheme="majorEastAsia" w:eastAsiaTheme="majorEastAsia" w:cstheme="majorEastAsia"/>
                      <w:color w:val="auto"/>
                      <w:sz w:val="21"/>
                      <w:szCs w:val="21"/>
                      <w:lang w:eastAsia="zh-CN"/>
                    </w:rPr>
                    <w:t>防渗沉淀池</w:t>
                  </w:r>
                  <w:r>
                    <w:rPr>
                      <w:rFonts w:hint="eastAsia" w:asciiTheme="majorEastAsia" w:hAnsiTheme="majorEastAsia" w:eastAsiaTheme="majorEastAsia" w:cstheme="majorEastAsia"/>
                      <w:color w:val="auto"/>
                      <w:sz w:val="21"/>
                      <w:szCs w:val="21"/>
                    </w:rPr>
                    <w:t>1个</w:t>
                  </w:r>
                </w:p>
              </w:tc>
              <w:tc>
                <w:tcPr>
                  <w:tcW w:w="1068" w:type="pct"/>
                  <w:vAlign w:val="center"/>
                </w:tcPr>
                <w:p w14:paraId="37CB35BF">
                  <w:pPr>
                    <w:spacing w:line="240" w:lineRule="auto"/>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0.5</w:t>
                  </w:r>
                </w:p>
              </w:tc>
            </w:tr>
            <w:tr w14:paraId="4328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604" w:type="pct"/>
                  <w:vMerge w:val="continue"/>
                  <w:vAlign w:val="center"/>
                </w:tcPr>
                <w:p w14:paraId="3485868D">
                  <w:pPr>
                    <w:spacing w:line="240" w:lineRule="auto"/>
                    <w:jc w:val="center"/>
                    <w:rPr>
                      <w:rFonts w:hint="eastAsia" w:asciiTheme="majorEastAsia" w:hAnsiTheme="majorEastAsia" w:eastAsiaTheme="majorEastAsia" w:cstheme="majorEastAsia"/>
                      <w:color w:val="auto"/>
                      <w:sz w:val="21"/>
                      <w:szCs w:val="21"/>
                    </w:rPr>
                  </w:pPr>
                </w:p>
              </w:tc>
              <w:tc>
                <w:tcPr>
                  <w:tcW w:w="1096" w:type="pct"/>
                  <w:vAlign w:val="center"/>
                </w:tcPr>
                <w:p w14:paraId="06F0237E">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食堂废水</w:t>
                  </w:r>
                </w:p>
              </w:tc>
              <w:tc>
                <w:tcPr>
                  <w:tcW w:w="2231" w:type="pct"/>
                  <w:vAlign w:val="center"/>
                </w:tcPr>
                <w:p w14:paraId="532361D5">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0.1m</w:t>
                  </w:r>
                  <w:r>
                    <w:rPr>
                      <w:rFonts w:hint="eastAsia" w:asciiTheme="majorEastAsia" w:hAnsiTheme="majorEastAsia" w:eastAsiaTheme="majorEastAsia" w:cstheme="majorEastAsia"/>
                      <w:color w:val="auto"/>
                      <w:sz w:val="21"/>
                      <w:szCs w:val="21"/>
                      <w:vertAlign w:val="superscript"/>
                    </w:rPr>
                    <w:t>3</w:t>
                  </w:r>
                  <w:r>
                    <w:rPr>
                      <w:rFonts w:hint="eastAsia" w:asciiTheme="majorEastAsia" w:hAnsiTheme="majorEastAsia" w:eastAsiaTheme="majorEastAsia" w:cstheme="majorEastAsia"/>
                      <w:color w:val="auto"/>
                      <w:sz w:val="21"/>
                      <w:szCs w:val="21"/>
                    </w:rPr>
                    <w:t>油水分离器1个</w:t>
                  </w:r>
                </w:p>
              </w:tc>
              <w:tc>
                <w:tcPr>
                  <w:tcW w:w="1068" w:type="pct"/>
                  <w:vAlign w:val="center"/>
                </w:tcPr>
                <w:p w14:paraId="7824D40D">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0.1</w:t>
                  </w:r>
                </w:p>
              </w:tc>
            </w:tr>
            <w:tr w14:paraId="3306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604" w:type="pct"/>
                  <w:vMerge w:val="continue"/>
                  <w:vAlign w:val="center"/>
                </w:tcPr>
                <w:p w14:paraId="50D76EA3">
                  <w:pPr>
                    <w:spacing w:line="240" w:lineRule="auto"/>
                    <w:jc w:val="center"/>
                    <w:rPr>
                      <w:rFonts w:hint="eastAsia" w:asciiTheme="majorEastAsia" w:hAnsiTheme="majorEastAsia" w:eastAsiaTheme="majorEastAsia" w:cstheme="majorEastAsia"/>
                      <w:color w:val="auto"/>
                      <w:sz w:val="21"/>
                      <w:szCs w:val="21"/>
                    </w:rPr>
                  </w:pPr>
                </w:p>
              </w:tc>
              <w:tc>
                <w:tcPr>
                  <w:tcW w:w="1096" w:type="pct"/>
                  <w:vAlign w:val="center"/>
                </w:tcPr>
                <w:p w14:paraId="3243D8F0">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生活污水</w:t>
                  </w:r>
                </w:p>
              </w:tc>
              <w:tc>
                <w:tcPr>
                  <w:tcW w:w="2231" w:type="pct"/>
                  <w:vAlign w:val="center"/>
                </w:tcPr>
                <w:p w14:paraId="0858A54E">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6</w:t>
                  </w:r>
                  <w:r>
                    <w:rPr>
                      <w:rFonts w:hint="eastAsia" w:asciiTheme="majorEastAsia" w:hAnsiTheme="majorEastAsia" w:eastAsiaTheme="majorEastAsia" w:cstheme="majorEastAsia"/>
                      <w:color w:val="auto"/>
                      <w:sz w:val="21"/>
                      <w:szCs w:val="21"/>
                    </w:rPr>
                    <w:t>m</w:t>
                  </w:r>
                  <w:r>
                    <w:rPr>
                      <w:rFonts w:hint="eastAsia" w:asciiTheme="majorEastAsia" w:hAnsiTheme="majorEastAsia" w:eastAsiaTheme="majorEastAsia" w:cstheme="majorEastAsia"/>
                      <w:color w:val="auto"/>
                      <w:sz w:val="21"/>
                      <w:szCs w:val="21"/>
                      <w:vertAlign w:val="superscript"/>
                    </w:rPr>
                    <w:t>3</w:t>
                  </w:r>
                  <w:r>
                    <w:rPr>
                      <w:rFonts w:hint="eastAsia" w:asciiTheme="majorEastAsia" w:hAnsiTheme="majorEastAsia" w:eastAsiaTheme="majorEastAsia" w:cstheme="majorEastAsia"/>
                      <w:color w:val="auto"/>
                      <w:sz w:val="21"/>
                      <w:szCs w:val="21"/>
                    </w:rPr>
                    <w:t>化粪池1个</w:t>
                  </w:r>
                </w:p>
              </w:tc>
              <w:tc>
                <w:tcPr>
                  <w:tcW w:w="1068" w:type="pct"/>
                  <w:vAlign w:val="center"/>
                </w:tcPr>
                <w:p w14:paraId="4AADF34A">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依托原有</w:t>
                  </w:r>
                </w:p>
              </w:tc>
            </w:tr>
            <w:tr w14:paraId="2F53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04" w:type="pct"/>
                  <w:vAlign w:val="center"/>
                </w:tcPr>
                <w:p w14:paraId="5B21A69B">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噪声</w:t>
                  </w:r>
                </w:p>
              </w:tc>
              <w:tc>
                <w:tcPr>
                  <w:tcW w:w="1096" w:type="pct"/>
                  <w:vAlign w:val="center"/>
                </w:tcPr>
                <w:p w14:paraId="3B2F3FAF">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设备噪声</w:t>
                  </w:r>
                </w:p>
              </w:tc>
              <w:tc>
                <w:tcPr>
                  <w:tcW w:w="2231" w:type="pct"/>
                  <w:vAlign w:val="center"/>
                </w:tcPr>
                <w:p w14:paraId="0447ED54">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厂</w:t>
                  </w:r>
                  <w:r>
                    <w:rPr>
                      <w:rFonts w:hint="eastAsia" w:asciiTheme="majorEastAsia" w:hAnsiTheme="majorEastAsia" w:eastAsiaTheme="majorEastAsia" w:cstheme="majorEastAsia"/>
                      <w:color w:val="auto"/>
                      <w:sz w:val="21"/>
                      <w:szCs w:val="21"/>
                      <w:lang w:eastAsia="zh-CN"/>
                    </w:rPr>
                    <w:t>区</w:t>
                  </w:r>
                  <w:r>
                    <w:rPr>
                      <w:rFonts w:hint="eastAsia" w:asciiTheme="majorEastAsia" w:hAnsiTheme="majorEastAsia" w:eastAsiaTheme="majorEastAsia" w:cstheme="majorEastAsia"/>
                      <w:color w:val="auto"/>
                      <w:sz w:val="21"/>
                      <w:szCs w:val="21"/>
                    </w:rPr>
                    <w:t>四周进行围挡，加强绿化</w:t>
                  </w:r>
                </w:p>
              </w:tc>
              <w:tc>
                <w:tcPr>
                  <w:tcW w:w="1068" w:type="pct"/>
                  <w:vAlign w:val="center"/>
                </w:tcPr>
                <w:p w14:paraId="49CF1E79">
                  <w:pPr>
                    <w:spacing w:line="240" w:lineRule="auto"/>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3.0</w:t>
                  </w:r>
                </w:p>
              </w:tc>
            </w:tr>
            <w:tr w14:paraId="19DB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04" w:type="pct"/>
                  <w:vAlign w:val="center"/>
                </w:tcPr>
                <w:p w14:paraId="0FA1E722">
                  <w:pPr>
                    <w:spacing w:line="240" w:lineRule="auto"/>
                    <w:jc w:val="center"/>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固体废物</w:t>
                  </w:r>
                </w:p>
              </w:tc>
              <w:tc>
                <w:tcPr>
                  <w:tcW w:w="1096" w:type="pct"/>
                  <w:vAlign w:val="center"/>
                </w:tcPr>
                <w:p w14:paraId="003F7065">
                  <w:pPr>
                    <w:spacing w:line="240" w:lineRule="auto"/>
                    <w:jc w:val="center"/>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rPr>
                    <w:t>一般</w:t>
                  </w:r>
                  <w:r>
                    <w:rPr>
                      <w:rFonts w:hint="eastAsia" w:asciiTheme="majorEastAsia" w:hAnsiTheme="majorEastAsia" w:eastAsiaTheme="majorEastAsia" w:cstheme="majorEastAsia"/>
                      <w:color w:val="auto"/>
                      <w:sz w:val="21"/>
                      <w:szCs w:val="21"/>
                      <w:lang w:eastAsia="zh-CN"/>
                    </w:rPr>
                    <w:t>固体废物</w:t>
                  </w:r>
                </w:p>
              </w:tc>
              <w:tc>
                <w:tcPr>
                  <w:tcW w:w="2231" w:type="pct"/>
                  <w:vAlign w:val="center"/>
                </w:tcPr>
                <w:p w14:paraId="03B5F703">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2</w:t>
                  </w:r>
                  <w:r>
                    <w:rPr>
                      <w:rFonts w:hint="eastAsia" w:asciiTheme="majorEastAsia" w:hAnsiTheme="majorEastAsia" w:eastAsiaTheme="majorEastAsia" w:cstheme="majorEastAsia"/>
                      <w:color w:val="auto"/>
                      <w:sz w:val="21"/>
                      <w:szCs w:val="21"/>
                    </w:rPr>
                    <w:t>个垃圾桶、1个带盖泔水收集桶</w:t>
                  </w:r>
                </w:p>
              </w:tc>
              <w:tc>
                <w:tcPr>
                  <w:tcW w:w="1068" w:type="pct"/>
                  <w:vAlign w:val="center"/>
                </w:tcPr>
                <w:p w14:paraId="2DC7D11F">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0.1</w:t>
                  </w:r>
                </w:p>
              </w:tc>
            </w:tr>
            <w:tr w14:paraId="0387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931" w:type="pct"/>
                  <w:gridSpan w:val="3"/>
                  <w:vAlign w:val="center"/>
                </w:tcPr>
                <w:p w14:paraId="0F48311A">
                  <w:pPr>
                    <w:spacing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合计</w:t>
                  </w:r>
                </w:p>
              </w:tc>
              <w:tc>
                <w:tcPr>
                  <w:tcW w:w="1068" w:type="pct"/>
                  <w:vAlign w:val="center"/>
                </w:tcPr>
                <w:p w14:paraId="4B3C6210">
                  <w:pPr>
                    <w:spacing w:line="240" w:lineRule="auto"/>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12.2</w:t>
                  </w:r>
                </w:p>
              </w:tc>
            </w:tr>
          </w:tbl>
          <w:p w14:paraId="5721CB0D">
            <w:pPr>
              <w:numPr>
                <w:ilvl w:val="0"/>
                <w:numId w:val="0"/>
              </w:numPr>
              <w:adjustRightInd w:val="0"/>
              <w:snapToGrid w:val="0"/>
              <w:rPr>
                <w:rFonts w:ascii="Times New Roman" w:hAnsi="Times New Roman"/>
                <w:color w:val="auto"/>
                <w:kern w:val="0"/>
                <w:lang w:bidi="ar"/>
              </w:rPr>
            </w:pPr>
          </w:p>
        </w:tc>
      </w:tr>
      <w:tr w14:paraId="268A20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12" w:type="pct"/>
            <w:vAlign w:val="center"/>
          </w:tcPr>
          <w:p w14:paraId="39D6C5B7">
            <w:pPr>
              <w:pStyle w:val="18"/>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color w:val="auto"/>
                <w:sz w:val="21"/>
                <w:szCs w:val="21"/>
              </w:rPr>
              <w:t>工艺流程和产排污环节</w:t>
            </w:r>
          </w:p>
        </w:tc>
        <w:tc>
          <w:tcPr>
            <w:tcW w:w="4587" w:type="pct"/>
          </w:tcPr>
          <w:p w14:paraId="4882BD0F">
            <w:pPr>
              <w:adjustRightInd w:val="0"/>
              <w:snapToGrid w:val="0"/>
              <w:rPr>
                <w:rFonts w:ascii="Times New Roman" w:hAnsi="Times New Roman"/>
                <w:b/>
                <w:bCs/>
                <w:color w:val="auto"/>
              </w:rPr>
            </w:pPr>
            <w:r>
              <w:rPr>
                <w:rFonts w:hint="eastAsia" w:ascii="Times New Roman" w:hAnsi="Times New Roman"/>
                <w:b/>
                <w:bCs/>
                <w:color w:val="auto"/>
                <w:lang w:eastAsia="zh-CN"/>
              </w:rPr>
              <w:t>（一）</w:t>
            </w:r>
            <w:r>
              <w:rPr>
                <w:rFonts w:hint="eastAsia" w:ascii="Times New Roman" w:hAnsi="Times New Roman"/>
                <w:b/>
                <w:bCs/>
                <w:color w:val="auto"/>
              </w:rPr>
              <w:t>工艺流程</w:t>
            </w:r>
          </w:p>
          <w:p w14:paraId="7BF428D1">
            <w:pPr>
              <w:numPr>
                <w:ilvl w:val="0"/>
                <w:numId w:val="6"/>
              </w:numPr>
              <w:adjustRightInd w:val="0"/>
              <w:snapToGrid w:val="0"/>
              <w:rPr>
                <w:rFonts w:ascii="Times New Roman" w:hAnsi="Times New Roman"/>
                <w:b/>
                <w:bCs/>
                <w:color w:val="auto"/>
              </w:rPr>
            </w:pPr>
            <w:r>
              <w:rPr>
                <w:rFonts w:hint="eastAsia" w:ascii="Times New Roman" w:hAnsi="Times New Roman"/>
                <w:b/>
                <w:bCs/>
                <w:color w:val="auto"/>
              </w:rPr>
              <w:t>施工期</w:t>
            </w:r>
          </w:p>
          <w:p w14:paraId="2235C7FD">
            <w:pPr>
              <w:ind w:firstLine="480" w:firstLineChars="200"/>
              <w:rPr>
                <w:rFonts w:ascii="Times New Roman" w:hAnsi="Times New Roman"/>
                <w:color w:val="auto"/>
              </w:rPr>
            </w:pPr>
            <w:r>
              <w:rPr>
                <w:rFonts w:hint="default" w:ascii="Times New Roman" w:hAnsi="Times New Roman" w:eastAsia="宋体" w:cs="Times New Roman"/>
                <w:color w:val="000000"/>
                <w:sz w:val="24"/>
                <w:highlight w:val="none"/>
              </w:rPr>
              <w:t>本项目</w:t>
            </w:r>
            <w:r>
              <w:rPr>
                <w:rFonts w:hint="eastAsia" w:ascii="Times New Roman" w:hAnsi="Times New Roman" w:eastAsia="宋体" w:cs="Times New Roman"/>
                <w:color w:val="000000"/>
                <w:sz w:val="24"/>
                <w:highlight w:val="none"/>
                <w:lang w:val="en-US" w:eastAsia="zh-CN"/>
              </w:rPr>
              <w:t>选址位于芒市风平镇帕底村芒市糖厂内</w:t>
            </w:r>
            <w:r>
              <w:rPr>
                <w:rFonts w:hint="default" w:ascii="Times New Roman" w:hAnsi="Times New Roman" w:eastAsia="宋体" w:cs="Times New Roman"/>
                <w:color w:val="000000"/>
                <w:sz w:val="24"/>
                <w:highlight w:val="none"/>
              </w:rPr>
              <w:t>，</w:t>
            </w:r>
            <w:r>
              <w:rPr>
                <w:rFonts w:hint="eastAsia" w:ascii="宋体" w:hAnsi="宋体" w:eastAsia="宋体" w:cs="宋体"/>
                <w:color w:val="000000"/>
                <w:sz w:val="24"/>
                <w:szCs w:val="24"/>
              </w:rPr>
              <w:t>本项目主要在原有厂房的基础上进行改造，不涉及土建工程。施工期仅为厂房改造、生产</w:t>
            </w:r>
            <w:r>
              <w:rPr>
                <w:rFonts w:hint="eastAsia" w:ascii="宋体" w:hAnsi="宋体" w:eastAsia="宋体" w:cs="宋体"/>
                <w:color w:val="000000"/>
                <w:sz w:val="24"/>
                <w:szCs w:val="24"/>
                <w:lang w:eastAsia="zh-CN"/>
              </w:rPr>
              <w:t>设备</w:t>
            </w:r>
            <w:r>
              <w:rPr>
                <w:rFonts w:hint="eastAsia" w:ascii="宋体" w:hAnsi="宋体" w:eastAsia="宋体" w:cs="宋体"/>
                <w:color w:val="000000"/>
                <w:sz w:val="24"/>
                <w:szCs w:val="24"/>
              </w:rPr>
              <w:t>、环保设施设备安装及建设等</w:t>
            </w:r>
            <w:r>
              <w:rPr>
                <w:rFonts w:ascii="Times New Roman" w:hAnsi="Times New Roman"/>
                <w:color w:val="auto"/>
              </w:rPr>
              <w:t>。</w:t>
            </w:r>
          </w:p>
          <w:p w14:paraId="6F20F28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000000"/>
              </w:rPr>
            </w:pPr>
            <w:r>
              <w:rPr>
                <w:rFonts w:hint="eastAsia" w:ascii="宋体" w:hAnsi="宋体" w:eastAsia="宋体" w:cs="宋体"/>
                <w:color w:val="000000"/>
              </w:rPr>
              <w:object>
                <v:shape id="_x0000_i1025" o:spt="75" type="#_x0000_t75" style="height:86.3pt;width:426.05pt;" o:ole="t" filled="f" o:preferrelative="t" stroked="f" coordsize="21600,21600">
                  <v:path/>
                  <v:fill on="f" focussize="0,0"/>
                  <v:stroke on="f"/>
                  <v:imagedata r:id="rId11" o:title=""/>
                  <o:lock v:ext="edit" aspectratio="f"/>
                  <w10:wrap type="none"/>
                  <w10:anchorlock/>
                </v:shape>
                <o:OLEObject Type="Embed" ProgID="Visio.Drawing.15" ShapeID="_x0000_i1025" DrawAspect="Content" ObjectID="_1468075725" r:id="rId10">
                  <o:LockedField>false</o:LockedField>
                </o:OLEObject>
              </w:object>
            </w:r>
          </w:p>
          <w:p w14:paraId="7A9DC48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Times New Roman" w:hAnsi="Times New Roman" w:eastAsia="宋体" w:cs="Times New Roman"/>
                <w:b/>
                <w:bCs/>
                <w:color w:val="000000"/>
                <w:sz w:val="24"/>
                <w:szCs w:val="24"/>
                <w:highlight w:val="none"/>
                <w:lang w:val="en-US" w:eastAsia="zh-CN"/>
              </w:rPr>
            </w:pPr>
            <w:r>
              <w:rPr>
                <w:rFonts w:hint="default" w:ascii="Times New Roman" w:hAnsi="Times New Roman" w:eastAsia="宋体" w:cs="Times New Roman"/>
                <w:b/>
                <w:bCs/>
                <w:color w:val="000000"/>
                <w:sz w:val="24"/>
                <w:szCs w:val="24"/>
                <w:highlight w:val="none"/>
                <w:lang w:val="en-US" w:eastAsia="zh-CN"/>
              </w:rPr>
              <w:t>图2-1  项目施工</w:t>
            </w:r>
            <w:r>
              <w:rPr>
                <w:rFonts w:hint="default" w:ascii="Times New Roman" w:hAnsi="Times New Roman" w:eastAsia="宋体" w:cs="Times New Roman"/>
                <w:b/>
                <w:color w:val="000000"/>
                <w:sz w:val="24"/>
                <w:highlight w:val="none"/>
              </w:rPr>
              <w:t>期</w:t>
            </w:r>
            <w:r>
              <w:rPr>
                <w:rFonts w:hint="default" w:ascii="Times New Roman" w:hAnsi="Times New Roman" w:eastAsia="宋体" w:cs="Times New Roman"/>
                <w:b/>
                <w:bCs/>
                <w:color w:val="000000"/>
                <w:sz w:val="24"/>
                <w:szCs w:val="24"/>
                <w:highlight w:val="none"/>
                <w:lang w:val="en-US" w:eastAsia="zh-CN"/>
              </w:rPr>
              <w:t>工艺流程及产污节点图</w:t>
            </w:r>
          </w:p>
          <w:p w14:paraId="22B1DBF4">
            <w:pPr>
              <w:numPr>
                <w:ilvl w:val="0"/>
                <w:numId w:val="0"/>
              </w:numPr>
              <w:adjustRightInd w:val="0"/>
              <w:snapToGrid w:val="0"/>
              <w:rPr>
                <w:rFonts w:hint="eastAsia"/>
                <w:b/>
                <w:bCs/>
                <w:color w:val="auto"/>
                <w:lang w:eastAsia="zh-CN"/>
              </w:rPr>
            </w:pPr>
          </w:p>
          <w:p w14:paraId="641D1179">
            <w:pPr>
              <w:numPr>
                <w:ilvl w:val="0"/>
                <w:numId w:val="0"/>
              </w:numPr>
              <w:adjustRightInd w:val="0"/>
              <w:snapToGrid w:val="0"/>
              <w:rPr>
                <w:rFonts w:hint="eastAsia"/>
                <w:b/>
                <w:bCs/>
                <w:color w:val="auto"/>
                <w:lang w:eastAsia="zh-CN"/>
              </w:rPr>
            </w:pPr>
          </w:p>
          <w:p w14:paraId="139682FF">
            <w:pPr>
              <w:numPr>
                <w:ilvl w:val="0"/>
                <w:numId w:val="0"/>
              </w:numPr>
              <w:adjustRightInd w:val="0"/>
              <w:snapToGrid w:val="0"/>
              <w:rPr>
                <w:rFonts w:ascii="Times New Roman" w:hAnsi="Times New Roman"/>
                <w:b/>
                <w:bCs/>
                <w:color w:val="auto"/>
              </w:rPr>
            </w:pPr>
            <w:r>
              <w:rPr>
                <w:rFonts w:hint="eastAsia"/>
                <w:b/>
                <w:bCs/>
                <w:color w:val="auto"/>
                <w:lang w:eastAsia="zh-CN"/>
              </w:rPr>
              <w:t>二、</w:t>
            </w:r>
            <w:r>
              <w:rPr>
                <w:rFonts w:hint="eastAsia" w:ascii="Times New Roman" w:hAnsi="Times New Roman"/>
                <w:b/>
                <w:bCs/>
                <w:color w:val="auto"/>
              </w:rPr>
              <w:t>运营期</w:t>
            </w:r>
          </w:p>
          <w:p w14:paraId="05A92D50">
            <w:pPr>
              <w:numPr>
                <w:ilvl w:val="0"/>
                <w:numId w:val="7"/>
              </w:numPr>
              <w:adjustRightInd w:val="0"/>
              <w:snapToGrid w:val="0"/>
              <w:ind w:firstLine="482" w:firstLineChars="200"/>
              <w:rPr>
                <w:rFonts w:hint="eastAsia" w:ascii="Times New Roman" w:hAnsi="Times New Roman"/>
                <w:b/>
                <w:bCs/>
                <w:color w:val="auto"/>
                <w:lang w:val="en-US" w:eastAsia="zh-CN"/>
              </w:rPr>
            </w:pPr>
            <w:r>
              <w:rPr>
                <w:rFonts w:hint="eastAsia"/>
                <w:b/>
                <w:bCs/>
                <w:color w:val="auto"/>
                <w:lang w:val="en-US" w:eastAsia="zh-CN"/>
              </w:rPr>
              <w:t>水泥管</w:t>
            </w:r>
            <w:r>
              <w:rPr>
                <w:rFonts w:hint="eastAsia" w:ascii="Times New Roman" w:hAnsi="Times New Roman"/>
                <w:b/>
                <w:bCs/>
                <w:color w:val="auto"/>
                <w:lang w:val="en-US" w:eastAsia="zh-CN"/>
              </w:rPr>
              <w:t>生产工艺流程</w:t>
            </w:r>
          </w:p>
          <w:p w14:paraId="3A4DEC97">
            <w:pPr>
              <w:numPr>
                <w:ilvl w:val="0"/>
                <w:numId w:val="0"/>
              </w:numPr>
              <w:adjustRightInd w:val="0"/>
              <w:snapToGrid w:val="0"/>
              <w:ind w:firstLine="480" w:firstLineChars="200"/>
              <w:rPr>
                <w:rFonts w:hint="eastAsia" w:ascii="Times New Roman" w:hAnsi="Times New Roman"/>
                <w:color w:val="auto"/>
              </w:rPr>
            </w:pPr>
            <w:r>
              <w:rPr>
                <w:rFonts w:hint="eastAsia" w:asciiTheme="majorEastAsia" w:hAnsiTheme="majorEastAsia" w:eastAsiaTheme="majorEastAsia" w:cstheme="majorEastAsia"/>
                <w:color w:val="auto"/>
              </w:rPr>
              <w:t>项目以水泥、砂子</w:t>
            </w:r>
            <w:r>
              <w:rPr>
                <w:rFonts w:hint="eastAsia" w:asciiTheme="majorEastAsia" w:hAnsiTheme="majorEastAsia" w:eastAsiaTheme="majorEastAsia" w:cstheme="majorEastAsia"/>
                <w:color w:val="auto"/>
                <w:lang w:eastAsia="zh-CN"/>
              </w:rPr>
              <w:t>、石子</w:t>
            </w:r>
            <w:r>
              <w:rPr>
                <w:rFonts w:hint="eastAsia" w:asciiTheme="majorEastAsia" w:hAnsiTheme="majorEastAsia" w:eastAsiaTheme="majorEastAsia" w:cstheme="majorEastAsia"/>
                <w:color w:val="auto"/>
              </w:rPr>
              <w:t>为原料，</w:t>
            </w:r>
            <w:r>
              <w:rPr>
                <w:rFonts w:hint="eastAsia" w:asciiTheme="majorEastAsia" w:hAnsiTheme="majorEastAsia" w:eastAsiaTheme="majorEastAsia" w:cstheme="majorEastAsia"/>
                <w:color w:val="auto"/>
                <w:lang w:eastAsia="zh-CN"/>
              </w:rPr>
              <w:t>设置</w:t>
            </w:r>
            <w:r>
              <w:rPr>
                <w:rFonts w:hint="eastAsia" w:asciiTheme="majorEastAsia" w:hAnsiTheme="majorEastAsia" w:eastAsiaTheme="majorEastAsia" w:cstheme="majorEastAsia"/>
                <w:color w:val="auto"/>
                <w:lang w:val="en-US" w:eastAsia="zh-CN"/>
              </w:rPr>
              <w:t>1条</w:t>
            </w:r>
            <w:r>
              <w:rPr>
                <w:rFonts w:hint="eastAsia" w:asciiTheme="majorEastAsia" w:hAnsiTheme="majorEastAsia" w:eastAsiaTheme="majorEastAsia" w:cstheme="majorEastAsia"/>
                <w:color w:val="auto"/>
              </w:rPr>
              <w:t>年生产</w:t>
            </w:r>
            <w:r>
              <w:rPr>
                <w:rFonts w:hint="eastAsia" w:asciiTheme="majorEastAsia" w:hAnsiTheme="majorEastAsia" w:eastAsiaTheme="majorEastAsia" w:cstheme="majorEastAsia"/>
                <w:color w:val="auto"/>
                <w:lang w:val="en-US" w:eastAsia="zh-CN"/>
              </w:rPr>
              <w:t>5000根水泥管生产线</w:t>
            </w:r>
            <w:r>
              <w:rPr>
                <w:rFonts w:hint="eastAsia" w:asciiTheme="majorEastAsia" w:hAnsiTheme="majorEastAsia" w:eastAsiaTheme="majorEastAsia" w:cstheme="majorEastAsia"/>
                <w:color w:val="auto"/>
              </w:rPr>
              <w:t>，生产工艺流程及产污节点见下图。</w:t>
            </w:r>
          </w:p>
          <w:p w14:paraId="4435B281">
            <w:pPr>
              <w:adjustRightInd w:val="0"/>
              <w:snapToGrid w:val="0"/>
              <w:rPr>
                <w:rFonts w:hint="eastAsia" w:ascii="Times New Roman" w:hAnsi="Times New Roman"/>
                <w:color w:val="auto"/>
              </w:rPr>
            </w:pPr>
            <w:r>
              <w:rPr>
                <w:sz w:val="24"/>
              </w:rPr>
              <mc:AlternateContent>
                <mc:Choice Requires="wps">
                  <w:drawing>
                    <wp:anchor distT="0" distB="0" distL="114300" distR="114300" simplePos="0" relativeHeight="251666432" behindDoc="0" locked="0" layoutInCell="1" allowOverlap="1">
                      <wp:simplePos x="0" y="0"/>
                      <wp:positionH relativeFrom="column">
                        <wp:posOffset>294640</wp:posOffset>
                      </wp:positionH>
                      <wp:positionV relativeFrom="paragraph">
                        <wp:posOffset>709930</wp:posOffset>
                      </wp:positionV>
                      <wp:extent cx="476250" cy="465455"/>
                      <wp:effectExtent l="5080" t="4445" r="13970" b="6350"/>
                      <wp:wrapNone/>
                      <wp:docPr id="22" name="文本框 22"/>
                      <wp:cNvGraphicFramePr/>
                      <a:graphic xmlns:a="http://schemas.openxmlformats.org/drawingml/2006/main">
                        <a:graphicData uri="http://schemas.microsoft.com/office/word/2010/wordprocessingShape">
                          <wps:wsp>
                            <wps:cNvSpPr txBox="1"/>
                            <wps:spPr>
                              <a:xfrm>
                                <a:off x="1976755" y="2189480"/>
                                <a:ext cx="476250" cy="46545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05AF54ED">
                                  <w:pPr>
                                    <w:rPr>
                                      <w:rFonts w:hint="eastAsia" w:eastAsia="宋体"/>
                                      <w:sz w:val="21"/>
                                      <w:szCs w:val="21"/>
                                      <w:lang w:eastAsia="zh-CN"/>
                                    </w:rPr>
                                  </w:pPr>
                                  <w:r>
                                    <w:rPr>
                                      <w:rFonts w:hint="eastAsia"/>
                                      <w:sz w:val="21"/>
                                      <w:szCs w:val="21"/>
                                      <w:lang w:eastAsia="zh-CN"/>
                                    </w:rPr>
                                    <w:t>废气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2pt;margin-top:55.9pt;height:36.65pt;width:37.5pt;z-index:251666432;mso-width-relative:page;mso-height-relative:page;" fillcolor="#FFFFFF [3201]" filled="t" stroked="t" coordsize="21600,21600" o:gfxdata="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3+l1YNcA&#10;AAAKAQAADwAAAAAAAAABACAAAAAiAAAAZHJzL2Rvd25yZXYueG1sUEsBAhQAFAAAAAgAh07iQEYy&#10;/GxZAgAAxQQAAA4AAAAAAAAAAQAgAAAAJgEAAGRycy9lMm9Eb2MueG1sUEsFBgAAAAAGAAYAWQEA&#10;APEFAAAAAA==&#10;">
                      <v:fill on="t" focussize="0,0"/>
                      <v:stroke weight="0.5pt" color="#FFFFFF [3212]" joinstyle="round"/>
                      <v:imagedata o:title=""/>
                      <o:lock v:ext="edit" aspectratio="f"/>
                      <v:textbox>
                        <w:txbxContent>
                          <w:p w14:paraId="05AF54ED">
                            <w:pPr>
                              <w:rPr>
                                <w:rFonts w:hint="eastAsia" w:eastAsia="宋体"/>
                                <w:sz w:val="21"/>
                                <w:szCs w:val="21"/>
                                <w:lang w:eastAsia="zh-CN"/>
                              </w:rPr>
                            </w:pPr>
                            <w:r>
                              <w:rPr>
                                <w:rFonts w:hint="eastAsia"/>
                                <w:sz w:val="21"/>
                                <w:szCs w:val="21"/>
                                <w:lang w:eastAsia="zh-CN"/>
                              </w:rPr>
                              <w:t>废气</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1902460</wp:posOffset>
                      </wp:positionH>
                      <wp:positionV relativeFrom="paragraph">
                        <wp:posOffset>688340</wp:posOffset>
                      </wp:positionV>
                      <wp:extent cx="1017270" cy="331470"/>
                      <wp:effectExtent l="4445" t="4445" r="6985" b="6985"/>
                      <wp:wrapNone/>
                      <wp:docPr id="4" name="文本框 4"/>
                      <wp:cNvGraphicFramePr/>
                      <a:graphic xmlns:a="http://schemas.openxmlformats.org/drawingml/2006/main">
                        <a:graphicData uri="http://schemas.microsoft.com/office/word/2010/wordprocessingShape">
                          <wps:wsp>
                            <wps:cNvSpPr txBox="1"/>
                            <wps:spPr>
                              <a:xfrm>
                                <a:off x="3608070" y="3771265"/>
                                <a:ext cx="1017270" cy="3314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8F2F25D">
                                  <w:pPr>
                                    <w:rPr>
                                      <w:rFonts w:hint="eastAsia" w:eastAsia="宋体"/>
                                      <w:lang w:eastAsia="zh-CN"/>
                                    </w:rPr>
                                  </w:pPr>
                                  <w:r>
                                    <w:rPr>
                                      <w:rFonts w:hint="eastAsia"/>
                                      <w:sz w:val="21"/>
                                      <w:szCs w:val="21"/>
                                      <w:lang w:eastAsia="zh-CN"/>
                                    </w:rPr>
                                    <w:t>原料堆场存放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8pt;margin-top:54.2pt;height:26.1pt;width:80.1pt;z-index:251659264;mso-width-relative:page;mso-height-relative:page;" fillcolor="#FFFFFF [3201]" filled="t" stroked="t" coordsize="21600,21600" o:gfxdata="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0DNbN1wAAAAsBAAAPAAAAAAAAAAEAIAAAACIAAABkcnMvZG93bnJldi54bWxQSwECFAAUAAAA&#10;CACHTuJAryxq+2ECAADDBAAADgAAAAAAAAABACAAAAAmAQAAZHJzL2Uyb0RvYy54bWxQSwUGAAAA&#10;AAYABgBZAQAA+QUAAAAA&#10;">
                      <v:fill on="t" focussize="0,0"/>
                      <v:stroke weight="0.5pt" color="#000000 [3204]" joinstyle="round"/>
                      <v:imagedata o:title=""/>
                      <o:lock v:ext="edit" aspectratio="f"/>
                      <v:textbox>
                        <w:txbxContent>
                          <w:p w14:paraId="18F2F25D">
                            <w:pPr>
                              <w:rPr>
                                <w:rFonts w:hint="eastAsia" w:eastAsia="宋体"/>
                                <w:lang w:eastAsia="zh-CN"/>
                              </w:rPr>
                            </w:pPr>
                            <w:r>
                              <w:rPr>
                                <w:rFonts w:hint="eastAsia"/>
                                <w:sz w:val="21"/>
                                <w:szCs w:val="21"/>
                                <w:lang w:eastAsia="zh-CN"/>
                              </w:rPr>
                              <w:t>原料堆场存放</w:t>
                            </w:r>
                          </w:p>
                        </w:txbxContent>
                      </v:textbox>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5008880</wp:posOffset>
                      </wp:positionH>
                      <wp:positionV relativeFrom="paragraph">
                        <wp:posOffset>803275</wp:posOffset>
                      </wp:positionV>
                      <wp:extent cx="666750" cy="590550"/>
                      <wp:effectExtent l="4445" t="4445" r="14605" b="14605"/>
                      <wp:wrapNone/>
                      <wp:docPr id="19" name="文本框 19"/>
                      <wp:cNvGraphicFramePr/>
                      <a:graphic xmlns:a="http://schemas.openxmlformats.org/drawingml/2006/main">
                        <a:graphicData uri="http://schemas.microsoft.com/office/word/2010/wordprocessingShape">
                          <wps:wsp>
                            <wps:cNvSpPr txBox="1"/>
                            <wps:spPr>
                              <a:xfrm>
                                <a:off x="6634480" y="2463800"/>
                                <a:ext cx="666750" cy="5905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68C0BE69">
                                  <w:pPr>
                                    <w:spacing w:line="240" w:lineRule="auto"/>
                                    <w:rPr>
                                      <w:rFonts w:hint="eastAsia" w:eastAsia="宋体"/>
                                      <w:sz w:val="21"/>
                                      <w:szCs w:val="21"/>
                                      <w:lang w:eastAsia="zh-CN"/>
                                    </w:rPr>
                                  </w:pPr>
                                  <w:r>
                                    <w:rPr>
                                      <w:rFonts w:hint="eastAsia"/>
                                      <w:sz w:val="21"/>
                                      <w:szCs w:val="21"/>
                                      <w:lang w:eastAsia="zh-CN"/>
                                    </w:rPr>
                                    <w:t>废气、噪声、固废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4.4pt;margin-top:63.25pt;height:46.5pt;width:52.5pt;z-index:251663360;mso-width-relative:page;mso-height-relative:page;" fillcolor="#FFFFFF [3201]" filled="t" stroked="t" coordsize="21600,21600" o:gfxdata="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KXGo72QAA&#10;AAsBAAAPAAAAAAAAAAEAIAAAACIAAABkcnMvZG93bnJldi54bWxQSwECFAAUAAAACACHTuJAHDrg&#10;LVYCAADFBAAADgAAAAAAAAABACAAAAAoAQAAZHJzL2Uyb0RvYy54bWxQSwUGAAAAAAYABgBZAQAA&#10;8AUAAAAA&#10;">
                      <v:fill on="t" focussize="0,0"/>
                      <v:stroke weight="0.5pt" color="#FFFFFF [3212]" joinstyle="round"/>
                      <v:imagedata o:title=""/>
                      <o:lock v:ext="edit" aspectratio="f"/>
                      <v:textbox>
                        <w:txbxContent>
                          <w:p w14:paraId="68C0BE69">
                            <w:pPr>
                              <w:spacing w:line="240" w:lineRule="auto"/>
                              <w:rPr>
                                <w:rFonts w:hint="eastAsia" w:eastAsia="宋体"/>
                                <w:sz w:val="21"/>
                                <w:szCs w:val="21"/>
                                <w:lang w:eastAsia="zh-CN"/>
                              </w:rPr>
                            </w:pPr>
                            <w:r>
                              <w:rPr>
                                <w:rFonts w:hint="eastAsia"/>
                                <w:sz w:val="21"/>
                                <w:szCs w:val="21"/>
                                <w:lang w:eastAsia="zh-CN"/>
                              </w:rPr>
                              <w:t>废气、噪声、固废</w:t>
                            </w:r>
                          </w:p>
                        </w:txbxContent>
                      </v:textbox>
                    </v:shap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2551430</wp:posOffset>
                      </wp:positionH>
                      <wp:positionV relativeFrom="paragraph">
                        <wp:posOffset>1346200</wp:posOffset>
                      </wp:positionV>
                      <wp:extent cx="914400" cy="419100"/>
                      <wp:effectExtent l="4445" t="4445" r="14605" b="14605"/>
                      <wp:wrapNone/>
                      <wp:docPr id="21" name="文本框 21"/>
                      <wp:cNvGraphicFramePr/>
                      <a:graphic xmlns:a="http://schemas.openxmlformats.org/drawingml/2006/main">
                        <a:graphicData uri="http://schemas.microsoft.com/office/word/2010/wordprocessingShape">
                          <wps:wsp>
                            <wps:cNvSpPr txBox="1"/>
                            <wps:spPr>
                              <a:xfrm>
                                <a:off x="4224655" y="2854325"/>
                                <a:ext cx="914400" cy="41910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48626EF7">
                                  <w:pPr>
                                    <w:rPr>
                                      <w:rFonts w:hint="eastAsia" w:eastAsia="宋体"/>
                                      <w:sz w:val="21"/>
                                      <w:szCs w:val="21"/>
                                      <w:lang w:eastAsia="zh-CN"/>
                                    </w:rPr>
                                  </w:pPr>
                                  <w:r>
                                    <w:rPr>
                                      <w:rFonts w:hint="eastAsia"/>
                                      <w:sz w:val="21"/>
                                      <w:szCs w:val="21"/>
                                      <w:lang w:eastAsia="zh-CN"/>
                                    </w:rPr>
                                    <w:t>废气、噪声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0.9pt;margin-top:106pt;height:33pt;width:72pt;z-index:251665408;mso-width-relative:page;mso-height-relative:page;" fillcolor="#FFFFFF [3201]" filled="t" stroked="t" coordsize="21600,21600" o:gfxdata="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8Y&#10;CRTYAAAACwEAAA8AAAAAAAAAAQAgAAAAIgAAAGRycy9kb3ducmV2LnhtbFBLAQIUABQAAAAIAIdO&#10;4kDnzYv8XAIAAMUEAAAOAAAAAAAAAAEAIAAAACcBAABkcnMvZTJvRG9jLnhtbFBLBQYAAAAABgAG&#10;AFkBAAD1BQAAAAA=&#10;">
                      <v:fill on="t" focussize="0,0"/>
                      <v:stroke weight="0.5pt" color="#FFFFFF [3212]" joinstyle="round"/>
                      <v:imagedata o:title=""/>
                      <o:lock v:ext="edit" aspectratio="f"/>
                      <v:textbox>
                        <w:txbxContent>
                          <w:p w14:paraId="48626EF7">
                            <w:pPr>
                              <w:rPr>
                                <w:rFonts w:hint="eastAsia" w:eastAsia="宋体"/>
                                <w:sz w:val="21"/>
                                <w:szCs w:val="21"/>
                                <w:lang w:eastAsia="zh-CN"/>
                              </w:rPr>
                            </w:pPr>
                            <w:r>
                              <w:rPr>
                                <w:rFonts w:hint="eastAsia"/>
                                <w:sz w:val="21"/>
                                <w:szCs w:val="21"/>
                                <w:lang w:eastAsia="zh-CN"/>
                              </w:rPr>
                              <w:t>废气、噪声</w:t>
                            </w:r>
                          </w:p>
                        </w:txbxContent>
                      </v:textbox>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3170555</wp:posOffset>
                      </wp:positionH>
                      <wp:positionV relativeFrom="paragraph">
                        <wp:posOffset>645795</wp:posOffset>
                      </wp:positionV>
                      <wp:extent cx="514350" cy="341630"/>
                      <wp:effectExtent l="4445" t="4445" r="14605" b="15875"/>
                      <wp:wrapNone/>
                      <wp:docPr id="20" name="文本框 20"/>
                      <wp:cNvGraphicFramePr/>
                      <a:graphic xmlns:a="http://schemas.openxmlformats.org/drawingml/2006/main">
                        <a:graphicData uri="http://schemas.microsoft.com/office/word/2010/wordprocessingShape">
                          <wps:wsp>
                            <wps:cNvSpPr txBox="1"/>
                            <wps:spPr>
                              <a:xfrm>
                                <a:off x="4710430" y="2153285"/>
                                <a:ext cx="514350" cy="34163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046FAC1B">
                                  <w:pPr>
                                    <w:rPr>
                                      <w:rFonts w:hint="eastAsia" w:eastAsia="宋体"/>
                                      <w:lang w:eastAsia="zh-CN"/>
                                    </w:rPr>
                                  </w:pPr>
                                  <w:r>
                                    <w:rPr>
                                      <w:rFonts w:hint="eastAsia"/>
                                      <w:lang w:eastAsia="zh-CN"/>
                                    </w:rPr>
                                    <w:t>废气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9.65pt;margin-top:50.85pt;height:26.9pt;width:40.5pt;z-index:251664384;mso-width-relative:page;mso-height-relative:page;" fillcolor="#FFFFFF [3201]" filled="t" stroked="t" coordsize="21600,21600" o:gfxdata="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j4z9kNgA&#10;AAALAQAADwAAAAAAAAABACAAAAAiAAAAZHJzL2Rvd25yZXYueG1sUEsBAhQAFAAAAAgAh07iQALx&#10;Tb9YAgAAxQQAAA4AAAAAAAAAAQAgAAAAJwEAAGRycy9lMm9Eb2MueG1sUEsFBgAAAAAGAAYAWQEA&#10;APEFAAAAAA==&#10;">
                      <v:fill on="t" focussize="0,0"/>
                      <v:stroke weight="0.5pt" color="#FFFFFF [3212]" joinstyle="round"/>
                      <v:imagedata o:title=""/>
                      <o:lock v:ext="edit" aspectratio="f"/>
                      <v:textbox>
                        <w:txbxContent>
                          <w:p w14:paraId="046FAC1B">
                            <w:pPr>
                              <w:rPr>
                                <w:rFonts w:hint="eastAsia" w:eastAsia="宋体"/>
                                <w:lang w:eastAsia="zh-CN"/>
                              </w:rPr>
                            </w:pPr>
                            <w:r>
                              <w:rPr>
                                <w:rFonts w:hint="eastAsia"/>
                                <w:lang w:eastAsia="zh-CN"/>
                              </w:rPr>
                              <w:t>废气</w:t>
                            </w: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3703955</wp:posOffset>
                      </wp:positionH>
                      <wp:positionV relativeFrom="paragraph">
                        <wp:posOffset>2620645</wp:posOffset>
                      </wp:positionV>
                      <wp:extent cx="772160" cy="314325"/>
                      <wp:effectExtent l="4445" t="4445" r="23495" b="5080"/>
                      <wp:wrapNone/>
                      <wp:docPr id="18" name="文本框 18"/>
                      <wp:cNvGraphicFramePr/>
                      <a:graphic xmlns:a="http://schemas.openxmlformats.org/drawingml/2006/main">
                        <a:graphicData uri="http://schemas.microsoft.com/office/word/2010/wordprocessingShape">
                          <wps:wsp>
                            <wps:cNvSpPr txBox="1"/>
                            <wps:spPr>
                              <a:xfrm>
                                <a:off x="5520055" y="4157345"/>
                                <a:ext cx="772160" cy="31432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646A0BF7">
                                  <w:pPr>
                                    <w:rPr>
                                      <w:rFonts w:hint="eastAsia" w:eastAsia="宋体"/>
                                      <w:lang w:eastAsia="zh-CN"/>
                                    </w:rPr>
                                  </w:pPr>
                                  <w:r>
                                    <w:rPr>
                                      <w:rFonts w:hint="eastAsia"/>
                                      <w:lang w:eastAsia="zh-CN"/>
                                    </w:rPr>
                                    <w:t>噪声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1.65pt;margin-top:206.35pt;height:24.75pt;width:60.8pt;z-index:251662336;mso-width-relative:page;mso-height-relative:page;" fillcolor="#FFFFFF [3201]" filled="t" stroked="t" coordsize="21600,21600" o:gfxdata="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tM5aW2gAAAAsBAAAPAAAAAAAAAAEAIAAAACIAAABkcnMvZG93bnJldi54bWxQSwECFAAUAAAA&#10;CACHTuJA7YzTDl4CAADFBAAADgAAAAAAAAABACAAAAApAQAAZHJzL2Uyb0RvYy54bWxQSwUGAAAA&#10;AAYABgBZAQAA+QUAAAAA&#10;">
                      <v:fill on="t" focussize="0,0"/>
                      <v:stroke weight="0.5pt" color="#FFFFFF [3212]" joinstyle="round"/>
                      <v:imagedata o:title=""/>
                      <o:lock v:ext="edit" aspectratio="f"/>
                      <v:textbox>
                        <w:txbxContent>
                          <w:p w14:paraId="646A0BF7">
                            <w:pPr>
                              <w:rPr>
                                <w:rFonts w:hint="eastAsia" w:eastAsia="宋体"/>
                                <w:lang w:eastAsia="zh-CN"/>
                              </w:rPr>
                            </w:pPr>
                            <w:r>
                              <w:rPr>
                                <w:rFonts w:hint="eastAsia"/>
                                <w:lang w:eastAsia="zh-CN"/>
                              </w:rPr>
                              <w:t>噪声</w:t>
                            </w:r>
                          </w:p>
                        </w:txbxContent>
                      </v:textbox>
                    </v:shape>
                  </w:pict>
                </mc:Fallback>
              </mc:AlternateContent>
            </w:r>
            <w:r>
              <w:rPr>
                <w:rFonts w:hint="eastAsia"/>
                <w:lang w:val="en-US" w:eastAsia="zh-CN"/>
              </w:rPr>
              <w:t xml:space="preserve">   </w:t>
            </w:r>
            <w:r>
              <w:drawing>
                <wp:inline distT="0" distB="0" distL="114300" distR="114300">
                  <wp:extent cx="5514975" cy="4448175"/>
                  <wp:effectExtent l="0" t="0" r="9525" b="952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12"/>
                          <a:stretch>
                            <a:fillRect/>
                          </a:stretch>
                        </pic:blipFill>
                        <pic:spPr>
                          <a:xfrm>
                            <a:off x="0" y="0"/>
                            <a:ext cx="5514975" cy="4448175"/>
                          </a:xfrm>
                          <a:prstGeom prst="rect">
                            <a:avLst/>
                          </a:prstGeom>
                          <a:noFill/>
                          <a:ln>
                            <a:noFill/>
                          </a:ln>
                        </pic:spPr>
                      </pic:pic>
                    </a:graphicData>
                  </a:graphic>
                </wp:inline>
              </w:drawing>
            </w:r>
          </w:p>
          <w:p w14:paraId="697E163E">
            <w:pPr>
              <w:adjustRightInd w:val="0"/>
              <w:snapToGrid w:val="0"/>
              <w:ind w:firstLine="1928" w:firstLineChars="800"/>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图2-</w:t>
            </w:r>
            <w:r>
              <w:rPr>
                <w:rFonts w:hint="eastAsia" w:asciiTheme="minorEastAsia" w:hAnsiTheme="minorEastAsia" w:eastAsiaTheme="minorEastAsia" w:cstheme="minorEastAsia"/>
                <w:b/>
                <w:bCs/>
                <w:color w:val="auto"/>
                <w:lang w:val="en-US" w:eastAsia="zh-CN"/>
              </w:rPr>
              <w:t>2</w:t>
            </w:r>
            <w:r>
              <w:rPr>
                <w:rFonts w:hint="eastAsia" w:asciiTheme="minorEastAsia" w:hAnsiTheme="minorEastAsia" w:eastAsiaTheme="minorEastAsia" w:cstheme="minorEastAsia"/>
                <w:b/>
                <w:bCs/>
                <w:color w:val="auto"/>
              </w:rPr>
              <w:t>项目运营期</w:t>
            </w:r>
            <w:r>
              <w:rPr>
                <w:rFonts w:hint="eastAsia" w:asciiTheme="minorEastAsia" w:hAnsiTheme="minorEastAsia" w:eastAsiaTheme="minorEastAsia" w:cstheme="minorEastAsia"/>
                <w:b/>
                <w:bCs/>
                <w:color w:val="auto"/>
                <w:lang w:eastAsia="zh-CN"/>
              </w:rPr>
              <w:t>水泥管生产</w:t>
            </w:r>
            <w:r>
              <w:rPr>
                <w:rFonts w:hint="eastAsia" w:asciiTheme="minorEastAsia" w:hAnsiTheme="minorEastAsia" w:eastAsiaTheme="minorEastAsia" w:cstheme="minorEastAsia"/>
                <w:b/>
                <w:bCs/>
                <w:color w:val="auto"/>
              </w:rPr>
              <w:t>工艺流程及产污节点图</w:t>
            </w:r>
          </w:p>
          <w:p w14:paraId="7E12AF32">
            <w:pPr>
              <w:numPr>
                <w:ilvl w:val="0"/>
                <w:numId w:val="0"/>
              </w:numPr>
              <w:ind w:firstLine="241" w:firstLineChars="100"/>
              <w:rPr>
                <w:rFonts w:hint="eastAsia"/>
                <w:b/>
                <w:bCs/>
                <w:color w:val="auto"/>
                <w:sz w:val="24"/>
                <w:lang w:val="en-US" w:eastAsia="zh-CN"/>
              </w:rPr>
            </w:pPr>
            <w:r>
              <w:rPr>
                <w:rFonts w:hint="eastAsia"/>
                <w:b/>
                <w:bCs/>
                <w:color w:val="auto"/>
                <w:sz w:val="24"/>
                <w:lang w:val="en-US" w:eastAsia="zh-CN"/>
              </w:rPr>
              <w:t>生产工艺简述：</w:t>
            </w:r>
          </w:p>
          <w:p w14:paraId="30927834">
            <w:pPr>
              <w:numPr>
                <w:ilvl w:val="0"/>
                <w:numId w:val="0"/>
              </w:numPr>
              <w:spacing w:line="360" w:lineRule="auto"/>
              <w:ind w:firstLine="240" w:firstLineChars="100"/>
              <w:rPr>
                <w:rFonts w:hint="eastAsia" w:asciiTheme="majorEastAsia" w:hAnsiTheme="majorEastAsia" w:eastAsiaTheme="majorEastAsia" w:cstheme="majorEastAsia"/>
                <w:color w:val="auto"/>
                <w:sz w:val="24"/>
                <w:lang w:val="en-US" w:eastAsia="zh-CN"/>
              </w:rPr>
            </w:pPr>
            <w:r>
              <w:rPr>
                <w:rFonts w:hint="eastAsia" w:asciiTheme="majorEastAsia" w:hAnsiTheme="majorEastAsia" w:eastAsiaTheme="majorEastAsia" w:cstheme="majorEastAsia"/>
                <w:color w:val="auto"/>
                <w:sz w:val="24"/>
                <w:lang w:val="en-US" w:eastAsia="zh-CN"/>
              </w:rPr>
              <w:t>1、原料储存：本项目外购水泥由水泥散装车运输，通过散装水泥车运输至厂区的水泥筒仓中暂存；砂子、石子和钢筋由汽车运输至厂区的砂子、石子仓库和钢筋堆放区。该工序产生的污染物主要为水泥筒仓呼吸粉尘、砂石扬尘。</w:t>
            </w:r>
          </w:p>
          <w:p w14:paraId="7D700264">
            <w:pPr>
              <w:adjustRightInd w:val="0"/>
              <w:snapToGrid w:val="0"/>
              <w:spacing w:line="360" w:lineRule="auto"/>
              <w:ind w:firstLine="240" w:firstLineChars="100"/>
              <w:rPr>
                <w:rFonts w:hint="eastAsia" w:asciiTheme="majorEastAsia" w:hAnsiTheme="majorEastAsia" w:eastAsiaTheme="majorEastAsia" w:cstheme="majorEastAsia"/>
                <w:color w:val="auto"/>
                <w:kern w:val="0"/>
                <w:sz w:val="24"/>
                <w:lang w:eastAsia="zh-CN"/>
              </w:rPr>
            </w:pPr>
            <w:r>
              <w:rPr>
                <w:rFonts w:hint="eastAsia" w:asciiTheme="majorEastAsia" w:hAnsiTheme="majorEastAsia" w:eastAsiaTheme="majorEastAsia" w:cstheme="majorEastAsia"/>
                <w:color w:val="auto"/>
                <w:kern w:val="0"/>
                <w:sz w:val="24"/>
                <w:lang w:eastAsia="zh-CN"/>
              </w:rPr>
              <w:t>2、搅拌：砂子、石子上料通过装载车输送进入配料桶内计量，经配料斗由皮带输送机进入搅拌机内；水泥通过水泥筒仓底部的螺旋输送管输送至搅拌机内；</w:t>
            </w:r>
          </w:p>
          <w:p w14:paraId="0BD4859B">
            <w:pPr>
              <w:adjustRightInd w:val="0"/>
              <w:snapToGrid w:val="0"/>
              <w:spacing w:line="360" w:lineRule="auto"/>
              <w:ind w:firstLine="240" w:firstLineChars="100"/>
              <w:rPr>
                <w:rFonts w:hint="eastAsia" w:asciiTheme="majorEastAsia" w:hAnsiTheme="majorEastAsia" w:eastAsiaTheme="majorEastAsia" w:cstheme="majorEastAsia"/>
                <w:color w:val="auto"/>
                <w:kern w:val="0"/>
                <w:sz w:val="24"/>
                <w:lang w:eastAsia="zh-CN"/>
              </w:rPr>
            </w:pPr>
            <w:r>
              <w:rPr>
                <w:rFonts w:hint="eastAsia" w:asciiTheme="majorEastAsia" w:hAnsiTheme="majorEastAsia" w:eastAsiaTheme="majorEastAsia" w:cstheme="majorEastAsia"/>
                <w:color w:val="auto"/>
                <w:kern w:val="0"/>
                <w:sz w:val="24"/>
                <w:lang w:eastAsia="zh-CN"/>
              </w:rPr>
              <w:t>新鲜水通过发料阀放入搅拌机中，搅拌机进行全封闭搅拌。该工序产生的污染物主要为搅拌粉尘和设备运行噪声。</w:t>
            </w:r>
          </w:p>
          <w:p w14:paraId="281681A1">
            <w:pPr>
              <w:adjustRightInd w:val="0"/>
              <w:snapToGrid w:val="0"/>
              <w:spacing w:line="360" w:lineRule="auto"/>
              <w:ind w:firstLine="240" w:firstLineChars="100"/>
              <w:rPr>
                <w:rFonts w:hint="eastAsia" w:asciiTheme="majorEastAsia" w:hAnsiTheme="majorEastAsia" w:eastAsiaTheme="majorEastAsia" w:cstheme="majorEastAsia"/>
                <w:color w:val="auto"/>
                <w:kern w:val="0"/>
                <w:sz w:val="24"/>
                <w:lang w:eastAsia="zh-CN"/>
              </w:rPr>
            </w:pPr>
            <w:r>
              <w:rPr>
                <w:rFonts w:hint="eastAsia" w:asciiTheme="majorEastAsia" w:hAnsiTheme="majorEastAsia" w:eastAsiaTheme="majorEastAsia" w:cstheme="majorEastAsia"/>
                <w:color w:val="auto"/>
                <w:kern w:val="0"/>
                <w:sz w:val="24"/>
                <w:lang w:eastAsia="zh-CN"/>
              </w:rPr>
              <w:t>3、焊接：外购入厂的钢筋利用滚焊机进行焊接，制作环网。该工序产生的污染物主要为焊接烟尘、废弃焊头和设备运行噪声。</w:t>
            </w:r>
          </w:p>
          <w:p w14:paraId="66E7D061">
            <w:pPr>
              <w:adjustRightInd w:val="0"/>
              <w:snapToGrid w:val="0"/>
              <w:spacing w:line="360" w:lineRule="auto"/>
              <w:ind w:firstLine="240" w:firstLineChars="100"/>
              <w:rPr>
                <w:rFonts w:hint="eastAsia" w:asciiTheme="majorEastAsia" w:hAnsiTheme="majorEastAsia" w:eastAsiaTheme="majorEastAsia" w:cstheme="majorEastAsia"/>
                <w:color w:val="auto"/>
                <w:kern w:val="0"/>
                <w:sz w:val="24"/>
                <w:lang w:eastAsia="zh-CN"/>
              </w:rPr>
            </w:pPr>
            <w:r>
              <w:rPr>
                <w:rFonts w:hint="eastAsia" w:asciiTheme="majorEastAsia" w:hAnsiTheme="majorEastAsia" w:eastAsiaTheme="majorEastAsia" w:cstheme="majorEastAsia"/>
                <w:color w:val="auto"/>
                <w:kern w:val="0"/>
                <w:sz w:val="24"/>
                <w:lang w:eastAsia="zh-CN"/>
              </w:rPr>
              <w:t>4、模具安装：将焊接成型的钢筋网放入模具中。</w:t>
            </w:r>
          </w:p>
          <w:p w14:paraId="110DB633">
            <w:pPr>
              <w:adjustRightInd w:val="0"/>
              <w:snapToGrid w:val="0"/>
              <w:spacing w:line="360" w:lineRule="auto"/>
              <w:ind w:firstLine="240" w:firstLineChars="100"/>
              <w:rPr>
                <w:rFonts w:hint="eastAsia" w:asciiTheme="majorEastAsia" w:hAnsiTheme="majorEastAsia" w:eastAsiaTheme="majorEastAsia" w:cstheme="majorEastAsia"/>
                <w:color w:val="auto"/>
                <w:kern w:val="0"/>
                <w:sz w:val="24"/>
                <w:lang w:eastAsia="zh-CN"/>
              </w:rPr>
            </w:pPr>
            <w:r>
              <w:rPr>
                <w:rFonts w:hint="eastAsia" w:asciiTheme="majorEastAsia" w:hAnsiTheme="majorEastAsia" w:eastAsiaTheme="majorEastAsia" w:cstheme="majorEastAsia"/>
                <w:color w:val="auto"/>
                <w:kern w:val="0"/>
                <w:sz w:val="24"/>
                <w:lang w:eastAsia="zh-CN"/>
              </w:rPr>
              <w:t>5、浇灌成型：将搅拌机中充分搅拌的混凝土输送至模具中进行浇灌。该工序产生的污染物主要为设备运行噪声。</w:t>
            </w:r>
          </w:p>
          <w:p w14:paraId="186ECE65">
            <w:pPr>
              <w:adjustRightInd w:val="0"/>
              <w:snapToGrid w:val="0"/>
              <w:spacing w:line="360" w:lineRule="auto"/>
              <w:ind w:firstLine="240" w:firstLineChars="100"/>
              <w:rPr>
                <w:rFonts w:hint="eastAsia" w:asciiTheme="majorEastAsia" w:hAnsiTheme="majorEastAsia" w:eastAsiaTheme="majorEastAsia" w:cstheme="majorEastAsia"/>
                <w:color w:val="auto"/>
                <w:kern w:val="0"/>
                <w:sz w:val="24"/>
                <w:lang w:eastAsia="zh-CN"/>
              </w:rPr>
            </w:pPr>
            <w:r>
              <w:rPr>
                <w:rFonts w:hint="eastAsia" w:asciiTheme="majorEastAsia" w:hAnsiTheme="majorEastAsia" w:eastAsiaTheme="majorEastAsia" w:cstheme="majorEastAsia"/>
                <w:color w:val="auto"/>
                <w:kern w:val="0"/>
                <w:sz w:val="24"/>
                <w:lang w:eastAsia="zh-CN"/>
              </w:rPr>
              <w:t>6、自然养护：将水泥管进行自然养护。</w:t>
            </w:r>
          </w:p>
          <w:p w14:paraId="431E14B3">
            <w:pPr>
              <w:adjustRightInd w:val="0"/>
              <w:snapToGrid w:val="0"/>
              <w:spacing w:line="360" w:lineRule="auto"/>
              <w:ind w:firstLine="240" w:firstLineChars="100"/>
              <w:rPr>
                <w:rFonts w:hint="eastAsia" w:asciiTheme="majorEastAsia" w:hAnsiTheme="majorEastAsia" w:eastAsiaTheme="majorEastAsia" w:cstheme="majorEastAsia"/>
                <w:color w:val="auto"/>
                <w:kern w:val="0"/>
                <w:sz w:val="24"/>
                <w:lang w:eastAsia="zh-CN"/>
              </w:rPr>
            </w:pPr>
            <w:r>
              <w:rPr>
                <w:rFonts w:hint="eastAsia" w:asciiTheme="majorEastAsia" w:hAnsiTheme="majorEastAsia" w:eastAsiaTheme="majorEastAsia" w:cstheme="majorEastAsia"/>
                <w:color w:val="auto"/>
                <w:kern w:val="0"/>
                <w:sz w:val="24"/>
                <w:lang w:eastAsia="zh-CN"/>
              </w:rPr>
              <w:t>7、成品堆放：将成品水泥管通过吊车放置在成品区摆放，待售。</w:t>
            </w:r>
          </w:p>
          <w:p w14:paraId="77C798AD">
            <w:pPr>
              <w:pStyle w:val="36"/>
              <w:ind w:left="0" w:leftChars="0" w:firstLine="0" w:firstLineChars="0"/>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lang w:val="en-US" w:eastAsia="zh-CN"/>
                <w14:textFill>
                  <w14:solidFill>
                    <w14:schemeClr w14:val="tx1"/>
                  </w14:solidFill>
                </w14:textFill>
              </w:rPr>
              <w:t>2、彩砖、植草砖、检查井、井盖、涵管、预制板生产工艺流程</w:t>
            </w:r>
          </w:p>
          <w:p w14:paraId="74F3FE29">
            <w:pPr>
              <w:ind w:firstLine="480" w:firstLineChars="200"/>
            </w:pPr>
            <w:r>
              <w:rPr>
                <w:rFonts w:hint="eastAsia" w:asciiTheme="minorEastAsia" w:hAnsiTheme="minorEastAsia" w:eastAsiaTheme="minorEastAsia" w:cstheme="minorEastAsia"/>
                <w:color w:val="000000" w:themeColor="text1"/>
                <w:lang w:eastAsia="zh-CN"/>
                <w14:textFill>
                  <w14:solidFill>
                    <w14:schemeClr w14:val="tx1"/>
                  </w14:solidFill>
                </w14:textFill>
              </w:rPr>
              <w:t>本项目设置</w:t>
            </w:r>
            <w:r>
              <w:rPr>
                <w:rFonts w:hint="eastAsia" w:asciiTheme="majorEastAsia" w:hAnsiTheme="majorEastAsia" w:eastAsiaTheme="majorEastAsia" w:cstheme="majorEastAsia"/>
                <w:color w:val="000000" w:themeColor="text1"/>
                <w:lang w:val="en-US" w:eastAsia="zh-CN"/>
                <w14:textFill>
                  <w14:solidFill>
                    <w14:schemeClr w14:val="tx1"/>
                  </w14:solidFill>
                </w14:textFill>
              </w:rPr>
              <w:t>1条为共用的彩砖、植草砖、检查井、井盖、涵管及预制板生产线，其中彩砖、植草砖分别年产20万块；检查井年产800座；井盖年产1万块，涵管年产5000根，预制板年产1万块</w:t>
            </w:r>
            <w:r>
              <w:rPr>
                <w:rFonts w:hint="eastAsia" w:asciiTheme="minorEastAsia" w:hAnsiTheme="minorEastAsia" w:eastAsiaTheme="minorEastAsia" w:cstheme="minorEastAsia"/>
                <w:color w:val="000000" w:themeColor="text1"/>
                <w:lang w:eastAsia="zh-CN"/>
                <w14:textFill>
                  <w14:solidFill>
                    <w14:schemeClr w14:val="tx1"/>
                  </w14:solidFill>
                </w14:textFill>
              </w:rPr>
              <w:t>生产线（</w:t>
            </w:r>
            <w:r>
              <w:rPr>
                <w:rFonts w:hint="eastAsia" w:asciiTheme="majorEastAsia" w:hAnsiTheme="majorEastAsia" w:eastAsiaTheme="majorEastAsia" w:cstheme="majorEastAsia"/>
                <w:color w:val="000000" w:themeColor="text1"/>
                <w:lang w:val="en-US" w:eastAsia="zh-CN"/>
                <w14:textFill>
                  <w14:solidFill>
                    <w14:schemeClr w14:val="tx1"/>
                  </w14:solidFill>
                </w14:textFill>
              </w:rPr>
              <w:t>彩砖、植草砖、</w:t>
            </w:r>
            <w:r>
              <w:rPr>
                <w:rFonts w:hint="eastAsia" w:asciiTheme="minorEastAsia" w:hAnsiTheme="minorEastAsia" w:eastAsiaTheme="minorEastAsia" w:cstheme="minorEastAsia"/>
                <w:color w:val="000000" w:themeColor="text1"/>
                <w:lang w:eastAsia="zh-CN"/>
                <w14:textFill>
                  <w14:solidFill>
                    <w14:schemeClr w14:val="tx1"/>
                  </w14:solidFill>
                </w14:textFill>
              </w:rPr>
              <w:t>井盖、涵管和预制板生产都需要将钢筋绑扎后入模，</w:t>
            </w:r>
            <w:r>
              <w:rPr>
                <w:rFonts w:hint="eastAsia" w:asciiTheme="minorEastAsia" w:hAnsiTheme="minorEastAsia" w:eastAsiaTheme="minorEastAsia" w:cstheme="minorEastAsia"/>
                <w:color w:val="000000" w:themeColor="text1"/>
                <w14:textFill>
                  <w14:solidFill>
                    <w14:schemeClr w14:val="tx1"/>
                  </w14:solidFill>
                </w14:textFill>
              </w:rPr>
              <w:t>按照</w:t>
            </w:r>
            <w:r>
              <w:rPr>
                <w:rFonts w:hint="eastAsia" w:asciiTheme="minorEastAsia" w:hAnsiTheme="minorEastAsia" w:eastAsiaTheme="minorEastAsia" w:cstheme="minorEastAsia"/>
                <w:color w:val="000000" w:themeColor="text1"/>
                <w:lang w:eastAsia="zh-CN"/>
                <w14:textFill>
                  <w14:solidFill>
                    <w14:schemeClr w14:val="tx1"/>
                  </w14:solidFill>
                </w14:textFill>
              </w:rPr>
              <w:t>砂子、公分石、水泥一定的</w:t>
            </w:r>
            <w:r>
              <w:rPr>
                <w:rFonts w:hint="eastAsia" w:asciiTheme="minorEastAsia" w:hAnsiTheme="minorEastAsia" w:eastAsiaTheme="minorEastAsia" w:cstheme="minorEastAsia"/>
                <w:color w:val="000000" w:themeColor="text1"/>
                <w14:textFill>
                  <w14:solidFill>
                    <w14:schemeClr w14:val="tx1"/>
                  </w14:solidFill>
                </w14:textFill>
              </w:rPr>
              <w:t>配比</w:t>
            </w:r>
            <w:r>
              <w:rPr>
                <w:rFonts w:hint="eastAsia" w:asciiTheme="minorEastAsia" w:hAnsiTheme="minorEastAsia" w:eastAsiaTheme="minorEastAsia" w:cstheme="minorEastAsia"/>
                <w:color w:val="000000" w:themeColor="text1"/>
                <w:lang w:eastAsia="zh-CN"/>
                <w14:textFill>
                  <w14:solidFill>
                    <w14:schemeClr w14:val="tx1"/>
                  </w14:solidFill>
                </w14:textFill>
              </w:rPr>
              <w:t>搅拌好的混凝土在模具中成型、脱模养护后外售），其生产工艺流程及产污环节基本一致，本项目</w:t>
            </w:r>
            <w:r>
              <w:rPr>
                <w:rFonts w:hint="eastAsia" w:asciiTheme="majorEastAsia" w:hAnsiTheme="majorEastAsia" w:eastAsiaTheme="majorEastAsia" w:cstheme="majorEastAsia"/>
                <w:color w:val="000000" w:themeColor="text1"/>
                <w:lang w:val="en-US" w:eastAsia="zh-CN"/>
                <w14:textFill>
                  <w14:solidFill>
                    <w14:schemeClr w14:val="tx1"/>
                  </w14:solidFill>
                </w14:textFill>
              </w:rPr>
              <w:t>彩砖、植草砖、</w:t>
            </w:r>
            <w:r>
              <w:rPr>
                <w:rFonts w:hint="eastAsia" w:asciiTheme="minorEastAsia" w:hAnsiTheme="minorEastAsia" w:eastAsiaTheme="minorEastAsia" w:cstheme="minorEastAsia"/>
                <w:color w:val="000000" w:themeColor="text1"/>
                <w:lang w:eastAsia="zh-CN"/>
                <w14:textFill>
                  <w14:solidFill>
                    <w14:schemeClr w14:val="tx1"/>
                  </w14:solidFill>
                </w14:textFill>
              </w:rPr>
              <w:t>检查井、</w:t>
            </w:r>
            <w:r>
              <w:rPr>
                <w:rFonts w:hint="eastAsia" w:asciiTheme="majorEastAsia" w:hAnsiTheme="majorEastAsia" w:eastAsiaTheme="majorEastAsia" w:cstheme="majorEastAsia"/>
                <w:color w:val="000000" w:themeColor="text1"/>
                <w:lang w:val="en-US" w:eastAsia="zh-CN"/>
                <w14:textFill>
                  <w14:solidFill>
                    <w14:schemeClr w14:val="tx1"/>
                  </w14:solidFill>
                </w14:textFill>
              </w:rPr>
              <w:t>井盖、</w:t>
            </w:r>
            <w:r>
              <w:rPr>
                <w:rFonts w:hint="eastAsia" w:asciiTheme="minorEastAsia" w:hAnsiTheme="minorEastAsia" w:eastAsiaTheme="minorEastAsia" w:cstheme="minorEastAsia"/>
                <w:color w:val="000000" w:themeColor="text1"/>
                <w:lang w:eastAsia="zh-CN"/>
                <w14:textFill>
                  <w14:solidFill>
                    <w14:schemeClr w14:val="tx1"/>
                  </w14:solidFill>
                </w14:textFill>
              </w:rPr>
              <w:t>涵管、预制板的生产工艺流程及产污环节图，具体见图 2-</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14:paraId="665C6D2E">
            <w:pPr>
              <w:adjustRightInd w:val="0"/>
              <w:snapToGrid w:val="0"/>
              <w:ind w:firstLine="480" w:firstLineChars="200"/>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pPr>
            <w:r>
              <w:rPr>
                <w:sz w:val="24"/>
              </w:rPr>
              <mc:AlternateContent>
                <mc:Choice Requires="wps">
                  <w:drawing>
                    <wp:anchor distT="0" distB="0" distL="114300" distR="114300" simplePos="0" relativeHeight="251661312" behindDoc="0" locked="0" layoutInCell="1" allowOverlap="1">
                      <wp:simplePos x="0" y="0"/>
                      <wp:positionH relativeFrom="column">
                        <wp:posOffset>3209925</wp:posOffset>
                      </wp:positionH>
                      <wp:positionV relativeFrom="paragraph">
                        <wp:posOffset>1184275</wp:posOffset>
                      </wp:positionV>
                      <wp:extent cx="887730" cy="456565"/>
                      <wp:effectExtent l="4445" t="4445" r="22225" b="15240"/>
                      <wp:wrapNone/>
                      <wp:docPr id="16" name="文本框 16"/>
                      <wp:cNvGraphicFramePr/>
                      <a:graphic xmlns:a="http://schemas.openxmlformats.org/drawingml/2006/main">
                        <a:graphicData uri="http://schemas.microsoft.com/office/word/2010/wordprocessingShape">
                          <wps:wsp>
                            <wps:cNvSpPr txBox="1"/>
                            <wps:spPr>
                              <a:xfrm>
                                <a:off x="4519930" y="2514600"/>
                                <a:ext cx="887730" cy="4565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3FBB027">
                                  <w:pPr>
                                    <w:spacing w:line="240" w:lineRule="auto"/>
                                    <w:rPr>
                                      <w:rFonts w:hint="eastAsia" w:eastAsia="宋体"/>
                                      <w:lang w:eastAsia="zh-CN"/>
                                    </w:rPr>
                                  </w:pPr>
                                  <w:r>
                                    <w:rPr>
                                      <w:rFonts w:hint="eastAsia"/>
                                      <w:sz w:val="18"/>
                                      <w:szCs w:val="18"/>
                                      <w:lang w:eastAsia="zh-CN"/>
                                    </w:rPr>
                                    <w:t>入模</w:t>
                                  </w:r>
                                  <w:r>
                                    <w:rPr>
                                      <w:rFonts w:hint="eastAsia"/>
                                      <w:sz w:val="18"/>
                                      <w:szCs w:val="18"/>
                                      <w:lang w:val="en-US" w:eastAsia="zh-CN"/>
                                    </w:rPr>
                                    <w:t>（各种产品</w:t>
                                  </w:r>
                                  <w:r>
                                    <w:rPr>
                                      <w:rFonts w:hint="eastAsia"/>
                                      <w:sz w:val="18"/>
                                      <w:szCs w:val="18"/>
                                      <w:lang w:eastAsia="zh-CN"/>
                                    </w:rPr>
                                    <w:t>模具）</w:t>
                                  </w:r>
                                </w:p>
                                <w:p w14:paraId="1EBA1FE5">
                                  <w:pPr>
                                    <w:spacing w:line="240" w:lineRule="auto"/>
                                    <w:ind w:firstLine="240" w:firstLineChars="100"/>
                                    <w:rPr>
                                      <w:rFonts w:hint="default" w:eastAsia="宋体"/>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2.75pt;margin-top:93.25pt;height:35.95pt;width:69.9pt;z-index:251661312;mso-width-relative:page;mso-height-relative:page;" fillcolor="#FFFFFF [3201]" filled="t" stroked="t" coordsize="21600,21600" o:gfxdata="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Aq7pFtcAAAALAQAADwAAAAAAAAABACAAAAAiAAAAZHJzL2Rvd25yZXYueG1sUEsBAhQAFAAA&#10;AAgAh07iQJFOoCBiAgAAxAQAAA4AAAAAAAAAAQAgAAAAJgEAAGRycy9lMm9Eb2MueG1sUEsFBgAA&#10;AAAGAAYAWQEAAPoFAAAAAA==&#10;">
                      <v:fill on="t" focussize="0,0"/>
                      <v:stroke weight="0.5pt" color="#000000 [3204]" joinstyle="round"/>
                      <v:imagedata o:title=""/>
                      <o:lock v:ext="edit" aspectratio="f"/>
                      <v:textbox>
                        <w:txbxContent>
                          <w:p w14:paraId="03FBB027">
                            <w:pPr>
                              <w:spacing w:line="240" w:lineRule="auto"/>
                              <w:rPr>
                                <w:rFonts w:hint="eastAsia" w:eastAsia="宋体"/>
                                <w:lang w:eastAsia="zh-CN"/>
                              </w:rPr>
                            </w:pPr>
                            <w:r>
                              <w:rPr>
                                <w:rFonts w:hint="eastAsia"/>
                                <w:sz w:val="18"/>
                                <w:szCs w:val="18"/>
                                <w:lang w:eastAsia="zh-CN"/>
                              </w:rPr>
                              <w:t>入模</w:t>
                            </w:r>
                            <w:r>
                              <w:rPr>
                                <w:rFonts w:hint="eastAsia"/>
                                <w:sz w:val="18"/>
                                <w:szCs w:val="18"/>
                                <w:lang w:val="en-US" w:eastAsia="zh-CN"/>
                              </w:rPr>
                              <w:t>（各种产品</w:t>
                            </w:r>
                            <w:r>
                              <w:rPr>
                                <w:rFonts w:hint="eastAsia"/>
                                <w:sz w:val="18"/>
                                <w:szCs w:val="18"/>
                                <w:lang w:eastAsia="zh-CN"/>
                              </w:rPr>
                              <w:t>模具）</w:t>
                            </w:r>
                          </w:p>
                          <w:p w14:paraId="1EBA1FE5">
                            <w:pPr>
                              <w:spacing w:line="240" w:lineRule="auto"/>
                              <w:ind w:firstLine="240" w:firstLineChars="100"/>
                              <w:rPr>
                                <w:rFonts w:hint="default" w:eastAsia="宋体"/>
                                <w:lang w:val="en-US" w:eastAsia="zh-CN"/>
                              </w:rPr>
                            </w:pPr>
                          </w:p>
                        </w:txbxContent>
                      </v:textbox>
                    </v:shape>
                  </w:pict>
                </mc:Fallback>
              </mc:AlternateContent>
            </w:r>
            <w:r>
              <w:rPr>
                <w:rFonts w:ascii="Times New Roman" w:hAnsi="Times New Roman"/>
                <w:color w:val="auto"/>
              </w:rPr>
              <w:object>
                <v:shape id="_x0000_i1026" o:spt="75" type="#_x0000_t75" style="height:301.9pt;width:401.25pt;" o:ole="t" filled="f" o:preferrelative="t" stroked="f" coordsize="21600,21600">
                  <v:path/>
                  <v:fill on="f" focussize="0,0"/>
                  <v:stroke on="f"/>
                  <v:imagedata r:id="rId14" o:title=""/>
                  <o:lock v:ext="edit" aspectratio="f"/>
                  <w10:wrap type="none"/>
                  <w10:anchorlock/>
                </v:shape>
                <o:OLEObject Type="Embed" ProgID="Visio.Drawing.11" ShapeID="_x0000_i1026" DrawAspect="Content" ObjectID="_1468075726" r:id="rId13">
                  <o:LockedField>false</o:LockedField>
                </o:OLEObject>
              </w:object>
            </w:r>
            <w:r>
              <w:rPr>
                <w:sz w:val="24"/>
              </w:rPr>
              <mc:AlternateContent>
                <mc:Choice Requires="wps">
                  <w:drawing>
                    <wp:anchor distT="0" distB="0" distL="114300" distR="114300" simplePos="0" relativeHeight="251668480" behindDoc="0" locked="0" layoutInCell="1" allowOverlap="1">
                      <wp:simplePos x="0" y="0"/>
                      <wp:positionH relativeFrom="column">
                        <wp:posOffset>1761490</wp:posOffset>
                      </wp:positionH>
                      <wp:positionV relativeFrom="paragraph">
                        <wp:posOffset>1550670</wp:posOffset>
                      </wp:positionV>
                      <wp:extent cx="1418590" cy="116840"/>
                      <wp:effectExtent l="635" t="43180" r="9525" b="11430"/>
                      <wp:wrapNone/>
                      <wp:docPr id="24" name="直接箭头连接符 24"/>
                      <wp:cNvGraphicFramePr/>
                      <a:graphic xmlns:a="http://schemas.openxmlformats.org/drawingml/2006/main">
                        <a:graphicData uri="http://schemas.microsoft.com/office/word/2010/wordprocessingShape">
                          <wps:wsp>
                            <wps:cNvCnPr/>
                            <wps:spPr>
                              <a:xfrm flipV="1">
                                <a:off x="4320540" y="6974840"/>
                                <a:ext cx="1418590" cy="11684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138.7pt;margin-top:122.1pt;height:9.2pt;width:111.7pt;z-index:251668480;mso-width-relative:page;mso-height-relative:page;" filled="f" stroked="t" coordsize="21600,21600" o:gfxdata="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70g0dsA&#10;AAALAQAADwAAAAAAAAABACAAAAAiAAAAZHJzL2Rvd25yZXYueG1sUEsBAhQAFAAAAAgAh07iQJjI&#10;0L0cAgAA/AMAAA4AAAAAAAAAAQAgAAAAKgEAAGRycy9lMm9Eb2MueG1sUEsFBgAAAAAGAAYAWQEA&#10;ALgFAAAAAA==&#10;">
                      <v:fill on="f" focussize="0,0"/>
                      <v:stroke weight="1pt" color="#000000 [3213]"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885825</wp:posOffset>
                      </wp:positionH>
                      <wp:positionV relativeFrom="paragraph">
                        <wp:posOffset>1500505</wp:posOffset>
                      </wp:positionV>
                      <wp:extent cx="875665" cy="333375"/>
                      <wp:effectExtent l="4445" t="4445" r="15240" b="5080"/>
                      <wp:wrapNone/>
                      <wp:docPr id="25" name="文本框 25"/>
                      <wp:cNvGraphicFramePr/>
                      <a:graphic xmlns:a="http://schemas.openxmlformats.org/drawingml/2006/main">
                        <a:graphicData uri="http://schemas.microsoft.com/office/word/2010/wordprocessingShape">
                          <wps:wsp>
                            <wps:cNvSpPr txBox="1"/>
                            <wps:spPr>
                              <a:xfrm>
                                <a:off x="2739390" y="5772785"/>
                                <a:ext cx="875665" cy="333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C07B224">
                                  <w:pPr>
                                    <w:rPr>
                                      <w:rFonts w:hint="eastAsia" w:eastAsia="宋体"/>
                                      <w:color w:val="auto"/>
                                      <w:sz w:val="21"/>
                                      <w:szCs w:val="21"/>
                                      <w:lang w:eastAsia="zh-CN"/>
                                    </w:rPr>
                                  </w:pPr>
                                  <w:r>
                                    <w:rPr>
                                      <w:rFonts w:hint="eastAsia"/>
                                      <w:color w:val="auto"/>
                                      <w:sz w:val="21"/>
                                      <w:szCs w:val="21"/>
                                      <w:lang w:eastAsia="zh-CN"/>
                                    </w:rPr>
                                    <w:t>彩砖色素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75pt;margin-top:118.15pt;height:26.25pt;width:68.95pt;z-index:251669504;mso-width-relative:page;mso-height-relative:page;" fillcolor="#FFFFFF [3201]" filled="t" stroked="t" coordsize="21600,21600" o:gfxdata="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djWki1wAAAAsBAAAPAAAAAAAAAAEAIAAAACIAAABkcnMvZG93bnJldi54bWxQSwEC&#10;FAAUAAAACACHTuJAbxeO6mcCAADEBAAADgAAAAAAAAABACAAAAAmAQAAZHJzL2Uyb0RvYy54bWxQ&#10;SwUGAAAAAAYABgBZAQAA/wUAAAAA&#10;">
                      <v:fill on="t" focussize="0,0"/>
                      <v:stroke weight="0.5pt" color="#000000 [3204]" joinstyle="round"/>
                      <v:imagedata o:title=""/>
                      <o:lock v:ext="edit" aspectratio="f"/>
                      <v:textbox>
                        <w:txbxContent>
                          <w:p w14:paraId="4C07B224">
                            <w:pPr>
                              <w:rPr>
                                <w:rFonts w:hint="eastAsia" w:eastAsia="宋体"/>
                                <w:color w:val="auto"/>
                                <w:sz w:val="21"/>
                                <w:szCs w:val="21"/>
                                <w:lang w:eastAsia="zh-CN"/>
                              </w:rPr>
                            </w:pPr>
                            <w:r>
                              <w:rPr>
                                <w:rFonts w:hint="eastAsia"/>
                                <w:color w:val="auto"/>
                                <w:sz w:val="21"/>
                                <w:szCs w:val="21"/>
                                <w:lang w:eastAsia="zh-CN"/>
                              </w:rPr>
                              <w:t>彩砖色素</w:t>
                            </w:r>
                          </w:p>
                        </w:txbxContent>
                      </v:textbox>
                    </v:shape>
                  </w:pict>
                </mc:Fallback>
              </mc:AlternateContent>
            </w:r>
          </w:p>
          <w:p w14:paraId="0BFB70EA">
            <w:pPr>
              <w:adjustRightInd w:val="0"/>
              <w:snapToGrid w:val="0"/>
              <w:ind w:firstLine="482" w:firstLineChars="200"/>
              <w:rPr>
                <w:rFonts w:ascii="Times New Roman" w:hAnsi="Times New Roman"/>
                <w:color w:val="auto"/>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图2-3运营期彩砖、植草砖、检查井、井盖、涵管及预制板生产工艺流程及产污环节</w:t>
            </w:r>
          </w:p>
          <w:p w14:paraId="7458E030">
            <w:pPr>
              <w:adjustRightInd w:val="0"/>
              <w:snapToGrid w:val="0"/>
              <w:rPr>
                <w:rFonts w:ascii="Times New Roman" w:hAnsi="Times New Roman"/>
                <w:b/>
                <w:bCs/>
                <w:color w:val="auto"/>
              </w:rPr>
            </w:pPr>
            <w:r>
              <w:rPr>
                <w:rFonts w:hint="eastAsia" w:ascii="Times New Roman" w:hAnsi="Times New Roman"/>
                <w:b/>
                <w:bCs/>
                <w:color w:val="auto"/>
              </w:rPr>
              <w:t>工艺流程简述:</w:t>
            </w:r>
          </w:p>
          <w:p w14:paraId="728F087D">
            <w:pPr>
              <w:pStyle w:val="36"/>
              <w:ind w:left="0" w:leftChars="0"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 xml:space="preserve">（1）原料外购 </w:t>
            </w:r>
          </w:p>
          <w:p w14:paraId="30CA7A03">
            <w:pPr>
              <w:pStyle w:val="36"/>
              <w:ind w:left="0" w:leftChars="0"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sz w:val="24"/>
                <w:szCs w:val="24"/>
                <w:lang w:val="zh-CN"/>
              </w:rPr>
              <w:t>原材料由皮带电子秤计量后由皮带输送机给料，然后落入搅拌机，搅拌加水量由安装在搅拌机内的水秤控制注水。</w:t>
            </w:r>
            <w:r>
              <w:rPr>
                <w:rFonts w:hint="eastAsia" w:asciiTheme="minorEastAsia" w:hAnsiTheme="minorEastAsia" w:eastAsiaTheme="minorEastAsia" w:cstheme="minorEastAsia"/>
                <w:color w:val="auto"/>
                <w:lang w:val="en-US" w:eastAsia="zh-CN"/>
              </w:rPr>
              <w:t>本项目生产所需的各种原材料，包括钢筋、砂子、公分石和水泥，原材料在进厂前经过验收鉴定粒径、成分等符合国家等有关标准，由销售方将原料通过汽车运入厂区内，分别堆放于原料堆场。项目外购的水泥为罐装，因此厂区不设置水泥仓库。检查井和井盖需要的钢筋属于调直、定长切断、焊接处理过的，无须进行钢筋加工，仅需要时进行部分弯曲处理、焊接。此过程产生噪声。</w:t>
            </w:r>
          </w:p>
          <w:p w14:paraId="6DAA59C3">
            <w:pPr>
              <w:pStyle w:val="36"/>
              <w:ind w:left="0" w:leftChars="0"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（2）骨架成型</w:t>
            </w:r>
          </w:p>
          <w:p w14:paraId="3D1FE057">
            <w:pPr>
              <w:pStyle w:val="36"/>
              <w:ind w:left="0" w:leftChars="0"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检查井骨架：利用钢筋弯曲机将钢筋制成钢筋笼；涵管骨架：将外购调直、定长切断的纵回钢筋，按照设计位置依序摆放，端头与环筋采用绑扎丝拼接；井盖骨架：利用钢筋弯曲机、电焊机将钢筋制成环状，此过程主要产生设备噪声、废钢筋、焊接废气。</w:t>
            </w:r>
          </w:p>
          <w:p w14:paraId="2AC3B53A">
            <w:pPr>
              <w:pStyle w:val="36"/>
              <w:ind w:left="0" w:leftChars="0"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（3）搅拌加工</w:t>
            </w:r>
          </w:p>
          <w:p w14:paraId="70A24968">
            <w:pPr>
              <w:pStyle w:val="36"/>
              <w:ind w:left="0" w:leftChars="0"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按混凝土配合比要求，将所需用量的水泥倒入搅拌机内；将砂子、公分石通过铲车送入搅拌机内，并加入一定量的水进行搅拌。混凝土配合比严格按照产品要求进行。此过程产生设备噪声、粉尘。</w:t>
            </w:r>
          </w:p>
          <w:p w14:paraId="73FAD003">
            <w:pPr>
              <w:pStyle w:val="36"/>
              <w:ind w:left="0" w:leftChars="0"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（4）入膜与成型</w:t>
            </w:r>
          </w:p>
          <w:p w14:paraId="5C861CD5">
            <w:pPr>
              <w:pStyle w:val="36"/>
              <w:ind w:left="0" w:leftChars="0"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彩砖直接将搅拌好的混凝土倒入彩砖模具内，同时在模具内加入彩砖色素进行压密成型；植草砖直接将搅拌好的混凝土倒入植草砖模具内，进行压密成型；检查井利用钢筋弯曲机将钢筋制成钢筋笼，再将其转入检查井模具中，又将搅拌好的混凝土倒入成型的检查井模具内，通过插入式振捣棒振动作用，将模具内的混凝土均匀摊铺并紧贴管壁，然后成型；井盖利用钢筋弯曲机将钢筋制成环状，再将其转入井盖模具中，又将搅拌好的混凝土倒入成型的井盖模具内，通过插入式振捣棒振动作用，将模具内的混凝土均匀摊铺并紧贴管壁，然后成型；涵管模具采用两个半模进行拼装，在组装前应清理出除内壁、两个安装接口圈接头、两个半模的合缝处的砼残留块，使各个部位的连接紧固牢靠。组装好的管膜悬套在水泥涵管模具上，电机带动旋转，人工将混凝土从管模的两端均匀的喂入，之后混凝土混合料随着模具做高速旋转，从而使混合料获得离心力进而达到密实成型；预制板直接将搅拌好的混凝土倒入预制板模具内，通过预制板振动板作用，将模具内的混凝土均匀摊铺并紧贴板壁，然后成型。此过程产生设备噪声。</w:t>
            </w:r>
          </w:p>
          <w:p w14:paraId="3C951308">
            <w:pPr>
              <w:pStyle w:val="36"/>
              <w:ind w:left="0" w:leftChars="0"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（5）脱模</w:t>
            </w:r>
          </w:p>
          <w:p w14:paraId="0781A1E9">
            <w:pPr>
              <w:pStyle w:val="36"/>
              <w:spacing w:line="360" w:lineRule="auto"/>
              <w:ind w:left="0" w:leftChars="0"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经</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过约1天成型固定后，混凝土强度达到标准要求的脱模强度后去掉模具，环评要求脱模区域需做好“三防”要求、地面围堰，设备四周设置围挡。此过程产生不合格品，未干化的产品返回生产工艺使用，固化的产品需要先经过人工敲</w:t>
            </w:r>
            <w:r>
              <w:rPr>
                <w:rFonts w:hint="eastAsia" w:asciiTheme="minorEastAsia" w:hAnsiTheme="minorEastAsia" w:eastAsiaTheme="minorEastAsia" w:cstheme="minorEastAsia"/>
                <w:color w:val="auto"/>
                <w:lang w:val="en-US" w:eastAsia="zh-CN"/>
              </w:rPr>
              <w:t>碎后再返回生产工艺使用；</w:t>
            </w:r>
          </w:p>
          <w:p w14:paraId="75E6240D">
            <w:pPr>
              <w:pStyle w:val="36"/>
              <w:spacing w:line="360" w:lineRule="auto"/>
              <w:ind w:left="0" w:leftChars="0"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（6）养护</w:t>
            </w:r>
          </w:p>
          <w:p w14:paraId="1E764B4F">
            <w:pPr>
              <w:pStyle w:val="36"/>
              <w:ind w:left="0" w:leftChars="0"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拆模后，彩砖、植草砖、检查井、井盖、涵管、预制板进入养护区进行养护，采用人工喷洒水的方式进行养护，养护周期根据气候情况一般为7天。此过程产生养护废水。</w:t>
            </w:r>
          </w:p>
          <w:p w14:paraId="3A92DBAD">
            <w:pPr>
              <w:pStyle w:val="36"/>
              <w:ind w:left="0" w:leftChars="0" w:firstLine="480" w:firstLineChars="200"/>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（7）外售</w:t>
            </w:r>
          </w:p>
          <w:p w14:paraId="047D9507">
            <w:pPr>
              <w:pStyle w:val="36"/>
              <w:ind w:left="0" w:leftChars="0" w:firstLine="480" w:firstLineChars="200"/>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经过养护后彩砖、植草砖、检查井、井盖、涵管、预制板堆放在成品堆场，待售。</w:t>
            </w:r>
          </w:p>
          <w:p w14:paraId="6BB93F03">
            <w:pPr>
              <w:pStyle w:val="11"/>
              <w:spacing w:line="240" w:lineRule="auto"/>
              <w:rPr>
                <w:rFonts w:hint="default" w:ascii="Times New Roman" w:hAnsi="Times New Roman" w:eastAsia="宋体" w:cs="Times New Roman"/>
                <w:b/>
                <w:color w:val="auto"/>
                <w:kern w:val="0"/>
                <w:sz w:val="24"/>
                <w:szCs w:val="24"/>
                <w:highlight w:val="none"/>
              </w:rPr>
            </w:pPr>
            <w:r>
              <w:rPr>
                <w:rFonts w:hint="default" w:ascii="Times New Roman" w:hAnsi="Times New Roman" w:eastAsia="宋体" w:cs="Times New Roman"/>
                <w:b/>
                <w:color w:val="auto"/>
                <w:kern w:val="0"/>
                <w:sz w:val="24"/>
                <w:szCs w:val="24"/>
                <w:highlight w:val="none"/>
                <w:lang w:val="en-US" w:eastAsia="zh-CN"/>
              </w:rPr>
              <w:t>（二）产排污环节</w:t>
            </w:r>
          </w:p>
          <w:p w14:paraId="0ABC636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000000"/>
                <w:sz w:val="24"/>
                <w:highlight w:val="none"/>
                <w:lang w:val="en-US" w:eastAsia="zh-CN"/>
              </w:rPr>
            </w:pPr>
            <w:r>
              <w:rPr>
                <w:rFonts w:hint="default" w:ascii="Times New Roman" w:hAnsi="Times New Roman" w:eastAsia="宋体" w:cs="Times New Roman"/>
                <w:b/>
                <w:bCs/>
                <w:color w:val="000000"/>
                <w:sz w:val="24"/>
                <w:highlight w:val="none"/>
                <w:lang w:val="en-US" w:eastAsia="zh-CN"/>
              </w:rPr>
              <w:t>1、施工期产污环节</w:t>
            </w:r>
          </w:p>
          <w:p w14:paraId="41168B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000000"/>
                <w:sz w:val="24"/>
                <w:highlight w:val="none"/>
                <w:lang w:val="en-US" w:eastAsia="zh-CN"/>
              </w:rPr>
            </w:pPr>
            <w:r>
              <w:rPr>
                <w:rFonts w:hint="eastAsia" w:asciiTheme="majorEastAsia" w:hAnsiTheme="majorEastAsia" w:eastAsiaTheme="majorEastAsia" w:cstheme="majorEastAsia"/>
                <w:color w:val="000000"/>
                <w:sz w:val="24"/>
                <w:highlight w:val="none"/>
                <w:lang w:val="en-US" w:eastAsia="zh-CN"/>
              </w:rPr>
              <w:t>根据现场踏勘，项目无需土建工程。主要产生的污染环节如下：</w:t>
            </w:r>
          </w:p>
          <w:p w14:paraId="10DB92CE">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000000"/>
                <w:sz w:val="24"/>
                <w:highlight w:val="none"/>
                <w:lang w:val="en-US" w:eastAsia="zh-CN"/>
              </w:rPr>
            </w:pPr>
            <w:r>
              <w:rPr>
                <w:rFonts w:hint="eastAsia" w:asciiTheme="majorEastAsia" w:hAnsiTheme="majorEastAsia" w:eastAsiaTheme="majorEastAsia" w:cstheme="majorEastAsia"/>
                <w:color w:val="000000"/>
                <w:sz w:val="24"/>
                <w:highlight w:val="none"/>
                <w:lang w:val="en-US" w:eastAsia="zh-CN"/>
              </w:rPr>
              <w:t>废气：施工期产生的主要大气污染物</w:t>
            </w:r>
            <w:r>
              <w:rPr>
                <w:rFonts w:hint="eastAsia" w:asciiTheme="majorEastAsia" w:hAnsiTheme="majorEastAsia" w:eastAsiaTheme="majorEastAsia" w:cstheme="majorEastAsia"/>
                <w:color w:val="000000"/>
                <w:kern w:val="0"/>
                <w:sz w:val="24"/>
                <w:highlight w:val="none"/>
              </w:rPr>
              <w:t>主要为施工扬尘、运输及动力设备运行时产生的燃油废气</w:t>
            </w:r>
            <w:r>
              <w:rPr>
                <w:rFonts w:hint="eastAsia" w:asciiTheme="majorEastAsia" w:hAnsiTheme="majorEastAsia" w:eastAsiaTheme="majorEastAsia" w:cstheme="majorEastAsia"/>
                <w:color w:val="000000"/>
                <w:sz w:val="24"/>
                <w:highlight w:val="none"/>
                <w:lang w:val="en-US" w:eastAsia="zh-CN"/>
              </w:rPr>
              <w:t>。因项目工期短，工程量极少，各大气污染物排放量较少。</w:t>
            </w:r>
          </w:p>
          <w:p w14:paraId="6C9ACC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000000"/>
                <w:sz w:val="24"/>
                <w:highlight w:val="none"/>
                <w:lang w:val="en-US" w:eastAsia="zh-CN"/>
              </w:rPr>
            </w:pPr>
            <w:r>
              <w:rPr>
                <w:rFonts w:hint="eastAsia" w:asciiTheme="majorEastAsia" w:hAnsiTheme="majorEastAsia" w:eastAsiaTheme="majorEastAsia" w:cstheme="majorEastAsia"/>
                <w:color w:val="000000"/>
                <w:sz w:val="24"/>
                <w:highlight w:val="none"/>
                <w:lang w:val="en-US" w:eastAsia="zh-CN"/>
              </w:rPr>
              <w:t>（2）废水：主要为</w:t>
            </w:r>
            <w:r>
              <w:rPr>
                <w:rFonts w:hint="eastAsia" w:asciiTheme="majorEastAsia" w:hAnsiTheme="majorEastAsia" w:eastAsiaTheme="majorEastAsia" w:cstheme="majorEastAsia"/>
                <w:color w:val="000000"/>
                <w:kern w:val="0"/>
                <w:sz w:val="24"/>
                <w:highlight w:val="none"/>
              </w:rPr>
              <w:t>施工人员产生的生活污水和建设施工产生的施工废水</w:t>
            </w:r>
            <w:r>
              <w:rPr>
                <w:rFonts w:hint="eastAsia" w:asciiTheme="majorEastAsia" w:hAnsiTheme="majorEastAsia" w:eastAsiaTheme="majorEastAsia" w:cstheme="majorEastAsia"/>
                <w:color w:val="000000"/>
                <w:sz w:val="24"/>
                <w:highlight w:val="none"/>
                <w:lang w:val="en-US" w:eastAsia="zh-CN"/>
              </w:rPr>
              <w:t>。</w:t>
            </w:r>
          </w:p>
          <w:p w14:paraId="63BABC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000000"/>
                <w:sz w:val="24"/>
                <w:highlight w:val="none"/>
                <w:lang w:val="en-US" w:eastAsia="zh-CN"/>
              </w:rPr>
            </w:pPr>
            <w:r>
              <w:rPr>
                <w:rFonts w:hint="eastAsia" w:asciiTheme="majorEastAsia" w:hAnsiTheme="majorEastAsia" w:eastAsiaTheme="majorEastAsia" w:cstheme="majorEastAsia"/>
                <w:color w:val="000000"/>
                <w:sz w:val="24"/>
                <w:highlight w:val="none"/>
                <w:lang w:val="en-US" w:eastAsia="zh-CN"/>
              </w:rPr>
              <w:t>（3）噪声：施工机械噪声及车辆运输产生的噪声。</w:t>
            </w:r>
          </w:p>
          <w:p w14:paraId="3731E8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000000"/>
                <w:sz w:val="24"/>
                <w:highlight w:val="none"/>
                <w:lang w:val="en-US" w:eastAsia="zh-CN"/>
              </w:rPr>
              <w:t>（4）固废：主要为废包装材料、建筑垃圾</w:t>
            </w:r>
            <w:r>
              <w:rPr>
                <w:rFonts w:hint="eastAsia" w:asciiTheme="majorEastAsia" w:hAnsiTheme="majorEastAsia" w:eastAsiaTheme="majorEastAsia" w:cstheme="majorEastAsia"/>
                <w:color w:val="000000"/>
                <w:kern w:val="0"/>
                <w:sz w:val="24"/>
                <w:highlight w:val="none"/>
              </w:rPr>
              <w:t>及施工人员产生的生活垃圾</w:t>
            </w:r>
            <w:r>
              <w:rPr>
                <w:rFonts w:hint="eastAsia" w:asciiTheme="majorEastAsia" w:hAnsiTheme="majorEastAsia" w:eastAsiaTheme="majorEastAsia" w:cstheme="majorEastAsia"/>
                <w:color w:val="000000"/>
                <w:sz w:val="24"/>
                <w:highlight w:val="none"/>
                <w:lang w:val="en-US" w:eastAsia="zh-CN"/>
              </w:rPr>
              <w:t>。</w:t>
            </w:r>
          </w:p>
          <w:p w14:paraId="65ABA9A8">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Theme="majorEastAsia" w:hAnsiTheme="majorEastAsia" w:eastAsiaTheme="majorEastAsia" w:cstheme="majorEastAsia"/>
                <w:b/>
                <w:bCs/>
                <w:color w:val="auto"/>
                <w:sz w:val="24"/>
                <w:highlight w:val="none"/>
                <w:lang w:val="en-US" w:eastAsia="zh-CN"/>
              </w:rPr>
            </w:pPr>
            <w:r>
              <w:rPr>
                <w:rFonts w:hint="eastAsia" w:asciiTheme="majorEastAsia" w:hAnsiTheme="majorEastAsia" w:eastAsiaTheme="majorEastAsia" w:cstheme="majorEastAsia"/>
                <w:b/>
                <w:bCs/>
                <w:color w:val="auto"/>
                <w:sz w:val="24"/>
                <w:highlight w:val="none"/>
                <w:lang w:val="en-US" w:eastAsia="zh-CN"/>
              </w:rPr>
              <w:t>2、营运期产污环节</w:t>
            </w:r>
          </w:p>
          <w:p w14:paraId="27D6A6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lang w:val="en-US" w:eastAsia="zh-CN"/>
              </w:rPr>
              <w:t>项目污染物产排环节如下表所示：</w:t>
            </w:r>
          </w:p>
          <w:p w14:paraId="41A3F57E">
            <w:pPr>
              <w:spacing w:line="360" w:lineRule="auto"/>
              <w:ind w:right="120" w:rightChars="50" w:firstLine="200" w:firstLineChars="83"/>
              <w:jc w:val="center"/>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表</w:t>
            </w:r>
            <w:r>
              <w:rPr>
                <w:rFonts w:hint="eastAsia" w:asciiTheme="minorEastAsia" w:hAnsiTheme="minorEastAsia" w:eastAsiaTheme="minorEastAsia" w:cstheme="minorEastAsia"/>
                <w:b/>
                <w:color w:val="auto"/>
                <w:sz w:val="24"/>
                <w:szCs w:val="24"/>
                <w:highlight w:val="none"/>
                <w:lang w:val="en-US" w:eastAsia="zh-CN"/>
              </w:rPr>
              <w:t>2-6</w:t>
            </w:r>
            <w:r>
              <w:rPr>
                <w:rFonts w:hint="eastAsia" w:asciiTheme="minorEastAsia" w:hAnsiTheme="minorEastAsia" w:eastAsiaTheme="minorEastAsia" w:cstheme="minorEastAsia"/>
                <w:b/>
                <w:color w:val="auto"/>
                <w:sz w:val="24"/>
                <w:szCs w:val="24"/>
                <w:highlight w:val="none"/>
              </w:rPr>
              <w:t xml:space="preserve"> </w:t>
            </w:r>
            <w:r>
              <w:rPr>
                <w:rFonts w:hint="eastAsia" w:asciiTheme="minorEastAsia" w:hAnsiTheme="minorEastAsia" w:eastAsia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污染物产生点及处置措施</w:t>
            </w:r>
            <w:r>
              <w:rPr>
                <w:rFonts w:hint="eastAsia" w:asciiTheme="minorEastAsia" w:hAnsiTheme="minorEastAsia" w:eastAsiaTheme="minorEastAsia" w:cstheme="minorEastAsia"/>
                <w:b/>
                <w:color w:val="auto"/>
                <w:sz w:val="24"/>
                <w:szCs w:val="24"/>
                <w:highlight w:val="none"/>
                <w:lang w:val="en-US" w:eastAsia="zh-CN"/>
              </w:rPr>
              <w:t>一览表</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42"/>
              <w:gridCol w:w="1954"/>
              <w:gridCol w:w="937"/>
              <w:gridCol w:w="765"/>
              <w:gridCol w:w="4443"/>
              <w:gridCol w:w="717"/>
            </w:tblGrid>
            <w:tr w14:paraId="42F6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9" w:type="pct"/>
                  <w:noWrap w:val="0"/>
                  <w:vAlign w:val="center"/>
                </w:tcPr>
                <w:p w14:paraId="406B9E7D">
                  <w:pPr>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项目</w:t>
                  </w:r>
                </w:p>
              </w:tc>
              <w:tc>
                <w:tcPr>
                  <w:tcW w:w="1055" w:type="pct"/>
                  <w:noWrap w:val="0"/>
                  <w:vAlign w:val="center"/>
                </w:tcPr>
                <w:p w14:paraId="6CC2A911">
                  <w:pPr>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产污环节</w:t>
                  </w:r>
                </w:p>
              </w:tc>
              <w:tc>
                <w:tcPr>
                  <w:tcW w:w="506" w:type="pct"/>
                  <w:noWrap w:val="0"/>
                  <w:vAlign w:val="center"/>
                </w:tcPr>
                <w:p w14:paraId="64B5918C">
                  <w:pPr>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污染物</w:t>
                  </w:r>
                </w:p>
              </w:tc>
              <w:tc>
                <w:tcPr>
                  <w:tcW w:w="413" w:type="pct"/>
                  <w:noWrap w:val="0"/>
                  <w:vAlign w:val="center"/>
                </w:tcPr>
                <w:p w14:paraId="4DB212E5">
                  <w:pPr>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排放</w:t>
                  </w:r>
                </w:p>
                <w:p w14:paraId="42B5F569">
                  <w:pPr>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特性</w:t>
                  </w:r>
                </w:p>
              </w:tc>
              <w:tc>
                <w:tcPr>
                  <w:tcW w:w="2399" w:type="pct"/>
                  <w:noWrap w:val="0"/>
                  <w:vAlign w:val="center"/>
                </w:tcPr>
                <w:p w14:paraId="2FDEF9AF">
                  <w:pPr>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治理措施</w:t>
                  </w:r>
                </w:p>
              </w:tc>
              <w:tc>
                <w:tcPr>
                  <w:tcW w:w="387" w:type="pct"/>
                  <w:noWrap w:val="0"/>
                  <w:vAlign w:val="center"/>
                </w:tcPr>
                <w:p w14:paraId="4C2EB0E5">
                  <w:pPr>
                    <w:spacing w:line="240" w:lineRule="auto"/>
                    <w:jc w:val="center"/>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val="en-US" w:eastAsia="zh-CN"/>
                    </w:rPr>
                    <w:t>去向</w:t>
                  </w:r>
                </w:p>
              </w:tc>
            </w:tr>
            <w:tr w14:paraId="1A7D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39" w:type="pct"/>
                  <w:vMerge w:val="restart"/>
                  <w:noWrap w:val="0"/>
                  <w:vAlign w:val="center"/>
                </w:tcPr>
                <w:p w14:paraId="3E9C43AA">
                  <w:pPr>
                    <w:spacing w:line="240" w:lineRule="auto"/>
                    <w:jc w:val="center"/>
                    <w:rPr>
                      <w:rFonts w:hint="eastAsia" w:ascii="Times New Roman" w:hAnsi="Times New Roman" w:eastAsia="宋体" w:cs="宋体"/>
                      <w:color w:val="auto"/>
                      <w:sz w:val="21"/>
                      <w:szCs w:val="21"/>
                      <w:highlight w:val="none"/>
                      <w:lang w:eastAsia="zh-CN"/>
                    </w:rPr>
                  </w:pPr>
                  <w:r>
                    <w:rPr>
                      <w:rFonts w:hint="eastAsia" w:cs="宋体"/>
                      <w:color w:val="auto"/>
                      <w:sz w:val="21"/>
                      <w:szCs w:val="21"/>
                      <w:highlight w:val="none"/>
                      <w:lang w:eastAsia="zh-CN"/>
                    </w:rPr>
                    <w:t>废气</w:t>
                  </w:r>
                </w:p>
              </w:tc>
              <w:tc>
                <w:tcPr>
                  <w:tcW w:w="1055" w:type="pct"/>
                  <w:noWrap w:val="0"/>
                  <w:vAlign w:val="center"/>
                </w:tcPr>
                <w:p w14:paraId="53AEADD8">
                  <w:pPr>
                    <w:pStyle w:val="38"/>
                    <w:spacing w:line="24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eastAsia="zh-CN"/>
                    </w:rPr>
                    <w:t>物料混合及搅拌</w:t>
                  </w:r>
                  <w:r>
                    <w:rPr>
                      <w:rFonts w:hint="eastAsia" w:ascii="宋体" w:hAnsi="宋体" w:eastAsia="宋体" w:cs="宋体"/>
                      <w:color w:val="auto"/>
                      <w:sz w:val="21"/>
                      <w:szCs w:val="21"/>
                    </w:rPr>
                    <w:t>粉尘</w:t>
                  </w:r>
                </w:p>
              </w:tc>
              <w:tc>
                <w:tcPr>
                  <w:tcW w:w="506" w:type="pct"/>
                  <w:noWrap w:val="0"/>
                  <w:vAlign w:val="center"/>
                </w:tcPr>
                <w:p w14:paraId="267EF05D">
                  <w:pPr>
                    <w:widowControl/>
                    <w:spacing w:line="240" w:lineRule="auto"/>
                    <w:ind w:firstLine="0" w:firstLineChars="0"/>
                    <w:jc w:val="center"/>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颗粒物</w:t>
                  </w:r>
                </w:p>
              </w:tc>
              <w:tc>
                <w:tcPr>
                  <w:tcW w:w="413" w:type="pct"/>
                  <w:noWrap w:val="0"/>
                  <w:vAlign w:val="center"/>
                </w:tcPr>
                <w:p w14:paraId="3FF24B70">
                  <w:pPr>
                    <w:spacing w:line="240" w:lineRule="auto"/>
                    <w:jc w:val="center"/>
                    <w:rPr>
                      <w:rFonts w:hint="eastAsia" w:ascii="Times New Roman" w:hAnsi="Times New Roman" w:eastAsia="新宋体" w:cs="新宋体"/>
                      <w:color w:val="auto"/>
                      <w:kern w:val="2"/>
                      <w:sz w:val="21"/>
                      <w:szCs w:val="21"/>
                      <w:highlight w:val="none"/>
                      <w:lang w:val="en-US" w:eastAsia="zh-CN" w:bidi="ar-SA"/>
                    </w:rPr>
                  </w:pPr>
                  <w:r>
                    <w:rPr>
                      <w:rFonts w:hint="eastAsia" w:ascii="Times New Roman" w:hAnsi="Times New Roman" w:eastAsia="新宋体" w:cs="新宋体"/>
                      <w:color w:val="auto"/>
                      <w:kern w:val="2"/>
                      <w:sz w:val="21"/>
                      <w:szCs w:val="21"/>
                      <w:highlight w:val="none"/>
                      <w:lang w:val="en-US" w:eastAsia="zh-CN" w:bidi="ar-SA"/>
                    </w:rPr>
                    <w:t>间断</w:t>
                  </w:r>
                </w:p>
              </w:tc>
              <w:tc>
                <w:tcPr>
                  <w:tcW w:w="2399" w:type="pct"/>
                  <w:noWrap w:val="0"/>
                  <w:vAlign w:val="center"/>
                </w:tcPr>
                <w:p w14:paraId="6CE6CD54">
                  <w:pPr>
                    <w:pStyle w:val="38"/>
                    <w:spacing w:line="240" w:lineRule="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olor w:val="auto"/>
                      <w:sz w:val="21"/>
                      <w:szCs w:val="21"/>
                    </w:rPr>
                    <w:t>设置</w:t>
                  </w:r>
                  <w:r>
                    <w:rPr>
                      <w:rFonts w:hint="eastAsia" w:ascii="Times New Roman" w:hAnsi="Times New Roman"/>
                      <w:color w:val="auto"/>
                      <w:sz w:val="21"/>
                      <w:szCs w:val="21"/>
                      <w:lang w:eastAsia="zh-CN"/>
                    </w:rPr>
                    <w:t>喷淋装置，经</w:t>
                  </w:r>
                  <w:r>
                    <w:rPr>
                      <w:rFonts w:hint="eastAsia" w:ascii="Times New Roman" w:hAnsi="Times New Roman"/>
                      <w:color w:val="auto"/>
                    </w:rPr>
                    <w:t>水喷淋降尘后</w:t>
                  </w:r>
                  <w:r>
                    <w:rPr>
                      <w:rFonts w:hint="eastAsia" w:ascii="Times New Roman" w:hAnsi="Times New Roman"/>
                      <w:color w:val="auto"/>
                      <w:lang w:eastAsia="zh-CN"/>
                    </w:rPr>
                    <w:t>无组织排放</w:t>
                  </w:r>
                </w:p>
              </w:tc>
              <w:tc>
                <w:tcPr>
                  <w:tcW w:w="387" w:type="pct"/>
                  <w:vMerge w:val="restart"/>
                  <w:noWrap w:val="0"/>
                  <w:vAlign w:val="center"/>
                </w:tcPr>
                <w:p w14:paraId="3C1269AF">
                  <w:pPr>
                    <w:spacing w:line="24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厂区内无组织排放</w:t>
                  </w:r>
                </w:p>
                <w:p w14:paraId="76309A3D">
                  <w:pPr>
                    <w:spacing w:line="240" w:lineRule="auto"/>
                    <w:jc w:val="center"/>
                    <w:rPr>
                      <w:rFonts w:ascii="Times New Roman" w:hAnsi="Times New Roman"/>
                      <w:color w:val="auto"/>
                      <w:sz w:val="21"/>
                      <w:szCs w:val="21"/>
                      <w:highlight w:val="none"/>
                    </w:rPr>
                  </w:pPr>
                </w:p>
              </w:tc>
            </w:tr>
            <w:tr w14:paraId="395F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 w:hRule="atLeast"/>
                <w:jc w:val="center"/>
              </w:trPr>
              <w:tc>
                <w:tcPr>
                  <w:tcW w:w="239" w:type="pct"/>
                  <w:vMerge w:val="continue"/>
                  <w:noWrap w:val="0"/>
                  <w:vAlign w:val="center"/>
                </w:tcPr>
                <w:p w14:paraId="6F0FC759">
                  <w:pPr>
                    <w:spacing w:line="240" w:lineRule="auto"/>
                    <w:jc w:val="center"/>
                    <w:rPr>
                      <w:rFonts w:hint="eastAsia" w:ascii="Times New Roman" w:hAnsi="Times New Roman" w:eastAsia="宋体" w:cs="宋体"/>
                      <w:color w:val="auto"/>
                      <w:sz w:val="21"/>
                      <w:szCs w:val="21"/>
                      <w:highlight w:val="none"/>
                    </w:rPr>
                  </w:pPr>
                </w:p>
              </w:tc>
              <w:tc>
                <w:tcPr>
                  <w:tcW w:w="1055" w:type="pct"/>
                  <w:noWrap w:val="0"/>
                  <w:vAlign w:val="center"/>
                </w:tcPr>
                <w:p w14:paraId="68240110">
                  <w:pPr>
                    <w:pStyle w:val="38"/>
                    <w:spacing w:line="24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物料输送、储存粉尘</w:t>
                  </w:r>
                </w:p>
              </w:tc>
              <w:tc>
                <w:tcPr>
                  <w:tcW w:w="506" w:type="pct"/>
                  <w:noWrap w:val="0"/>
                  <w:vAlign w:val="center"/>
                </w:tcPr>
                <w:p w14:paraId="423626AA">
                  <w:pPr>
                    <w:widowControl/>
                    <w:spacing w:line="240" w:lineRule="auto"/>
                    <w:ind w:firstLine="0" w:firstLineChars="0"/>
                    <w:jc w:val="center"/>
                    <w:rPr>
                      <w:rFonts w:hint="eastAsia" w:ascii="宋体" w:hAnsi="宋体" w:eastAsia="宋体" w:cs="宋体"/>
                      <w:b w:val="0"/>
                      <w:bCs w:val="0"/>
                      <w:color w:val="auto"/>
                      <w:spacing w:val="2"/>
                      <w:sz w:val="21"/>
                      <w:szCs w:val="21"/>
                      <w:lang w:val="en-US" w:eastAsia="zh-CN"/>
                    </w:rPr>
                  </w:pPr>
                  <w:r>
                    <w:rPr>
                      <w:rFonts w:hint="eastAsia" w:ascii="宋体" w:hAnsi="宋体" w:eastAsia="宋体" w:cs="宋体"/>
                      <w:b w:val="0"/>
                      <w:bCs w:val="0"/>
                      <w:color w:val="auto"/>
                      <w:spacing w:val="2"/>
                      <w:sz w:val="21"/>
                      <w:szCs w:val="21"/>
                      <w:lang w:val="en-US" w:eastAsia="zh-CN"/>
                    </w:rPr>
                    <w:t>颗粒物</w:t>
                  </w:r>
                </w:p>
              </w:tc>
              <w:tc>
                <w:tcPr>
                  <w:tcW w:w="413" w:type="pct"/>
                  <w:noWrap w:val="0"/>
                  <w:vAlign w:val="center"/>
                </w:tcPr>
                <w:p w14:paraId="5D7372F2">
                  <w:pPr>
                    <w:spacing w:line="240" w:lineRule="auto"/>
                    <w:jc w:val="center"/>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间断</w:t>
                  </w:r>
                </w:p>
              </w:tc>
              <w:tc>
                <w:tcPr>
                  <w:tcW w:w="2399" w:type="pct"/>
                  <w:noWrap w:val="0"/>
                  <w:vAlign w:val="center"/>
                </w:tcPr>
                <w:p w14:paraId="253FF427">
                  <w:pPr>
                    <w:pStyle w:val="38"/>
                    <w:spacing w:line="240" w:lineRule="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olor w:val="auto"/>
                      <w:sz w:val="21"/>
                      <w:szCs w:val="21"/>
                    </w:rPr>
                    <w:t>设置</w:t>
                  </w:r>
                  <w:r>
                    <w:rPr>
                      <w:rFonts w:hint="eastAsia" w:ascii="Times New Roman" w:hAnsi="Times New Roman"/>
                      <w:color w:val="auto"/>
                      <w:sz w:val="21"/>
                      <w:szCs w:val="21"/>
                      <w:lang w:eastAsia="zh-CN"/>
                    </w:rPr>
                    <w:t>喷淋装置，经</w:t>
                  </w:r>
                  <w:r>
                    <w:rPr>
                      <w:rFonts w:hint="eastAsia" w:ascii="Times New Roman" w:hAnsi="Times New Roman"/>
                      <w:color w:val="auto"/>
                    </w:rPr>
                    <w:t>水喷淋降尘后</w:t>
                  </w:r>
                  <w:r>
                    <w:rPr>
                      <w:rFonts w:hint="eastAsia" w:ascii="Times New Roman" w:hAnsi="Times New Roman"/>
                      <w:color w:val="auto"/>
                      <w:lang w:eastAsia="zh-CN"/>
                    </w:rPr>
                    <w:t>无组织排放</w:t>
                  </w:r>
                </w:p>
              </w:tc>
              <w:tc>
                <w:tcPr>
                  <w:tcW w:w="387" w:type="pct"/>
                  <w:vMerge w:val="continue"/>
                  <w:noWrap w:val="0"/>
                  <w:vAlign w:val="center"/>
                </w:tcPr>
                <w:p w14:paraId="7AB8E4F1">
                  <w:pPr>
                    <w:spacing w:line="240" w:lineRule="auto"/>
                    <w:jc w:val="center"/>
                    <w:rPr>
                      <w:rFonts w:ascii="Times New Roman" w:hAnsi="Times New Roman"/>
                      <w:color w:val="auto"/>
                      <w:sz w:val="21"/>
                      <w:szCs w:val="21"/>
                      <w:highlight w:val="none"/>
                    </w:rPr>
                  </w:pPr>
                </w:p>
              </w:tc>
            </w:tr>
            <w:tr w14:paraId="120D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239" w:type="pct"/>
                  <w:vMerge w:val="continue"/>
                  <w:noWrap w:val="0"/>
                  <w:vAlign w:val="center"/>
                </w:tcPr>
                <w:p w14:paraId="0005A654">
                  <w:pPr>
                    <w:spacing w:line="240" w:lineRule="auto"/>
                    <w:jc w:val="center"/>
                    <w:rPr>
                      <w:rFonts w:hint="eastAsia" w:ascii="Times New Roman" w:hAnsi="Times New Roman" w:eastAsia="宋体" w:cs="宋体"/>
                      <w:color w:val="auto"/>
                      <w:sz w:val="21"/>
                      <w:szCs w:val="21"/>
                      <w:highlight w:val="none"/>
                    </w:rPr>
                  </w:pPr>
                </w:p>
              </w:tc>
              <w:tc>
                <w:tcPr>
                  <w:tcW w:w="1055" w:type="pct"/>
                  <w:noWrap w:val="0"/>
                  <w:vAlign w:val="center"/>
                </w:tcPr>
                <w:p w14:paraId="4CC78316">
                  <w:pPr>
                    <w:pStyle w:val="38"/>
                    <w:spacing w:line="24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eastAsia="zh-CN"/>
                    </w:rPr>
                    <w:t>水泥储罐粉尘</w:t>
                  </w:r>
                </w:p>
              </w:tc>
              <w:tc>
                <w:tcPr>
                  <w:tcW w:w="506" w:type="pct"/>
                  <w:noWrap w:val="0"/>
                  <w:vAlign w:val="center"/>
                </w:tcPr>
                <w:p w14:paraId="1809E281">
                  <w:pPr>
                    <w:widowControl/>
                    <w:spacing w:line="240" w:lineRule="auto"/>
                    <w:ind w:firstLine="0" w:firstLineChars="0"/>
                    <w:jc w:val="center"/>
                    <w:rPr>
                      <w:rFonts w:hint="eastAsia" w:ascii="宋体" w:hAnsi="宋体" w:eastAsia="宋体" w:cs="宋体"/>
                      <w:b w:val="0"/>
                      <w:bCs w:val="0"/>
                      <w:color w:val="auto"/>
                      <w:spacing w:val="2"/>
                      <w:sz w:val="21"/>
                      <w:szCs w:val="21"/>
                      <w:lang w:val="en-US" w:eastAsia="zh-CN"/>
                    </w:rPr>
                  </w:pPr>
                  <w:r>
                    <w:rPr>
                      <w:rFonts w:hint="eastAsia" w:ascii="宋体" w:hAnsi="宋体" w:eastAsia="宋体" w:cs="宋体"/>
                      <w:b w:val="0"/>
                      <w:bCs w:val="0"/>
                      <w:color w:val="auto"/>
                      <w:spacing w:val="2"/>
                      <w:sz w:val="21"/>
                      <w:szCs w:val="21"/>
                      <w:lang w:val="en-US" w:eastAsia="zh-CN"/>
                    </w:rPr>
                    <w:t>颗粒物</w:t>
                  </w:r>
                </w:p>
              </w:tc>
              <w:tc>
                <w:tcPr>
                  <w:tcW w:w="413" w:type="pct"/>
                  <w:noWrap w:val="0"/>
                  <w:vAlign w:val="center"/>
                </w:tcPr>
                <w:p w14:paraId="6B738CDC">
                  <w:pPr>
                    <w:spacing w:line="240" w:lineRule="auto"/>
                    <w:jc w:val="center"/>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间断</w:t>
                  </w:r>
                </w:p>
              </w:tc>
              <w:tc>
                <w:tcPr>
                  <w:tcW w:w="2399" w:type="pct"/>
                  <w:noWrap w:val="0"/>
                  <w:vAlign w:val="center"/>
                </w:tcPr>
                <w:p w14:paraId="3717D5B3">
                  <w:pPr>
                    <w:pStyle w:val="38"/>
                    <w:spacing w:line="240" w:lineRule="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olor w:val="auto"/>
                      <w:sz w:val="21"/>
                      <w:szCs w:val="21"/>
                      <w:lang w:eastAsia="zh-CN"/>
                    </w:rPr>
                    <w:t>经水泥储罐自带的布袋除尘器</w:t>
                  </w:r>
                  <w:r>
                    <w:rPr>
                      <w:rFonts w:hint="eastAsia" w:ascii="Times New Roman" w:hAnsi="Times New Roman" w:eastAsia="宋体" w:cs="宋体"/>
                      <w:b w:val="0"/>
                      <w:bCs/>
                      <w:color w:val="auto"/>
                      <w:sz w:val="21"/>
                      <w:szCs w:val="21"/>
                      <w:highlight w:val="none"/>
                      <w:lang w:val="en-US" w:eastAsia="zh-CN"/>
                    </w:rPr>
                    <w:t>处理后无组织排放</w:t>
                  </w:r>
                </w:p>
              </w:tc>
              <w:tc>
                <w:tcPr>
                  <w:tcW w:w="387" w:type="pct"/>
                  <w:vMerge w:val="continue"/>
                  <w:noWrap w:val="0"/>
                  <w:vAlign w:val="center"/>
                </w:tcPr>
                <w:p w14:paraId="64CBCDED">
                  <w:pPr>
                    <w:spacing w:line="240" w:lineRule="auto"/>
                    <w:jc w:val="center"/>
                    <w:rPr>
                      <w:rFonts w:ascii="Times New Roman" w:hAnsi="Times New Roman"/>
                      <w:color w:val="auto"/>
                      <w:sz w:val="21"/>
                      <w:szCs w:val="21"/>
                      <w:highlight w:val="none"/>
                    </w:rPr>
                  </w:pPr>
                </w:p>
              </w:tc>
            </w:tr>
            <w:tr w14:paraId="0B04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9" w:type="pct"/>
                  <w:vMerge w:val="continue"/>
                  <w:noWrap w:val="0"/>
                  <w:vAlign w:val="center"/>
                </w:tcPr>
                <w:p w14:paraId="7B99237E">
                  <w:pPr>
                    <w:spacing w:line="240" w:lineRule="auto"/>
                    <w:jc w:val="center"/>
                    <w:rPr>
                      <w:rFonts w:hint="eastAsia" w:ascii="Times New Roman" w:hAnsi="Times New Roman" w:eastAsia="宋体" w:cs="宋体"/>
                      <w:color w:val="auto"/>
                      <w:sz w:val="21"/>
                      <w:szCs w:val="21"/>
                      <w:highlight w:val="none"/>
                    </w:rPr>
                  </w:pPr>
                </w:p>
              </w:tc>
              <w:tc>
                <w:tcPr>
                  <w:tcW w:w="1055" w:type="pct"/>
                  <w:noWrap w:val="0"/>
                  <w:vAlign w:val="center"/>
                </w:tcPr>
                <w:p w14:paraId="03B0DDE9">
                  <w:pPr>
                    <w:pStyle w:val="38"/>
                    <w:spacing w:line="24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eastAsia="zh-CN"/>
                    </w:rPr>
                    <w:t>焊接废气</w:t>
                  </w:r>
                </w:p>
              </w:tc>
              <w:tc>
                <w:tcPr>
                  <w:tcW w:w="506" w:type="pct"/>
                  <w:noWrap w:val="0"/>
                  <w:vAlign w:val="center"/>
                </w:tcPr>
                <w:p w14:paraId="47E299C8">
                  <w:pPr>
                    <w:widowControl/>
                    <w:spacing w:line="240" w:lineRule="auto"/>
                    <w:ind w:firstLine="0" w:firstLineChars="0"/>
                    <w:jc w:val="center"/>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val="0"/>
                      <w:color w:val="auto"/>
                      <w:spacing w:val="2"/>
                      <w:sz w:val="21"/>
                      <w:szCs w:val="21"/>
                      <w:lang w:val="en-US" w:eastAsia="zh-CN"/>
                    </w:rPr>
                    <w:t>颗粒物</w:t>
                  </w:r>
                </w:p>
              </w:tc>
              <w:tc>
                <w:tcPr>
                  <w:tcW w:w="413" w:type="pct"/>
                  <w:noWrap w:val="0"/>
                  <w:vAlign w:val="center"/>
                </w:tcPr>
                <w:p w14:paraId="3D62C5C9">
                  <w:pPr>
                    <w:spacing w:line="240" w:lineRule="auto"/>
                    <w:jc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bidi="ar-SA"/>
                    </w:rPr>
                    <w:t>间断</w:t>
                  </w:r>
                </w:p>
              </w:tc>
              <w:tc>
                <w:tcPr>
                  <w:tcW w:w="2399" w:type="pct"/>
                  <w:noWrap w:val="0"/>
                  <w:vAlign w:val="center"/>
                </w:tcPr>
                <w:p w14:paraId="1A0181FA">
                  <w:pPr>
                    <w:pStyle w:val="38"/>
                    <w:spacing w:line="240" w:lineRule="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olor w:val="auto"/>
                    </w:rPr>
                    <w:t>在厂</w:t>
                  </w:r>
                  <w:r>
                    <w:rPr>
                      <w:rFonts w:hint="eastAsia"/>
                      <w:color w:val="auto"/>
                      <w:lang w:eastAsia="zh-CN"/>
                    </w:rPr>
                    <w:t>区</w:t>
                  </w:r>
                  <w:r>
                    <w:rPr>
                      <w:rFonts w:hint="eastAsia" w:ascii="Times New Roman" w:hAnsi="Times New Roman"/>
                      <w:color w:val="auto"/>
                    </w:rPr>
                    <w:t>内自由扩散，以无组织形式排放</w:t>
                  </w:r>
                </w:p>
              </w:tc>
              <w:tc>
                <w:tcPr>
                  <w:tcW w:w="387" w:type="pct"/>
                  <w:vMerge w:val="continue"/>
                  <w:noWrap w:val="0"/>
                  <w:vAlign w:val="center"/>
                </w:tcPr>
                <w:p w14:paraId="2F144E5C">
                  <w:pPr>
                    <w:spacing w:line="240" w:lineRule="auto"/>
                    <w:jc w:val="center"/>
                    <w:rPr>
                      <w:rFonts w:ascii="Times New Roman" w:hAnsi="Times New Roman"/>
                      <w:color w:val="auto"/>
                      <w:sz w:val="21"/>
                      <w:szCs w:val="21"/>
                      <w:highlight w:val="none"/>
                    </w:rPr>
                  </w:pPr>
                </w:p>
              </w:tc>
            </w:tr>
            <w:tr w14:paraId="42D7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239" w:type="pct"/>
                  <w:vMerge w:val="restart"/>
                  <w:noWrap w:val="0"/>
                  <w:vAlign w:val="center"/>
                </w:tcPr>
                <w:p w14:paraId="06C90CAC">
                  <w:pPr>
                    <w:spacing w:line="240" w:lineRule="auto"/>
                    <w:jc w:val="center"/>
                    <w:rPr>
                      <w:rFonts w:hint="eastAsia" w:ascii="Times New Roman" w:hAnsi="Times New Roman" w:eastAsia="宋体" w:cs="宋体"/>
                      <w:color w:val="auto"/>
                      <w:sz w:val="21"/>
                      <w:szCs w:val="21"/>
                      <w:highlight w:val="none"/>
                      <w:lang w:eastAsia="zh-CN"/>
                    </w:rPr>
                  </w:pPr>
                  <w:r>
                    <w:rPr>
                      <w:rFonts w:hint="eastAsia" w:cs="宋体"/>
                      <w:color w:val="auto"/>
                      <w:sz w:val="21"/>
                      <w:szCs w:val="21"/>
                      <w:highlight w:val="none"/>
                      <w:lang w:eastAsia="zh-CN"/>
                    </w:rPr>
                    <w:t>废水</w:t>
                  </w:r>
                </w:p>
              </w:tc>
              <w:tc>
                <w:tcPr>
                  <w:tcW w:w="1055" w:type="pct"/>
                  <w:noWrap w:val="0"/>
                  <w:vAlign w:val="center"/>
                </w:tcPr>
                <w:p w14:paraId="4CC02683">
                  <w:pPr>
                    <w:spacing w:line="240" w:lineRule="auto"/>
                    <w:jc w:val="center"/>
                    <w:rPr>
                      <w:rFonts w:hint="eastAsia"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生产工序</w:t>
                  </w:r>
                </w:p>
              </w:tc>
              <w:tc>
                <w:tcPr>
                  <w:tcW w:w="506" w:type="pct"/>
                  <w:noWrap w:val="0"/>
                  <w:vAlign w:val="center"/>
                </w:tcPr>
                <w:p w14:paraId="77C09B6C">
                  <w:pPr>
                    <w:spacing w:line="240" w:lineRule="auto"/>
                    <w:jc w:val="center"/>
                    <w:rPr>
                      <w:rFonts w:hint="eastAsia"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w:t>
                  </w:r>
                </w:p>
              </w:tc>
              <w:tc>
                <w:tcPr>
                  <w:tcW w:w="413" w:type="pct"/>
                  <w:vMerge w:val="restart"/>
                  <w:noWrap w:val="0"/>
                  <w:vAlign w:val="center"/>
                </w:tcPr>
                <w:p w14:paraId="38903819">
                  <w:pPr>
                    <w:spacing w:line="240" w:lineRule="auto"/>
                    <w:jc w:val="center"/>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间断</w:t>
                  </w:r>
                </w:p>
              </w:tc>
              <w:tc>
                <w:tcPr>
                  <w:tcW w:w="2399" w:type="pct"/>
                  <w:noWrap w:val="0"/>
                  <w:vAlign w:val="center"/>
                </w:tcPr>
                <w:p w14:paraId="69742610">
                  <w:pPr>
                    <w:spacing w:line="240" w:lineRule="auto"/>
                    <w:jc w:val="center"/>
                    <w:rPr>
                      <w:rFonts w:hint="eastAsia" w:ascii="Times New Roman" w:hAnsi="Times New Roman"/>
                      <w:color w:val="auto"/>
                      <w:kern w:val="0"/>
                      <w:sz w:val="21"/>
                      <w:szCs w:val="21"/>
                      <w:lang w:eastAsia="zh-CN" w:bidi="ar"/>
                    </w:rPr>
                  </w:pPr>
                  <w:r>
                    <w:rPr>
                      <w:rFonts w:hint="eastAsia" w:ascii="Times New Roman" w:hAnsi="Times New Roman"/>
                      <w:color w:val="auto"/>
                      <w:kern w:val="0"/>
                      <w:sz w:val="21"/>
                      <w:szCs w:val="21"/>
                      <w:lang w:eastAsia="zh-CN" w:bidi="ar"/>
                    </w:rPr>
                    <w:t>搅拌机清</w:t>
                  </w:r>
                  <w:r>
                    <w:rPr>
                      <w:rFonts w:hint="eastAsia" w:ascii="Times New Roman" w:hAnsi="Times New Roman" w:eastAsia="宋体" w:cs="Times New Roman"/>
                      <w:color w:val="auto"/>
                      <w:kern w:val="0"/>
                      <w:sz w:val="21"/>
                      <w:szCs w:val="21"/>
                      <w:lang w:eastAsia="zh-CN" w:bidi="ar"/>
                    </w:rPr>
                    <w:t>洗废水经</w:t>
                  </w:r>
                  <w:r>
                    <w:rPr>
                      <w:rFonts w:hint="eastAsia" w:ascii="Times New Roman" w:hAnsi="Times New Roman" w:eastAsia="宋体" w:cs="Times New Roman"/>
                      <w:color w:val="auto"/>
                      <w:kern w:val="0"/>
                      <w:sz w:val="21"/>
                      <w:szCs w:val="21"/>
                      <w:lang w:val="en-US" w:eastAsia="zh-CN" w:bidi="ar"/>
                    </w:rPr>
                    <w:t>防渗沉淀池内沉淀后上清液全部回用于</w:t>
                  </w:r>
                  <w:r>
                    <w:rPr>
                      <w:rFonts w:hint="eastAsia" w:cs="Times New Roman"/>
                      <w:color w:val="auto"/>
                      <w:kern w:val="0"/>
                      <w:sz w:val="21"/>
                      <w:szCs w:val="21"/>
                      <w:lang w:val="en-US" w:eastAsia="zh-CN" w:bidi="ar"/>
                    </w:rPr>
                    <w:t>生产工序</w:t>
                  </w:r>
                </w:p>
              </w:tc>
              <w:tc>
                <w:tcPr>
                  <w:tcW w:w="387" w:type="pct"/>
                  <w:vMerge w:val="restart"/>
                  <w:noWrap w:val="0"/>
                  <w:vAlign w:val="center"/>
                </w:tcPr>
                <w:p w14:paraId="44C721E5">
                  <w:pPr>
                    <w:spacing w:line="240" w:lineRule="auto"/>
                    <w:jc w:val="center"/>
                    <w:rPr>
                      <w:rFonts w:ascii="Times New Roman" w:hAnsi="Times New Roman"/>
                      <w:color w:val="auto"/>
                      <w:sz w:val="21"/>
                      <w:szCs w:val="21"/>
                      <w:highlight w:val="none"/>
                    </w:rPr>
                  </w:pPr>
                  <w:r>
                    <w:rPr>
                      <w:rFonts w:ascii="Times New Roman" w:hAnsi="Times New Roman"/>
                      <w:color w:val="auto"/>
                      <w:sz w:val="21"/>
                      <w:szCs w:val="21"/>
                      <w:highlight w:val="none"/>
                    </w:rPr>
                    <w:t>不外排</w:t>
                  </w:r>
                </w:p>
              </w:tc>
            </w:tr>
            <w:tr w14:paraId="1514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 w:hRule="atLeast"/>
                <w:jc w:val="center"/>
              </w:trPr>
              <w:tc>
                <w:tcPr>
                  <w:tcW w:w="239" w:type="pct"/>
                  <w:vMerge w:val="continue"/>
                  <w:noWrap w:val="0"/>
                  <w:vAlign w:val="center"/>
                </w:tcPr>
                <w:p w14:paraId="68C8ABED">
                  <w:pPr>
                    <w:spacing w:line="240" w:lineRule="auto"/>
                    <w:jc w:val="center"/>
                    <w:rPr>
                      <w:rFonts w:ascii="Times New Roman" w:hAnsi="Times New Roman"/>
                      <w:color w:val="auto"/>
                      <w:sz w:val="21"/>
                      <w:szCs w:val="21"/>
                    </w:rPr>
                  </w:pPr>
                </w:p>
              </w:tc>
              <w:tc>
                <w:tcPr>
                  <w:tcW w:w="1055" w:type="pct"/>
                  <w:noWrap w:val="0"/>
                  <w:vAlign w:val="center"/>
                </w:tcPr>
                <w:p w14:paraId="610C94B7">
                  <w:pPr>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养护工序</w:t>
                  </w:r>
                </w:p>
              </w:tc>
              <w:tc>
                <w:tcPr>
                  <w:tcW w:w="506" w:type="pct"/>
                  <w:noWrap w:val="0"/>
                  <w:vAlign w:val="center"/>
                </w:tcPr>
                <w:p w14:paraId="6E4CB32D">
                  <w:pPr>
                    <w:spacing w:line="240" w:lineRule="auto"/>
                    <w:jc w:val="center"/>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olor w:val="auto"/>
                      <w:sz w:val="21"/>
                      <w:szCs w:val="21"/>
                      <w:vertAlign w:val="baseline"/>
                      <w:lang w:val="en-US" w:eastAsia="zh-CN"/>
                    </w:rPr>
                    <w:t>/</w:t>
                  </w:r>
                </w:p>
              </w:tc>
              <w:tc>
                <w:tcPr>
                  <w:tcW w:w="413" w:type="pct"/>
                  <w:vMerge w:val="continue"/>
                  <w:noWrap w:val="0"/>
                  <w:vAlign w:val="center"/>
                </w:tcPr>
                <w:p w14:paraId="2C6D3DD7">
                  <w:pPr>
                    <w:spacing w:line="240" w:lineRule="auto"/>
                    <w:jc w:val="center"/>
                    <w:rPr>
                      <w:rFonts w:hint="eastAsia" w:ascii="Times New Roman" w:hAnsi="Times New Roman" w:eastAsia="宋体" w:cs="宋体"/>
                      <w:color w:val="auto"/>
                      <w:kern w:val="2"/>
                      <w:sz w:val="21"/>
                      <w:szCs w:val="21"/>
                      <w:highlight w:val="none"/>
                      <w:lang w:val="en-US" w:eastAsia="zh-CN" w:bidi="ar-SA"/>
                    </w:rPr>
                  </w:pPr>
                </w:p>
              </w:tc>
              <w:tc>
                <w:tcPr>
                  <w:tcW w:w="2399" w:type="pct"/>
                  <w:noWrap w:val="0"/>
                  <w:vAlign w:val="center"/>
                </w:tcPr>
                <w:p w14:paraId="11B2226A">
                  <w:pPr>
                    <w:spacing w:line="240" w:lineRule="auto"/>
                    <w:jc w:val="center"/>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olor w:val="auto"/>
                      <w:kern w:val="0"/>
                      <w:sz w:val="21"/>
                      <w:szCs w:val="21"/>
                      <w:lang w:eastAsia="zh-CN" w:bidi="ar"/>
                    </w:rPr>
                    <w:t>养护用水</w:t>
                  </w:r>
                  <w:r>
                    <w:rPr>
                      <w:rFonts w:hint="eastAsia" w:ascii="Times New Roman" w:hAnsi="Times New Roman"/>
                      <w:color w:val="auto"/>
                      <w:kern w:val="0"/>
                      <w:sz w:val="21"/>
                      <w:szCs w:val="21"/>
                      <w:lang w:bidi="ar"/>
                    </w:rPr>
                    <w:t>全部自然蒸发，不外排</w:t>
                  </w:r>
                </w:p>
              </w:tc>
              <w:tc>
                <w:tcPr>
                  <w:tcW w:w="387" w:type="pct"/>
                  <w:vMerge w:val="continue"/>
                  <w:noWrap w:val="0"/>
                  <w:vAlign w:val="center"/>
                </w:tcPr>
                <w:p w14:paraId="5FC524B7">
                  <w:pPr>
                    <w:spacing w:line="240" w:lineRule="auto"/>
                    <w:jc w:val="center"/>
                    <w:rPr>
                      <w:rFonts w:hint="eastAsia" w:ascii="Times New Roman" w:hAnsi="Times New Roman" w:eastAsia="宋体" w:cs="宋体"/>
                      <w:color w:val="auto"/>
                      <w:kern w:val="2"/>
                      <w:sz w:val="21"/>
                      <w:szCs w:val="21"/>
                      <w:highlight w:val="none"/>
                      <w:lang w:val="en-US" w:eastAsia="zh-CN" w:bidi="ar-SA"/>
                    </w:rPr>
                  </w:pPr>
                </w:p>
              </w:tc>
            </w:tr>
            <w:tr w14:paraId="7F55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jc w:val="center"/>
              </w:trPr>
              <w:tc>
                <w:tcPr>
                  <w:tcW w:w="239" w:type="pct"/>
                  <w:vMerge w:val="continue"/>
                  <w:noWrap w:val="0"/>
                  <w:vAlign w:val="center"/>
                </w:tcPr>
                <w:p w14:paraId="369C1707">
                  <w:pPr>
                    <w:spacing w:line="240" w:lineRule="auto"/>
                    <w:jc w:val="center"/>
                    <w:rPr>
                      <w:rFonts w:hint="eastAsia" w:ascii="Times New Roman" w:hAnsi="Times New Roman" w:eastAsia="宋体" w:cs="宋体"/>
                      <w:color w:val="auto"/>
                      <w:kern w:val="2"/>
                      <w:sz w:val="21"/>
                      <w:szCs w:val="21"/>
                      <w:highlight w:val="none"/>
                      <w:lang w:val="en-US" w:eastAsia="zh-CN" w:bidi="ar-SA"/>
                    </w:rPr>
                  </w:pPr>
                </w:p>
              </w:tc>
              <w:tc>
                <w:tcPr>
                  <w:tcW w:w="1055" w:type="pct"/>
                  <w:noWrap w:val="0"/>
                  <w:vAlign w:val="center"/>
                </w:tcPr>
                <w:p w14:paraId="1FA3C7C0">
                  <w:pPr>
                    <w:spacing w:line="240" w:lineRule="auto"/>
                    <w:jc w:val="center"/>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降尘工序</w:t>
                  </w:r>
                </w:p>
              </w:tc>
              <w:tc>
                <w:tcPr>
                  <w:tcW w:w="506" w:type="pct"/>
                  <w:noWrap w:val="0"/>
                  <w:vAlign w:val="center"/>
                </w:tcPr>
                <w:p w14:paraId="67325BFE">
                  <w:pPr>
                    <w:spacing w:line="240" w:lineRule="auto"/>
                    <w:jc w:val="center"/>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olor w:val="auto"/>
                      <w:sz w:val="21"/>
                      <w:szCs w:val="21"/>
                      <w:vertAlign w:val="baseline"/>
                      <w:lang w:val="en-US" w:eastAsia="zh-CN"/>
                    </w:rPr>
                    <w:t>/</w:t>
                  </w:r>
                </w:p>
              </w:tc>
              <w:tc>
                <w:tcPr>
                  <w:tcW w:w="413" w:type="pct"/>
                  <w:vMerge w:val="continue"/>
                  <w:noWrap w:val="0"/>
                  <w:vAlign w:val="center"/>
                </w:tcPr>
                <w:p w14:paraId="1C77DDA9">
                  <w:pPr>
                    <w:spacing w:line="240" w:lineRule="auto"/>
                    <w:jc w:val="center"/>
                    <w:rPr>
                      <w:rFonts w:hint="eastAsia" w:ascii="Times New Roman" w:hAnsi="Times New Roman" w:eastAsia="宋体" w:cs="宋体"/>
                      <w:color w:val="auto"/>
                      <w:kern w:val="2"/>
                      <w:sz w:val="21"/>
                      <w:szCs w:val="21"/>
                      <w:highlight w:val="none"/>
                      <w:lang w:val="en-US" w:eastAsia="zh-CN" w:bidi="ar-SA"/>
                    </w:rPr>
                  </w:pPr>
                </w:p>
              </w:tc>
              <w:tc>
                <w:tcPr>
                  <w:tcW w:w="2399" w:type="pct"/>
                  <w:noWrap w:val="0"/>
                  <w:vAlign w:val="center"/>
                </w:tcPr>
                <w:p w14:paraId="3A9A1D55">
                  <w:pPr>
                    <w:spacing w:line="240" w:lineRule="auto"/>
                    <w:jc w:val="center"/>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olor w:val="auto"/>
                      <w:kern w:val="0"/>
                      <w:sz w:val="21"/>
                      <w:szCs w:val="21"/>
                      <w:lang w:eastAsia="zh-CN" w:bidi="ar"/>
                    </w:rPr>
                    <w:t>降尘用水</w:t>
                  </w:r>
                  <w:r>
                    <w:rPr>
                      <w:rFonts w:hint="eastAsia" w:ascii="Times New Roman" w:hAnsi="Times New Roman"/>
                      <w:color w:val="auto"/>
                      <w:kern w:val="0"/>
                      <w:sz w:val="21"/>
                      <w:szCs w:val="21"/>
                      <w:lang w:bidi="ar"/>
                    </w:rPr>
                    <w:t>由产品少量带走，其余全部挥发</w:t>
                  </w:r>
                  <w:r>
                    <w:rPr>
                      <w:rFonts w:hint="eastAsia" w:ascii="Times New Roman" w:hAnsi="Times New Roman"/>
                      <w:color w:val="auto"/>
                      <w:kern w:val="0"/>
                      <w:sz w:val="21"/>
                      <w:szCs w:val="21"/>
                      <w:lang w:eastAsia="zh-CN" w:bidi="ar"/>
                    </w:rPr>
                    <w:t>，</w:t>
                  </w:r>
                  <w:r>
                    <w:rPr>
                      <w:rFonts w:hint="eastAsia" w:ascii="Times New Roman" w:hAnsi="Times New Roman"/>
                      <w:color w:val="auto"/>
                      <w:kern w:val="0"/>
                      <w:sz w:val="21"/>
                      <w:szCs w:val="21"/>
                      <w:lang w:bidi="ar"/>
                    </w:rPr>
                    <w:t>无废水产生</w:t>
                  </w:r>
                </w:p>
              </w:tc>
              <w:tc>
                <w:tcPr>
                  <w:tcW w:w="387" w:type="pct"/>
                  <w:vMerge w:val="continue"/>
                  <w:noWrap w:val="0"/>
                  <w:vAlign w:val="center"/>
                </w:tcPr>
                <w:p w14:paraId="296BDA37">
                  <w:pPr>
                    <w:spacing w:line="240" w:lineRule="auto"/>
                    <w:jc w:val="center"/>
                    <w:rPr>
                      <w:rFonts w:hint="eastAsia" w:ascii="Times New Roman" w:hAnsi="Times New Roman" w:eastAsia="宋体" w:cs="宋体"/>
                      <w:color w:val="auto"/>
                      <w:kern w:val="2"/>
                      <w:sz w:val="21"/>
                      <w:szCs w:val="21"/>
                      <w:highlight w:val="none"/>
                      <w:lang w:val="en-US" w:eastAsia="zh-CN" w:bidi="ar-SA"/>
                    </w:rPr>
                  </w:pPr>
                </w:p>
              </w:tc>
            </w:tr>
            <w:tr w14:paraId="74AC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 w:hRule="atLeast"/>
                <w:jc w:val="center"/>
              </w:trPr>
              <w:tc>
                <w:tcPr>
                  <w:tcW w:w="239" w:type="pct"/>
                  <w:vMerge w:val="continue"/>
                  <w:noWrap w:val="0"/>
                  <w:vAlign w:val="center"/>
                </w:tcPr>
                <w:p w14:paraId="3BA2827C">
                  <w:pPr>
                    <w:spacing w:line="240" w:lineRule="auto"/>
                    <w:jc w:val="center"/>
                    <w:rPr>
                      <w:rFonts w:hint="eastAsia" w:ascii="Times New Roman" w:hAnsi="Times New Roman" w:eastAsia="宋体" w:cs="宋体"/>
                      <w:color w:val="auto"/>
                      <w:sz w:val="21"/>
                      <w:szCs w:val="21"/>
                      <w:highlight w:val="none"/>
                    </w:rPr>
                  </w:pPr>
                </w:p>
              </w:tc>
              <w:tc>
                <w:tcPr>
                  <w:tcW w:w="1055" w:type="pct"/>
                  <w:noWrap w:val="0"/>
                  <w:vAlign w:val="center"/>
                </w:tcPr>
                <w:p w14:paraId="3C4BD009">
                  <w:pPr>
                    <w:spacing w:line="240" w:lineRule="auto"/>
                    <w:jc w:val="center"/>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olor w:val="auto"/>
                      <w:sz w:val="21"/>
                      <w:szCs w:val="21"/>
                      <w:vertAlign w:val="baseline"/>
                      <w:lang w:val="en-US" w:eastAsia="zh-CN"/>
                    </w:rPr>
                    <w:t>餐饮用水</w:t>
                  </w:r>
                </w:p>
              </w:tc>
              <w:tc>
                <w:tcPr>
                  <w:tcW w:w="506" w:type="pct"/>
                  <w:noWrap w:val="0"/>
                  <w:vAlign w:val="center"/>
                </w:tcPr>
                <w:p w14:paraId="1F50E1B1">
                  <w:pPr>
                    <w:spacing w:line="240" w:lineRule="auto"/>
                    <w:jc w:val="center"/>
                    <w:rPr>
                      <w:rFonts w:hint="eastAsia" w:ascii="Times New Roman" w:hAnsi="Times New Roman" w:eastAsia="宋体" w:cs="宋体"/>
                      <w:color w:val="auto"/>
                      <w:sz w:val="21"/>
                      <w:szCs w:val="21"/>
                      <w:highlight w:val="none"/>
                      <w:lang w:eastAsia="zh-CN"/>
                    </w:rPr>
                  </w:pPr>
                  <w:r>
                    <w:rPr>
                      <w:rFonts w:hint="eastAsia" w:ascii="Times New Roman" w:hAnsi="Times New Roman" w:eastAsia="宋体" w:cs="宋体"/>
                      <w:color w:val="auto"/>
                      <w:sz w:val="21"/>
                      <w:szCs w:val="21"/>
                      <w:highlight w:val="none"/>
                      <w:lang w:eastAsia="zh-CN"/>
                    </w:rPr>
                    <w:t>食堂废水</w:t>
                  </w:r>
                </w:p>
              </w:tc>
              <w:tc>
                <w:tcPr>
                  <w:tcW w:w="413" w:type="pct"/>
                  <w:noWrap w:val="0"/>
                  <w:vAlign w:val="center"/>
                </w:tcPr>
                <w:p w14:paraId="5CC61C2D">
                  <w:pPr>
                    <w:spacing w:line="240" w:lineRule="auto"/>
                    <w:jc w:val="center"/>
                    <w:rPr>
                      <w:rFonts w:hint="eastAsia" w:ascii="Times New Roman" w:hAnsi="Times New Roman" w:eastAsia="宋体" w:cs="宋体"/>
                      <w:color w:val="auto"/>
                      <w:sz w:val="21"/>
                      <w:szCs w:val="21"/>
                      <w:highlight w:val="none"/>
                      <w:lang w:eastAsia="zh-CN"/>
                    </w:rPr>
                  </w:pPr>
                  <w:r>
                    <w:rPr>
                      <w:rFonts w:hint="eastAsia" w:ascii="Times New Roman" w:hAnsi="Times New Roman" w:eastAsia="宋体" w:cs="宋体"/>
                      <w:color w:val="auto"/>
                      <w:sz w:val="21"/>
                      <w:szCs w:val="21"/>
                      <w:highlight w:val="none"/>
                      <w:lang w:eastAsia="zh-CN"/>
                    </w:rPr>
                    <w:t>间断</w:t>
                  </w:r>
                </w:p>
              </w:tc>
              <w:tc>
                <w:tcPr>
                  <w:tcW w:w="2399" w:type="pct"/>
                  <w:noWrap w:val="0"/>
                  <w:vAlign w:val="center"/>
                </w:tcPr>
                <w:p w14:paraId="7017BFEA">
                  <w:pPr>
                    <w:spacing w:line="240" w:lineRule="auto"/>
                    <w:jc w:val="center"/>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olor w:val="auto"/>
                      <w:sz w:val="21"/>
                      <w:szCs w:val="21"/>
                      <w:vertAlign w:val="baseline"/>
                      <w:lang w:val="en-US" w:eastAsia="zh-CN"/>
                    </w:rPr>
                    <w:t>油水分离器预处理后经化粪池处理</w:t>
                  </w:r>
                </w:p>
              </w:tc>
              <w:tc>
                <w:tcPr>
                  <w:tcW w:w="387" w:type="pct"/>
                  <w:noWrap w:val="0"/>
                  <w:vAlign w:val="center"/>
                </w:tcPr>
                <w:p w14:paraId="65B1439A">
                  <w:pPr>
                    <w:spacing w:line="240" w:lineRule="auto"/>
                    <w:jc w:val="center"/>
                    <w:rPr>
                      <w:rFonts w:hint="default" w:ascii="Times New Roman" w:hAnsi="Times New Roman" w:eastAsia="宋体" w:cs="Times New Roman"/>
                      <w:color w:val="auto"/>
                      <w:kern w:val="2"/>
                      <w:sz w:val="21"/>
                      <w:szCs w:val="21"/>
                      <w:vertAlign w:val="baseline"/>
                      <w:lang w:val="en-US" w:eastAsia="zh-CN" w:bidi="ar-SA"/>
                    </w:rPr>
                  </w:pPr>
                  <w:r>
                    <w:rPr>
                      <w:rFonts w:ascii="Times New Roman" w:hAnsi="Times New Roman"/>
                      <w:color w:val="auto"/>
                      <w:sz w:val="21"/>
                      <w:szCs w:val="21"/>
                      <w:highlight w:val="none"/>
                    </w:rPr>
                    <w:t>不外排</w:t>
                  </w:r>
                </w:p>
              </w:tc>
            </w:tr>
            <w:tr w14:paraId="0434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239" w:type="pct"/>
                  <w:vMerge w:val="continue"/>
                  <w:noWrap w:val="0"/>
                  <w:vAlign w:val="center"/>
                </w:tcPr>
                <w:p w14:paraId="69F202A7">
                  <w:pPr>
                    <w:spacing w:line="240" w:lineRule="auto"/>
                    <w:jc w:val="center"/>
                    <w:rPr>
                      <w:rFonts w:hint="eastAsia" w:ascii="Times New Roman" w:hAnsi="Times New Roman" w:eastAsia="宋体" w:cs="宋体"/>
                      <w:color w:val="auto"/>
                      <w:sz w:val="21"/>
                      <w:szCs w:val="21"/>
                      <w:highlight w:val="none"/>
                    </w:rPr>
                  </w:pPr>
                </w:p>
              </w:tc>
              <w:tc>
                <w:tcPr>
                  <w:tcW w:w="1055" w:type="pct"/>
                  <w:noWrap w:val="0"/>
                  <w:vAlign w:val="center"/>
                </w:tcPr>
                <w:p w14:paraId="74633250">
                  <w:pPr>
                    <w:spacing w:line="240" w:lineRule="auto"/>
                    <w:jc w:val="center"/>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olor w:val="auto"/>
                      <w:sz w:val="21"/>
                      <w:szCs w:val="21"/>
                      <w:vertAlign w:val="baseline"/>
                      <w:lang w:val="en-US" w:eastAsia="zh-CN"/>
                    </w:rPr>
                    <w:t>办公、生活用水</w:t>
                  </w:r>
                </w:p>
              </w:tc>
              <w:tc>
                <w:tcPr>
                  <w:tcW w:w="506" w:type="pct"/>
                  <w:noWrap w:val="0"/>
                  <w:vAlign w:val="center"/>
                </w:tcPr>
                <w:p w14:paraId="50107407">
                  <w:pPr>
                    <w:spacing w:line="240" w:lineRule="auto"/>
                    <w:jc w:val="center"/>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sz w:val="21"/>
                      <w:szCs w:val="21"/>
                      <w:highlight w:val="none"/>
                      <w:lang w:eastAsia="zh-CN"/>
                    </w:rPr>
                    <w:t>生活污水</w:t>
                  </w:r>
                </w:p>
              </w:tc>
              <w:tc>
                <w:tcPr>
                  <w:tcW w:w="413" w:type="pct"/>
                  <w:noWrap w:val="0"/>
                  <w:vAlign w:val="center"/>
                </w:tcPr>
                <w:p w14:paraId="2BCB0109">
                  <w:pPr>
                    <w:spacing w:line="240" w:lineRule="auto"/>
                    <w:jc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rPr>
                    <w:t>间断</w:t>
                  </w:r>
                </w:p>
              </w:tc>
              <w:tc>
                <w:tcPr>
                  <w:tcW w:w="2399" w:type="pct"/>
                  <w:noWrap w:val="0"/>
                  <w:vAlign w:val="center"/>
                </w:tcPr>
                <w:p w14:paraId="6480EEA3">
                  <w:pPr>
                    <w:spacing w:line="240" w:lineRule="auto"/>
                    <w:jc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eastAsia="zh-CN"/>
                    </w:rPr>
                    <w:t>经</w:t>
                  </w:r>
                  <w:r>
                    <w:rPr>
                      <w:rFonts w:hint="eastAsia" w:ascii="Times New Roman" w:hAnsi="Times New Roman" w:eastAsia="宋体" w:cs="宋体"/>
                      <w:color w:val="auto"/>
                      <w:sz w:val="21"/>
                      <w:szCs w:val="21"/>
                      <w:highlight w:val="none"/>
                    </w:rPr>
                    <w:t>化粪池沉淀处理后委托周边村民进行清掏用作农肥</w:t>
                  </w:r>
                </w:p>
              </w:tc>
              <w:tc>
                <w:tcPr>
                  <w:tcW w:w="387" w:type="pct"/>
                  <w:noWrap w:val="0"/>
                  <w:vAlign w:val="center"/>
                </w:tcPr>
                <w:p w14:paraId="34CD117C">
                  <w:pPr>
                    <w:spacing w:line="240" w:lineRule="auto"/>
                    <w:jc w:val="center"/>
                    <w:rPr>
                      <w:rFonts w:hint="default" w:ascii="Times New Roman" w:hAnsi="Times New Roman" w:eastAsia="宋体" w:cs="Times New Roman"/>
                      <w:color w:val="auto"/>
                      <w:kern w:val="2"/>
                      <w:sz w:val="21"/>
                      <w:szCs w:val="21"/>
                      <w:vertAlign w:val="baseline"/>
                      <w:lang w:val="en-US" w:eastAsia="zh-CN" w:bidi="ar-SA"/>
                    </w:rPr>
                  </w:pPr>
                  <w:r>
                    <w:rPr>
                      <w:rFonts w:ascii="Times New Roman" w:hAnsi="Times New Roman"/>
                      <w:color w:val="auto"/>
                      <w:sz w:val="21"/>
                      <w:szCs w:val="21"/>
                      <w:highlight w:val="none"/>
                    </w:rPr>
                    <w:t>不外排</w:t>
                  </w:r>
                </w:p>
              </w:tc>
            </w:tr>
            <w:tr w14:paraId="41BA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239" w:type="pct"/>
                  <w:vMerge w:val="restart"/>
                  <w:noWrap w:val="0"/>
                  <w:vAlign w:val="center"/>
                </w:tcPr>
                <w:p w14:paraId="4A5F12F2">
                  <w:pPr>
                    <w:spacing w:line="240" w:lineRule="auto"/>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固废</w:t>
                  </w:r>
                </w:p>
              </w:tc>
              <w:tc>
                <w:tcPr>
                  <w:tcW w:w="1055" w:type="pct"/>
                  <w:noWrap w:val="0"/>
                  <w:vAlign w:val="center"/>
                </w:tcPr>
                <w:p w14:paraId="67D143AB">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水泥储罐</w:t>
                  </w:r>
                </w:p>
              </w:tc>
              <w:tc>
                <w:tcPr>
                  <w:tcW w:w="506" w:type="pct"/>
                  <w:noWrap w:val="0"/>
                  <w:vAlign w:val="center"/>
                </w:tcPr>
                <w:p w14:paraId="3C4535AC">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eastAsia="zh-CN"/>
                    </w:rPr>
                    <w:t>水泥储罐收集粉尘</w:t>
                  </w:r>
                </w:p>
              </w:tc>
              <w:tc>
                <w:tcPr>
                  <w:tcW w:w="413" w:type="pct"/>
                  <w:noWrap w:val="0"/>
                  <w:vAlign w:val="center"/>
                </w:tcPr>
                <w:p w14:paraId="29D26C1E">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color w:val="auto"/>
                      <w:sz w:val="21"/>
                      <w:szCs w:val="21"/>
                      <w:highlight w:val="none"/>
                    </w:rPr>
                    <w:t>间断</w:t>
                  </w:r>
                </w:p>
              </w:tc>
              <w:tc>
                <w:tcPr>
                  <w:tcW w:w="2399" w:type="pct"/>
                  <w:noWrap w:val="0"/>
                  <w:vAlign w:val="center"/>
                </w:tcPr>
                <w:p w14:paraId="17408B0F">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回用于生产</w:t>
                  </w:r>
                </w:p>
              </w:tc>
              <w:tc>
                <w:tcPr>
                  <w:tcW w:w="387" w:type="pct"/>
                  <w:noWrap w:val="0"/>
                  <w:vAlign w:val="center"/>
                </w:tcPr>
                <w:p w14:paraId="72C5FD83">
                  <w:pPr>
                    <w:spacing w:line="240" w:lineRule="auto"/>
                    <w:jc w:val="center"/>
                    <w:rPr>
                      <w:rFonts w:ascii="Times New Roman" w:hAnsi="Times New Roman"/>
                      <w:color w:val="auto"/>
                      <w:sz w:val="21"/>
                      <w:szCs w:val="21"/>
                      <w:highlight w:val="none"/>
                    </w:rPr>
                  </w:pPr>
                  <w:r>
                    <w:rPr>
                      <w:rFonts w:ascii="Times New Roman" w:hAnsi="Times New Roman"/>
                      <w:color w:val="auto"/>
                      <w:sz w:val="21"/>
                      <w:szCs w:val="21"/>
                      <w:highlight w:val="none"/>
                    </w:rPr>
                    <w:t>不外排</w:t>
                  </w:r>
                </w:p>
              </w:tc>
            </w:tr>
            <w:tr w14:paraId="1FB9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jc w:val="center"/>
              </w:trPr>
              <w:tc>
                <w:tcPr>
                  <w:tcW w:w="239" w:type="pct"/>
                  <w:vMerge w:val="continue"/>
                  <w:noWrap w:val="0"/>
                  <w:vAlign w:val="center"/>
                </w:tcPr>
                <w:p w14:paraId="1723A761">
                  <w:pPr>
                    <w:spacing w:line="240" w:lineRule="auto"/>
                    <w:jc w:val="center"/>
                    <w:rPr>
                      <w:rFonts w:hint="eastAsia" w:ascii="Times New Roman" w:hAnsi="Times New Roman"/>
                      <w:color w:val="auto"/>
                      <w:sz w:val="21"/>
                      <w:szCs w:val="21"/>
                      <w:highlight w:val="none"/>
                    </w:rPr>
                  </w:pPr>
                </w:p>
              </w:tc>
              <w:tc>
                <w:tcPr>
                  <w:tcW w:w="1055" w:type="pct"/>
                  <w:vMerge w:val="restart"/>
                  <w:noWrap w:val="0"/>
                  <w:vAlign w:val="center"/>
                </w:tcPr>
                <w:p w14:paraId="0C521815">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生产</w:t>
                  </w:r>
                </w:p>
              </w:tc>
              <w:tc>
                <w:tcPr>
                  <w:tcW w:w="506" w:type="pct"/>
                  <w:noWrap w:val="0"/>
                  <w:vAlign w:val="center"/>
                </w:tcPr>
                <w:p w14:paraId="68186E92">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不合格的</w:t>
                  </w:r>
                  <w:r>
                    <w:rPr>
                      <w:rFonts w:hint="eastAsia"/>
                      <w:color w:val="auto"/>
                      <w:sz w:val="21"/>
                      <w:szCs w:val="21"/>
                      <w:lang w:eastAsia="zh-CN"/>
                    </w:rPr>
                    <w:t>产品</w:t>
                  </w:r>
                </w:p>
              </w:tc>
              <w:tc>
                <w:tcPr>
                  <w:tcW w:w="413" w:type="pct"/>
                  <w:noWrap w:val="0"/>
                  <w:vAlign w:val="center"/>
                </w:tcPr>
                <w:p w14:paraId="1C60358E">
                  <w:pPr>
                    <w:spacing w:line="240" w:lineRule="auto"/>
                    <w:jc w:val="center"/>
                    <w:rPr>
                      <w:rFonts w:ascii="Times New Roman" w:hAnsi="Times New Roman"/>
                      <w:color w:val="auto"/>
                      <w:sz w:val="21"/>
                      <w:szCs w:val="21"/>
                      <w:highlight w:val="none"/>
                    </w:rPr>
                  </w:pPr>
                  <w:r>
                    <w:rPr>
                      <w:rFonts w:ascii="Times New Roman" w:hAnsi="Times New Roman"/>
                      <w:color w:val="auto"/>
                      <w:sz w:val="21"/>
                      <w:szCs w:val="21"/>
                      <w:highlight w:val="none"/>
                    </w:rPr>
                    <w:t>间断</w:t>
                  </w:r>
                </w:p>
              </w:tc>
              <w:tc>
                <w:tcPr>
                  <w:tcW w:w="2399" w:type="pct"/>
                  <w:noWrap w:val="0"/>
                  <w:vAlign w:val="center"/>
                </w:tcPr>
                <w:p w14:paraId="41039180">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 w:val="21"/>
                      <w:szCs w:val="21"/>
                    </w:rPr>
                    <w:t>不合格产品</w:t>
                  </w:r>
                  <w:r>
                    <w:rPr>
                      <w:rFonts w:hint="eastAsia"/>
                      <w:color w:val="auto"/>
                      <w:sz w:val="21"/>
                      <w:szCs w:val="21"/>
                      <w:lang w:eastAsia="zh-CN"/>
                    </w:rPr>
                    <w:t>中</w:t>
                  </w:r>
                  <w:r>
                    <w:rPr>
                      <w:rFonts w:hint="eastAsia" w:ascii="Times New Roman" w:hAnsi="Times New Roman"/>
                      <w:color w:val="auto"/>
                      <w:sz w:val="21"/>
                      <w:szCs w:val="21"/>
                      <w:lang w:val="en-US" w:eastAsia="zh-CN"/>
                    </w:rPr>
                    <w:t>未干化的</w:t>
                  </w:r>
                  <w:r>
                    <w:rPr>
                      <w:rFonts w:hint="eastAsia"/>
                      <w:color w:val="auto"/>
                      <w:sz w:val="21"/>
                      <w:szCs w:val="21"/>
                      <w:lang w:val="en-US" w:eastAsia="zh-CN"/>
                    </w:rPr>
                    <w:t>废</w:t>
                  </w:r>
                  <w:r>
                    <w:rPr>
                      <w:rFonts w:hint="eastAsia" w:ascii="Times New Roman" w:hAnsi="Times New Roman"/>
                      <w:color w:val="auto"/>
                      <w:sz w:val="21"/>
                      <w:szCs w:val="21"/>
                      <w:lang w:val="en-US" w:eastAsia="zh-CN"/>
                    </w:rPr>
                    <w:t>产品返回生产工艺使用，固化的</w:t>
                  </w:r>
                  <w:r>
                    <w:rPr>
                      <w:rFonts w:hint="eastAsia"/>
                      <w:color w:val="auto"/>
                      <w:sz w:val="21"/>
                      <w:szCs w:val="21"/>
                      <w:lang w:val="en-US" w:eastAsia="zh-CN"/>
                    </w:rPr>
                    <w:t>废</w:t>
                  </w:r>
                  <w:r>
                    <w:rPr>
                      <w:rFonts w:hint="eastAsia" w:ascii="Times New Roman" w:hAnsi="Times New Roman"/>
                      <w:color w:val="auto"/>
                      <w:sz w:val="21"/>
                      <w:szCs w:val="21"/>
                      <w:lang w:val="en-US" w:eastAsia="zh-CN"/>
                    </w:rPr>
                    <w:t>产品需要先经过人工敲碎后再返回生产工艺使用；</w:t>
                  </w:r>
                </w:p>
              </w:tc>
              <w:tc>
                <w:tcPr>
                  <w:tcW w:w="387" w:type="pct"/>
                  <w:noWrap w:val="0"/>
                  <w:vAlign w:val="center"/>
                </w:tcPr>
                <w:p w14:paraId="51CB39AD">
                  <w:pPr>
                    <w:spacing w:line="240" w:lineRule="auto"/>
                    <w:jc w:val="center"/>
                    <w:rPr>
                      <w:rFonts w:ascii="Times New Roman" w:hAnsi="Times New Roman"/>
                      <w:color w:val="auto"/>
                      <w:sz w:val="21"/>
                      <w:szCs w:val="21"/>
                      <w:highlight w:val="none"/>
                    </w:rPr>
                  </w:pPr>
                  <w:r>
                    <w:rPr>
                      <w:rFonts w:ascii="Times New Roman" w:hAnsi="Times New Roman"/>
                      <w:color w:val="auto"/>
                      <w:sz w:val="21"/>
                      <w:szCs w:val="21"/>
                      <w:highlight w:val="none"/>
                    </w:rPr>
                    <w:t>不外排</w:t>
                  </w:r>
                </w:p>
              </w:tc>
            </w:tr>
            <w:tr w14:paraId="5155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jc w:val="center"/>
              </w:trPr>
              <w:tc>
                <w:tcPr>
                  <w:tcW w:w="239" w:type="pct"/>
                  <w:vMerge w:val="continue"/>
                  <w:noWrap w:val="0"/>
                  <w:vAlign w:val="center"/>
                </w:tcPr>
                <w:p w14:paraId="4C0C46E8">
                  <w:pPr>
                    <w:spacing w:line="240" w:lineRule="auto"/>
                    <w:jc w:val="center"/>
                    <w:rPr>
                      <w:rFonts w:hint="eastAsia" w:ascii="Times New Roman" w:hAnsi="Times New Roman"/>
                      <w:color w:val="auto"/>
                      <w:sz w:val="21"/>
                      <w:szCs w:val="21"/>
                      <w:highlight w:val="none"/>
                    </w:rPr>
                  </w:pPr>
                </w:p>
              </w:tc>
              <w:tc>
                <w:tcPr>
                  <w:tcW w:w="1055" w:type="pct"/>
                  <w:vMerge w:val="continue"/>
                  <w:noWrap w:val="0"/>
                  <w:vAlign w:val="center"/>
                </w:tcPr>
                <w:p w14:paraId="733722D5">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p>
              </w:tc>
              <w:tc>
                <w:tcPr>
                  <w:tcW w:w="506" w:type="pct"/>
                  <w:noWrap w:val="0"/>
                  <w:vAlign w:val="center"/>
                </w:tcPr>
                <w:p w14:paraId="47E7F81D">
                  <w:pPr>
                    <w:spacing w:line="240" w:lineRule="auto"/>
                    <w:jc w:val="center"/>
                    <w:rPr>
                      <w:rFonts w:hint="eastAsia" w:ascii="Times New Roman" w:hAnsi="Times New Roman" w:eastAsia="宋体"/>
                      <w:color w:val="auto"/>
                      <w:sz w:val="21"/>
                      <w:szCs w:val="21"/>
                      <w:lang w:eastAsia="zh-CN"/>
                    </w:rPr>
                  </w:pPr>
                  <w:r>
                    <w:rPr>
                      <w:rFonts w:hint="eastAsia"/>
                      <w:color w:val="auto"/>
                      <w:sz w:val="21"/>
                      <w:szCs w:val="21"/>
                      <w:lang w:eastAsia="zh-CN"/>
                    </w:rPr>
                    <w:t>废料渣</w:t>
                  </w:r>
                </w:p>
              </w:tc>
              <w:tc>
                <w:tcPr>
                  <w:tcW w:w="413" w:type="pct"/>
                  <w:noWrap w:val="0"/>
                  <w:vAlign w:val="center"/>
                </w:tcPr>
                <w:p w14:paraId="7F4324EE">
                  <w:pPr>
                    <w:spacing w:line="240" w:lineRule="auto"/>
                    <w:jc w:val="center"/>
                    <w:rPr>
                      <w:rFonts w:ascii="Times New Roman" w:hAnsi="Times New Roman"/>
                      <w:color w:val="auto"/>
                      <w:sz w:val="21"/>
                      <w:szCs w:val="21"/>
                      <w:highlight w:val="none"/>
                    </w:rPr>
                  </w:pPr>
                  <w:r>
                    <w:rPr>
                      <w:rFonts w:ascii="Times New Roman" w:hAnsi="Times New Roman"/>
                      <w:color w:val="auto"/>
                      <w:sz w:val="21"/>
                      <w:szCs w:val="21"/>
                      <w:highlight w:val="none"/>
                    </w:rPr>
                    <w:t>间断</w:t>
                  </w:r>
                </w:p>
              </w:tc>
              <w:tc>
                <w:tcPr>
                  <w:tcW w:w="2399" w:type="pct"/>
                  <w:noWrap w:val="0"/>
                  <w:vAlign w:val="center"/>
                </w:tcPr>
                <w:p w14:paraId="7A1E82B5">
                  <w:pPr>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rPr>
                    <w:t>废料渣敲碎回用于生产</w:t>
                  </w:r>
                </w:p>
              </w:tc>
              <w:tc>
                <w:tcPr>
                  <w:tcW w:w="387" w:type="pct"/>
                  <w:noWrap w:val="0"/>
                  <w:vAlign w:val="center"/>
                </w:tcPr>
                <w:p w14:paraId="59B9F637">
                  <w:pPr>
                    <w:spacing w:line="240" w:lineRule="auto"/>
                    <w:jc w:val="center"/>
                    <w:rPr>
                      <w:rFonts w:ascii="Times New Roman" w:hAnsi="Times New Roman"/>
                      <w:color w:val="auto"/>
                      <w:sz w:val="21"/>
                      <w:szCs w:val="21"/>
                      <w:highlight w:val="none"/>
                    </w:rPr>
                  </w:pPr>
                  <w:r>
                    <w:rPr>
                      <w:rFonts w:ascii="Times New Roman" w:hAnsi="Times New Roman"/>
                      <w:color w:val="auto"/>
                      <w:sz w:val="21"/>
                      <w:szCs w:val="21"/>
                      <w:highlight w:val="none"/>
                    </w:rPr>
                    <w:t>不外排</w:t>
                  </w:r>
                </w:p>
              </w:tc>
            </w:tr>
            <w:tr w14:paraId="4F2F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39" w:type="pct"/>
                  <w:vMerge w:val="continue"/>
                  <w:noWrap w:val="0"/>
                  <w:vAlign w:val="center"/>
                </w:tcPr>
                <w:p w14:paraId="759100F4">
                  <w:pPr>
                    <w:spacing w:line="240" w:lineRule="auto"/>
                    <w:jc w:val="center"/>
                    <w:rPr>
                      <w:rFonts w:hint="eastAsia" w:ascii="Times New Roman" w:hAnsi="Times New Roman"/>
                      <w:color w:val="auto"/>
                      <w:sz w:val="21"/>
                      <w:szCs w:val="21"/>
                      <w:highlight w:val="none"/>
                    </w:rPr>
                  </w:pPr>
                </w:p>
              </w:tc>
              <w:tc>
                <w:tcPr>
                  <w:tcW w:w="1055" w:type="pct"/>
                  <w:noWrap w:val="0"/>
                  <w:vAlign w:val="center"/>
                </w:tcPr>
                <w:p w14:paraId="40620874">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脱模工序</w:t>
                  </w:r>
                </w:p>
              </w:tc>
              <w:tc>
                <w:tcPr>
                  <w:tcW w:w="506" w:type="pct"/>
                  <w:noWrap w:val="0"/>
                  <w:vAlign w:val="center"/>
                </w:tcPr>
                <w:p w14:paraId="15BD7344">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废脱模剂桶</w:t>
                  </w:r>
                </w:p>
              </w:tc>
              <w:tc>
                <w:tcPr>
                  <w:tcW w:w="413" w:type="pct"/>
                  <w:noWrap w:val="0"/>
                  <w:vAlign w:val="center"/>
                </w:tcPr>
                <w:p w14:paraId="69802881">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color w:val="auto"/>
                      <w:sz w:val="21"/>
                      <w:szCs w:val="21"/>
                      <w:highlight w:val="none"/>
                    </w:rPr>
                    <w:t>间断</w:t>
                  </w:r>
                </w:p>
              </w:tc>
              <w:tc>
                <w:tcPr>
                  <w:tcW w:w="2399" w:type="pct"/>
                  <w:noWrap w:val="0"/>
                  <w:vAlign w:val="center"/>
                </w:tcPr>
                <w:p w14:paraId="0F3C019D">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sz w:val="21"/>
                      <w:szCs w:val="21"/>
                      <w:lang w:val="en-US" w:eastAsia="zh-CN"/>
                    </w:rPr>
                    <w:t>集中存放在脱模剂储存间统一处置，待收集到一定数量后交由厂家回收处置</w:t>
                  </w:r>
                </w:p>
              </w:tc>
              <w:tc>
                <w:tcPr>
                  <w:tcW w:w="387" w:type="pct"/>
                  <w:noWrap w:val="0"/>
                  <w:vAlign w:val="center"/>
                </w:tcPr>
                <w:p w14:paraId="606BAE1B">
                  <w:pPr>
                    <w:spacing w:line="240" w:lineRule="auto"/>
                    <w:jc w:val="center"/>
                    <w:rPr>
                      <w:rFonts w:ascii="Times New Roman" w:hAnsi="Times New Roman"/>
                      <w:color w:val="auto"/>
                      <w:sz w:val="21"/>
                      <w:szCs w:val="21"/>
                      <w:highlight w:val="none"/>
                    </w:rPr>
                  </w:pPr>
                  <w:r>
                    <w:rPr>
                      <w:rFonts w:ascii="Times New Roman" w:hAnsi="Times New Roman"/>
                      <w:color w:val="auto"/>
                      <w:sz w:val="21"/>
                      <w:szCs w:val="21"/>
                      <w:highlight w:val="none"/>
                    </w:rPr>
                    <w:t>不外排</w:t>
                  </w:r>
                </w:p>
              </w:tc>
            </w:tr>
            <w:tr w14:paraId="75F4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39" w:type="pct"/>
                  <w:vMerge w:val="continue"/>
                  <w:noWrap w:val="0"/>
                  <w:vAlign w:val="center"/>
                </w:tcPr>
                <w:p w14:paraId="56CD5CBE">
                  <w:pPr>
                    <w:spacing w:line="240" w:lineRule="auto"/>
                    <w:jc w:val="center"/>
                    <w:rPr>
                      <w:rFonts w:hint="eastAsia" w:ascii="Times New Roman" w:hAnsi="Times New Roman"/>
                      <w:color w:val="auto"/>
                      <w:sz w:val="21"/>
                      <w:szCs w:val="21"/>
                      <w:highlight w:val="none"/>
                    </w:rPr>
                  </w:pPr>
                </w:p>
              </w:tc>
              <w:tc>
                <w:tcPr>
                  <w:tcW w:w="1055" w:type="pct"/>
                  <w:noWrap w:val="0"/>
                  <w:vAlign w:val="center"/>
                </w:tcPr>
                <w:p w14:paraId="21AC826E">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焊接工序</w:t>
                  </w:r>
                </w:p>
              </w:tc>
              <w:tc>
                <w:tcPr>
                  <w:tcW w:w="506" w:type="pct"/>
                  <w:noWrap w:val="0"/>
                  <w:vAlign w:val="center"/>
                </w:tcPr>
                <w:p w14:paraId="462B8074">
                  <w:pPr>
                    <w:spacing w:line="240" w:lineRule="auto"/>
                    <w:jc w:val="center"/>
                    <w:rPr>
                      <w:rFonts w:hint="eastAsia" w:ascii="Times New Roman" w:hAnsi="Times New Roman"/>
                      <w:color w:val="auto"/>
                      <w:sz w:val="21"/>
                      <w:szCs w:val="21"/>
                      <w:lang w:val="en-US" w:eastAsia="zh-CN"/>
                    </w:rPr>
                  </w:pPr>
                  <w:r>
                    <w:rPr>
                      <w:rFonts w:hint="eastAsia" w:cs="Times New Roman"/>
                      <w:color w:val="auto"/>
                      <w:kern w:val="2"/>
                      <w:sz w:val="21"/>
                      <w:szCs w:val="21"/>
                      <w:highlight w:val="none"/>
                      <w:lang w:val="en-US" w:eastAsia="zh-CN" w:bidi="ar-SA"/>
                    </w:rPr>
                    <w:t>废弃焊头</w:t>
                  </w:r>
                </w:p>
              </w:tc>
              <w:tc>
                <w:tcPr>
                  <w:tcW w:w="413" w:type="pct"/>
                  <w:noWrap w:val="0"/>
                  <w:vAlign w:val="center"/>
                </w:tcPr>
                <w:p w14:paraId="213B3786">
                  <w:pPr>
                    <w:spacing w:line="240" w:lineRule="auto"/>
                    <w:jc w:val="center"/>
                    <w:rPr>
                      <w:rFonts w:ascii="Times New Roman" w:hAnsi="Times New Roman"/>
                      <w:color w:val="auto"/>
                      <w:sz w:val="21"/>
                      <w:szCs w:val="21"/>
                      <w:highlight w:val="none"/>
                    </w:rPr>
                  </w:pPr>
                  <w:r>
                    <w:rPr>
                      <w:rFonts w:ascii="Times New Roman" w:hAnsi="Times New Roman"/>
                      <w:color w:val="auto"/>
                      <w:sz w:val="21"/>
                      <w:szCs w:val="21"/>
                      <w:highlight w:val="none"/>
                    </w:rPr>
                    <w:t>间断</w:t>
                  </w:r>
                </w:p>
              </w:tc>
              <w:tc>
                <w:tcPr>
                  <w:tcW w:w="2399" w:type="pct"/>
                  <w:noWrap w:val="0"/>
                  <w:vAlign w:val="center"/>
                </w:tcPr>
                <w:p w14:paraId="14249795">
                  <w:pPr>
                    <w:spacing w:line="240" w:lineRule="auto"/>
                    <w:jc w:val="center"/>
                    <w:rPr>
                      <w:rFonts w:hint="eastAsia" w:ascii="Times New Roman" w:hAnsi="Times New Roman"/>
                      <w:color w:val="auto"/>
                      <w:sz w:val="21"/>
                      <w:szCs w:val="21"/>
                      <w:lang w:val="en-US" w:eastAsia="zh-CN"/>
                    </w:rPr>
                  </w:pPr>
                  <w:r>
                    <w:rPr>
                      <w:rFonts w:hint="eastAsia"/>
                      <w:color w:val="auto"/>
                      <w:sz w:val="21"/>
                      <w:szCs w:val="21"/>
                      <w:lang w:val="en-US" w:eastAsia="zh-CN"/>
                    </w:rPr>
                    <w:t>卖给废品</w:t>
                  </w:r>
                  <w:r>
                    <w:rPr>
                      <w:rFonts w:hint="eastAsia" w:ascii="Times New Roman" w:hAnsi="Times New Roman"/>
                      <w:color w:val="auto"/>
                      <w:sz w:val="21"/>
                      <w:szCs w:val="21"/>
                      <w:lang w:val="en-US" w:eastAsia="zh-CN"/>
                    </w:rPr>
                    <w:t>回收单位回收利用</w:t>
                  </w:r>
                </w:p>
              </w:tc>
              <w:tc>
                <w:tcPr>
                  <w:tcW w:w="387" w:type="pct"/>
                  <w:noWrap w:val="0"/>
                  <w:vAlign w:val="center"/>
                </w:tcPr>
                <w:p w14:paraId="641DC0BB">
                  <w:pPr>
                    <w:spacing w:line="240" w:lineRule="auto"/>
                    <w:jc w:val="center"/>
                    <w:rPr>
                      <w:rFonts w:ascii="Times New Roman" w:hAnsi="Times New Roman"/>
                      <w:color w:val="auto"/>
                      <w:sz w:val="21"/>
                      <w:szCs w:val="21"/>
                      <w:highlight w:val="none"/>
                    </w:rPr>
                  </w:pPr>
                  <w:r>
                    <w:rPr>
                      <w:rFonts w:ascii="Times New Roman" w:hAnsi="Times New Roman"/>
                      <w:color w:val="auto"/>
                      <w:sz w:val="21"/>
                      <w:szCs w:val="21"/>
                      <w:highlight w:val="none"/>
                    </w:rPr>
                    <w:t>不外排</w:t>
                  </w:r>
                </w:p>
              </w:tc>
            </w:tr>
            <w:tr w14:paraId="4919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39" w:type="pct"/>
                  <w:vMerge w:val="continue"/>
                  <w:noWrap w:val="0"/>
                  <w:vAlign w:val="center"/>
                </w:tcPr>
                <w:p w14:paraId="052663CA">
                  <w:pPr>
                    <w:spacing w:line="240" w:lineRule="auto"/>
                    <w:jc w:val="center"/>
                    <w:rPr>
                      <w:rFonts w:hint="eastAsia" w:ascii="Times New Roman" w:hAnsi="Times New Roman"/>
                      <w:color w:val="auto"/>
                      <w:sz w:val="21"/>
                      <w:szCs w:val="21"/>
                      <w:highlight w:val="none"/>
                    </w:rPr>
                  </w:pPr>
                </w:p>
              </w:tc>
              <w:tc>
                <w:tcPr>
                  <w:tcW w:w="1055" w:type="pct"/>
                  <w:noWrap w:val="0"/>
                  <w:vAlign w:val="center"/>
                </w:tcPr>
                <w:p w14:paraId="6B334342">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食堂</w:t>
                  </w:r>
                </w:p>
              </w:tc>
              <w:tc>
                <w:tcPr>
                  <w:tcW w:w="506" w:type="pct"/>
                  <w:noWrap w:val="0"/>
                  <w:vAlign w:val="center"/>
                </w:tcPr>
                <w:p w14:paraId="1232440A">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餐厨垃圾</w:t>
                  </w:r>
                </w:p>
              </w:tc>
              <w:tc>
                <w:tcPr>
                  <w:tcW w:w="413" w:type="pct"/>
                  <w:noWrap w:val="0"/>
                  <w:vAlign w:val="center"/>
                </w:tcPr>
                <w:p w14:paraId="34647776">
                  <w:pPr>
                    <w:spacing w:line="240" w:lineRule="auto"/>
                    <w:jc w:val="center"/>
                    <w:rPr>
                      <w:rFonts w:ascii="Times New Roman" w:hAnsi="Times New Roman"/>
                      <w:color w:val="auto"/>
                      <w:sz w:val="21"/>
                      <w:szCs w:val="21"/>
                      <w:highlight w:val="none"/>
                    </w:rPr>
                  </w:pPr>
                  <w:r>
                    <w:rPr>
                      <w:rFonts w:ascii="Times New Roman" w:hAnsi="Times New Roman"/>
                      <w:color w:val="auto"/>
                      <w:sz w:val="21"/>
                      <w:szCs w:val="21"/>
                      <w:highlight w:val="none"/>
                    </w:rPr>
                    <w:t>间断</w:t>
                  </w:r>
                </w:p>
              </w:tc>
              <w:tc>
                <w:tcPr>
                  <w:tcW w:w="2399" w:type="pct"/>
                  <w:noWrap w:val="0"/>
                  <w:vAlign w:val="center"/>
                </w:tcPr>
                <w:p w14:paraId="6F142740">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color w:val="auto"/>
                      <w:sz w:val="21"/>
                      <w:szCs w:val="21"/>
                    </w:rPr>
                    <w:t>用带盖泔水收集桶收集后</w:t>
                  </w:r>
                  <w:r>
                    <w:rPr>
                      <w:rFonts w:hint="eastAsia" w:ascii="Times New Roman" w:hAnsi="Times New Roman"/>
                      <w:color w:val="auto"/>
                      <w:sz w:val="21"/>
                      <w:szCs w:val="21"/>
                    </w:rPr>
                    <w:t>清运至相关部门指定地点处置</w:t>
                  </w:r>
                </w:p>
              </w:tc>
              <w:tc>
                <w:tcPr>
                  <w:tcW w:w="387" w:type="pct"/>
                  <w:noWrap w:val="0"/>
                  <w:vAlign w:val="center"/>
                </w:tcPr>
                <w:p w14:paraId="55D89095">
                  <w:pPr>
                    <w:spacing w:line="240" w:lineRule="auto"/>
                    <w:jc w:val="center"/>
                    <w:rPr>
                      <w:rFonts w:hint="eastAsia" w:ascii="Times New Roman" w:hAnsi="Times New Roman" w:eastAsia="宋体"/>
                      <w:color w:val="auto"/>
                      <w:sz w:val="21"/>
                      <w:szCs w:val="21"/>
                      <w:highlight w:val="none"/>
                      <w:lang w:eastAsia="zh-CN"/>
                    </w:rPr>
                  </w:pPr>
                  <w:r>
                    <w:rPr>
                      <w:rFonts w:hint="eastAsia" w:ascii="Times New Roman" w:hAnsi="Times New Roman"/>
                      <w:color w:val="auto"/>
                      <w:sz w:val="21"/>
                      <w:szCs w:val="21"/>
                      <w:highlight w:val="none"/>
                      <w:lang w:eastAsia="zh-CN"/>
                    </w:rPr>
                    <w:t>不外排</w:t>
                  </w:r>
                </w:p>
              </w:tc>
            </w:tr>
            <w:tr w14:paraId="74F2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39" w:type="pct"/>
                  <w:vMerge w:val="continue"/>
                  <w:noWrap w:val="0"/>
                  <w:vAlign w:val="center"/>
                </w:tcPr>
                <w:p w14:paraId="72CAE80D">
                  <w:pPr>
                    <w:spacing w:line="240" w:lineRule="auto"/>
                    <w:jc w:val="center"/>
                    <w:rPr>
                      <w:rFonts w:hint="eastAsia" w:ascii="Times New Roman" w:hAnsi="Times New Roman"/>
                      <w:color w:val="auto"/>
                      <w:sz w:val="21"/>
                      <w:szCs w:val="21"/>
                      <w:highlight w:val="none"/>
                    </w:rPr>
                  </w:pPr>
                </w:p>
              </w:tc>
              <w:tc>
                <w:tcPr>
                  <w:tcW w:w="1055" w:type="pct"/>
                  <w:noWrap w:val="0"/>
                  <w:vAlign w:val="center"/>
                </w:tcPr>
                <w:p w14:paraId="23FC2C79">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办公、生活</w:t>
                  </w:r>
                </w:p>
              </w:tc>
              <w:tc>
                <w:tcPr>
                  <w:tcW w:w="506" w:type="pct"/>
                  <w:noWrap w:val="0"/>
                  <w:vAlign w:val="center"/>
                </w:tcPr>
                <w:p w14:paraId="4D3C0841">
                  <w:pPr>
                    <w:widowControl/>
                    <w:spacing w:line="240" w:lineRule="auto"/>
                    <w:jc w:val="center"/>
                    <w:rPr>
                      <w:rFonts w:hint="default" w:ascii="Times New Roman" w:hAnsi="Times New Roman" w:eastAsia="宋体" w:cs="Times New Roman"/>
                      <w:color w:val="auto"/>
                      <w:kern w:val="2"/>
                      <w:sz w:val="21"/>
                      <w:szCs w:val="21"/>
                      <w:lang w:val="en-US" w:eastAsia="zh-CN" w:bidi="ar-SA"/>
                    </w:rPr>
                  </w:pPr>
                  <w:r>
                    <w:rPr>
                      <w:rFonts w:ascii="Times New Roman" w:hAnsi="Times New Roman"/>
                      <w:color w:val="auto"/>
                      <w:sz w:val="21"/>
                      <w:szCs w:val="21"/>
                    </w:rPr>
                    <w:t>生活垃圾</w:t>
                  </w:r>
                </w:p>
              </w:tc>
              <w:tc>
                <w:tcPr>
                  <w:tcW w:w="413" w:type="pct"/>
                  <w:noWrap w:val="0"/>
                  <w:vAlign w:val="center"/>
                </w:tcPr>
                <w:p w14:paraId="10657310">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color w:val="auto"/>
                      <w:sz w:val="21"/>
                      <w:szCs w:val="21"/>
                      <w:highlight w:val="none"/>
                    </w:rPr>
                    <w:t>间断</w:t>
                  </w:r>
                </w:p>
              </w:tc>
              <w:tc>
                <w:tcPr>
                  <w:tcW w:w="2399" w:type="pct"/>
                  <w:noWrap w:val="0"/>
                  <w:vAlign w:val="center"/>
                </w:tcPr>
                <w:p w14:paraId="796F6B99">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color w:val="auto"/>
                      <w:sz w:val="21"/>
                      <w:szCs w:val="21"/>
                    </w:rPr>
                    <w:t>收集后</w:t>
                  </w:r>
                  <w:r>
                    <w:rPr>
                      <w:rFonts w:hint="eastAsia" w:ascii="Times New Roman" w:hAnsi="Times New Roman"/>
                      <w:color w:val="auto"/>
                      <w:sz w:val="21"/>
                      <w:szCs w:val="21"/>
                    </w:rPr>
                    <w:t>由</w:t>
                  </w:r>
                  <w:r>
                    <w:rPr>
                      <w:rFonts w:hint="eastAsia" w:ascii="Times New Roman" w:hAnsi="Times New Roman"/>
                      <w:color w:val="auto"/>
                      <w:sz w:val="21"/>
                      <w:szCs w:val="21"/>
                      <w:lang w:eastAsia="zh-CN"/>
                    </w:rPr>
                    <w:t>环卫部门</w:t>
                  </w:r>
                  <w:r>
                    <w:rPr>
                      <w:rFonts w:hint="eastAsia" w:ascii="Times New Roman" w:hAnsi="Times New Roman"/>
                      <w:color w:val="auto"/>
                      <w:sz w:val="21"/>
                      <w:szCs w:val="21"/>
                    </w:rPr>
                    <w:t>定期清运处置</w:t>
                  </w:r>
                </w:p>
              </w:tc>
              <w:tc>
                <w:tcPr>
                  <w:tcW w:w="387" w:type="pct"/>
                  <w:noWrap w:val="0"/>
                  <w:vAlign w:val="center"/>
                </w:tcPr>
                <w:p w14:paraId="3080EDDB">
                  <w:pPr>
                    <w:spacing w:line="240" w:lineRule="auto"/>
                    <w:jc w:val="center"/>
                    <w:rPr>
                      <w:rFonts w:ascii="Times New Roman" w:hAnsi="Times New Roman"/>
                      <w:color w:val="auto"/>
                      <w:sz w:val="21"/>
                      <w:szCs w:val="21"/>
                      <w:highlight w:val="none"/>
                    </w:rPr>
                  </w:pPr>
                  <w:r>
                    <w:rPr>
                      <w:rFonts w:ascii="Times New Roman" w:hAnsi="Times New Roman"/>
                      <w:color w:val="auto"/>
                      <w:sz w:val="21"/>
                      <w:szCs w:val="21"/>
                      <w:highlight w:val="none"/>
                    </w:rPr>
                    <w:t>不外排</w:t>
                  </w:r>
                </w:p>
              </w:tc>
            </w:tr>
            <w:tr w14:paraId="2407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239" w:type="pct"/>
                  <w:noWrap w:val="0"/>
                  <w:vAlign w:val="center"/>
                </w:tcPr>
                <w:p w14:paraId="7EE10899">
                  <w:pPr>
                    <w:spacing w:line="240" w:lineRule="auto"/>
                    <w:jc w:val="center"/>
                    <w:rPr>
                      <w:rFonts w:ascii="Times New Roman" w:hAnsi="Times New Roman"/>
                      <w:color w:val="auto"/>
                      <w:sz w:val="21"/>
                      <w:szCs w:val="21"/>
                      <w:highlight w:val="none"/>
                    </w:rPr>
                  </w:pPr>
                  <w:r>
                    <w:rPr>
                      <w:rFonts w:ascii="Times New Roman" w:hAnsi="Times New Roman"/>
                      <w:color w:val="auto"/>
                      <w:sz w:val="21"/>
                      <w:szCs w:val="21"/>
                      <w:highlight w:val="none"/>
                    </w:rPr>
                    <w:t>噪声</w:t>
                  </w:r>
                </w:p>
              </w:tc>
              <w:tc>
                <w:tcPr>
                  <w:tcW w:w="1055" w:type="pct"/>
                  <w:noWrap w:val="0"/>
                  <w:vAlign w:val="center"/>
                </w:tcPr>
                <w:p w14:paraId="74693DF7">
                  <w:pPr>
                    <w:spacing w:line="240" w:lineRule="auto"/>
                    <w:jc w:val="center"/>
                    <w:rPr>
                      <w:rFonts w:ascii="Times New Roman" w:hAnsi="Times New Roman"/>
                      <w:color w:val="auto"/>
                      <w:sz w:val="21"/>
                      <w:szCs w:val="21"/>
                      <w:highlight w:val="none"/>
                    </w:rPr>
                  </w:pPr>
                  <w:r>
                    <w:rPr>
                      <w:rFonts w:ascii="Times New Roman" w:hAnsi="Times New Roman"/>
                      <w:color w:val="auto"/>
                      <w:sz w:val="21"/>
                      <w:szCs w:val="21"/>
                      <w:highlight w:val="none"/>
                    </w:rPr>
                    <w:t>生产</w:t>
                  </w:r>
                </w:p>
              </w:tc>
              <w:tc>
                <w:tcPr>
                  <w:tcW w:w="506" w:type="pct"/>
                  <w:noWrap w:val="0"/>
                  <w:vAlign w:val="center"/>
                </w:tcPr>
                <w:p w14:paraId="4B1147A4">
                  <w:pPr>
                    <w:spacing w:line="240" w:lineRule="auto"/>
                    <w:jc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eastAsia="zh-CN"/>
                    </w:rPr>
                    <w:t>搅拌机、</w:t>
                  </w:r>
                  <w:r>
                    <w:rPr>
                      <w:rFonts w:hint="eastAsia"/>
                      <w:color w:val="auto"/>
                      <w:sz w:val="21"/>
                      <w:szCs w:val="21"/>
                      <w:highlight w:val="none"/>
                      <w:lang w:eastAsia="zh-CN"/>
                    </w:rPr>
                    <w:t>配料机输送机</w:t>
                  </w:r>
                  <w:r>
                    <w:rPr>
                      <w:rFonts w:ascii="Times New Roman" w:hAnsi="Times New Roman"/>
                      <w:color w:val="auto"/>
                      <w:sz w:val="21"/>
                      <w:szCs w:val="21"/>
                      <w:highlight w:val="none"/>
                    </w:rPr>
                    <w:t>等设备噪声</w:t>
                  </w:r>
                </w:p>
              </w:tc>
              <w:tc>
                <w:tcPr>
                  <w:tcW w:w="413" w:type="pct"/>
                  <w:noWrap w:val="0"/>
                  <w:vAlign w:val="center"/>
                </w:tcPr>
                <w:p w14:paraId="49F75352">
                  <w:pPr>
                    <w:spacing w:line="240" w:lineRule="auto"/>
                    <w:jc w:val="center"/>
                    <w:rPr>
                      <w:rFonts w:ascii="Times New Roman" w:hAnsi="Times New Roman"/>
                      <w:color w:val="auto"/>
                      <w:sz w:val="21"/>
                      <w:szCs w:val="21"/>
                      <w:highlight w:val="none"/>
                    </w:rPr>
                  </w:pPr>
                  <w:r>
                    <w:rPr>
                      <w:rFonts w:ascii="Times New Roman" w:hAnsi="Times New Roman"/>
                      <w:color w:val="auto"/>
                      <w:sz w:val="21"/>
                      <w:szCs w:val="21"/>
                      <w:highlight w:val="none"/>
                    </w:rPr>
                    <w:t>间断</w:t>
                  </w:r>
                </w:p>
              </w:tc>
              <w:tc>
                <w:tcPr>
                  <w:tcW w:w="2399" w:type="pct"/>
                  <w:noWrap w:val="0"/>
                  <w:vAlign w:val="center"/>
                </w:tcPr>
                <w:p w14:paraId="47FB6AEC">
                  <w:pPr>
                    <w:spacing w:line="240" w:lineRule="auto"/>
                    <w:jc w:val="center"/>
                    <w:rPr>
                      <w:rFonts w:ascii="Times New Roman" w:hAnsi="Times New Roman"/>
                      <w:color w:val="auto"/>
                      <w:sz w:val="21"/>
                      <w:szCs w:val="21"/>
                      <w:highlight w:val="none"/>
                    </w:rPr>
                  </w:pPr>
                  <w:r>
                    <w:rPr>
                      <w:rFonts w:hint="default" w:ascii="Times New Roman" w:hAnsi="Times New Roman" w:eastAsia="宋体" w:cs="Times New Roman"/>
                      <w:b w:val="0"/>
                      <w:bCs w:val="0"/>
                      <w:color w:val="auto"/>
                      <w:sz w:val="21"/>
                      <w:szCs w:val="21"/>
                      <w:highlight w:val="none"/>
                      <w:lang w:eastAsia="zh-CN"/>
                    </w:rPr>
                    <w:t>设备基础减震、合理布局、厂房隔声等</w:t>
                  </w:r>
                </w:p>
              </w:tc>
              <w:tc>
                <w:tcPr>
                  <w:tcW w:w="387" w:type="pct"/>
                  <w:noWrap w:val="0"/>
                  <w:vAlign w:val="center"/>
                </w:tcPr>
                <w:p w14:paraId="241A383E">
                  <w:pPr>
                    <w:spacing w:line="240" w:lineRule="auto"/>
                    <w:jc w:val="center"/>
                    <w:rPr>
                      <w:rFonts w:ascii="Times New Roman" w:hAnsi="Times New Roman"/>
                      <w:color w:val="auto"/>
                      <w:sz w:val="21"/>
                      <w:szCs w:val="21"/>
                      <w:highlight w:val="none"/>
                    </w:rPr>
                  </w:pPr>
                  <w:r>
                    <w:rPr>
                      <w:rFonts w:ascii="Times New Roman" w:hAnsi="Times New Roman"/>
                      <w:color w:val="auto"/>
                      <w:sz w:val="21"/>
                      <w:szCs w:val="21"/>
                      <w:highlight w:val="none"/>
                    </w:rPr>
                    <w:t>外环境</w:t>
                  </w:r>
                </w:p>
              </w:tc>
            </w:tr>
          </w:tbl>
          <w:p w14:paraId="6B1BA9AB">
            <w:pPr>
              <w:pStyle w:val="36"/>
              <w:ind w:left="0" w:leftChars="0" w:firstLine="0" w:firstLineChars="0"/>
              <w:rPr>
                <w:rFonts w:ascii="Times New Roman" w:hAnsi="Times New Roman"/>
                <w:color w:val="auto"/>
              </w:rPr>
            </w:pPr>
          </w:p>
        </w:tc>
      </w:tr>
      <w:tr w14:paraId="22D125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64" w:hRule="atLeast"/>
          <w:jc w:val="center"/>
        </w:trPr>
        <w:tc>
          <w:tcPr>
            <w:tcW w:w="412" w:type="pct"/>
            <w:vAlign w:val="center"/>
          </w:tcPr>
          <w:p w14:paraId="20DC51A0">
            <w:pPr>
              <w:pStyle w:val="18"/>
              <w:adjustRightInd w:val="0"/>
              <w:snapToGrid w:val="0"/>
              <w:spacing w:before="0" w:beforeAutospacing="0" w:after="0" w:afterAutospacing="0"/>
              <w:jc w:val="both"/>
              <w:rPr>
                <w:rFonts w:ascii="Times New Roman" w:hAnsi="Times New Roman"/>
                <w:color w:val="auto"/>
                <w:sz w:val="21"/>
                <w:szCs w:val="21"/>
              </w:rPr>
            </w:pPr>
            <w:r>
              <w:rPr>
                <w:rFonts w:ascii="Times New Roman" w:hAnsi="Times New Roman"/>
                <w:bCs/>
                <w:color w:val="auto"/>
                <w:kern w:val="2"/>
                <w:sz w:val="21"/>
                <w:szCs w:val="21"/>
              </w:rPr>
              <w:t>与项目有关的原有环境污染问题</w:t>
            </w:r>
          </w:p>
        </w:tc>
        <w:tc>
          <w:tcPr>
            <w:tcW w:w="4587" w:type="pct"/>
          </w:tcPr>
          <w:p w14:paraId="1DD28D08">
            <w:pPr>
              <w:adjustRightInd w:val="0"/>
              <w:snapToGrid w:val="0"/>
              <w:ind w:firstLine="480" w:firstLineChars="200"/>
              <w:rPr>
                <w:rFonts w:ascii="Times New Roman" w:hAnsi="Times New Roman"/>
                <w:bCs/>
                <w:color w:val="auto"/>
                <w:sz w:val="21"/>
                <w:szCs w:val="21"/>
              </w:rPr>
            </w:pPr>
            <w:r>
              <w:rPr>
                <w:rFonts w:hint="eastAsia" w:ascii="Times New Roman" w:hAnsi="Times New Roman"/>
                <w:bCs/>
                <w:color w:val="auto"/>
              </w:rPr>
              <w:t>项目为新建项目，不存在遗留的污染问题。</w:t>
            </w:r>
          </w:p>
        </w:tc>
      </w:tr>
    </w:tbl>
    <w:p w14:paraId="538B9B0E">
      <w:pPr>
        <w:rPr>
          <w:rFonts w:ascii="Times New Roman" w:hAnsi="Times New Roman"/>
          <w:color w:val="auto"/>
        </w:rPr>
      </w:pPr>
      <w:r>
        <w:rPr>
          <w:rFonts w:hint="eastAsia" w:ascii="Times New Roman" w:hAnsi="Times New Roman"/>
          <w:color w:val="auto"/>
        </w:rPr>
        <w:br w:type="page"/>
      </w:r>
    </w:p>
    <w:p w14:paraId="1C7CD1CB">
      <w:pPr>
        <w:pStyle w:val="2"/>
        <w:jc w:val="center"/>
        <w:rPr>
          <w:rFonts w:ascii="Times New Roman" w:hAnsi="Times New Roman"/>
          <w:color w:val="auto"/>
        </w:rPr>
      </w:pPr>
      <w:bookmarkStart w:id="11" w:name="_Toc22884"/>
      <w:bookmarkStart w:id="12" w:name="_Toc24861"/>
      <w:r>
        <w:rPr>
          <w:rFonts w:hint="eastAsia" w:ascii="Times New Roman" w:hAnsi="Times New Roman"/>
          <w:color w:val="auto"/>
        </w:rPr>
        <w:t>三、区域环境质量现状、环境保护目标及评价标准</w:t>
      </w:r>
      <w:bookmarkEnd w:id="11"/>
      <w:bookmarkEnd w:id="12"/>
    </w:p>
    <w:tbl>
      <w:tblPr>
        <w:tblStyle w:val="20"/>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9419"/>
      </w:tblGrid>
      <w:tr w14:paraId="7E55B4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2" w:type="pct"/>
            <w:vAlign w:val="center"/>
          </w:tcPr>
          <w:p w14:paraId="10024F79">
            <w:pPr>
              <w:adjustRightInd w:val="0"/>
              <w:snapToGrid w:val="0"/>
              <w:jc w:val="center"/>
              <w:rPr>
                <w:rFonts w:ascii="Times New Roman" w:hAnsi="Times New Roman"/>
                <w:color w:val="auto"/>
                <w:kern w:val="0"/>
              </w:rPr>
            </w:pPr>
            <w:r>
              <w:rPr>
                <w:rFonts w:hint="eastAsia" w:ascii="Times New Roman" w:hAnsi="Times New Roman"/>
                <w:color w:val="auto"/>
                <w:kern w:val="0"/>
              </w:rPr>
              <w:t>区域</w:t>
            </w:r>
          </w:p>
          <w:p w14:paraId="34973A86">
            <w:pPr>
              <w:adjustRightInd w:val="0"/>
              <w:snapToGrid w:val="0"/>
              <w:jc w:val="center"/>
              <w:rPr>
                <w:rFonts w:ascii="Times New Roman" w:hAnsi="Times New Roman"/>
                <w:color w:val="auto"/>
                <w:kern w:val="0"/>
              </w:rPr>
            </w:pPr>
            <w:r>
              <w:rPr>
                <w:rFonts w:hint="eastAsia" w:ascii="Times New Roman" w:hAnsi="Times New Roman"/>
                <w:color w:val="auto"/>
                <w:kern w:val="0"/>
              </w:rPr>
              <w:t>环境</w:t>
            </w:r>
          </w:p>
          <w:p w14:paraId="0BB22DF9">
            <w:pPr>
              <w:adjustRightInd w:val="0"/>
              <w:snapToGrid w:val="0"/>
              <w:jc w:val="center"/>
              <w:rPr>
                <w:rFonts w:ascii="Times New Roman" w:hAnsi="Times New Roman"/>
                <w:color w:val="auto"/>
                <w:kern w:val="0"/>
              </w:rPr>
            </w:pPr>
            <w:r>
              <w:rPr>
                <w:rFonts w:hint="eastAsia" w:ascii="Times New Roman" w:hAnsi="Times New Roman"/>
                <w:color w:val="auto"/>
                <w:kern w:val="0"/>
              </w:rPr>
              <w:t>质量</w:t>
            </w:r>
          </w:p>
          <w:p w14:paraId="3CF31E3D">
            <w:pPr>
              <w:adjustRightInd w:val="0"/>
              <w:snapToGrid w:val="0"/>
              <w:jc w:val="center"/>
              <w:rPr>
                <w:rFonts w:ascii="Times New Roman" w:hAnsi="Times New Roman"/>
                <w:color w:val="auto"/>
                <w:kern w:val="0"/>
                <w:sz w:val="21"/>
                <w:szCs w:val="21"/>
              </w:rPr>
            </w:pPr>
            <w:r>
              <w:rPr>
                <w:rFonts w:hint="eastAsia" w:ascii="Times New Roman" w:hAnsi="Times New Roman"/>
                <w:color w:val="auto"/>
                <w:kern w:val="0"/>
              </w:rPr>
              <w:t>现状</w:t>
            </w:r>
          </w:p>
        </w:tc>
        <w:tc>
          <w:tcPr>
            <w:tcW w:w="4607" w:type="pct"/>
            <w:vAlign w:val="center"/>
          </w:tcPr>
          <w:p w14:paraId="27848FA0">
            <w:pPr>
              <w:numPr>
                <w:ilvl w:val="0"/>
                <w:numId w:val="9"/>
              </w:numPr>
              <w:ind w:firstLine="422"/>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空气环境质量现状</w:t>
            </w:r>
          </w:p>
          <w:p w14:paraId="744644F7">
            <w:pPr>
              <w:ind w:firstLine="480"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rPr>
              <w:t>项目位于</w:t>
            </w:r>
            <w:r>
              <w:rPr>
                <w:rFonts w:hint="eastAsia" w:asciiTheme="minorEastAsia" w:hAnsiTheme="minorEastAsia" w:eastAsiaTheme="minorEastAsia" w:cstheme="minorEastAsia"/>
                <w:color w:val="auto"/>
                <w:lang w:eastAsia="zh-CN"/>
              </w:rPr>
              <w:t>云南省德宏州芒市风平镇帕底村芒市糖厂内</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sz w:val="24"/>
                <w:szCs w:val="24"/>
                <w:highlight w:val="none"/>
              </w:rPr>
              <w:t>根据环境空气质量功能区划分原则及项目周围环境情况，</w:t>
            </w:r>
            <w:r>
              <w:rPr>
                <w:rFonts w:hint="eastAsia" w:asciiTheme="minorEastAsia" w:hAnsiTheme="minorEastAsia" w:eastAsiaTheme="minorEastAsia" w:cstheme="minorEastAsia"/>
                <w:color w:val="auto"/>
                <w:sz w:val="24"/>
                <w:szCs w:val="24"/>
              </w:rPr>
              <w:t>属于环境空气功能二类区，执行《环境空气质量标准》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GB3095-2012</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二级标准。</w:t>
            </w:r>
            <w:r>
              <w:rPr>
                <w:rFonts w:hint="eastAsia" w:asciiTheme="minorEastAsia" w:hAnsiTheme="minorEastAsia" w:eastAsiaTheme="minorEastAsia" w:cstheme="minorEastAsia"/>
                <w:bCs/>
                <w:color w:val="auto"/>
                <w:kern w:val="2"/>
                <w:sz w:val="24"/>
                <w:lang w:val="en-US" w:eastAsia="zh-CN"/>
              </w:rPr>
              <w:t>具体标准限值如下。</w:t>
            </w:r>
          </w:p>
          <w:p w14:paraId="721E1968">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表</w:t>
            </w:r>
            <w:r>
              <w:rPr>
                <w:rFonts w:hint="eastAsia" w:asciiTheme="minorEastAsia" w:hAnsiTheme="minorEastAsia" w:eastAsiaTheme="minorEastAsia" w:cstheme="minorEastAsia"/>
                <w:b/>
                <w:color w:val="auto"/>
                <w:sz w:val="24"/>
                <w:lang w:val="en-US" w:eastAsia="zh-CN"/>
              </w:rPr>
              <w:t xml:space="preserve">3-1 </w:t>
            </w:r>
            <w:r>
              <w:rPr>
                <w:rFonts w:hint="eastAsia" w:asciiTheme="minorEastAsia" w:hAnsiTheme="minorEastAsia" w:eastAsiaTheme="minorEastAsia" w:cstheme="minorEastAsia"/>
                <w:b/>
                <w:color w:val="auto"/>
                <w:sz w:val="24"/>
              </w:rPr>
              <w:t xml:space="preserve"> 环境空气质量标准 </w:t>
            </w:r>
            <w:r>
              <w:rPr>
                <w:rFonts w:hint="eastAsia" w:asciiTheme="minorEastAsia" w:hAnsiTheme="minorEastAsia" w:eastAsiaTheme="minorEastAsia" w:cstheme="minorEastAsia"/>
                <w:b/>
                <w:color w:val="auto"/>
                <w:sz w:val="24"/>
                <w:lang w:val="en-US" w:eastAsia="zh-CN"/>
              </w:rPr>
              <w:t xml:space="preserve"> </w:t>
            </w:r>
            <w:r>
              <w:rPr>
                <w:rFonts w:hint="eastAsia" w:asciiTheme="minorEastAsia" w:hAnsiTheme="minorEastAsia" w:eastAsiaTheme="minorEastAsia" w:cstheme="minorEastAsia"/>
                <w:b/>
                <w:color w:val="auto"/>
                <w:sz w:val="24"/>
              </w:rPr>
              <w:t>单位：µg/m</w:t>
            </w:r>
            <w:r>
              <w:rPr>
                <w:rFonts w:hint="eastAsia" w:asciiTheme="minorEastAsia" w:hAnsiTheme="minorEastAsia" w:eastAsiaTheme="minorEastAsia" w:cstheme="minorEastAsia"/>
                <w:b/>
                <w:color w:val="auto"/>
                <w:sz w:val="24"/>
                <w:vertAlign w:val="superscript"/>
              </w:rPr>
              <w:t>3</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1410"/>
              <w:gridCol w:w="1410"/>
              <w:gridCol w:w="1427"/>
              <w:gridCol w:w="3207"/>
            </w:tblGrid>
            <w:tr w14:paraId="7D8D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44" w:type="pct"/>
                  <w:vMerge w:val="restart"/>
                  <w:noWrap w:val="0"/>
                  <w:vAlign w:val="center"/>
                </w:tcPr>
                <w:p w14:paraId="397DA2A5">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污染因子</w:t>
                  </w:r>
                </w:p>
              </w:tc>
              <w:tc>
                <w:tcPr>
                  <w:tcW w:w="2310" w:type="pct"/>
                  <w:gridSpan w:val="3"/>
                  <w:noWrap w:val="0"/>
                  <w:vAlign w:val="center"/>
                </w:tcPr>
                <w:p w14:paraId="2EFB6E72">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二级标准浓度限值</w:t>
                  </w:r>
                </w:p>
              </w:tc>
              <w:tc>
                <w:tcPr>
                  <w:tcW w:w="1744" w:type="pct"/>
                  <w:vMerge w:val="restart"/>
                  <w:noWrap w:val="0"/>
                  <w:vAlign w:val="center"/>
                </w:tcPr>
                <w:p w14:paraId="0A329C32">
                  <w:pPr>
                    <w:pStyle w:val="53"/>
                    <w:keepNext w:val="0"/>
                    <w:keepLines w:val="0"/>
                    <w:suppressLineNumbers w:val="0"/>
                    <w:spacing w:before="0" w:beforeAutospacing="0" w:after="0" w:afterAutospacing="0"/>
                    <w:ind w:left="0" w:right="0"/>
                    <w:rPr>
                      <w:rFonts w:hint="eastAsia"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执行标准</w:t>
                  </w:r>
                </w:p>
              </w:tc>
            </w:tr>
            <w:tr w14:paraId="5A5E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44" w:type="pct"/>
                  <w:vMerge w:val="continue"/>
                  <w:noWrap w:val="0"/>
                  <w:vAlign w:val="center"/>
                </w:tcPr>
                <w:p w14:paraId="7E3BD6AF">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p>
              </w:tc>
              <w:tc>
                <w:tcPr>
                  <w:tcW w:w="767" w:type="pct"/>
                  <w:noWrap w:val="0"/>
                  <w:vAlign w:val="center"/>
                </w:tcPr>
                <w:p w14:paraId="5D5F6446">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1小时平均</w:t>
                  </w:r>
                </w:p>
              </w:tc>
              <w:tc>
                <w:tcPr>
                  <w:tcW w:w="767" w:type="pct"/>
                  <w:noWrap w:val="0"/>
                  <w:vAlign w:val="center"/>
                </w:tcPr>
                <w:p w14:paraId="6C7626F1">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24小时平均</w:t>
                  </w:r>
                </w:p>
              </w:tc>
              <w:tc>
                <w:tcPr>
                  <w:tcW w:w="776" w:type="pct"/>
                  <w:noWrap w:val="0"/>
                  <w:vAlign w:val="center"/>
                </w:tcPr>
                <w:p w14:paraId="14C917E1">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年平均</w:t>
                  </w:r>
                </w:p>
              </w:tc>
              <w:tc>
                <w:tcPr>
                  <w:tcW w:w="1744" w:type="pct"/>
                  <w:vMerge w:val="continue"/>
                  <w:noWrap w:val="0"/>
                  <w:vAlign w:val="center"/>
                </w:tcPr>
                <w:p w14:paraId="427123DA">
                  <w:pPr>
                    <w:pStyle w:val="53"/>
                    <w:keepNext w:val="0"/>
                    <w:keepLines w:val="0"/>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rPr>
                  </w:pPr>
                </w:p>
              </w:tc>
            </w:tr>
            <w:tr w14:paraId="2413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44" w:type="pct"/>
                  <w:noWrap w:val="0"/>
                  <w:vAlign w:val="center"/>
                </w:tcPr>
                <w:p w14:paraId="6FB846C5">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SO</w:t>
                  </w:r>
                  <w:r>
                    <w:rPr>
                      <w:rFonts w:hint="eastAsia" w:asciiTheme="minorEastAsia" w:hAnsiTheme="minorEastAsia" w:eastAsiaTheme="minorEastAsia" w:cstheme="minorEastAsia"/>
                      <w:color w:val="auto"/>
                      <w:sz w:val="21"/>
                      <w:szCs w:val="21"/>
                      <w:vertAlign w:val="subscript"/>
                    </w:rPr>
                    <w:t>2</w:t>
                  </w:r>
                </w:p>
              </w:tc>
              <w:tc>
                <w:tcPr>
                  <w:tcW w:w="767" w:type="pct"/>
                  <w:noWrap w:val="0"/>
                  <w:vAlign w:val="center"/>
                </w:tcPr>
                <w:p w14:paraId="3C1F375D">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500</w:t>
                  </w:r>
                </w:p>
              </w:tc>
              <w:tc>
                <w:tcPr>
                  <w:tcW w:w="767" w:type="pct"/>
                  <w:noWrap w:val="0"/>
                  <w:vAlign w:val="center"/>
                </w:tcPr>
                <w:p w14:paraId="0B3C44A1">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150</w:t>
                  </w:r>
                </w:p>
              </w:tc>
              <w:tc>
                <w:tcPr>
                  <w:tcW w:w="776" w:type="pct"/>
                  <w:noWrap w:val="0"/>
                  <w:vAlign w:val="center"/>
                </w:tcPr>
                <w:p w14:paraId="037B9B21">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60</w:t>
                  </w:r>
                </w:p>
              </w:tc>
              <w:tc>
                <w:tcPr>
                  <w:tcW w:w="1744" w:type="pct"/>
                  <w:vMerge w:val="restart"/>
                  <w:noWrap w:val="0"/>
                  <w:vAlign w:val="center"/>
                </w:tcPr>
                <w:p w14:paraId="089EACC2">
                  <w:pPr>
                    <w:pStyle w:val="53"/>
                    <w:keepNext w:val="0"/>
                    <w:keepLines w:val="0"/>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《环境空气质量标准》(GB3095-2012)二级标准</w:t>
                  </w:r>
                </w:p>
              </w:tc>
            </w:tr>
            <w:tr w14:paraId="650A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944" w:type="pct"/>
                  <w:noWrap w:val="0"/>
                  <w:vAlign w:val="center"/>
                </w:tcPr>
                <w:p w14:paraId="3BB0DA48">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NO</w:t>
                  </w:r>
                  <w:r>
                    <w:rPr>
                      <w:rFonts w:hint="eastAsia" w:asciiTheme="minorEastAsia" w:hAnsiTheme="minorEastAsia" w:eastAsiaTheme="minorEastAsia" w:cstheme="minorEastAsia"/>
                      <w:color w:val="auto"/>
                      <w:sz w:val="21"/>
                      <w:szCs w:val="21"/>
                      <w:vertAlign w:val="subscript"/>
                    </w:rPr>
                    <w:t>2</w:t>
                  </w:r>
                </w:p>
              </w:tc>
              <w:tc>
                <w:tcPr>
                  <w:tcW w:w="767" w:type="pct"/>
                  <w:noWrap w:val="0"/>
                  <w:vAlign w:val="center"/>
                </w:tcPr>
                <w:p w14:paraId="3AC0FDCC">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200</w:t>
                  </w:r>
                </w:p>
              </w:tc>
              <w:tc>
                <w:tcPr>
                  <w:tcW w:w="767" w:type="pct"/>
                  <w:noWrap w:val="0"/>
                  <w:vAlign w:val="center"/>
                </w:tcPr>
                <w:p w14:paraId="16729E2E">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80</w:t>
                  </w:r>
                </w:p>
              </w:tc>
              <w:tc>
                <w:tcPr>
                  <w:tcW w:w="776" w:type="pct"/>
                  <w:noWrap w:val="0"/>
                  <w:vAlign w:val="center"/>
                </w:tcPr>
                <w:p w14:paraId="0FC78A4A">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40</w:t>
                  </w:r>
                </w:p>
              </w:tc>
              <w:tc>
                <w:tcPr>
                  <w:tcW w:w="1744" w:type="pct"/>
                  <w:vMerge w:val="continue"/>
                  <w:noWrap w:val="0"/>
                  <w:vAlign w:val="center"/>
                </w:tcPr>
                <w:p w14:paraId="450448BA">
                  <w:pPr>
                    <w:pStyle w:val="53"/>
                    <w:keepNext w:val="0"/>
                    <w:keepLines w:val="0"/>
                    <w:suppressLineNumbers w:val="0"/>
                    <w:spacing w:before="0" w:beforeAutospacing="0" w:after="0" w:afterAutospacing="0"/>
                    <w:ind w:left="0" w:right="0"/>
                    <w:rPr>
                      <w:rFonts w:hint="eastAsia" w:ascii="Times New Roman" w:hAnsi="Times New Roman" w:eastAsia="宋体" w:cs="宋体"/>
                      <w:color w:val="auto"/>
                      <w:sz w:val="21"/>
                      <w:szCs w:val="21"/>
                    </w:rPr>
                  </w:pPr>
                </w:p>
              </w:tc>
            </w:tr>
            <w:tr w14:paraId="667C3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4" w:type="pct"/>
                  <w:noWrap w:val="0"/>
                  <w:vAlign w:val="center"/>
                </w:tcPr>
                <w:p w14:paraId="5F963874">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NO</w:t>
                  </w:r>
                  <w:r>
                    <w:rPr>
                      <w:rFonts w:hint="eastAsia" w:asciiTheme="minorEastAsia" w:hAnsiTheme="minorEastAsia" w:eastAsiaTheme="minorEastAsia" w:cstheme="minorEastAsia"/>
                      <w:color w:val="auto"/>
                      <w:sz w:val="21"/>
                      <w:szCs w:val="21"/>
                      <w:vertAlign w:val="subscript"/>
                    </w:rPr>
                    <w:t>x</w:t>
                  </w:r>
                </w:p>
              </w:tc>
              <w:tc>
                <w:tcPr>
                  <w:tcW w:w="767" w:type="pct"/>
                  <w:noWrap w:val="0"/>
                  <w:vAlign w:val="center"/>
                </w:tcPr>
                <w:p w14:paraId="5EB2D3B2">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250</w:t>
                  </w:r>
                </w:p>
              </w:tc>
              <w:tc>
                <w:tcPr>
                  <w:tcW w:w="767" w:type="pct"/>
                  <w:noWrap w:val="0"/>
                  <w:vAlign w:val="center"/>
                </w:tcPr>
                <w:p w14:paraId="64FCB01C">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100</w:t>
                  </w:r>
                </w:p>
              </w:tc>
              <w:tc>
                <w:tcPr>
                  <w:tcW w:w="776" w:type="pct"/>
                  <w:noWrap w:val="0"/>
                  <w:vAlign w:val="center"/>
                </w:tcPr>
                <w:p w14:paraId="6D74EBBF">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50</w:t>
                  </w:r>
                </w:p>
              </w:tc>
              <w:tc>
                <w:tcPr>
                  <w:tcW w:w="1744" w:type="pct"/>
                  <w:vMerge w:val="continue"/>
                  <w:noWrap w:val="0"/>
                  <w:vAlign w:val="center"/>
                </w:tcPr>
                <w:p w14:paraId="5E821590">
                  <w:pPr>
                    <w:pStyle w:val="53"/>
                    <w:keepNext w:val="0"/>
                    <w:keepLines w:val="0"/>
                    <w:suppressLineNumbers w:val="0"/>
                    <w:spacing w:before="0" w:beforeAutospacing="0" w:after="0" w:afterAutospacing="0"/>
                    <w:ind w:left="0" w:right="0"/>
                    <w:rPr>
                      <w:rFonts w:hint="eastAsia" w:ascii="Times New Roman" w:hAnsi="Times New Roman" w:eastAsia="宋体" w:cs="宋体"/>
                      <w:color w:val="auto"/>
                      <w:sz w:val="21"/>
                      <w:szCs w:val="21"/>
                    </w:rPr>
                  </w:pPr>
                </w:p>
              </w:tc>
            </w:tr>
            <w:tr w14:paraId="6A42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944" w:type="pct"/>
                  <w:noWrap w:val="0"/>
                  <w:vAlign w:val="center"/>
                </w:tcPr>
                <w:p w14:paraId="0796F3A6">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TSP</w:t>
                  </w:r>
                </w:p>
              </w:tc>
              <w:tc>
                <w:tcPr>
                  <w:tcW w:w="767" w:type="pct"/>
                  <w:noWrap w:val="0"/>
                  <w:vAlign w:val="center"/>
                </w:tcPr>
                <w:p w14:paraId="1DFAE03B">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tc>
              <w:tc>
                <w:tcPr>
                  <w:tcW w:w="767" w:type="pct"/>
                  <w:noWrap w:val="0"/>
                  <w:vAlign w:val="center"/>
                </w:tcPr>
                <w:p w14:paraId="46559E6B">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300</w:t>
                  </w:r>
                </w:p>
              </w:tc>
              <w:tc>
                <w:tcPr>
                  <w:tcW w:w="776" w:type="pct"/>
                  <w:noWrap w:val="0"/>
                  <w:vAlign w:val="center"/>
                </w:tcPr>
                <w:p w14:paraId="51047984">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200</w:t>
                  </w:r>
                </w:p>
              </w:tc>
              <w:tc>
                <w:tcPr>
                  <w:tcW w:w="1744" w:type="pct"/>
                  <w:vMerge w:val="continue"/>
                  <w:noWrap w:val="0"/>
                  <w:vAlign w:val="center"/>
                </w:tcPr>
                <w:p w14:paraId="1D91F864">
                  <w:pPr>
                    <w:pStyle w:val="53"/>
                    <w:keepNext w:val="0"/>
                    <w:keepLines w:val="0"/>
                    <w:suppressLineNumbers w:val="0"/>
                    <w:spacing w:before="0" w:beforeAutospacing="0" w:after="0" w:afterAutospacing="0"/>
                    <w:ind w:left="0" w:right="0"/>
                    <w:rPr>
                      <w:rFonts w:hint="eastAsia" w:ascii="Times New Roman" w:hAnsi="Times New Roman" w:eastAsia="宋体" w:cs="宋体"/>
                      <w:color w:val="auto"/>
                      <w:sz w:val="21"/>
                      <w:szCs w:val="21"/>
                    </w:rPr>
                  </w:pPr>
                </w:p>
              </w:tc>
            </w:tr>
            <w:tr w14:paraId="5925A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4" w:type="pct"/>
                  <w:noWrap w:val="0"/>
                  <w:vAlign w:val="center"/>
                </w:tcPr>
                <w:p w14:paraId="5FB9021A">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PM</w:t>
                  </w:r>
                  <w:r>
                    <w:rPr>
                      <w:rFonts w:hint="eastAsia" w:asciiTheme="minorEastAsia" w:hAnsiTheme="minorEastAsia" w:eastAsiaTheme="minorEastAsia" w:cstheme="minorEastAsia"/>
                      <w:color w:val="auto"/>
                      <w:sz w:val="21"/>
                      <w:szCs w:val="21"/>
                      <w:vertAlign w:val="subscript"/>
                    </w:rPr>
                    <w:t>10</w:t>
                  </w:r>
                </w:p>
              </w:tc>
              <w:tc>
                <w:tcPr>
                  <w:tcW w:w="767" w:type="pct"/>
                  <w:noWrap w:val="0"/>
                  <w:vAlign w:val="center"/>
                </w:tcPr>
                <w:p w14:paraId="546455C4">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tc>
              <w:tc>
                <w:tcPr>
                  <w:tcW w:w="767" w:type="pct"/>
                  <w:noWrap w:val="0"/>
                  <w:vAlign w:val="center"/>
                </w:tcPr>
                <w:p w14:paraId="41F95D7F">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150</w:t>
                  </w:r>
                </w:p>
              </w:tc>
              <w:tc>
                <w:tcPr>
                  <w:tcW w:w="776" w:type="pct"/>
                  <w:noWrap w:val="0"/>
                  <w:vAlign w:val="center"/>
                </w:tcPr>
                <w:p w14:paraId="1B2D6432">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70</w:t>
                  </w:r>
                </w:p>
              </w:tc>
              <w:tc>
                <w:tcPr>
                  <w:tcW w:w="1744" w:type="pct"/>
                  <w:vMerge w:val="continue"/>
                  <w:noWrap w:val="0"/>
                  <w:vAlign w:val="center"/>
                </w:tcPr>
                <w:p w14:paraId="664ADD72">
                  <w:pPr>
                    <w:pStyle w:val="53"/>
                    <w:keepNext w:val="0"/>
                    <w:keepLines w:val="0"/>
                    <w:suppressLineNumbers w:val="0"/>
                    <w:spacing w:before="0" w:beforeAutospacing="0" w:after="0" w:afterAutospacing="0"/>
                    <w:ind w:left="0" w:right="0"/>
                    <w:rPr>
                      <w:rFonts w:hint="eastAsia" w:ascii="Times New Roman" w:hAnsi="Times New Roman" w:eastAsia="宋体" w:cs="宋体"/>
                      <w:color w:val="auto"/>
                      <w:sz w:val="21"/>
                      <w:szCs w:val="21"/>
                    </w:rPr>
                  </w:pPr>
                </w:p>
              </w:tc>
            </w:tr>
            <w:tr w14:paraId="6850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44" w:type="pct"/>
                  <w:noWrap w:val="0"/>
                  <w:vAlign w:val="center"/>
                </w:tcPr>
                <w:p w14:paraId="360C50E3">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PM</w:t>
                  </w:r>
                  <w:r>
                    <w:rPr>
                      <w:rFonts w:hint="eastAsia" w:asciiTheme="minorEastAsia" w:hAnsiTheme="minorEastAsia" w:eastAsiaTheme="minorEastAsia" w:cstheme="minorEastAsia"/>
                      <w:color w:val="auto"/>
                      <w:sz w:val="21"/>
                      <w:szCs w:val="21"/>
                      <w:vertAlign w:val="subscript"/>
                    </w:rPr>
                    <w:t>2.5</w:t>
                  </w:r>
                </w:p>
              </w:tc>
              <w:tc>
                <w:tcPr>
                  <w:tcW w:w="767" w:type="pct"/>
                  <w:noWrap w:val="0"/>
                  <w:vAlign w:val="center"/>
                </w:tcPr>
                <w:p w14:paraId="7AFDE416">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tc>
              <w:tc>
                <w:tcPr>
                  <w:tcW w:w="767" w:type="pct"/>
                  <w:noWrap w:val="0"/>
                  <w:vAlign w:val="center"/>
                </w:tcPr>
                <w:p w14:paraId="09F3B493">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75</w:t>
                  </w:r>
                </w:p>
              </w:tc>
              <w:tc>
                <w:tcPr>
                  <w:tcW w:w="776" w:type="pct"/>
                  <w:noWrap w:val="0"/>
                  <w:vAlign w:val="center"/>
                </w:tcPr>
                <w:p w14:paraId="5740ED5F">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35</w:t>
                  </w:r>
                </w:p>
              </w:tc>
              <w:tc>
                <w:tcPr>
                  <w:tcW w:w="1744" w:type="pct"/>
                  <w:vMerge w:val="continue"/>
                  <w:noWrap w:val="0"/>
                  <w:vAlign w:val="center"/>
                </w:tcPr>
                <w:p w14:paraId="3E49F70C">
                  <w:pPr>
                    <w:pStyle w:val="53"/>
                    <w:keepNext w:val="0"/>
                    <w:keepLines w:val="0"/>
                    <w:suppressLineNumbers w:val="0"/>
                    <w:spacing w:before="0" w:beforeAutospacing="0" w:after="0" w:afterAutospacing="0"/>
                    <w:ind w:left="0" w:right="0"/>
                    <w:rPr>
                      <w:rFonts w:hint="eastAsia" w:ascii="Times New Roman" w:hAnsi="Times New Roman" w:eastAsia="宋体" w:cs="宋体"/>
                      <w:color w:val="auto"/>
                      <w:sz w:val="21"/>
                      <w:szCs w:val="21"/>
                    </w:rPr>
                  </w:pPr>
                </w:p>
              </w:tc>
            </w:tr>
            <w:tr w14:paraId="7FF6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44" w:type="pct"/>
                  <w:noWrap w:val="0"/>
                  <w:vAlign w:val="center"/>
                </w:tcPr>
                <w:p w14:paraId="35422CED">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CO</w:t>
                  </w:r>
                </w:p>
              </w:tc>
              <w:tc>
                <w:tcPr>
                  <w:tcW w:w="767" w:type="pct"/>
                  <w:noWrap w:val="0"/>
                  <w:vAlign w:val="center"/>
                </w:tcPr>
                <w:p w14:paraId="65269A04">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p>
              </w:tc>
              <w:tc>
                <w:tcPr>
                  <w:tcW w:w="767" w:type="pct"/>
                  <w:noWrap w:val="0"/>
                  <w:vAlign w:val="center"/>
                </w:tcPr>
                <w:p w14:paraId="3414B514">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p>
              </w:tc>
              <w:tc>
                <w:tcPr>
                  <w:tcW w:w="776" w:type="pct"/>
                  <w:noWrap w:val="0"/>
                  <w:vAlign w:val="center"/>
                </w:tcPr>
                <w:p w14:paraId="712DAFC5">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tc>
              <w:tc>
                <w:tcPr>
                  <w:tcW w:w="1744" w:type="pct"/>
                  <w:vMerge w:val="continue"/>
                  <w:noWrap w:val="0"/>
                  <w:vAlign w:val="center"/>
                </w:tcPr>
                <w:p w14:paraId="498F21B2">
                  <w:pPr>
                    <w:pStyle w:val="53"/>
                    <w:keepNext w:val="0"/>
                    <w:keepLines w:val="0"/>
                    <w:suppressLineNumbers w:val="0"/>
                    <w:spacing w:before="0" w:beforeAutospacing="0" w:after="0" w:afterAutospacing="0"/>
                    <w:ind w:left="0" w:right="0"/>
                    <w:rPr>
                      <w:rFonts w:hint="eastAsia" w:ascii="Times New Roman" w:hAnsi="Times New Roman" w:eastAsia="宋体" w:cs="宋体"/>
                      <w:color w:val="auto"/>
                      <w:sz w:val="21"/>
                      <w:szCs w:val="21"/>
                    </w:rPr>
                  </w:pPr>
                </w:p>
              </w:tc>
            </w:tr>
            <w:tr w14:paraId="4202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44" w:type="pct"/>
                  <w:noWrap w:val="0"/>
                  <w:vAlign w:val="center"/>
                </w:tcPr>
                <w:p w14:paraId="692A5B52">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O</w:t>
                  </w:r>
                  <w:r>
                    <w:rPr>
                      <w:rFonts w:hint="eastAsia" w:asciiTheme="minorEastAsia" w:hAnsiTheme="minorEastAsia" w:eastAsiaTheme="minorEastAsia" w:cstheme="minorEastAsia"/>
                      <w:color w:val="auto"/>
                      <w:sz w:val="21"/>
                      <w:szCs w:val="21"/>
                      <w:vertAlign w:val="subscript"/>
                    </w:rPr>
                    <w:t>3</w:t>
                  </w:r>
                </w:p>
              </w:tc>
              <w:tc>
                <w:tcPr>
                  <w:tcW w:w="767" w:type="pct"/>
                  <w:noWrap w:val="0"/>
                  <w:vAlign w:val="center"/>
                </w:tcPr>
                <w:p w14:paraId="1387A72B">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200</w:t>
                  </w:r>
                </w:p>
              </w:tc>
              <w:tc>
                <w:tcPr>
                  <w:tcW w:w="767" w:type="pct"/>
                  <w:noWrap w:val="0"/>
                  <w:vAlign w:val="center"/>
                </w:tcPr>
                <w:p w14:paraId="51EAFA3B">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tc>
              <w:tc>
                <w:tcPr>
                  <w:tcW w:w="776" w:type="pct"/>
                  <w:noWrap w:val="0"/>
                  <w:vAlign w:val="center"/>
                </w:tcPr>
                <w:p w14:paraId="7821B43A">
                  <w:pPr>
                    <w:pStyle w:val="5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tc>
              <w:tc>
                <w:tcPr>
                  <w:tcW w:w="1744" w:type="pct"/>
                  <w:vMerge w:val="continue"/>
                  <w:noWrap w:val="0"/>
                  <w:vAlign w:val="center"/>
                </w:tcPr>
                <w:p w14:paraId="51B7D1AB">
                  <w:pPr>
                    <w:pStyle w:val="53"/>
                    <w:keepNext w:val="0"/>
                    <w:keepLines w:val="0"/>
                    <w:suppressLineNumbers w:val="0"/>
                    <w:spacing w:before="0" w:beforeAutospacing="0" w:after="0" w:afterAutospacing="0"/>
                    <w:ind w:left="0" w:right="0"/>
                    <w:rPr>
                      <w:rFonts w:hint="eastAsia" w:ascii="Times New Roman" w:hAnsi="Times New Roman" w:eastAsia="宋体" w:cs="宋体"/>
                      <w:color w:val="auto"/>
                      <w:sz w:val="21"/>
                      <w:szCs w:val="21"/>
                    </w:rPr>
                  </w:pPr>
                </w:p>
              </w:tc>
            </w:tr>
          </w:tbl>
          <w:p w14:paraId="107E8660">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根据《德宏州2020年环境质量状况公报》，芒市有效监测天数359天，优235天，良121天，轻度污染3天。按空气质量指数（AQI）评价，优良率为99.2%，与2019年相比下降0.8%。污染发生的时间为3-4 月份。首要污染物为可吸入颗粒物、细颗粒物和臭氧。年度综合评价，芒市环境空气质量达到二级标准，环境空气质量综合指数2.83。具体的监测数据见表 3-2。</w:t>
            </w:r>
          </w:p>
          <w:p w14:paraId="1FFE099C">
            <w:pPr>
              <w:adjustRightInd w:val="0"/>
              <w:snapToGrid w:val="0"/>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表</w:t>
            </w:r>
            <w:r>
              <w:rPr>
                <w:rFonts w:hint="eastAsia" w:asciiTheme="minorEastAsia" w:hAnsiTheme="minorEastAsia" w:eastAsiaTheme="minorEastAsia" w:cstheme="minorEastAsia"/>
                <w:b/>
                <w:bCs/>
                <w:color w:val="auto"/>
                <w:sz w:val="24"/>
                <w:szCs w:val="24"/>
                <w:lang w:val="en-US" w:eastAsia="zh-CN"/>
              </w:rPr>
              <w:t>3</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2</w:t>
            </w:r>
            <w:r>
              <w:rPr>
                <w:rFonts w:hint="eastAsia" w:asciiTheme="minorEastAsia" w:hAnsiTheme="minorEastAsia" w:eastAsiaTheme="minorEastAsia" w:cstheme="minorEastAsia"/>
                <w:b/>
                <w:bCs/>
                <w:color w:val="auto"/>
                <w:sz w:val="24"/>
                <w:szCs w:val="24"/>
              </w:rPr>
              <w:t xml:space="preserve"> </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rPr>
              <w:t>20</w:t>
            </w:r>
            <w:r>
              <w:rPr>
                <w:rFonts w:hint="eastAsia" w:asciiTheme="minorEastAsia" w:hAnsiTheme="minorEastAsia" w:eastAsiaTheme="minorEastAsia" w:cstheme="minorEastAsia"/>
                <w:b/>
                <w:bCs/>
                <w:color w:val="auto"/>
                <w:sz w:val="24"/>
                <w:szCs w:val="24"/>
                <w:lang w:val="en-US" w:eastAsia="zh-CN"/>
              </w:rPr>
              <w:t>20</w:t>
            </w:r>
            <w:r>
              <w:rPr>
                <w:rFonts w:hint="eastAsia" w:asciiTheme="minorEastAsia" w:hAnsiTheme="minorEastAsia" w:eastAsiaTheme="minorEastAsia" w:cstheme="minorEastAsia"/>
                <w:b/>
                <w:bCs/>
                <w:color w:val="auto"/>
                <w:sz w:val="24"/>
                <w:szCs w:val="24"/>
              </w:rPr>
              <w:t>年德宏州</w:t>
            </w:r>
            <w:r>
              <w:rPr>
                <w:rFonts w:hint="eastAsia" w:asciiTheme="minorEastAsia" w:hAnsiTheme="minorEastAsia" w:eastAsiaTheme="minorEastAsia" w:cstheme="minorEastAsia"/>
                <w:b/>
                <w:bCs/>
                <w:color w:val="auto"/>
                <w:sz w:val="24"/>
                <w:szCs w:val="24"/>
                <w:lang w:val="en-US" w:eastAsia="zh-CN"/>
              </w:rPr>
              <w:t>芒市</w:t>
            </w:r>
            <w:r>
              <w:rPr>
                <w:rFonts w:hint="eastAsia" w:asciiTheme="minorEastAsia" w:hAnsiTheme="minorEastAsia" w:eastAsiaTheme="minorEastAsia" w:cstheme="minorEastAsia"/>
                <w:b/>
                <w:bCs/>
                <w:color w:val="auto"/>
                <w:sz w:val="24"/>
                <w:szCs w:val="24"/>
              </w:rPr>
              <w:t>环境空</w:t>
            </w:r>
            <w:r>
              <w:rPr>
                <w:rFonts w:hint="eastAsia" w:asciiTheme="minorEastAsia" w:hAnsiTheme="minorEastAsia" w:eastAsiaTheme="minorEastAsia" w:cstheme="minorEastAsia"/>
                <w:b/>
                <w:bCs/>
                <w:color w:val="auto"/>
                <w:sz w:val="24"/>
                <w:szCs w:val="24"/>
                <w:lang w:val="en-US" w:eastAsia="zh-CN"/>
              </w:rPr>
              <w:t>气监测结果</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047"/>
              <w:gridCol w:w="1114"/>
              <w:gridCol w:w="1126"/>
              <w:gridCol w:w="1141"/>
              <w:gridCol w:w="1114"/>
              <w:gridCol w:w="1228"/>
              <w:gridCol w:w="1114"/>
              <w:gridCol w:w="656"/>
            </w:tblGrid>
            <w:tr w14:paraId="7410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65" w:type="pct"/>
                  <w:noWrap w:val="0"/>
                  <w:vAlign w:val="center"/>
                </w:tcPr>
                <w:p w14:paraId="7AE96088">
                  <w:pPr>
                    <w:adjustRightInd w:val="0"/>
                    <w:snapToGrid w:val="0"/>
                    <w:spacing w:line="240" w:lineRule="auto"/>
                    <w:jc w:val="center"/>
                    <w:rPr>
                      <w:rFonts w:hint="eastAsia" w:asciiTheme="minorEastAsia" w:hAnsiTheme="minorEastAsia" w:eastAsiaTheme="minorEastAsia" w:cstheme="minorEastAsia"/>
                      <w:b/>
                      <w:bCs/>
                      <w:color w:val="auto"/>
                      <w:sz w:val="21"/>
                      <w:szCs w:val="21"/>
                      <w:vertAlign w:val="baseline"/>
                      <w:lang w:eastAsia="zh-CN"/>
                    </w:rPr>
                  </w:pPr>
                  <w:r>
                    <w:rPr>
                      <w:rFonts w:hint="eastAsia" w:asciiTheme="minorEastAsia" w:hAnsiTheme="minorEastAsia" w:eastAsiaTheme="minorEastAsia" w:cstheme="minorEastAsia"/>
                      <w:b/>
                      <w:bCs/>
                      <w:color w:val="auto"/>
                      <w:sz w:val="21"/>
                      <w:szCs w:val="21"/>
                      <w:vertAlign w:val="baseline"/>
                      <w:lang w:eastAsia="zh-CN"/>
                    </w:rPr>
                    <w:t>监测点位</w:t>
                  </w:r>
                </w:p>
              </w:tc>
              <w:tc>
                <w:tcPr>
                  <w:tcW w:w="583" w:type="pct"/>
                  <w:noWrap w:val="0"/>
                  <w:vAlign w:val="center"/>
                </w:tcPr>
                <w:p w14:paraId="688A9E6D">
                  <w:pPr>
                    <w:adjustRightInd w:val="0"/>
                    <w:snapToGrid w:val="0"/>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平均时间</w:t>
                  </w:r>
                </w:p>
              </w:tc>
              <w:tc>
                <w:tcPr>
                  <w:tcW w:w="558" w:type="pct"/>
                  <w:noWrap w:val="0"/>
                  <w:vAlign w:val="center"/>
                </w:tcPr>
                <w:p w14:paraId="6407CC89">
                  <w:pPr>
                    <w:adjustRightInd w:val="0"/>
                    <w:snapToGrid w:val="0"/>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SO</w:t>
                  </w:r>
                  <w:r>
                    <w:rPr>
                      <w:rFonts w:hint="eastAsia" w:asciiTheme="minorEastAsia" w:hAnsiTheme="minorEastAsia" w:eastAsiaTheme="minorEastAsia" w:cstheme="minorEastAsia"/>
                      <w:b/>
                      <w:bCs/>
                      <w:color w:val="auto"/>
                      <w:sz w:val="21"/>
                      <w:szCs w:val="21"/>
                      <w:vertAlign w:val="subscript"/>
                      <w:lang w:val="en-US" w:eastAsia="zh-CN"/>
                    </w:rPr>
                    <w:t>2</w:t>
                  </w:r>
                </w:p>
                <w:p w14:paraId="74F509F6">
                  <w:pPr>
                    <w:adjustRightInd w:val="0"/>
                    <w:snapToGrid w:val="0"/>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（ug/m</w:t>
                  </w:r>
                  <w:r>
                    <w:rPr>
                      <w:rFonts w:hint="eastAsia" w:asciiTheme="minorEastAsia" w:hAnsiTheme="minorEastAsia" w:eastAsiaTheme="minorEastAsia" w:cstheme="minorEastAsia"/>
                      <w:b/>
                      <w:bCs/>
                      <w:color w:val="auto"/>
                      <w:sz w:val="21"/>
                      <w:szCs w:val="21"/>
                      <w:vertAlign w:val="superscript"/>
                      <w:lang w:val="en-US" w:eastAsia="zh-CN"/>
                    </w:rPr>
                    <w:t>3</w:t>
                  </w:r>
                  <w:r>
                    <w:rPr>
                      <w:rFonts w:hint="eastAsia" w:asciiTheme="minorEastAsia" w:hAnsiTheme="minorEastAsia" w:eastAsiaTheme="minorEastAsia" w:cstheme="minorEastAsia"/>
                      <w:b/>
                      <w:bCs/>
                      <w:color w:val="auto"/>
                      <w:sz w:val="21"/>
                      <w:szCs w:val="21"/>
                      <w:vertAlign w:val="baseline"/>
                      <w:lang w:val="en-US" w:eastAsia="zh-CN"/>
                    </w:rPr>
                    <w:t>）</w:t>
                  </w:r>
                </w:p>
              </w:tc>
              <w:tc>
                <w:tcPr>
                  <w:tcW w:w="626" w:type="pct"/>
                  <w:noWrap w:val="0"/>
                  <w:vAlign w:val="center"/>
                </w:tcPr>
                <w:p w14:paraId="3F00B330">
                  <w:pPr>
                    <w:adjustRightInd w:val="0"/>
                    <w:snapToGrid w:val="0"/>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NO</w:t>
                  </w:r>
                  <w:r>
                    <w:rPr>
                      <w:rFonts w:hint="eastAsia" w:asciiTheme="minorEastAsia" w:hAnsiTheme="minorEastAsia" w:eastAsiaTheme="minorEastAsia" w:cstheme="minorEastAsia"/>
                      <w:b/>
                      <w:bCs/>
                      <w:color w:val="auto"/>
                      <w:sz w:val="21"/>
                      <w:szCs w:val="21"/>
                      <w:vertAlign w:val="subscript"/>
                      <w:lang w:val="en-US" w:eastAsia="zh-CN"/>
                    </w:rPr>
                    <w:t>2</w:t>
                  </w:r>
                  <w:r>
                    <w:rPr>
                      <w:rFonts w:hint="eastAsia" w:asciiTheme="minorEastAsia" w:hAnsiTheme="minorEastAsia" w:eastAsiaTheme="minorEastAsia" w:cstheme="minorEastAsia"/>
                      <w:b/>
                      <w:bCs/>
                      <w:color w:val="auto"/>
                      <w:sz w:val="21"/>
                      <w:szCs w:val="21"/>
                      <w:vertAlign w:val="baseline"/>
                      <w:lang w:val="en-US" w:eastAsia="zh-CN"/>
                    </w:rPr>
                    <w:t>（ug/m</w:t>
                  </w:r>
                  <w:r>
                    <w:rPr>
                      <w:rFonts w:hint="eastAsia" w:asciiTheme="minorEastAsia" w:hAnsiTheme="minorEastAsia" w:eastAsiaTheme="minorEastAsia" w:cstheme="minorEastAsia"/>
                      <w:b/>
                      <w:bCs/>
                      <w:color w:val="auto"/>
                      <w:sz w:val="21"/>
                      <w:szCs w:val="21"/>
                      <w:vertAlign w:val="superscript"/>
                      <w:lang w:val="en-US" w:eastAsia="zh-CN"/>
                    </w:rPr>
                    <w:t>3</w:t>
                  </w:r>
                  <w:r>
                    <w:rPr>
                      <w:rFonts w:hint="eastAsia" w:asciiTheme="minorEastAsia" w:hAnsiTheme="minorEastAsia" w:eastAsiaTheme="minorEastAsia" w:cstheme="minorEastAsia"/>
                      <w:b/>
                      <w:bCs/>
                      <w:color w:val="auto"/>
                      <w:sz w:val="21"/>
                      <w:szCs w:val="21"/>
                      <w:vertAlign w:val="baseline"/>
                      <w:lang w:val="en-US" w:eastAsia="zh-CN"/>
                    </w:rPr>
                    <w:t>）</w:t>
                  </w:r>
                </w:p>
              </w:tc>
              <w:tc>
                <w:tcPr>
                  <w:tcW w:w="634" w:type="pct"/>
                  <w:noWrap w:val="0"/>
                  <w:vAlign w:val="center"/>
                </w:tcPr>
                <w:p w14:paraId="387EA74E">
                  <w:pPr>
                    <w:adjustRightInd w:val="0"/>
                    <w:snapToGrid w:val="0"/>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PM</w:t>
                  </w:r>
                  <w:r>
                    <w:rPr>
                      <w:rFonts w:hint="eastAsia" w:asciiTheme="minorEastAsia" w:hAnsiTheme="minorEastAsia" w:eastAsiaTheme="minorEastAsia" w:cstheme="minorEastAsia"/>
                      <w:b/>
                      <w:bCs/>
                      <w:color w:val="auto"/>
                      <w:sz w:val="21"/>
                      <w:szCs w:val="21"/>
                      <w:vertAlign w:val="subscript"/>
                      <w:lang w:val="en-US" w:eastAsia="zh-CN"/>
                    </w:rPr>
                    <w:t>10</w:t>
                  </w:r>
                  <w:r>
                    <w:rPr>
                      <w:rFonts w:hint="eastAsia" w:asciiTheme="minorEastAsia" w:hAnsiTheme="minorEastAsia" w:eastAsiaTheme="minorEastAsia" w:cstheme="minorEastAsia"/>
                      <w:b/>
                      <w:bCs/>
                      <w:color w:val="auto"/>
                      <w:sz w:val="21"/>
                      <w:szCs w:val="21"/>
                      <w:vertAlign w:val="baseline"/>
                      <w:lang w:val="en-US" w:eastAsia="zh-CN"/>
                    </w:rPr>
                    <w:t>（ug/m</w:t>
                  </w:r>
                  <w:r>
                    <w:rPr>
                      <w:rFonts w:hint="eastAsia" w:asciiTheme="minorEastAsia" w:hAnsiTheme="minorEastAsia" w:eastAsiaTheme="minorEastAsia" w:cstheme="minorEastAsia"/>
                      <w:b/>
                      <w:bCs/>
                      <w:color w:val="auto"/>
                      <w:sz w:val="21"/>
                      <w:szCs w:val="21"/>
                      <w:vertAlign w:val="superscript"/>
                      <w:lang w:val="en-US" w:eastAsia="zh-CN"/>
                    </w:rPr>
                    <w:t>3</w:t>
                  </w:r>
                  <w:r>
                    <w:rPr>
                      <w:rFonts w:hint="eastAsia" w:asciiTheme="minorEastAsia" w:hAnsiTheme="minorEastAsia" w:eastAsiaTheme="minorEastAsia" w:cstheme="minorEastAsia"/>
                      <w:b/>
                      <w:bCs/>
                      <w:color w:val="auto"/>
                      <w:sz w:val="21"/>
                      <w:szCs w:val="21"/>
                      <w:vertAlign w:val="baseline"/>
                      <w:lang w:val="en-US" w:eastAsia="zh-CN"/>
                    </w:rPr>
                    <w:t>）</w:t>
                  </w:r>
                </w:p>
              </w:tc>
              <w:tc>
                <w:tcPr>
                  <w:tcW w:w="613" w:type="pct"/>
                  <w:noWrap w:val="0"/>
                  <w:vAlign w:val="center"/>
                </w:tcPr>
                <w:p w14:paraId="0EC61E3C">
                  <w:pPr>
                    <w:adjustRightInd w:val="0"/>
                    <w:snapToGrid w:val="0"/>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PM</w:t>
                  </w:r>
                  <w:r>
                    <w:rPr>
                      <w:rFonts w:hint="eastAsia" w:asciiTheme="minorEastAsia" w:hAnsiTheme="minorEastAsia" w:eastAsiaTheme="minorEastAsia" w:cstheme="minorEastAsia"/>
                      <w:b/>
                      <w:bCs/>
                      <w:color w:val="auto"/>
                      <w:sz w:val="21"/>
                      <w:szCs w:val="21"/>
                      <w:vertAlign w:val="subscript"/>
                      <w:lang w:val="en-US" w:eastAsia="zh-CN"/>
                    </w:rPr>
                    <w:t>2.5</w:t>
                  </w:r>
                  <w:r>
                    <w:rPr>
                      <w:rFonts w:hint="eastAsia" w:asciiTheme="minorEastAsia" w:hAnsiTheme="minorEastAsia" w:eastAsiaTheme="minorEastAsia" w:cstheme="minorEastAsia"/>
                      <w:b/>
                      <w:bCs/>
                      <w:color w:val="auto"/>
                      <w:sz w:val="21"/>
                      <w:szCs w:val="21"/>
                      <w:vertAlign w:val="baseline"/>
                      <w:lang w:val="en-US" w:eastAsia="zh-CN"/>
                    </w:rPr>
                    <w:t>（ug/m</w:t>
                  </w:r>
                  <w:r>
                    <w:rPr>
                      <w:rFonts w:hint="eastAsia" w:asciiTheme="minorEastAsia" w:hAnsiTheme="minorEastAsia" w:eastAsiaTheme="minorEastAsia" w:cstheme="minorEastAsia"/>
                      <w:b/>
                      <w:bCs/>
                      <w:color w:val="auto"/>
                      <w:sz w:val="21"/>
                      <w:szCs w:val="21"/>
                      <w:vertAlign w:val="superscript"/>
                      <w:lang w:val="en-US" w:eastAsia="zh-CN"/>
                    </w:rPr>
                    <w:t>3</w:t>
                  </w:r>
                  <w:r>
                    <w:rPr>
                      <w:rFonts w:hint="eastAsia" w:asciiTheme="minorEastAsia" w:hAnsiTheme="minorEastAsia" w:eastAsiaTheme="minorEastAsia" w:cstheme="minorEastAsia"/>
                      <w:b/>
                      <w:bCs/>
                      <w:color w:val="auto"/>
                      <w:sz w:val="21"/>
                      <w:szCs w:val="21"/>
                      <w:vertAlign w:val="baseline"/>
                      <w:lang w:val="en-US" w:eastAsia="zh-CN"/>
                    </w:rPr>
                    <w:t>）</w:t>
                  </w:r>
                </w:p>
              </w:tc>
              <w:tc>
                <w:tcPr>
                  <w:tcW w:w="688" w:type="pct"/>
                  <w:noWrap w:val="0"/>
                  <w:vAlign w:val="center"/>
                </w:tcPr>
                <w:p w14:paraId="15B28F35">
                  <w:pPr>
                    <w:adjustRightInd w:val="0"/>
                    <w:snapToGrid w:val="0"/>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CO（ug/m</w:t>
                  </w:r>
                  <w:r>
                    <w:rPr>
                      <w:rFonts w:hint="eastAsia" w:asciiTheme="minorEastAsia" w:hAnsiTheme="minorEastAsia" w:eastAsiaTheme="minorEastAsia" w:cstheme="minorEastAsia"/>
                      <w:b/>
                      <w:bCs/>
                      <w:color w:val="auto"/>
                      <w:sz w:val="21"/>
                      <w:szCs w:val="21"/>
                      <w:vertAlign w:val="superscript"/>
                      <w:lang w:val="en-US" w:eastAsia="zh-CN"/>
                    </w:rPr>
                    <w:t>3</w:t>
                  </w:r>
                  <w:r>
                    <w:rPr>
                      <w:rFonts w:hint="eastAsia" w:asciiTheme="minorEastAsia" w:hAnsiTheme="minorEastAsia" w:eastAsiaTheme="minorEastAsia" w:cstheme="minorEastAsia"/>
                      <w:b/>
                      <w:bCs/>
                      <w:color w:val="auto"/>
                      <w:sz w:val="21"/>
                      <w:szCs w:val="21"/>
                      <w:vertAlign w:val="baseline"/>
                      <w:lang w:val="en-US" w:eastAsia="zh-CN"/>
                    </w:rPr>
                    <w:t>）</w:t>
                  </w:r>
                </w:p>
              </w:tc>
              <w:tc>
                <w:tcPr>
                  <w:tcW w:w="560" w:type="pct"/>
                  <w:noWrap w:val="0"/>
                  <w:vAlign w:val="center"/>
                </w:tcPr>
                <w:p w14:paraId="4E3DBA2A">
                  <w:pPr>
                    <w:adjustRightInd w:val="0"/>
                    <w:snapToGrid w:val="0"/>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O</w:t>
                  </w:r>
                  <w:r>
                    <w:rPr>
                      <w:rFonts w:hint="eastAsia" w:asciiTheme="minorEastAsia" w:hAnsiTheme="minorEastAsia" w:eastAsiaTheme="minorEastAsia" w:cstheme="minorEastAsia"/>
                      <w:b/>
                      <w:bCs/>
                      <w:color w:val="auto"/>
                      <w:sz w:val="21"/>
                      <w:szCs w:val="21"/>
                      <w:vertAlign w:val="subscript"/>
                      <w:lang w:val="en-US" w:eastAsia="zh-CN"/>
                    </w:rPr>
                    <w:t>3</w:t>
                  </w:r>
                  <w:r>
                    <w:rPr>
                      <w:rFonts w:hint="eastAsia" w:asciiTheme="minorEastAsia" w:hAnsiTheme="minorEastAsia" w:eastAsiaTheme="minorEastAsia" w:cstheme="minorEastAsia"/>
                      <w:b/>
                      <w:bCs/>
                      <w:color w:val="auto"/>
                      <w:sz w:val="21"/>
                      <w:szCs w:val="21"/>
                      <w:vertAlign w:val="baseline"/>
                      <w:lang w:val="en-US" w:eastAsia="zh-CN"/>
                    </w:rPr>
                    <w:t>-8h（ug/m</w:t>
                  </w:r>
                  <w:r>
                    <w:rPr>
                      <w:rFonts w:hint="eastAsia" w:asciiTheme="minorEastAsia" w:hAnsiTheme="minorEastAsia" w:eastAsiaTheme="minorEastAsia" w:cstheme="minorEastAsia"/>
                      <w:b/>
                      <w:bCs/>
                      <w:color w:val="auto"/>
                      <w:sz w:val="21"/>
                      <w:szCs w:val="21"/>
                      <w:vertAlign w:val="superscript"/>
                      <w:lang w:val="en-US" w:eastAsia="zh-CN"/>
                    </w:rPr>
                    <w:t>3</w:t>
                  </w:r>
                  <w:r>
                    <w:rPr>
                      <w:rFonts w:hint="eastAsia" w:asciiTheme="minorEastAsia" w:hAnsiTheme="minorEastAsia" w:eastAsiaTheme="minorEastAsia" w:cstheme="minorEastAsia"/>
                      <w:b/>
                      <w:bCs/>
                      <w:color w:val="auto"/>
                      <w:sz w:val="21"/>
                      <w:szCs w:val="21"/>
                      <w:vertAlign w:val="baseline"/>
                      <w:lang w:val="en-US" w:eastAsia="zh-CN"/>
                    </w:rPr>
                    <w:t>）</w:t>
                  </w:r>
                </w:p>
              </w:tc>
              <w:tc>
                <w:tcPr>
                  <w:tcW w:w="370" w:type="pct"/>
                  <w:vMerge w:val="restart"/>
                  <w:noWrap w:val="0"/>
                  <w:vAlign w:val="center"/>
                </w:tcPr>
                <w:p w14:paraId="1A402FEF">
                  <w:pPr>
                    <w:adjustRightInd w:val="0"/>
                    <w:snapToGrid w:val="0"/>
                    <w:spacing w:line="240" w:lineRule="auto"/>
                    <w:jc w:val="center"/>
                    <w:rPr>
                      <w:rFonts w:hint="eastAsia" w:asciiTheme="minorEastAsia" w:hAnsiTheme="minorEastAsia" w:eastAsiaTheme="minorEastAsia" w:cstheme="minorEastAsia"/>
                      <w:b/>
                      <w:bCs/>
                      <w:color w:val="auto"/>
                      <w:sz w:val="21"/>
                      <w:szCs w:val="21"/>
                      <w:vertAlign w:val="baseline"/>
                      <w:lang w:eastAsia="zh-CN"/>
                    </w:rPr>
                  </w:pPr>
                  <w:r>
                    <w:rPr>
                      <w:rFonts w:hint="eastAsia" w:asciiTheme="minorEastAsia" w:hAnsiTheme="minorEastAsia" w:eastAsiaTheme="minorEastAsia" w:cstheme="minorEastAsia"/>
                      <w:b/>
                      <w:bCs/>
                      <w:color w:val="auto"/>
                      <w:sz w:val="21"/>
                      <w:szCs w:val="21"/>
                      <w:vertAlign w:val="baseline"/>
                      <w:lang w:eastAsia="zh-CN"/>
                    </w:rPr>
                    <w:t>达标情况</w:t>
                  </w:r>
                </w:p>
              </w:tc>
            </w:tr>
            <w:tr w14:paraId="79D0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65" w:type="pct"/>
                  <w:vMerge w:val="restart"/>
                  <w:noWrap w:val="0"/>
                  <w:vAlign w:val="center"/>
                </w:tcPr>
                <w:p w14:paraId="1B8594E1">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vertAlign w:val="baseline"/>
                      <w:lang w:eastAsia="zh-CN"/>
                    </w:rPr>
                    <w:t>芒市</w:t>
                  </w:r>
                </w:p>
              </w:tc>
              <w:tc>
                <w:tcPr>
                  <w:tcW w:w="583" w:type="pct"/>
                  <w:noWrap w:val="0"/>
                  <w:vAlign w:val="center"/>
                </w:tcPr>
                <w:p w14:paraId="7ED6F537">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vertAlign w:val="baseline"/>
                      <w:lang w:eastAsia="zh-CN"/>
                    </w:rPr>
                    <w:t>日均值范围</w:t>
                  </w:r>
                </w:p>
              </w:tc>
              <w:tc>
                <w:tcPr>
                  <w:tcW w:w="558" w:type="pct"/>
                  <w:noWrap w:val="0"/>
                  <w:vAlign w:val="center"/>
                </w:tcPr>
                <w:p w14:paraId="0E688EA2">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3-25</w:t>
                  </w:r>
                </w:p>
              </w:tc>
              <w:tc>
                <w:tcPr>
                  <w:tcW w:w="626" w:type="pct"/>
                  <w:noWrap w:val="0"/>
                  <w:vAlign w:val="center"/>
                </w:tcPr>
                <w:p w14:paraId="15B23A58">
                  <w:pPr>
                    <w:adjustRightInd w:val="0"/>
                    <w:snapToGrid w:val="0"/>
                    <w:spacing w:line="240" w:lineRule="auto"/>
                    <w:jc w:val="center"/>
                    <w:rPr>
                      <w:rFonts w:hint="eastAsia" w:asciiTheme="minorEastAsia" w:hAnsiTheme="minorEastAsia" w:eastAsiaTheme="minorEastAsia" w:cstheme="minorEastAsia"/>
                      <w:b w:val="0"/>
                      <w:bCs w:val="0"/>
                      <w:color w:val="auto"/>
                      <w:kern w:val="2"/>
                      <w:sz w:val="21"/>
                      <w:szCs w:val="21"/>
                      <w:vertAlign w:val="baseli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8-42</w:t>
                  </w:r>
                </w:p>
              </w:tc>
              <w:tc>
                <w:tcPr>
                  <w:tcW w:w="634" w:type="pct"/>
                  <w:noWrap w:val="0"/>
                  <w:vAlign w:val="center"/>
                </w:tcPr>
                <w:p w14:paraId="58B439D0">
                  <w:pPr>
                    <w:adjustRightInd w:val="0"/>
                    <w:snapToGrid w:val="0"/>
                    <w:spacing w:line="240" w:lineRule="auto"/>
                    <w:jc w:val="center"/>
                    <w:rPr>
                      <w:rFonts w:hint="eastAsia" w:asciiTheme="minorEastAsia" w:hAnsiTheme="minorEastAsia" w:eastAsiaTheme="minorEastAsia" w:cstheme="minorEastAsia"/>
                      <w:b w:val="0"/>
                      <w:bCs w:val="0"/>
                      <w:color w:val="auto"/>
                      <w:kern w:val="2"/>
                      <w:sz w:val="21"/>
                      <w:szCs w:val="21"/>
                      <w:vertAlign w:val="baseli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11-160</w:t>
                  </w:r>
                </w:p>
              </w:tc>
              <w:tc>
                <w:tcPr>
                  <w:tcW w:w="613" w:type="pct"/>
                  <w:noWrap w:val="0"/>
                  <w:vAlign w:val="center"/>
                </w:tcPr>
                <w:p w14:paraId="5CBF85E8">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6-102</w:t>
                  </w:r>
                </w:p>
              </w:tc>
              <w:tc>
                <w:tcPr>
                  <w:tcW w:w="688" w:type="pct"/>
                  <w:noWrap w:val="0"/>
                  <w:vAlign w:val="center"/>
                </w:tcPr>
                <w:p w14:paraId="19953423">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0.4-1.5</w:t>
                  </w:r>
                </w:p>
              </w:tc>
              <w:tc>
                <w:tcPr>
                  <w:tcW w:w="560" w:type="pct"/>
                  <w:noWrap w:val="0"/>
                  <w:vAlign w:val="center"/>
                </w:tcPr>
                <w:p w14:paraId="3E43D4EC">
                  <w:pPr>
                    <w:adjustRightInd w:val="0"/>
                    <w:snapToGrid w:val="0"/>
                    <w:spacing w:line="240" w:lineRule="auto"/>
                    <w:jc w:val="center"/>
                    <w:rPr>
                      <w:rFonts w:hint="eastAsia" w:asciiTheme="minorEastAsia" w:hAnsiTheme="minorEastAsia" w:eastAsiaTheme="minorEastAsia" w:cstheme="minorEastAsia"/>
                      <w:b w:val="0"/>
                      <w:bCs w:val="0"/>
                      <w:color w:val="auto"/>
                      <w:kern w:val="2"/>
                      <w:sz w:val="21"/>
                      <w:szCs w:val="21"/>
                      <w:vertAlign w:val="baseli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19-168</w:t>
                  </w:r>
                </w:p>
              </w:tc>
              <w:tc>
                <w:tcPr>
                  <w:tcW w:w="370" w:type="pct"/>
                  <w:vMerge w:val="continue"/>
                  <w:noWrap w:val="0"/>
                  <w:vAlign w:val="center"/>
                </w:tcPr>
                <w:p w14:paraId="27F27770">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p>
              </w:tc>
            </w:tr>
            <w:tr w14:paraId="2A08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65" w:type="pct"/>
                  <w:vMerge w:val="continue"/>
                  <w:noWrap w:val="0"/>
                  <w:vAlign w:val="center"/>
                </w:tcPr>
                <w:p w14:paraId="7285DD31">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p>
              </w:tc>
              <w:tc>
                <w:tcPr>
                  <w:tcW w:w="583" w:type="pct"/>
                  <w:noWrap w:val="0"/>
                  <w:vAlign w:val="center"/>
                </w:tcPr>
                <w:p w14:paraId="7FF12D90">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vertAlign w:val="baseline"/>
                      <w:lang w:eastAsia="zh-CN"/>
                    </w:rPr>
                    <w:t>年平均</w:t>
                  </w:r>
                </w:p>
              </w:tc>
              <w:tc>
                <w:tcPr>
                  <w:tcW w:w="558" w:type="pct"/>
                  <w:noWrap w:val="0"/>
                  <w:vAlign w:val="center"/>
                </w:tcPr>
                <w:p w14:paraId="09FE0F3F">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9</w:t>
                  </w:r>
                </w:p>
              </w:tc>
              <w:tc>
                <w:tcPr>
                  <w:tcW w:w="626" w:type="pct"/>
                  <w:noWrap w:val="0"/>
                  <w:vAlign w:val="center"/>
                </w:tcPr>
                <w:p w14:paraId="7D2A53CF">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19</w:t>
                  </w:r>
                </w:p>
              </w:tc>
              <w:tc>
                <w:tcPr>
                  <w:tcW w:w="634" w:type="pct"/>
                  <w:noWrap w:val="0"/>
                  <w:vAlign w:val="center"/>
                </w:tcPr>
                <w:p w14:paraId="23E2E363">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42</w:t>
                  </w:r>
                </w:p>
              </w:tc>
              <w:tc>
                <w:tcPr>
                  <w:tcW w:w="613" w:type="pct"/>
                  <w:noWrap w:val="0"/>
                  <w:vAlign w:val="center"/>
                </w:tcPr>
                <w:p w14:paraId="7C6EA109">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22</w:t>
                  </w:r>
                </w:p>
              </w:tc>
              <w:tc>
                <w:tcPr>
                  <w:tcW w:w="688" w:type="pct"/>
                  <w:noWrap w:val="0"/>
                  <w:vAlign w:val="center"/>
                </w:tcPr>
                <w:p w14:paraId="5F35AAD6">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0.8</w:t>
                  </w:r>
                </w:p>
              </w:tc>
              <w:tc>
                <w:tcPr>
                  <w:tcW w:w="560" w:type="pct"/>
                  <w:noWrap w:val="0"/>
                  <w:vAlign w:val="center"/>
                </w:tcPr>
                <w:p w14:paraId="7F69573A">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71</w:t>
                  </w:r>
                </w:p>
              </w:tc>
              <w:tc>
                <w:tcPr>
                  <w:tcW w:w="370" w:type="pct"/>
                  <w:vMerge w:val="restart"/>
                  <w:noWrap w:val="0"/>
                  <w:vAlign w:val="center"/>
                </w:tcPr>
                <w:p w14:paraId="654AC44B">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vertAlign w:val="baseline"/>
                      <w:lang w:val="en-US" w:eastAsia="zh-CN"/>
                    </w:rPr>
                    <w:t>二级</w:t>
                  </w:r>
                </w:p>
              </w:tc>
            </w:tr>
            <w:tr w14:paraId="41CE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65" w:type="pct"/>
                  <w:vMerge w:val="continue"/>
                  <w:noWrap w:val="0"/>
                  <w:vAlign w:val="center"/>
                </w:tcPr>
                <w:p w14:paraId="63C8B407">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p>
              </w:tc>
              <w:tc>
                <w:tcPr>
                  <w:tcW w:w="583" w:type="pct"/>
                  <w:noWrap w:val="0"/>
                  <w:vAlign w:val="center"/>
                </w:tcPr>
                <w:p w14:paraId="4D2196A3">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vertAlign w:val="baseline"/>
                      <w:lang w:val="en-US" w:eastAsia="zh-CN"/>
                    </w:rPr>
                    <w:t>百分位数浓度</w:t>
                  </w:r>
                </w:p>
              </w:tc>
              <w:tc>
                <w:tcPr>
                  <w:tcW w:w="558" w:type="pct"/>
                  <w:noWrap w:val="0"/>
                  <w:vAlign w:val="center"/>
                </w:tcPr>
                <w:p w14:paraId="179362D7">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17</w:t>
                  </w:r>
                </w:p>
              </w:tc>
              <w:tc>
                <w:tcPr>
                  <w:tcW w:w="626" w:type="pct"/>
                  <w:noWrap w:val="0"/>
                  <w:vAlign w:val="center"/>
                </w:tcPr>
                <w:p w14:paraId="79CCF680">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34</w:t>
                  </w:r>
                </w:p>
              </w:tc>
              <w:tc>
                <w:tcPr>
                  <w:tcW w:w="634" w:type="pct"/>
                  <w:noWrap w:val="0"/>
                  <w:vAlign w:val="center"/>
                </w:tcPr>
                <w:p w14:paraId="63B71282">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86</w:t>
                  </w:r>
                </w:p>
              </w:tc>
              <w:tc>
                <w:tcPr>
                  <w:tcW w:w="613" w:type="pct"/>
                  <w:noWrap w:val="0"/>
                  <w:vAlign w:val="center"/>
                </w:tcPr>
                <w:p w14:paraId="20227329">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44</w:t>
                  </w:r>
                </w:p>
              </w:tc>
              <w:tc>
                <w:tcPr>
                  <w:tcW w:w="688" w:type="pct"/>
                  <w:noWrap w:val="0"/>
                  <w:vAlign w:val="center"/>
                </w:tcPr>
                <w:p w14:paraId="3D61BB18">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1.0</w:t>
                  </w:r>
                </w:p>
              </w:tc>
              <w:tc>
                <w:tcPr>
                  <w:tcW w:w="560" w:type="pct"/>
                  <w:noWrap w:val="0"/>
                  <w:vAlign w:val="center"/>
                </w:tcPr>
                <w:p w14:paraId="5A3C9AA9">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115</w:t>
                  </w:r>
                </w:p>
              </w:tc>
              <w:tc>
                <w:tcPr>
                  <w:tcW w:w="370" w:type="pct"/>
                  <w:vMerge w:val="continue"/>
                  <w:noWrap w:val="0"/>
                  <w:vAlign w:val="center"/>
                </w:tcPr>
                <w:p w14:paraId="4E73B12B">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p>
              </w:tc>
            </w:tr>
            <w:tr w14:paraId="7CA21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365" w:type="pct"/>
                  <w:vMerge w:val="continue"/>
                  <w:noWrap w:val="0"/>
                  <w:vAlign w:val="center"/>
                </w:tcPr>
                <w:p w14:paraId="7343854B">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p>
              </w:tc>
              <w:tc>
                <w:tcPr>
                  <w:tcW w:w="583" w:type="pct"/>
                  <w:noWrap w:val="0"/>
                  <w:vAlign w:val="center"/>
                </w:tcPr>
                <w:p w14:paraId="62672031">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vertAlign w:val="baseline"/>
                      <w:lang w:val="en-US" w:eastAsia="zh-CN"/>
                    </w:rPr>
                    <w:t>一级</w:t>
                  </w:r>
                </w:p>
              </w:tc>
              <w:tc>
                <w:tcPr>
                  <w:tcW w:w="558" w:type="pct"/>
                  <w:noWrap w:val="0"/>
                  <w:vAlign w:val="center"/>
                </w:tcPr>
                <w:p w14:paraId="71224CF0">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一级</w:t>
                  </w:r>
                </w:p>
              </w:tc>
              <w:tc>
                <w:tcPr>
                  <w:tcW w:w="626" w:type="pct"/>
                  <w:noWrap w:val="0"/>
                  <w:vAlign w:val="center"/>
                </w:tcPr>
                <w:p w14:paraId="46272BE3">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一级</w:t>
                  </w:r>
                </w:p>
              </w:tc>
              <w:tc>
                <w:tcPr>
                  <w:tcW w:w="634" w:type="pct"/>
                  <w:noWrap w:val="0"/>
                  <w:vAlign w:val="center"/>
                </w:tcPr>
                <w:p w14:paraId="2BF0FDAE">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二级</w:t>
                  </w:r>
                </w:p>
              </w:tc>
              <w:tc>
                <w:tcPr>
                  <w:tcW w:w="613" w:type="pct"/>
                  <w:noWrap w:val="0"/>
                  <w:vAlign w:val="center"/>
                </w:tcPr>
                <w:p w14:paraId="3531709E">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二级</w:t>
                  </w:r>
                </w:p>
              </w:tc>
              <w:tc>
                <w:tcPr>
                  <w:tcW w:w="688" w:type="pct"/>
                  <w:noWrap w:val="0"/>
                  <w:vAlign w:val="center"/>
                </w:tcPr>
                <w:p w14:paraId="61929A68">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一级</w:t>
                  </w:r>
                </w:p>
              </w:tc>
              <w:tc>
                <w:tcPr>
                  <w:tcW w:w="560" w:type="pct"/>
                  <w:noWrap w:val="0"/>
                  <w:vAlign w:val="center"/>
                </w:tcPr>
                <w:p w14:paraId="5CEC70E1">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二级</w:t>
                  </w:r>
                </w:p>
              </w:tc>
              <w:tc>
                <w:tcPr>
                  <w:tcW w:w="370" w:type="pct"/>
                  <w:vMerge w:val="continue"/>
                  <w:noWrap w:val="0"/>
                  <w:vAlign w:val="center"/>
                </w:tcPr>
                <w:p w14:paraId="0209F0E6">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p>
              </w:tc>
            </w:tr>
          </w:tbl>
          <w:p w14:paraId="17FB2E31">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根据《2021年德宏州环境状况公报》，2021年芒市有效监测天数362天，优良天数为352天，按空气质量指数（AQI）评价，环境空气优良率为97.2%，与2020年相比下降了2.0%。2021年，污染天数集中在1-4月，其中3-4月最为突出，首要污染物是O</w:t>
            </w:r>
            <w:r>
              <w:rPr>
                <w:rFonts w:hint="eastAsia" w:asciiTheme="minorEastAsia" w:hAnsiTheme="minorEastAsia" w:eastAsiaTheme="minorEastAsia" w:cstheme="minorEastAsia"/>
                <w:color w:val="auto"/>
                <w:sz w:val="24"/>
                <w:szCs w:val="24"/>
                <w:vertAlign w:val="subscript"/>
                <w:lang w:val="en-US" w:eastAsia="zh-CN"/>
              </w:rPr>
              <w:t>3</w:t>
            </w:r>
            <w:r>
              <w:rPr>
                <w:rFonts w:hint="eastAsia" w:asciiTheme="minorEastAsia" w:hAnsiTheme="minorEastAsia" w:eastAsiaTheme="minorEastAsia" w:cstheme="minorEastAsia"/>
                <w:color w:val="auto"/>
                <w:sz w:val="24"/>
                <w:szCs w:val="24"/>
                <w:lang w:val="en-US" w:eastAsia="zh-CN"/>
              </w:rPr>
              <w:t>。年度综合评价，芒市环境空气质量达二级标准，环境空气质量综合指数为3.12。具体的监测数据见表3-3。</w:t>
            </w:r>
          </w:p>
          <w:p w14:paraId="365B80AF">
            <w:pPr>
              <w:adjustRightInd w:val="0"/>
              <w:snapToGrid w:val="0"/>
              <w:spacing w:line="360" w:lineRule="auto"/>
              <w:jc w:val="center"/>
              <w:rPr>
                <w:rFonts w:hint="eastAsia" w:asciiTheme="minorEastAsia" w:hAnsiTheme="minorEastAsia" w:eastAsiaTheme="minorEastAsia" w:cstheme="minorEastAsia"/>
                <w:b/>
                <w:bCs/>
                <w:color w:val="auto"/>
                <w:sz w:val="24"/>
                <w:szCs w:val="24"/>
              </w:rPr>
            </w:pPr>
          </w:p>
          <w:p w14:paraId="72BC6C8A">
            <w:pPr>
              <w:adjustRightInd w:val="0"/>
              <w:snapToGrid w:val="0"/>
              <w:spacing w:line="360" w:lineRule="auto"/>
              <w:jc w:val="center"/>
              <w:rPr>
                <w:rFonts w:hint="eastAsia" w:asciiTheme="minorEastAsia" w:hAnsiTheme="minorEastAsia" w:eastAsiaTheme="minorEastAsia" w:cstheme="minorEastAsia"/>
                <w:b/>
                <w:bCs/>
                <w:color w:val="auto"/>
                <w:sz w:val="24"/>
                <w:szCs w:val="24"/>
              </w:rPr>
            </w:pPr>
          </w:p>
          <w:p w14:paraId="117CA64A">
            <w:pPr>
              <w:adjustRightInd w:val="0"/>
              <w:snapToGrid w:val="0"/>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表</w:t>
            </w:r>
            <w:r>
              <w:rPr>
                <w:rFonts w:hint="eastAsia" w:asciiTheme="minorEastAsia" w:hAnsiTheme="minorEastAsia" w:eastAsiaTheme="minorEastAsia" w:cstheme="minorEastAsia"/>
                <w:b/>
                <w:bCs/>
                <w:color w:val="auto"/>
                <w:sz w:val="24"/>
                <w:szCs w:val="24"/>
                <w:lang w:val="en-US" w:eastAsia="zh-CN"/>
              </w:rPr>
              <w:t>3</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3</w:t>
            </w:r>
            <w:r>
              <w:rPr>
                <w:rFonts w:hint="eastAsia" w:asciiTheme="minorEastAsia" w:hAnsiTheme="minorEastAsia" w:eastAsiaTheme="minorEastAsia" w:cstheme="minorEastAsia"/>
                <w:b/>
                <w:bCs/>
                <w:color w:val="auto"/>
                <w:sz w:val="24"/>
                <w:szCs w:val="24"/>
              </w:rPr>
              <w:t xml:space="preserve"> </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rPr>
              <w:t>20</w:t>
            </w:r>
            <w:r>
              <w:rPr>
                <w:rFonts w:hint="eastAsia" w:asciiTheme="minorEastAsia" w:hAnsiTheme="minorEastAsia" w:eastAsiaTheme="minorEastAsia" w:cstheme="minorEastAsia"/>
                <w:b/>
                <w:bCs/>
                <w:color w:val="auto"/>
                <w:sz w:val="24"/>
                <w:szCs w:val="24"/>
                <w:lang w:val="en-US" w:eastAsia="zh-CN"/>
              </w:rPr>
              <w:t>21</w:t>
            </w:r>
            <w:r>
              <w:rPr>
                <w:rFonts w:hint="eastAsia" w:asciiTheme="minorEastAsia" w:hAnsiTheme="minorEastAsia" w:eastAsiaTheme="minorEastAsia" w:cstheme="minorEastAsia"/>
                <w:b/>
                <w:bCs/>
                <w:color w:val="auto"/>
                <w:sz w:val="24"/>
                <w:szCs w:val="24"/>
              </w:rPr>
              <w:t>年德宏州</w:t>
            </w:r>
            <w:r>
              <w:rPr>
                <w:rFonts w:hint="eastAsia" w:asciiTheme="minorEastAsia" w:hAnsiTheme="minorEastAsia" w:eastAsiaTheme="minorEastAsia" w:cstheme="minorEastAsia"/>
                <w:b/>
                <w:bCs/>
                <w:color w:val="auto"/>
                <w:sz w:val="24"/>
                <w:szCs w:val="24"/>
                <w:lang w:val="en-US" w:eastAsia="zh-CN"/>
              </w:rPr>
              <w:t>芒市</w:t>
            </w:r>
            <w:r>
              <w:rPr>
                <w:rFonts w:hint="eastAsia" w:asciiTheme="minorEastAsia" w:hAnsiTheme="minorEastAsia" w:eastAsiaTheme="minorEastAsia" w:cstheme="minorEastAsia"/>
                <w:b/>
                <w:bCs/>
                <w:color w:val="auto"/>
                <w:sz w:val="24"/>
                <w:szCs w:val="24"/>
              </w:rPr>
              <w:t>环境空气监测结果</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660"/>
              <w:gridCol w:w="669"/>
              <w:gridCol w:w="664"/>
              <w:gridCol w:w="664"/>
              <w:gridCol w:w="640"/>
              <w:gridCol w:w="701"/>
              <w:gridCol w:w="664"/>
              <w:gridCol w:w="934"/>
              <w:gridCol w:w="527"/>
              <w:gridCol w:w="4"/>
              <w:gridCol w:w="761"/>
              <w:gridCol w:w="515"/>
              <w:gridCol w:w="2"/>
              <w:gridCol w:w="660"/>
              <w:gridCol w:w="563"/>
            </w:tblGrid>
            <w:tr w14:paraId="0096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304" w:type="pct"/>
                  <w:vMerge w:val="restart"/>
                  <w:noWrap w:val="0"/>
                  <w:vAlign w:val="center"/>
                </w:tcPr>
                <w:p w14:paraId="3B1F948D">
                  <w:pPr>
                    <w:adjustRightInd w:val="0"/>
                    <w:snapToGrid w:val="0"/>
                    <w:spacing w:line="240" w:lineRule="auto"/>
                    <w:jc w:val="center"/>
                    <w:rPr>
                      <w:rFonts w:hint="eastAsia" w:asciiTheme="minorEastAsia" w:hAnsiTheme="minorEastAsia" w:eastAsiaTheme="minorEastAsia" w:cstheme="minorEastAsia"/>
                      <w:b/>
                      <w:bCs/>
                      <w:color w:val="auto"/>
                      <w:sz w:val="21"/>
                      <w:szCs w:val="21"/>
                      <w:vertAlign w:val="baseline"/>
                      <w:lang w:eastAsia="zh-CN"/>
                    </w:rPr>
                  </w:pPr>
                  <w:r>
                    <w:rPr>
                      <w:rFonts w:hint="eastAsia" w:asciiTheme="minorEastAsia" w:hAnsiTheme="minorEastAsia" w:eastAsiaTheme="minorEastAsia" w:cstheme="minorEastAsia"/>
                      <w:b/>
                      <w:bCs/>
                      <w:color w:val="auto"/>
                      <w:sz w:val="21"/>
                      <w:szCs w:val="21"/>
                      <w:vertAlign w:val="baseline"/>
                      <w:lang w:eastAsia="zh-CN"/>
                    </w:rPr>
                    <w:t>城市</w:t>
                  </w:r>
                </w:p>
              </w:tc>
              <w:tc>
                <w:tcPr>
                  <w:tcW w:w="723" w:type="pct"/>
                  <w:gridSpan w:val="2"/>
                  <w:noWrap w:val="0"/>
                  <w:vAlign w:val="center"/>
                </w:tcPr>
                <w:p w14:paraId="2383EB86">
                  <w:pPr>
                    <w:adjustRightInd w:val="0"/>
                    <w:snapToGrid w:val="0"/>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SO</w:t>
                  </w:r>
                  <w:r>
                    <w:rPr>
                      <w:rFonts w:hint="eastAsia" w:asciiTheme="minorEastAsia" w:hAnsiTheme="minorEastAsia" w:eastAsiaTheme="minorEastAsia" w:cstheme="minorEastAsia"/>
                      <w:b/>
                      <w:bCs/>
                      <w:color w:val="auto"/>
                      <w:sz w:val="21"/>
                      <w:szCs w:val="21"/>
                      <w:vertAlign w:val="subscript"/>
                      <w:lang w:val="en-US" w:eastAsia="zh-CN"/>
                    </w:rPr>
                    <w:t>2</w:t>
                  </w:r>
                </w:p>
                <w:p w14:paraId="63282975">
                  <w:pPr>
                    <w:adjustRightInd w:val="0"/>
                    <w:snapToGrid w:val="0"/>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（ug/m</w:t>
                  </w:r>
                  <w:r>
                    <w:rPr>
                      <w:rFonts w:hint="eastAsia" w:asciiTheme="minorEastAsia" w:hAnsiTheme="minorEastAsia" w:eastAsiaTheme="minorEastAsia" w:cstheme="minorEastAsia"/>
                      <w:b/>
                      <w:bCs/>
                      <w:color w:val="auto"/>
                      <w:sz w:val="21"/>
                      <w:szCs w:val="21"/>
                      <w:vertAlign w:val="superscript"/>
                      <w:lang w:val="en-US" w:eastAsia="zh-CN"/>
                    </w:rPr>
                    <w:t>3</w:t>
                  </w:r>
                  <w:r>
                    <w:rPr>
                      <w:rFonts w:hint="eastAsia" w:asciiTheme="minorEastAsia" w:hAnsiTheme="minorEastAsia" w:eastAsiaTheme="minorEastAsia" w:cstheme="minorEastAsia"/>
                      <w:b/>
                      <w:bCs/>
                      <w:color w:val="auto"/>
                      <w:sz w:val="21"/>
                      <w:szCs w:val="21"/>
                      <w:vertAlign w:val="baseline"/>
                      <w:lang w:val="en-US" w:eastAsia="zh-CN"/>
                    </w:rPr>
                    <w:t>）</w:t>
                  </w:r>
                </w:p>
              </w:tc>
              <w:tc>
                <w:tcPr>
                  <w:tcW w:w="722" w:type="pct"/>
                  <w:gridSpan w:val="2"/>
                  <w:noWrap w:val="0"/>
                  <w:vAlign w:val="center"/>
                </w:tcPr>
                <w:p w14:paraId="6D45CED4">
                  <w:pPr>
                    <w:adjustRightInd w:val="0"/>
                    <w:snapToGrid w:val="0"/>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NO</w:t>
                  </w:r>
                  <w:r>
                    <w:rPr>
                      <w:rFonts w:hint="eastAsia" w:asciiTheme="minorEastAsia" w:hAnsiTheme="minorEastAsia" w:eastAsiaTheme="minorEastAsia" w:cstheme="minorEastAsia"/>
                      <w:b/>
                      <w:bCs/>
                      <w:color w:val="auto"/>
                      <w:sz w:val="21"/>
                      <w:szCs w:val="21"/>
                      <w:vertAlign w:val="subscript"/>
                      <w:lang w:val="en-US" w:eastAsia="zh-CN"/>
                    </w:rPr>
                    <w:t>2</w:t>
                  </w:r>
                  <w:r>
                    <w:rPr>
                      <w:rFonts w:hint="eastAsia" w:asciiTheme="minorEastAsia" w:hAnsiTheme="minorEastAsia" w:eastAsiaTheme="minorEastAsia" w:cstheme="minorEastAsia"/>
                      <w:b/>
                      <w:bCs/>
                      <w:color w:val="auto"/>
                      <w:sz w:val="21"/>
                      <w:szCs w:val="21"/>
                      <w:vertAlign w:val="baseline"/>
                      <w:lang w:val="en-US" w:eastAsia="zh-CN"/>
                    </w:rPr>
                    <w:t>（ug/m</w:t>
                  </w:r>
                  <w:r>
                    <w:rPr>
                      <w:rFonts w:hint="eastAsia" w:asciiTheme="minorEastAsia" w:hAnsiTheme="minorEastAsia" w:eastAsiaTheme="minorEastAsia" w:cstheme="minorEastAsia"/>
                      <w:b/>
                      <w:bCs/>
                      <w:color w:val="auto"/>
                      <w:sz w:val="21"/>
                      <w:szCs w:val="21"/>
                      <w:vertAlign w:val="superscript"/>
                      <w:lang w:val="en-US" w:eastAsia="zh-CN"/>
                    </w:rPr>
                    <w:t>3</w:t>
                  </w:r>
                  <w:r>
                    <w:rPr>
                      <w:rFonts w:hint="eastAsia" w:asciiTheme="minorEastAsia" w:hAnsiTheme="minorEastAsia" w:eastAsiaTheme="minorEastAsia" w:cstheme="minorEastAsia"/>
                      <w:b/>
                      <w:bCs/>
                      <w:color w:val="auto"/>
                      <w:sz w:val="21"/>
                      <w:szCs w:val="21"/>
                      <w:vertAlign w:val="baseline"/>
                      <w:lang w:val="en-US" w:eastAsia="zh-CN"/>
                    </w:rPr>
                    <w:t>）</w:t>
                  </w:r>
                </w:p>
              </w:tc>
              <w:tc>
                <w:tcPr>
                  <w:tcW w:w="729" w:type="pct"/>
                  <w:gridSpan w:val="2"/>
                  <w:noWrap w:val="0"/>
                  <w:vAlign w:val="center"/>
                </w:tcPr>
                <w:p w14:paraId="2A445A82">
                  <w:pPr>
                    <w:adjustRightInd w:val="0"/>
                    <w:snapToGrid w:val="0"/>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PM</w:t>
                  </w:r>
                  <w:r>
                    <w:rPr>
                      <w:rFonts w:hint="eastAsia" w:asciiTheme="minorEastAsia" w:hAnsiTheme="minorEastAsia" w:eastAsiaTheme="minorEastAsia" w:cstheme="minorEastAsia"/>
                      <w:b/>
                      <w:bCs/>
                      <w:color w:val="auto"/>
                      <w:sz w:val="21"/>
                      <w:szCs w:val="21"/>
                      <w:vertAlign w:val="subscript"/>
                      <w:lang w:val="en-US" w:eastAsia="zh-CN"/>
                    </w:rPr>
                    <w:t>10</w:t>
                  </w:r>
                  <w:r>
                    <w:rPr>
                      <w:rFonts w:hint="eastAsia" w:asciiTheme="minorEastAsia" w:hAnsiTheme="minorEastAsia" w:eastAsiaTheme="minorEastAsia" w:cstheme="minorEastAsia"/>
                      <w:b/>
                      <w:bCs/>
                      <w:color w:val="auto"/>
                      <w:sz w:val="21"/>
                      <w:szCs w:val="21"/>
                      <w:vertAlign w:val="baseline"/>
                      <w:lang w:val="en-US" w:eastAsia="zh-CN"/>
                    </w:rPr>
                    <w:t>（ug/m</w:t>
                  </w:r>
                  <w:r>
                    <w:rPr>
                      <w:rFonts w:hint="eastAsia" w:asciiTheme="minorEastAsia" w:hAnsiTheme="minorEastAsia" w:eastAsiaTheme="minorEastAsia" w:cstheme="minorEastAsia"/>
                      <w:b/>
                      <w:bCs/>
                      <w:color w:val="auto"/>
                      <w:sz w:val="21"/>
                      <w:szCs w:val="21"/>
                      <w:vertAlign w:val="superscript"/>
                      <w:lang w:val="en-US" w:eastAsia="zh-CN"/>
                    </w:rPr>
                    <w:t>3</w:t>
                  </w:r>
                  <w:r>
                    <w:rPr>
                      <w:rFonts w:hint="eastAsia" w:asciiTheme="minorEastAsia" w:hAnsiTheme="minorEastAsia" w:eastAsiaTheme="minorEastAsia" w:cstheme="minorEastAsia"/>
                      <w:b/>
                      <w:bCs/>
                      <w:color w:val="auto"/>
                      <w:sz w:val="21"/>
                      <w:szCs w:val="21"/>
                      <w:vertAlign w:val="baseline"/>
                      <w:lang w:val="en-US" w:eastAsia="zh-CN"/>
                    </w:rPr>
                    <w:t>）</w:t>
                  </w:r>
                </w:p>
              </w:tc>
              <w:tc>
                <w:tcPr>
                  <w:tcW w:w="869" w:type="pct"/>
                  <w:gridSpan w:val="2"/>
                  <w:noWrap w:val="0"/>
                  <w:vAlign w:val="center"/>
                </w:tcPr>
                <w:p w14:paraId="5A109543">
                  <w:pPr>
                    <w:adjustRightInd w:val="0"/>
                    <w:snapToGrid w:val="0"/>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PM</w:t>
                  </w:r>
                  <w:r>
                    <w:rPr>
                      <w:rFonts w:hint="eastAsia" w:asciiTheme="minorEastAsia" w:hAnsiTheme="minorEastAsia" w:eastAsiaTheme="minorEastAsia" w:cstheme="minorEastAsia"/>
                      <w:b/>
                      <w:bCs/>
                      <w:color w:val="auto"/>
                      <w:sz w:val="21"/>
                      <w:szCs w:val="21"/>
                      <w:vertAlign w:val="subscript"/>
                      <w:lang w:val="en-US" w:eastAsia="zh-CN"/>
                    </w:rPr>
                    <w:t>2.5</w:t>
                  </w:r>
                  <w:r>
                    <w:rPr>
                      <w:rFonts w:hint="eastAsia" w:asciiTheme="minorEastAsia" w:hAnsiTheme="minorEastAsia" w:eastAsiaTheme="minorEastAsia" w:cstheme="minorEastAsia"/>
                      <w:b/>
                      <w:bCs/>
                      <w:color w:val="auto"/>
                      <w:sz w:val="21"/>
                      <w:szCs w:val="21"/>
                      <w:vertAlign w:val="baseline"/>
                      <w:lang w:val="en-US" w:eastAsia="zh-CN"/>
                    </w:rPr>
                    <w:t>（ug/m</w:t>
                  </w:r>
                  <w:r>
                    <w:rPr>
                      <w:rFonts w:hint="eastAsia" w:asciiTheme="minorEastAsia" w:hAnsiTheme="minorEastAsia" w:eastAsiaTheme="minorEastAsia" w:cstheme="minorEastAsia"/>
                      <w:b/>
                      <w:bCs/>
                      <w:color w:val="auto"/>
                      <w:sz w:val="21"/>
                      <w:szCs w:val="21"/>
                      <w:vertAlign w:val="superscript"/>
                      <w:lang w:val="en-US" w:eastAsia="zh-CN"/>
                    </w:rPr>
                    <w:t>3</w:t>
                  </w:r>
                  <w:r>
                    <w:rPr>
                      <w:rFonts w:hint="eastAsia" w:asciiTheme="minorEastAsia" w:hAnsiTheme="minorEastAsia" w:eastAsiaTheme="minorEastAsia" w:cstheme="minorEastAsia"/>
                      <w:b/>
                      <w:bCs/>
                      <w:color w:val="auto"/>
                      <w:sz w:val="21"/>
                      <w:szCs w:val="21"/>
                      <w:vertAlign w:val="baseline"/>
                      <w:lang w:val="en-US" w:eastAsia="zh-CN"/>
                    </w:rPr>
                    <w:t>）</w:t>
                  </w:r>
                </w:p>
              </w:tc>
              <w:tc>
                <w:tcPr>
                  <w:tcW w:w="702" w:type="pct"/>
                  <w:gridSpan w:val="3"/>
                  <w:noWrap w:val="0"/>
                  <w:vAlign w:val="center"/>
                </w:tcPr>
                <w:p w14:paraId="097165EF">
                  <w:pPr>
                    <w:adjustRightInd w:val="0"/>
                    <w:snapToGrid w:val="0"/>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CO（ug/m</w:t>
                  </w:r>
                  <w:r>
                    <w:rPr>
                      <w:rFonts w:hint="eastAsia" w:asciiTheme="minorEastAsia" w:hAnsiTheme="minorEastAsia" w:eastAsiaTheme="minorEastAsia" w:cstheme="minorEastAsia"/>
                      <w:b/>
                      <w:bCs/>
                      <w:color w:val="auto"/>
                      <w:sz w:val="21"/>
                      <w:szCs w:val="21"/>
                      <w:vertAlign w:val="superscript"/>
                      <w:lang w:val="en-US" w:eastAsia="zh-CN"/>
                    </w:rPr>
                    <w:t>3</w:t>
                  </w:r>
                  <w:r>
                    <w:rPr>
                      <w:rFonts w:hint="eastAsia" w:asciiTheme="minorEastAsia" w:hAnsiTheme="minorEastAsia" w:eastAsiaTheme="minorEastAsia" w:cstheme="minorEastAsia"/>
                      <w:b/>
                      <w:bCs/>
                      <w:color w:val="auto"/>
                      <w:sz w:val="21"/>
                      <w:szCs w:val="21"/>
                      <w:vertAlign w:val="baseline"/>
                      <w:lang w:val="en-US" w:eastAsia="zh-CN"/>
                    </w:rPr>
                    <w:t>）</w:t>
                  </w:r>
                </w:p>
              </w:tc>
              <w:tc>
                <w:tcPr>
                  <w:tcW w:w="640" w:type="pct"/>
                  <w:gridSpan w:val="3"/>
                  <w:noWrap w:val="0"/>
                  <w:vAlign w:val="center"/>
                </w:tcPr>
                <w:p w14:paraId="7FBDA526">
                  <w:pPr>
                    <w:adjustRightInd w:val="0"/>
                    <w:snapToGrid w:val="0"/>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O</w:t>
                  </w:r>
                  <w:r>
                    <w:rPr>
                      <w:rFonts w:hint="eastAsia" w:asciiTheme="minorEastAsia" w:hAnsiTheme="minorEastAsia" w:eastAsiaTheme="minorEastAsia" w:cstheme="minorEastAsia"/>
                      <w:b/>
                      <w:bCs/>
                      <w:color w:val="auto"/>
                      <w:sz w:val="21"/>
                      <w:szCs w:val="21"/>
                      <w:vertAlign w:val="subscript"/>
                      <w:lang w:val="en-US" w:eastAsia="zh-CN"/>
                    </w:rPr>
                    <w:t>3</w:t>
                  </w:r>
                  <w:r>
                    <w:rPr>
                      <w:rFonts w:hint="eastAsia" w:asciiTheme="minorEastAsia" w:hAnsiTheme="minorEastAsia" w:eastAsiaTheme="minorEastAsia" w:cstheme="minorEastAsia"/>
                      <w:b/>
                      <w:bCs/>
                      <w:color w:val="auto"/>
                      <w:sz w:val="21"/>
                      <w:szCs w:val="21"/>
                      <w:vertAlign w:val="baseline"/>
                      <w:lang w:val="en-US" w:eastAsia="zh-CN"/>
                    </w:rPr>
                    <w:t>-8h（ug/m</w:t>
                  </w:r>
                  <w:r>
                    <w:rPr>
                      <w:rFonts w:hint="eastAsia" w:asciiTheme="minorEastAsia" w:hAnsiTheme="minorEastAsia" w:eastAsiaTheme="minorEastAsia" w:cstheme="minorEastAsia"/>
                      <w:b/>
                      <w:bCs/>
                      <w:color w:val="auto"/>
                      <w:sz w:val="21"/>
                      <w:szCs w:val="21"/>
                      <w:vertAlign w:val="superscript"/>
                      <w:lang w:val="en-US" w:eastAsia="zh-CN"/>
                    </w:rPr>
                    <w:t>3</w:t>
                  </w:r>
                  <w:r>
                    <w:rPr>
                      <w:rFonts w:hint="eastAsia" w:asciiTheme="minorEastAsia" w:hAnsiTheme="minorEastAsia" w:eastAsiaTheme="minorEastAsia" w:cstheme="minorEastAsia"/>
                      <w:b/>
                      <w:bCs/>
                      <w:color w:val="auto"/>
                      <w:sz w:val="21"/>
                      <w:szCs w:val="21"/>
                      <w:vertAlign w:val="baseline"/>
                      <w:lang w:val="en-US" w:eastAsia="zh-CN"/>
                    </w:rPr>
                    <w:t>）</w:t>
                  </w:r>
                </w:p>
              </w:tc>
              <w:tc>
                <w:tcPr>
                  <w:tcW w:w="306" w:type="pct"/>
                  <w:vMerge w:val="restart"/>
                  <w:noWrap w:val="0"/>
                  <w:vAlign w:val="center"/>
                </w:tcPr>
                <w:p w14:paraId="6EBA6DCD">
                  <w:pPr>
                    <w:adjustRightInd w:val="0"/>
                    <w:snapToGrid w:val="0"/>
                    <w:spacing w:line="240" w:lineRule="auto"/>
                    <w:jc w:val="center"/>
                    <w:rPr>
                      <w:rFonts w:hint="eastAsia" w:asciiTheme="minorEastAsia" w:hAnsiTheme="minorEastAsia" w:eastAsiaTheme="minorEastAsia" w:cstheme="minorEastAsia"/>
                      <w:b/>
                      <w:bCs/>
                      <w:color w:val="auto"/>
                      <w:sz w:val="21"/>
                      <w:szCs w:val="21"/>
                      <w:vertAlign w:val="baseline"/>
                      <w:lang w:eastAsia="zh-CN"/>
                    </w:rPr>
                  </w:pPr>
                  <w:r>
                    <w:rPr>
                      <w:rFonts w:hint="eastAsia" w:asciiTheme="minorEastAsia" w:hAnsiTheme="minorEastAsia" w:eastAsiaTheme="minorEastAsia" w:cstheme="minorEastAsia"/>
                      <w:b/>
                      <w:bCs/>
                      <w:color w:val="auto"/>
                      <w:sz w:val="21"/>
                      <w:szCs w:val="21"/>
                      <w:vertAlign w:val="baseline"/>
                      <w:lang w:eastAsia="zh-CN"/>
                    </w:rPr>
                    <w:t>达标情况</w:t>
                  </w:r>
                </w:p>
              </w:tc>
            </w:tr>
            <w:tr w14:paraId="4C34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04" w:type="pct"/>
                  <w:vMerge w:val="continue"/>
                  <w:noWrap w:val="0"/>
                  <w:vAlign w:val="center"/>
                </w:tcPr>
                <w:p w14:paraId="332ABF5F">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p>
              </w:tc>
              <w:tc>
                <w:tcPr>
                  <w:tcW w:w="359" w:type="pct"/>
                  <w:noWrap w:val="0"/>
                  <w:vAlign w:val="center"/>
                </w:tcPr>
                <w:p w14:paraId="5E50668B">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vertAlign w:val="baseline"/>
                      <w:lang w:eastAsia="zh-CN"/>
                    </w:rPr>
                    <w:t>年均值</w:t>
                  </w:r>
                </w:p>
              </w:tc>
              <w:tc>
                <w:tcPr>
                  <w:tcW w:w="364" w:type="pct"/>
                  <w:noWrap w:val="0"/>
                  <w:vAlign w:val="center"/>
                </w:tcPr>
                <w:p w14:paraId="2852206F">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98百分位</w:t>
                  </w:r>
                </w:p>
              </w:tc>
              <w:tc>
                <w:tcPr>
                  <w:tcW w:w="361" w:type="pct"/>
                  <w:noWrap w:val="0"/>
                  <w:vAlign w:val="center"/>
                </w:tcPr>
                <w:p w14:paraId="600C68F5">
                  <w:pPr>
                    <w:adjustRightInd w:val="0"/>
                    <w:snapToGrid w:val="0"/>
                    <w:spacing w:line="240" w:lineRule="auto"/>
                    <w:jc w:val="center"/>
                    <w:rPr>
                      <w:rFonts w:hint="eastAsia" w:asciiTheme="minorEastAsia" w:hAnsiTheme="minorEastAsia" w:eastAsiaTheme="minorEastAsia" w:cstheme="minorEastAsia"/>
                      <w:b w:val="0"/>
                      <w:bCs w:val="0"/>
                      <w:color w:val="auto"/>
                      <w:kern w:val="2"/>
                      <w:sz w:val="21"/>
                      <w:szCs w:val="21"/>
                      <w:vertAlign w:val="baseline"/>
                      <w:lang w:val="en-US" w:eastAsia="zh-CN" w:bidi="ar-SA"/>
                    </w:rPr>
                  </w:pPr>
                  <w:r>
                    <w:rPr>
                      <w:rFonts w:hint="eastAsia" w:asciiTheme="minorEastAsia" w:hAnsiTheme="minorEastAsia" w:eastAsiaTheme="minorEastAsia" w:cstheme="minorEastAsia"/>
                      <w:b w:val="0"/>
                      <w:bCs w:val="0"/>
                      <w:color w:val="auto"/>
                      <w:sz w:val="21"/>
                      <w:szCs w:val="21"/>
                      <w:vertAlign w:val="baseline"/>
                      <w:lang w:eastAsia="zh-CN"/>
                    </w:rPr>
                    <w:t>年均值</w:t>
                  </w:r>
                </w:p>
              </w:tc>
              <w:tc>
                <w:tcPr>
                  <w:tcW w:w="361" w:type="pct"/>
                  <w:noWrap w:val="0"/>
                  <w:vAlign w:val="center"/>
                </w:tcPr>
                <w:p w14:paraId="1BB78FD7">
                  <w:pPr>
                    <w:adjustRightInd w:val="0"/>
                    <w:snapToGrid w:val="0"/>
                    <w:spacing w:line="240" w:lineRule="auto"/>
                    <w:jc w:val="center"/>
                    <w:rPr>
                      <w:rFonts w:hint="eastAsia" w:asciiTheme="minorEastAsia" w:hAnsiTheme="minorEastAsia" w:eastAsiaTheme="minorEastAsia" w:cstheme="minorEastAsia"/>
                      <w:b w:val="0"/>
                      <w:bCs w:val="0"/>
                      <w:color w:val="auto"/>
                      <w:kern w:val="2"/>
                      <w:sz w:val="21"/>
                      <w:szCs w:val="21"/>
                      <w:vertAlign w:val="baseli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98百分位</w:t>
                  </w:r>
                </w:p>
              </w:tc>
              <w:tc>
                <w:tcPr>
                  <w:tcW w:w="348" w:type="pct"/>
                  <w:noWrap w:val="0"/>
                  <w:vAlign w:val="center"/>
                </w:tcPr>
                <w:p w14:paraId="417809AC">
                  <w:pPr>
                    <w:adjustRightInd w:val="0"/>
                    <w:snapToGrid w:val="0"/>
                    <w:spacing w:line="240" w:lineRule="auto"/>
                    <w:jc w:val="center"/>
                    <w:rPr>
                      <w:rFonts w:hint="eastAsia" w:asciiTheme="minorEastAsia" w:hAnsiTheme="minorEastAsia" w:eastAsiaTheme="minorEastAsia" w:cstheme="minorEastAsia"/>
                      <w:b w:val="0"/>
                      <w:bCs w:val="0"/>
                      <w:color w:val="auto"/>
                      <w:kern w:val="2"/>
                      <w:sz w:val="21"/>
                      <w:szCs w:val="21"/>
                      <w:vertAlign w:val="baseline"/>
                      <w:lang w:val="en-US" w:eastAsia="zh-CN" w:bidi="ar-SA"/>
                    </w:rPr>
                  </w:pPr>
                  <w:r>
                    <w:rPr>
                      <w:rFonts w:hint="eastAsia" w:asciiTheme="minorEastAsia" w:hAnsiTheme="minorEastAsia" w:eastAsiaTheme="minorEastAsia" w:cstheme="minorEastAsia"/>
                      <w:b w:val="0"/>
                      <w:bCs w:val="0"/>
                      <w:color w:val="auto"/>
                      <w:sz w:val="21"/>
                      <w:szCs w:val="21"/>
                      <w:vertAlign w:val="baseline"/>
                      <w:lang w:eastAsia="zh-CN"/>
                    </w:rPr>
                    <w:t>年均值</w:t>
                  </w:r>
                </w:p>
              </w:tc>
              <w:tc>
                <w:tcPr>
                  <w:tcW w:w="380" w:type="pct"/>
                  <w:noWrap w:val="0"/>
                  <w:vAlign w:val="center"/>
                </w:tcPr>
                <w:p w14:paraId="7F4E4757">
                  <w:pPr>
                    <w:adjustRightInd w:val="0"/>
                    <w:snapToGrid w:val="0"/>
                    <w:spacing w:line="240" w:lineRule="auto"/>
                    <w:jc w:val="center"/>
                    <w:rPr>
                      <w:rFonts w:hint="eastAsia" w:asciiTheme="minorEastAsia" w:hAnsiTheme="minorEastAsia" w:eastAsiaTheme="minorEastAsia" w:cstheme="minorEastAsia"/>
                      <w:b w:val="0"/>
                      <w:bCs w:val="0"/>
                      <w:color w:val="auto"/>
                      <w:kern w:val="2"/>
                      <w:sz w:val="21"/>
                      <w:szCs w:val="21"/>
                      <w:vertAlign w:val="baseli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95百分位</w:t>
                  </w:r>
                </w:p>
              </w:tc>
              <w:tc>
                <w:tcPr>
                  <w:tcW w:w="361" w:type="pct"/>
                  <w:noWrap w:val="0"/>
                  <w:vAlign w:val="center"/>
                </w:tcPr>
                <w:p w14:paraId="6531995E">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vertAlign w:val="baseline"/>
                      <w:lang w:eastAsia="zh-CN"/>
                    </w:rPr>
                    <w:t>年均值</w:t>
                  </w:r>
                </w:p>
              </w:tc>
              <w:tc>
                <w:tcPr>
                  <w:tcW w:w="507" w:type="pct"/>
                  <w:noWrap w:val="0"/>
                  <w:vAlign w:val="center"/>
                </w:tcPr>
                <w:p w14:paraId="3A521ED0">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vertAlign w:val="baseline"/>
                      <w:lang w:val="en-US" w:eastAsia="zh-CN"/>
                    </w:rPr>
                    <w:t>95百分位</w:t>
                  </w:r>
                </w:p>
              </w:tc>
              <w:tc>
                <w:tcPr>
                  <w:tcW w:w="286" w:type="pct"/>
                  <w:noWrap w:val="0"/>
                  <w:vAlign w:val="center"/>
                </w:tcPr>
                <w:p w14:paraId="6DAC33C4">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vertAlign w:val="baseline"/>
                      <w:lang w:eastAsia="zh-CN"/>
                    </w:rPr>
                    <w:t>年均值</w:t>
                  </w:r>
                </w:p>
              </w:tc>
              <w:tc>
                <w:tcPr>
                  <w:tcW w:w="415" w:type="pct"/>
                  <w:gridSpan w:val="2"/>
                  <w:noWrap w:val="0"/>
                  <w:vAlign w:val="center"/>
                </w:tcPr>
                <w:p w14:paraId="3A2F0206">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95百分位</w:t>
                  </w:r>
                </w:p>
              </w:tc>
              <w:tc>
                <w:tcPr>
                  <w:tcW w:w="280" w:type="pct"/>
                  <w:noWrap w:val="0"/>
                  <w:vAlign w:val="center"/>
                </w:tcPr>
                <w:p w14:paraId="7141B22F">
                  <w:pPr>
                    <w:adjustRightInd w:val="0"/>
                    <w:snapToGrid w:val="0"/>
                    <w:spacing w:line="240" w:lineRule="auto"/>
                    <w:jc w:val="center"/>
                    <w:rPr>
                      <w:rFonts w:hint="eastAsia" w:asciiTheme="minorEastAsia" w:hAnsiTheme="minorEastAsia" w:eastAsiaTheme="minorEastAsia" w:cstheme="minorEastAsia"/>
                      <w:b w:val="0"/>
                      <w:bCs w:val="0"/>
                      <w:color w:val="auto"/>
                      <w:kern w:val="2"/>
                      <w:sz w:val="21"/>
                      <w:szCs w:val="21"/>
                      <w:vertAlign w:val="baseline"/>
                      <w:lang w:val="en-US" w:eastAsia="zh-CN" w:bidi="ar-SA"/>
                    </w:rPr>
                  </w:pPr>
                  <w:r>
                    <w:rPr>
                      <w:rFonts w:hint="eastAsia" w:asciiTheme="minorEastAsia" w:hAnsiTheme="minorEastAsia" w:eastAsiaTheme="minorEastAsia" w:cstheme="minorEastAsia"/>
                      <w:b w:val="0"/>
                      <w:bCs w:val="0"/>
                      <w:color w:val="auto"/>
                      <w:sz w:val="21"/>
                      <w:szCs w:val="21"/>
                      <w:vertAlign w:val="baseline"/>
                      <w:lang w:eastAsia="zh-CN"/>
                    </w:rPr>
                    <w:t>年均值</w:t>
                  </w:r>
                </w:p>
              </w:tc>
              <w:tc>
                <w:tcPr>
                  <w:tcW w:w="359" w:type="pct"/>
                  <w:gridSpan w:val="2"/>
                  <w:noWrap w:val="0"/>
                  <w:vAlign w:val="center"/>
                </w:tcPr>
                <w:p w14:paraId="43CAD5C7">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95百分位</w:t>
                  </w:r>
                </w:p>
              </w:tc>
              <w:tc>
                <w:tcPr>
                  <w:tcW w:w="306" w:type="pct"/>
                  <w:vMerge w:val="continue"/>
                  <w:noWrap w:val="0"/>
                  <w:vAlign w:val="center"/>
                </w:tcPr>
                <w:p w14:paraId="59C848B6">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p>
              </w:tc>
            </w:tr>
            <w:tr w14:paraId="3324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304" w:type="pct"/>
                  <w:vMerge w:val="restart"/>
                  <w:noWrap w:val="0"/>
                  <w:vAlign w:val="center"/>
                </w:tcPr>
                <w:p w14:paraId="3CC554DF">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vertAlign w:val="baseline"/>
                      <w:lang w:eastAsia="zh-CN"/>
                    </w:rPr>
                    <w:t>芒市</w:t>
                  </w:r>
                </w:p>
              </w:tc>
              <w:tc>
                <w:tcPr>
                  <w:tcW w:w="359" w:type="pct"/>
                  <w:noWrap w:val="0"/>
                  <w:vAlign w:val="center"/>
                </w:tcPr>
                <w:p w14:paraId="2B8217FA">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7</w:t>
                  </w:r>
                </w:p>
              </w:tc>
              <w:tc>
                <w:tcPr>
                  <w:tcW w:w="364" w:type="pct"/>
                  <w:noWrap w:val="0"/>
                  <w:vAlign w:val="center"/>
                </w:tcPr>
                <w:p w14:paraId="0296591E">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18</w:t>
                  </w:r>
                </w:p>
              </w:tc>
              <w:tc>
                <w:tcPr>
                  <w:tcW w:w="361" w:type="pct"/>
                  <w:noWrap w:val="0"/>
                  <w:vAlign w:val="center"/>
                </w:tcPr>
                <w:p w14:paraId="7B8D711D">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21</w:t>
                  </w:r>
                </w:p>
              </w:tc>
              <w:tc>
                <w:tcPr>
                  <w:tcW w:w="361" w:type="pct"/>
                  <w:noWrap w:val="0"/>
                  <w:vAlign w:val="center"/>
                </w:tcPr>
                <w:p w14:paraId="3A322A8F">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41</w:t>
                  </w:r>
                </w:p>
              </w:tc>
              <w:tc>
                <w:tcPr>
                  <w:tcW w:w="348" w:type="pct"/>
                  <w:noWrap w:val="0"/>
                  <w:vAlign w:val="center"/>
                </w:tcPr>
                <w:p w14:paraId="662D83B9">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47</w:t>
                  </w:r>
                </w:p>
              </w:tc>
              <w:tc>
                <w:tcPr>
                  <w:tcW w:w="380" w:type="pct"/>
                  <w:noWrap w:val="0"/>
                  <w:vAlign w:val="center"/>
                </w:tcPr>
                <w:p w14:paraId="307DA4F1">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114</w:t>
                  </w:r>
                </w:p>
              </w:tc>
              <w:tc>
                <w:tcPr>
                  <w:tcW w:w="361" w:type="pct"/>
                  <w:noWrap w:val="0"/>
                  <w:vAlign w:val="center"/>
                </w:tcPr>
                <w:p w14:paraId="7A90FBBD">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27</w:t>
                  </w:r>
                </w:p>
              </w:tc>
              <w:tc>
                <w:tcPr>
                  <w:tcW w:w="507" w:type="pct"/>
                  <w:noWrap w:val="0"/>
                  <w:vAlign w:val="center"/>
                </w:tcPr>
                <w:p w14:paraId="47DFDFA2">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62</w:t>
                  </w:r>
                </w:p>
              </w:tc>
              <w:tc>
                <w:tcPr>
                  <w:tcW w:w="288" w:type="pct"/>
                  <w:gridSpan w:val="2"/>
                  <w:noWrap w:val="0"/>
                  <w:vAlign w:val="center"/>
                </w:tcPr>
                <w:p w14:paraId="5A2F04A1">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0.7</w:t>
                  </w:r>
                </w:p>
              </w:tc>
              <w:tc>
                <w:tcPr>
                  <w:tcW w:w="413" w:type="pct"/>
                  <w:noWrap w:val="0"/>
                  <w:vAlign w:val="center"/>
                </w:tcPr>
                <w:p w14:paraId="6F955264">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1.0</w:t>
                  </w:r>
                </w:p>
              </w:tc>
              <w:tc>
                <w:tcPr>
                  <w:tcW w:w="281" w:type="pct"/>
                  <w:gridSpan w:val="2"/>
                  <w:noWrap w:val="0"/>
                  <w:vAlign w:val="center"/>
                </w:tcPr>
                <w:p w14:paraId="3F02929C">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80</w:t>
                  </w:r>
                </w:p>
              </w:tc>
              <w:tc>
                <w:tcPr>
                  <w:tcW w:w="358" w:type="pct"/>
                  <w:noWrap w:val="0"/>
                  <w:vAlign w:val="center"/>
                </w:tcPr>
                <w:p w14:paraId="2A16D9F3">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127</w:t>
                  </w:r>
                </w:p>
              </w:tc>
              <w:tc>
                <w:tcPr>
                  <w:tcW w:w="306" w:type="pct"/>
                  <w:vMerge w:val="restart"/>
                  <w:noWrap w:val="0"/>
                  <w:vAlign w:val="center"/>
                </w:tcPr>
                <w:p w14:paraId="6A759349">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vertAlign w:val="baseline"/>
                      <w:lang w:eastAsia="zh-CN"/>
                    </w:rPr>
                    <w:t>二级</w:t>
                  </w:r>
                </w:p>
              </w:tc>
            </w:tr>
            <w:tr w14:paraId="399E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04" w:type="pct"/>
                  <w:vMerge w:val="continue"/>
                  <w:noWrap w:val="0"/>
                  <w:vAlign w:val="top"/>
                </w:tcPr>
                <w:p w14:paraId="734EABBF">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p>
              </w:tc>
              <w:tc>
                <w:tcPr>
                  <w:tcW w:w="359" w:type="pct"/>
                  <w:noWrap w:val="0"/>
                  <w:vAlign w:val="center"/>
                </w:tcPr>
                <w:p w14:paraId="600F8570">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一级</w:t>
                  </w:r>
                </w:p>
              </w:tc>
              <w:tc>
                <w:tcPr>
                  <w:tcW w:w="364" w:type="pct"/>
                  <w:noWrap w:val="0"/>
                  <w:vAlign w:val="center"/>
                </w:tcPr>
                <w:p w14:paraId="62D48AEC">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一级</w:t>
                  </w:r>
                </w:p>
              </w:tc>
              <w:tc>
                <w:tcPr>
                  <w:tcW w:w="361" w:type="pct"/>
                  <w:noWrap w:val="0"/>
                  <w:vAlign w:val="center"/>
                </w:tcPr>
                <w:p w14:paraId="2FFBE890">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一级</w:t>
                  </w:r>
                </w:p>
              </w:tc>
              <w:tc>
                <w:tcPr>
                  <w:tcW w:w="361" w:type="pct"/>
                  <w:noWrap w:val="0"/>
                  <w:vAlign w:val="center"/>
                </w:tcPr>
                <w:p w14:paraId="1FFB40D5">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一级</w:t>
                  </w:r>
                </w:p>
              </w:tc>
              <w:tc>
                <w:tcPr>
                  <w:tcW w:w="348" w:type="pct"/>
                  <w:noWrap w:val="0"/>
                  <w:vAlign w:val="center"/>
                </w:tcPr>
                <w:p w14:paraId="13C48232">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二级</w:t>
                  </w:r>
                </w:p>
              </w:tc>
              <w:tc>
                <w:tcPr>
                  <w:tcW w:w="380" w:type="pct"/>
                  <w:noWrap w:val="0"/>
                  <w:vAlign w:val="center"/>
                </w:tcPr>
                <w:p w14:paraId="43BCD5A3">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二级</w:t>
                  </w:r>
                </w:p>
              </w:tc>
              <w:tc>
                <w:tcPr>
                  <w:tcW w:w="361" w:type="pct"/>
                  <w:noWrap w:val="0"/>
                  <w:vAlign w:val="center"/>
                </w:tcPr>
                <w:p w14:paraId="12ECCC2A">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二级</w:t>
                  </w:r>
                </w:p>
              </w:tc>
              <w:tc>
                <w:tcPr>
                  <w:tcW w:w="507" w:type="pct"/>
                  <w:noWrap w:val="0"/>
                  <w:vAlign w:val="center"/>
                </w:tcPr>
                <w:p w14:paraId="1CB2773C">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二级</w:t>
                  </w:r>
                </w:p>
              </w:tc>
              <w:tc>
                <w:tcPr>
                  <w:tcW w:w="288" w:type="pct"/>
                  <w:gridSpan w:val="2"/>
                  <w:noWrap w:val="0"/>
                  <w:vAlign w:val="center"/>
                </w:tcPr>
                <w:p w14:paraId="6F6015DB">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一级</w:t>
                  </w:r>
                </w:p>
              </w:tc>
              <w:tc>
                <w:tcPr>
                  <w:tcW w:w="413" w:type="pct"/>
                  <w:noWrap w:val="0"/>
                  <w:vAlign w:val="center"/>
                </w:tcPr>
                <w:p w14:paraId="267D3545">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w:t>
                  </w:r>
                </w:p>
              </w:tc>
              <w:tc>
                <w:tcPr>
                  <w:tcW w:w="281" w:type="pct"/>
                  <w:gridSpan w:val="2"/>
                  <w:noWrap w:val="0"/>
                  <w:vAlign w:val="center"/>
                </w:tcPr>
                <w:p w14:paraId="61DBAAE6">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二级</w:t>
                  </w:r>
                </w:p>
              </w:tc>
              <w:tc>
                <w:tcPr>
                  <w:tcW w:w="358" w:type="pct"/>
                  <w:noWrap w:val="0"/>
                  <w:vAlign w:val="center"/>
                </w:tcPr>
                <w:p w14:paraId="5195D7E4">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w:t>
                  </w:r>
                </w:p>
              </w:tc>
              <w:tc>
                <w:tcPr>
                  <w:tcW w:w="306" w:type="pct"/>
                  <w:vMerge w:val="continue"/>
                  <w:noWrap w:val="0"/>
                  <w:vAlign w:val="top"/>
                </w:tcPr>
                <w:p w14:paraId="3EA0EC52">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p>
              </w:tc>
            </w:tr>
          </w:tbl>
          <w:p w14:paraId="66EE5C75">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根据《2022年德宏州生态环境状况公报》，全州环境空气质量总体保持良好。全州5个城市空气质量优良率在99.2%-100%之间，平均优良率为99.5%，优良天数比例与上年相比提高4.0%。全州平均环境空气质量综合指数2.25，与2021年相比下降20.5%，全州环境空气质量有所提升。全州5个城市年评价结果均达到《环境空气质量标准》（GB3095-2012）二级标准要求。5个城市的6项污染物年均值及相应百分位数平均值均达到或优于环境空气质量二级标准，其中，二氧化氮年均值、一氧化碳相应百分位数达到一级标准，二氧化硫、可吸入颗粒、细颗粒物年均值及臭氧相应百分位数达到二级标准。超标天数主要集中在1-4月，其中4月超标天数最多，占42.9%，5-12月空气质量相对较好。首要污染物以臭氧、细颗粒物为主，占比分别为49.2%、36.1%。</w:t>
            </w:r>
          </w:p>
          <w:p w14:paraId="0AABF814">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其中项目所在地芒市的</w:t>
            </w:r>
            <w:r>
              <w:rPr>
                <w:rFonts w:hint="eastAsia" w:asciiTheme="minorEastAsia" w:hAnsiTheme="minorEastAsia" w:eastAsiaTheme="minorEastAsia" w:cstheme="minorEastAsia"/>
                <w:snapToGrid w:val="0"/>
                <w:color w:val="auto"/>
                <w:sz w:val="24"/>
                <w:szCs w:val="24"/>
                <w:lang w:val="en-US" w:eastAsia="zh-CN"/>
              </w:rPr>
              <w:t>2022年</w:t>
            </w:r>
            <w:r>
              <w:rPr>
                <w:rFonts w:hint="eastAsia" w:asciiTheme="minorEastAsia" w:hAnsiTheme="minorEastAsia" w:eastAsiaTheme="minorEastAsia" w:cstheme="minorEastAsia"/>
                <w:color w:val="auto"/>
                <w:sz w:val="24"/>
                <w:szCs w:val="24"/>
                <w:lang w:val="en-US" w:eastAsia="zh-CN"/>
              </w:rPr>
              <w:t>环境空气质量情况见表3-4。</w:t>
            </w:r>
          </w:p>
          <w:p w14:paraId="388A5EB0">
            <w:pPr>
              <w:adjustRightInd w:val="0"/>
              <w:snapToGrid w:val="0"/>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表</w:t>
            </w:r>
            <w:r>
              <w:rPr>
                <w:rFonts w:hint="eastAsia" w:asciiTheme="minorEastAsia" w:hAnsiTheme="minorEastAsia" w:eastAsiaTheme="minorEastAsia" w:cstheme="minorEastAsia"/>
                <w:b/>
                <w:bCs/>
                <w:color w:val="auto"/>
                <w:sz w:val="24"/>
                <w:szCs w:val="24"/>
                <w:lang w:val="en-US" w:eastAsia="zh-CN"/>
              </w:rPr>
              <w:t>3</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 xml:space="preserve">4  </w:t>
            </w:r>
            <w:r>
              <w:rPr>
                <w:rFonts w:hint="eastAsia" w:asciiTheme="minorEastAsia" w:hAnsiTheme="minorEastAsia" w:eastAsiaTheme="minorEastAsia" w:cstheme="minorEastAsia"/>
                <w:b/>
                <w:bCs/>
                <w:color w:val="auto"/>
                <w:sz w:val="24"/>
                <w:szCs w:val="24"/>
              </w:rPr>
              <w:t>20</w:t>
            </w:r>
            <w:r>
              <w:rPr>
                <w:rFonts w:hint="eastAsia" w:asciiTheme="minorEastAsia" w:hAnsiTheme="minorEastAsia" w:eastAsiaTheme="minorEastAsia" w:cstheme="minorEastAsia"/>
                <w:b/>
                <w:bCs/>
                <w:color w:val="auto"/>
                <w:sz w:val="24"/>
                <w:szCs w:val="24"/>
                <w:lang w:val="en-US" w:eastAsia="zh-CN"/>
              </w:rPr>
              <w:t>22</w:t>
            </w:r>
            <w:r>
              <w:rPr>
                <w:rFonts w:hint="eastAsia" w:asciiTheme="minorEastAsia" w:hAnsiTheme="minorEastAsia" w:eastAsiaTheme="minorEastAsia" w:cstheme="minorEastAsia"/>
                <w:b/>
                <w:bCs/>
                <w:color w:val="auto"/>
                <w:sz w:val="24"/>
                <w:szCs w:val="24"/>
              </w:rPr>
              <w:t>年德宏州</w:t>
            </w:r>
            <w:r>
              <w:rPr>
                <w:rFonts w:hint="eastAsia" w:asciiTheme="minorEastAsia" w:hAnsiTheme="minorEastAsia" w:eastAsiaTheme="minorEastAsia" w:cstheme="minorEastAsia"/>
                <w:b/>
                <w:bCs/>
                <w:color w:val="auto"/>
                <w:sz w:val="24"/>
                <w:szCs w:val="24"/>
                <w:lang w:val="en-US" w:eastAsia="zh-CN"/>
              </w:rPr>
              <w:t>芒市</w:t>
            </w:r>
            <w:r>
              <w:rPr>
                <w:rFonts w:hint="eastAsia" w:asciiTheme="minorEastAsia" w:hAnsiTheme="minorEastAsia" w:eastAsiaTheme="minorEastAsia" w:cstheme="minorEastAsia"/>
                <w:b/>
                <w:bCs/>
                <w:color w:val="auto"/>
                <w:sz w:val="24"/>
                <w:szCs w:val="24"/>
              </w:rPr>
              <w:t>环境空</w:t>
            </w:r>
            <w:r>
              <w:rPr>
                <w:rFonts w:hint="eastAsia" w:asciiTheme="minorEastAsia" w:hAnsiTheme="minorEastAsia" w:eastAsiaTheme="minorEastAsia" w:cstheme="minorEastAsia"/>
                <w:b/>
                <w:bCs/>
                <w:color w:val="auto"/>
                <w:sz w:val="24"/>
                <w:szCs w:val="24"/>
                <w:lang w:val="en-US" w:eastAsia="zh-CN"/>
              </w:rPr>
              <w:t>气质量情况</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78"/>
              <w:gridCol w:w="764"/>
              <w:gridCol w:w="729"/>
              <w:gridCol w:w="816"/>
              <w:gridCol w:w="746"/>
              <w:gridCol w:w="713"/>
              <w:gridCol w:w="711"/>
              <w:gridCol w:w="766"/>
              <w:gridCol w:w="1115"/>
              <w:gridCol w:w="1115"/>
              <w:gridCol w:w="609"/>
            </w:tblGrid>
            <w:tr w14:paraId="6733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23" w:type="pct"/>
                  <w:vMerge w:val="restart"/>
                  <w:noWrap w:val="0"/>
                  <w:vAlign w:val="center"/>
                </w:tcPr>
                <w:p w14:paraId="3973B91D">
                  <w:pPr>
                    <w:adjustRightInd w:val="0"/>
                    <w:snapToGrid w:val="0"/>
                    <w:spacing w:line="240" w:lineRule="auto"/>
                    <w:jc w:val="center"/>
                    <w:rPr>
                      <w:rFonts w:hint="eastAsia" w:asciiTheme="minorEastAsia" w:hAnsiTheme="minorEastAsia" w:eastAsiaTheme="minorEastAsia" w:cstheme="minorEastAsia"/>
                      <w:b/>
                      <w:bCs/>
                      <w:color w:val="auto"/>
                      <w:sz w:val="21"/>
                      <w:szCs w:val="21"/>
                      <w:vertAlign w:val="baseline"/>
                      <w:lang w:eastAsia="zh-CN"/>
                    </w:rPr>
                  </w:pPr>
                  <w:r>
                    <w:rPr>
                      <w:rFonts w:hint="eastAsia" w:asciiTheme="minorEastAsia" w:hAnsiTheme="minorEastAsia" w:eastAsiaTheme="minorEastAsia" w:cstheme="minorEastAsia"/>
                      <w:b/>
                      <w:bCs/>
                      <w:color w:val="auto"/>
                      <w:sz w:val="21"/>
                      <w:szCs w:val="21"/>
                      <w:vertAlign w:val="baseline"/>
                      <w:lang w:eastAsia="zh-CN"/>
                    </w:rPr>
                    <w:t>城市</w:t>
                  </w:r>
                </w:p>
              </w:tc>
              <w:tc>
                <w:tcPr>
                  <w:tcW w:w="857" w:type="pct"/>
                  <w:gridSpan w:val="2"/>
                  <w:noWrap w:val="0"/>
                  <w:vAlign w:val="center"/>
                </w:tcPr>
                <w:p w14:paraId="3352138E">
                  <w:pPr>
                    <w:adjustRightInd w:val="0"/>
                    <w:snapToGrid w:val="0"/>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SO</w:t>
                  </w:r>
                  <w:r>
                    <w:rPr>
                      <w:rFonts w:hint="eastAsia" w:asciiTheme="minorEastAsia" w:hAnsiTheme="minorEastAsia" w:eastAsiaTheme="minorEastAsia" w:cstheme="minorEastAsia"/>
                      <w:b/>
                      <w:bCs/>
                      <w:color w:val="auto"/>
                      <w:sz w:val="21"/>
                      <w:szCs w:val="21"/>
                      <w:vertAlign w:val="subscript"/>
                      <w:lang w:val="en-US" w:eastAsia="zh-CN"/>
                    </w:rPr>
                    <w:t>2</w:t>
                  </w:r>
                </w:p>
                <w:p w14:paraId="1BFDF46F">
                  <w:pPr>
                    <w:adjustRightInd w:val="0"/>
                    <w:snapToGrid w:val="0"/>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（ug/m</w:t>
                  </w:r>
                  <w:r>
                    <w:rPr>
                      <w:rFonts w:hint="eastAsia" w:asciiTheme="minorEastAsia" w:hAnsiTheme="minorEastAsia" w:eastAsiaTheme="minorEastAsia" w:cstheme="minorEastAsia"/>
                      <w:b/>
                      <w:bCs/>
                      <w:color w:val="auto"/>
                      <w:sz w:val="21"/>
                      <w:szCs w:val="21"/>
                      <w:vertAlign w:val="superscript"/>
                      <w:lang w:val="en-US" w:eastAsia="zh-CN"/>
                    </w:rPr>
                    <w:t>3</w:t>
                  </w:r>
                  <w:r>
                    <w:rPr>
                      <w:rFonts w:hint="eastAsia" w:asciiTheme="minorEastAsia" w:hAnsiTheme="minorEastAsia" w:eastAsiaTheme="minorEastAsia" w:cstheme="minorEastAsia"/>
                      <w:b/>
                      <w:bCs/>
                      <w:color w:val="auto"/>
                      <w:sz w:val="21"/>
                      <w:szCs w:val="21"/>
                      <w:vertAlign w:val="baseline"/>
                      <w:lang w:val="en-US" w:eastAsia="zh-CN"/>
                    </w:rPr>
                    <w:t>）</w:t>
                  </w:r>
                </w:p>
              </w:tc>
              <w:tc>
                <w:tcPr>
                  <w:tcW w:w="913" w:type="pct"/>
                  <w:gridSpan w:val="2"/>
                  <w:noWrap w:val="0"/>
                  <w:vAlign w:val="center"/>
                </w:tcPr>
                <w:p w14:paraId="2CA4D90F">
                  <w:pPr>
                    <w:adjustRightInd w:val="0"/>
                    <w:snapToGrid w:val="0"/>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NO</w:t>
                  </w:r>
                  <w:r>
                    <w:rPr>
                      <w:rFonts w:hint="eastAsia" w:asciiTheme="minorEastAsia" w:hAnsiTheme="minorEastAsia" w:eastAsiaTheme="minorEastAsia" w:cstheme="minorEastAsia"/>
                      <w:b/>
                      <w:bCs/>
                      <w:color w:val="auto"/>
                      <w:sz w:val="21"/>
                      <w:szCs w:val="21"/>
                      <w:vertAlign w:val="subscript"/>
                      <w:lang w:val="en-US" w:eastAsia="zh-CN"/>
                    </w:rPr>
                    <w:t>2</w:t>
                  </w:r>
                  <w:r>
                    <w:rPr>
                      <w:rFonts w:hint="eastAsia" w:asciiTheme="minorEastAsia" w:hAnsiTheme="minorEastAsia" w:eastAsiaTheme="minorEastAsia" w:cstheme="minorEastAsia"/>
                      <w:b/>
                      <w:bCs/>
                      <w:color w:val="auto"/>
                      <w:sz w:val="21"/>
                      <w:szCs w:val="21"/>
                      <w:vertAlign w:val="baseline"/>
                      <w:lang w:val="en-US" w:eastAsia="zh-CN"/>
                    </w:rPr>
                    <w:t>（ug/m</w:t>
                  </w:r>
                  <w:r>
                    <w:rPr>
                      <w:rFonts w:hint="eastAsia" w:asciiTheme="minorEastAsia" w:hAnsiTheme="minorEastAsia" w:eastAsiaTheme="minorEastAsia" w:cstheme="minorEastAsia"/>
                      <w:b/>
                      <w:bCs/>
                      <w:color w:val="auto"/>
                      <w:sz w:val="21"/>
                      <w:szCs w:val="21"/>
                      <w:vertAlign w:val="superscript"/>
                      <w:lang w:val="en-US" w:eastAsia="zh-CN"/>
                    </w:rPr>
                    <w:t>3</w:t>
                  </w:r>
                  <w:r>
                    <w:rPr>
                      <w:rFonts w:hint="eastAsia" w:asciiTheme="minorEastAsia" w:hAnsiTheme="minorEastAsia" w:eastAsiaTheme="minorEastAsia" w:cstheme="minorEastAsia"/>
                      <w:b/>
                      <w:bCs/>
                      <w:color w:val="auto"/>
                      <w:sz w:val="21"/>
                      <w:szCs w:val="21"/>
                      <w:vertAlign w:val="baseline"/>
                      <w:lang w:val="en-US" w:eastAsia="zh-CN"/>
                    </w:rPr>
                    <w:t>）</w:t>
                  </w:r>
                </w:p>
              </w:tc>
              <w:tc>
                <w:tcPr>
                  <w:tcW w:w="866" w:type="pct"/>
                  <w:gridSpan w:val="2"/>
                  <w:noWrap w:val="0"/>
                  <w:vAlign w:val="center"/>
                </w:tcPr>
                <w:p w14:paraId="7032F791">
                  <w:pPr>
                    <w:adjustRightInd w:val="0"/>
                    <w:snapToGrid w:val="0"/>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PM</w:t>
                  </w:r>
                  <w:r>
                    <w:rPr>
                      <w:rFonts w:hint="eastAsia" w:asciiTheme="minorEastAsia" w:hAnsiTheme="minorEastAsia" w:eastAsiaTheme="minorEastAsia" w:cstheme="minorEastAsia"/>
                      <w:b/>
                      <w:bCs/>
                      <w:color w:val="auto"/>
                      <w:sz w:val="21"/>
                      <w:szCs w:val="21"/>
                      <w:vertAlign w:val="subscript"/>
                      <w:lang w:val="en-US" w:eastAsia="zh-CN"/>
                    </w:rPr>
                    <w:t>10</w:t>
                  </w:r>
                  <w:r>
                    <w:rPr>
                      <w:rFonts w:hint="eastAsia" w:asciiTheme="minorEastAsia" w:hAnsiTheme="minorEastAsia" w:eastAsiaTheme="minorEastAsia" w:cstheme="minorEastAsia"/>
                      <w:b/>
                      <w:bCs/>
                      <w:color w:val="auto"/>
                      <w:sz w:val="21"/>
                      <w:szCs w:val="21"/>
                      <w:vertAlign w:val="baseline"/>
                      <w:lang w:val="en-US" w:eastAsia="zh-CN"/>
                    </w:rPr>
                    <w:t>（ug/m</w:t>
                  </w:r>
                  <w:r>
                    <w:rPr>
                      <w:rFonts w:hint="eastAsia" w:asciiTheme="minorEastAsia" w:hAnsiTheme="minorEastAsia" w:eastAsiaTheme="minorEastAsia" w:cstheme="minorEastAsia"/>
                      <w:b/>
                      <w:bCs/>
                      <w:color w:val="auto"/>
                      <w:sz w:val="21"/>
                      <w:szCs w:val="21"/>
                      <w:vertAlign w:val="superscript"/>
                      <w:lang w:val="en-US" w:eastAsia="zh-CN"/>
                    </w:rPr>
                    <w:t>3</w:t>
                  </w:r>
                  <w:r>
                    <w:rPr>
                      <w:rFonts w:hint="eastAsia" w:asciiTheme="minorEastAsia" w:hAnsiTheme="minorEastAsia" w:eastAsiaTheme="minorEastAsia" w:cstheme="minorEastAsia"/>
                      <w:b/>
                      <w:bCs/>
                      <w:color w:val="auto"/>
                      <w:sz w:val="21"/>
                      <w:szCs w:val="21"/>
                      <w:vertAlign w:val="baseline"/>
                      <w:lang w:val="en-US" w:eastAsia="zh-CN"/>
                    </w:rPr>
                    <w:t>）</w:t>
                  </w:r>
                </w:p>
              </w:tc>
              <w:tc>
                <w:tcPr>
                  <w:tcW w:w="876" w:type="pct"/>
                  <w:gridSpan w:val="2"/>
                  <w:noWrap w:val="0"/>
                  <w:vAlign w:val="center"/>
                </w:tcPr>
                <w:p w14:paraId="35AFFC1A">
                  <w:pPr>
                    <w:adjustRightInd w:val="0"/>
                    <w:snapToGrid w:val="0"/>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PM</w:t>
                  </w:r>
                  <w:r>
                    <w:rPr>
                      <w:rFonts w:hint="eastAsia" w:asciiTheme="minorEastAsia" w:hAnsiTheme="minorEastAsia" w:eastAsiaTheme="minorEastAsia" w:cstheme="minorEastAsia"/>
                      <w:b/>
                      <w:bCs/>
                      <w:color w:val="auto"/>
                      <w:sz w:val="21"/>
                      <w:szCs w:val="21"/>
                      <w:vertAlign w:val="subscript"/>
                      <w:lang w:val="en-US" w:eastAsia="zh-CN"/>
                    </w:rPr>
                    <w:t>2.5</w:t>
                  </w:r>
                  <w:r>
                    <w:rPr>
                      <w:rFonts w:hint="eastAsia" w:asciiTheme="minorEastAsia" w:hAnsiTheme="minorEastAsia" w:eastAsiaTheme="minorEastAsia" w:cstheme="minorEastAsia"/>
                      <w:b/>
                      <w:bCs/>
                      <w:color w:val="auto"/>
                      <w:sz w:val="21"/>
                      <w:szCs w:val="21"/>
                      <w:vertAlign w:val="baseline"/>
                      <w:lang w:val="en-US" w:eastAsia="zh-CN"/>
                    </w:rPr>
                    <w:t>（ug/m</w:t>
                  </w:r>
                  <w:r>
                    <w:rPr>
                      <w:rFonts w:hint="eastAsia" w:asciiTheme="minorEastAsia" w:hAnsiTheme="minorEastAsia" w:eastAsiaTheme="minorEastAsia" w:cstheme="minorEastAsia"/>
                      <w:b/>
                      <w:bCs/>
                      <w:color w:val="auto"/>
                      <w:sz w:val="21"/>
                      <w:szCs w:val="21"/>
                      <w:vertAlign w:val="superscript"/>
                      <w:lang w:val="en-US" w:eastAsia="zh-CN"/>
                    </w:rPr>
                    <w:t>3</w:t>
                  </w:r>
                  <w:r>
                    <w:rPr>
                      <w:rFonts w:hint="eastAsia" w:asciiTheme="minorEastAsia" w:hAnsiTheme="minorEastAsia" w:eastAsiaTheme="minorEastAsia" w:cstheme="minorEastAsia"/>
                      <w:b/>
                      <w:bCs/>
                      <w:color w:val="auto"/>
                      <w:sz w:val="21"/>
                      <w:szCs w:val="21"/>
                      <w:vertAlign w:val="baseline"/>
                      <w:lang w:val="en-US" w:eastAsia="zh-CN"/>
                    </w:rPr>
                    <w:t>）</w:t>
                  </w:r>
                </w:p>
              </w:tc>
              <w:tc>
                <w:tcPr>
                  <w:tcW w:w="433" w:type="pct"/>
                  <w:noWrap w:val="0"/>
                  <w:vAlign w:val="center"/>
                </w:tcPr>
                <w:p w14:paraId="7C1F15FE">
                  <w:pPr>
                    <w:adjustRightInd w:val="0"/>
                    <w:snapToGrid w:val="0"/>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CO（ug/m</w:t>
                  </w:r>
                  <w:r>
                    <w:rPr>
                      <w:rFonts w:hint="eastAsia" w:asciiTheme="minorEastAsia" w:hAnsiTheme="minorEastAsia" w:eastAsiaTheme="minorEastAsia" w:cstheme="minorEastAsia"/>
                      <w:b/>
                      <w:bCs/>
                      <w:color w:val="auto"/>
                      <w:sz w:val="21"/>
                      <w:szCs w:val="21"/>
                      <w:vertAlign w:val="superscript"/>
                      <w:lang w:val="en-US" w:eastAsia="zh-CN"/>
                    </w:rPr>
                    <w:t>3</w:t>
                  </w:r>
                  <w:r>
                    <w:rPr>
                      <w:rFonts w:hint="eastAsia" w:asciiTheme="minorEastAsia" w:hAnsiTheme="minorEastAsia" w:eastAsiaTheme="minorEastAsia" w:cstheme="minorEastAsia"/>
                      <w:b/>
                      <w:bCs/>
                      <w:color w:val="auto"/>
                      <w:sz w:val="21"/>
                      <w:szCs w:val="21"/>
                      <w:vertAlign w:val="baseline"/>
                      <w:lang w:val="en-US" w:eastAsia="zh-CN"/>
                    </w:rPr>
                    <w:t>）</w:t>
                  </w:r>
                </w:p>
              </w:tc>
              <w:tc>
                <w:tcPr>
                  <w:tcW w:w="461" w:type="pct"/>
                  <w:noWrap w:val="0"/>
                  <w:vAlign w:val="center"/>
                </w:tcPr>
                <w:p w14:paraId="081E59CB">
                  <w:pPr>
                    <w:adjustRightInd w:val="0"/>
                    <w:snapToGrid w:val="0"/>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O</w:t>
                  </w:r>
                  <w:r>
                    <w:rPr>
                      <w:rFonts w:hint="eastAsia" w:asciiTheme="minorEastAsia" w:hAnsiTheme="minorEastAsia" w:eastAsiaTheme="minorEastAsia" w:cstheme="minorEastAsia"/>
                      <w:b/>
                      <w:bCs/>
                      <w:color w:val="auto"/>
                      <w:sz w:val="21"/>
                      <w:szCs w:val="21"/>
                      <w:vertAlign w:val="subscript"/>
                      <w:lang w:val="en-US" w:eastAsia="zh-CN"/>
                    </w:rPr>
                    <w:t>3</w:t>
                  </w:r>
                  <w:r>
                    <w:rPr>
                      <w:rFonts w:hint="eastAsia" w:asciiTheme="minorEastAsia" w:hAnsiTheme="minorEastAsia" w:eastAsiaTheme="minorEastAsia" w:cstheme="minorEastAsia"/>
                      <w:b/>
                      <w:bCs/>
                      <w:color w:val="auto"/>
                      <w:sz w:val="21"/>
                      <w:szCs w:val="21"/>
                      <w:vertAlign w:val="baseline"/>
                      <w:lang w:val="en-US" w:eastAsia="zh-CN"/>
                    </w:rPr>
                    <w:t>-8h（ug/m</w:t>
                  </w:r>
                  <w:r>
                    <w:rPr>
                      <w:rFonts w:hint="eastAsia" w:asciiTheme="minorEastAsia" w:hAnsiTheme="minorEastAsia" w:eastAsiaTheme="minorEastAsia" w:cstheme="minorEastAsia"/>
                      <w:b/>
                      <w:bCs/>
                      <w:color w:val="auto"/>
                      <w:sz w:val="21"/>
                      <w:szCs w:val="21"/>
                      <w:vertAlign w:val="superscript"/>
                      <w:lang w:val="en-US" w:eastAsia="zh-CN"/>
                    </w:rPr>
                    <w:t>3</w:t>
                  </w:r>
                  <w:r>
                    <w:rPr>
                      <w:rFonts w:hint="eastAsia" w:asciiTheme="minorEastAsia" w:hAnsiTheme="minorEastAsia" w:eastAsiaTheme="minorEastAsia" w:cstheme="minorEastAsia"/>
                      <w:b/>
                      <w:bCs/>
                      <w:color w:val="auto"/>
                      <w:sz w:val="21"/>
                      <w:szCs w:val="21"/>
                      <w:vertAlign w:val="baseline"/>
                      <w:lang w:val="en-US" w:eastAsia="zh-CN"/>
                    </w:rPr>
                    <w:t>）</w:t>
                  </w:r>
                </w:p>
              </w:tc>
              <w:tc>
                <w:tcPr>
                  <w:tcW w:w="367" w:type="pct"/>
                  <w:vMerge w:val="restart"/>
                  <w:noWrap w:val="0"/>
                  <w:vAlign w:val="center"/>
                </w:tcPr>
                <w:p w14:paraId="01A10DC6">
                  <w:pPr>
                    <w:adjustRightInd w:val="0"/>
                    <w:snapToGrid w:val="0"/>
                    <w:spacing w:line="240" w:lineRule="auto"/>
                    <w:jc w:val="center"/>
                    <w:rPr>
                      <w:rFonts w:hint="eastAsia" w:asciiTheme="minorEastAsia" w:hAnsiTheme="minorEastAsia" w:eastAsiaTheme="minorEastAsia" w:cstheme="minorEastAsia"/>
                      <w:b/>
                      <w:bCs/>
                      <w:color w:val="auto"/>
                      <w:sz w:val="21"/>
                      <w:szCs w:val="21"/>
                      <w:vertAlign w:val="baseline"/>
                      <w:lang w:eastAsia="zh-CN"/>
                    </w:rPr>
                  </w:pPr>
                  <w:r>
                    <w:rPr>
                      <w:rFonts w:hint="eastAsia" w:asciiTheme="minorEastAsia" w:hAnsiTheme="minorEastAsia" w:eastAsiaTheme="minorEastAsia" w:cstheme="minorEastAsia"/>
                      <w:b/>
                      <w:bCs/>
                      <w:color w:val="auto"/>
                      <w:sz w:val="21"/>
                      <w:szCs w:val="21"/>
                      <w:vertAlign w:val="baseline"/>
                      <w:lang w:eastAsia="zh-CN"/>
                    </w:rPr>
                    <w:t>达标情况</w:t>
                  </w:r>
                </w:p>
              </w:tc>
            </w:tr>
            <w:tr w14:paraId="574E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23" w:type="pct"/>
                  <w:vMerge w:val="continue"/>
                  <w:noWrap w:val="0"/>
                  <w:vAlign w:val="center"/>
                </w:tcPr>
                <w:p w14:paraId="66FA9333">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p>
              </w:tc>
              <w:tc>
                <w:tcPr>
                  <w:tcW w:w="405" w:type="pct"/>
                  <w:noWrap w:val="0"/>
                  <w:vAlign w:val="center"/>
                </w:tcPr>
                <w:p w14:paraId="345DA5AB">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vertAlign w:val="baseline"/>
                      <w:lang w:eastAsia="zh-CN"/>
                    </w:rPr>
                    <w:t>年均值</w:t>
                  </w:r>
                </w:p>
              </w:tc>
              <w:tc>
                <w:tcPr>
                  <w:tcW w:w="452" w:type="pct"/>
                  <w:noWrap w:val="0"/>
                  <w:vAlign w:val="center"/>
                </w:tcPr>
                <w:p w14:paraId="3D359FCC">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98百分位</w:t>
                  </w:r>
                </w:p>
              </w:tc>
              <w:tc>
                <w:tcPr>
                  <w:tcW w:w="433" w:type="pct"/>
                  <w:noWrap w:val="0"/>
                  <w:vAlign w:val="center"/>
                </w:tcPr>
                <w:p w14:paraId="0E248781">
                  <w:pPr>
                    <w:adjustRightInd w:val="0"/>
                    <w:snapToGrid w:val="0"/>
                    <w:spacing w:line="240" w:lineRule="auto"/>
                    <w:jc w:val="center"/>
                    <w:rPr>
                      <w:rFonts w:hint="eastAsia" w:asciiTheme="minorEastAsia" w:hAnsiTheme="minorEastAsia" w:eastAsiaTheme="minorEastAsia" w:cstheme="minorEastAsia"/>
                      <w:b w:val="0"/>
                      <w:bCs w:val="0"/>
                      <w:color w:val="auto"/>
                      <w:kern w:val="2"/>
                      <w:sz w:val="21"/>
                      <w:szCs w:val="21"/>
                      <w:vertAlign w:val="baseline"/>
                      <w:lang w:val="en-US" w:eastAsia="zh-CN" w:bidi="ar-SA"/>
                    </w:rPr>
                  </w:pPr>
                  <w:r>
                    <w:rPr>
                      <w:rFonts w:hint="eastAsia" w:asciiTheme="minorEastAsia" w:hAnsiTheme="minorEastAsia" w:eastAsiaTheme="minorEastAsia" w:cstheme="minorEastAsia"/>
                      <w:b w:val="0"/>
                      <w:bCs w:val="0"/>
                      <w:color w:val="auto"/>
                      <w:sz w:val="21"/>
                      <w:szCs w:val="21"/>
                      <w:vertAlign w:val="baseline"/>
                      <w:lang w:eastAsia="zh-CN"/>
                    </w:rPr>
                    <w:t>年均值</w:t>
                  </w:r>
                </w:p>
              </w:tc>
              <w:tc>
                <w:tcPr>
                  <w:tcW w:w="480" w:type="pct"/>
                  <w:noWrap w:val="0"/>
                  <w:vAlign w:val="center"/>
                </w:tcPr>
                <w:p w14:paraId="283515FE">
                  <w:pPr>
                    <w:adjustRightInd w:val="0"/>
                    <w:snapToGrid w:val="0"/>
                    <w:spacing w:line="240" w:lineRule="auto"/>
                    <w:jc w:val="center"/>
                    <w:rPr>
                      <w:rFonts w:hint="eastAsia" w:asciiTheme="minorEastAsia" w:hAnsiTheme="minorEastAsia" w:eastAsiaTheme="minorEastAsia" w:cstheme="minorEastAsia"/>
                      <w:b w:val="0"/>
                      <w:bCs w:val="0"/>
                      <w:color w:val="auto"/>
                      <w:kern w:val="2"/>
                      <w:sz w:val="21"/>
                      <w:szCs w:val="21"/>
                      <w:vertAlign w:val="baseli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98百分位</w:t>
                  </w:r>
                </w:p>
              </w:tc>
              <w:tc>
                <w:tcPr>
                  <w:tcW w:w="442" w:type="pct"/>
                  <w:noWrap w:val="0"/>
                  <w:vAlign w:val="center"/>
                </w:tcPr>
                <w:p w14:paraId="3B9ACBCF">
                  <w:pPr>
                    <w:adjustRightInd w:val="0"/>
                    <w:snapToGrid w:val="0"/>
                    <w:spacing w:line="240" w:lineRule="auto"/>
                    <w:jc w:val="center"/>
                    <w:rPr>
                      <w:rFonts w:hint="eastAsia" w:asciiTheme="minorEastAsia" w:hAnsiTheme="minorEastAsia" w:eastAsiaTheme="minorEastAsia" w:cstheme="minorEastAsia"/>
                      <w:b w:val="0"/>
                      <w:bCs w:val="0"/>
                      <w:color w:val="auto"/>
                      <w:kern w:val="2"/>
                      <w:sz w:val="21"/>
                      <w:szCs w:val="21"/>
                      <w:vertAlign w:val="baseline"/>
                      <w:lang w:val="en-US" w:eastAsia="zh-CN" w:bidi="ar-SA"/>
                    </w:rPr>
                  </w:pPr>
                  <w:r>
                    <w:rPr>
                      <w:rFonts w:hint="eastAsia" w:asciiTheme="minorEastAsia" w:hAnsiTheme="minorEastAsia" w:eastAsiaTheme="minorEastAsia" w:cstheme="minorEastAsia"/>
                      <w:b w:val="0"/>
                      <w:bCs w:val="0"/>
                      <w:color w:val="auto"/>
                      <w:sz w:val="21"/>
                      <w:szCs w:val="21"/>
                      <w:vertAlign w:val="baseline"/>
                      <w:lang w:eastAsia="zh-CN"/>
                    </w:rPr>
                    <w:t>年均值</w:t>
                  </w:r>
                </w:p>
              </w:tc>
              <w:tc>
                <w:tcPr>
                  <w:tcW w:w="423" w:type="pct"/>
                  <w:noWrap w:val="0"/>
                  <w:vAlign w:val="center"/>
                </w:tcPr>
                <w:p w14:paraId="51378471">
                  <w:pPr>
                    <w:adjustRightInd w:val="0"/>
                    <w:snapToGrid w:val="0"/>
                    <w:spacing w:line="240" w:lineRule="auto"/>
                    <w:jc w:val="center"/>
                    <w:rPr>
                      <w:rFonts w:hint="eastAsia" w:asciiTheme="minorEastAsia" w:hAnsiTheme="minorEastAsia" w:eastAsiaTheme="minorEastAsia" w:cstheme="minorEastAsia"/>
                      <w:b w:val="0"/>
                      <w:bCs w:val="0"/>
                      <w:color w:val="auto"/>
                      <w:kern w:val="2"/>
                      <w:sz w:val="21"/>
                      <w:szCs w:val="21"/>
                      <w:vertAlign w:val="baseli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95百分位</w:t>
                  </w:r>
                </w:p>
              </w:tc>
              <w:tc>
                <w:tcPr>
                  <w:tcW w:w="423" w:type="pct"/>
                  <w:noWrap w:val="0"/>
                  <w:vAlign w:val="center"/>
                </w:tcPr>
                <w:p w14:paraId="5D8F2F17">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vertAlign w:val="baseline"/>
                      <w:lang w:eastAsia="zh-CN"/>
                    </w:rPr>
                    <w:t>年均值</w:t>
                  </w:r>
                </w:p>
              </w:tc>
              <w:tc>
                <w:tcPr>
                  <w:tcW w:w="452" w:type="pct"/>
                  <w:noWrap w:val="0"/>
                  <w:vAlign w:val="center"/>
                </w:tcPr>
                <w:p w14:paraId="7A1031FF">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vertAlign w:val="baseline"/>
                      <w:lang w:val="en-US" w:eastAsia="zh-CN"/>
                    </w:rPr>
                    <w:t>95百分位</w:t>
                  </w:r>
                </w:p>
              </w:tc>
              <w:tc>
                <w:tcPr>
                  <w:tcW w:w="433" w:type="pct"/>
                  <w:noWrap w:val="0"/>
                  <w:vAlign w:val="center"/>
                </w:tcPr>
                <w:p w14:paraId="0832B741">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vertAlign w:val="baseline"/>
                      <w:lang w:val="en-US" w:eastAsia="zh-CN"/>
                    </w:rPr>
                    <w:t>95百分位</w:t>
                  </w:r>
                </w:p>
              </w:tc>
              <w:tc>
                <w:tcPr>
                  <w:tcW w:w="461" w:type="pct"/>
                  <w:noWrap w:val="0"/>
                  <w:vAlign w:val="center"/>
                </w:tcPr>
                <w:p w14:paraId="75E944F5">
                  <w:pPr>
                    <w:adjustRightInd w:val="0"/>
                    <w:snapToGrid w:val="0"/>
                    <w:spacing w:line="240" w:lineRule="auto"/>
                    <w:jc w:val="center"/>
                    <w:rPr>
                      <w:rFonts w:hint="eastAsia" w:asciiTheme="minorEastAsia" w:hAnsiTheme="minorEastAsia" w:eastAsiaTheme="minorEastAsia" w:cstheme="minorEastAsia"/>
                      <w:b w:val="0"/>
                      <w:bCs w:val="0"/>
                      <w:color w:val="auto"/>
                      <w:kern w:val="2"/>
                      <w:sz w:val="21"/>
                      <w:szCs w:val="21"/>
                      <w:vertAlign w:val="baseli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90百分位</w:t>
                  </w:r>
                </w:p>
              </w:tc>
              <w:tc>
                <w:tcPr>
                  <w:tcW w:w="367" w:type="pct"/>
                  <w:vMerge w:val="continue"/>
                  <w:noWrap w:val="0"/>
                  <w:vAlign w:val="center"/>
                </w:tcPr>
                <w:p w14:paraId="15E6BE33">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p>
              </w:tc>
            </w:tr>
            <w:tr w14:paraId="491E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23" w:type="pct"/>
                  <w:vMerge w:val="restart"/>
                  <w:noWrap w:val="0"/>
                  <w:vAlign w:val="center"/>
                </w:tcPr>
                <w:p w14:paraId="39471D05">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vertAlign w:val="baseline"/>
                      <w:lang w:eastAsia="zh-CN"/>
                    </w:rPr>
                    <w:t>芒市</w:t>
                  </w:r>
                </w:p>
              </w:tc>
              <w:tc>
                <w:tcPr>
                  <w:tcW w:w="405" w:type="pct"/>
                  <w:noWrap w:val="0"/>
                  <w:vAlign w:val="center"/>
                </w:tcPr>
                <w:p w14:paraId="4ABF02B5">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9</w:t>
                  </w:r>
                </w:p>
              </w:tc>
              <w:tc>
                <w:tcPr>
                  <w:tcW w:w="452" w:type="pct"/>
                  <w:noWrap w:val="0"/>
                  <w:vAlign w:val="center"/>
                </w:tcPr>
                <w:p w14:paraId="2262117B">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21</w:t>
                  </w:r>
                </w:p>
              </w:tc>
              <w:tc>
                <w:tcPr>
                  <w:tcW w:w="433" w:type="pct"/>
                  <w:noWrap w:val="0"/>
                  <w:vAlign w:val="center"/>
                </w:tcPr>
                <w:p w14:paraId="7A03BF72">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12</w:t>
                  </w:r>
                </w:p>
              </w:tc>
              <w:tc>
                <w:tcPr>
                  <w:tcW w:w="480" w:type="pct"/>
                  <w:noWrap w:val="0"/>
                  <w:vAlign w:val="center"/>
                </w:tcPr>
                <w:p w14:paraId="225CB196">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26</w:t>
                  </w:r>
                </w:p>
              </w:tc>
              <w:tc>
                <w:tcPr>
                  <w:tcW w:w="442" w:type="pct"/>
                  <w:noWrap w:val="0"/>
                  <w:vAlign w:val="center"/>
                </w:tcPr>
                <w:p w14:paraId="33D7E9BD">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41</w:t>
                  </w:r>
                </w:p>
              </w:tc>
              <w:tc>
                <w:tcPr>
                  <w:tcW w:w="423" w:type="pct"/>
                  <w:noWrap w:val="0"/>
                  <w:vAlign w:val="center"/>
                </w:tcPr>
                <w:p w14:paraId="0598FDAD">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85</w:t>
                  </w:r>
                </w:p>
              </w:tc>
              <w:tc>
                <w:tcPr>
                  <w:tcW w:w="423" w:type="pct"/>
                  <w:noWrap w:val="0"/>
                  <w:vAlign w:val="center"/>
                </w:tcPr>
                <w:p w14:paraId="6F34EE86">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22</w:t>
                  </w:r>
                </w:p>
              </w:tc>
              <w:tc>
                <w:tcPr>
                  <w:tcW w:w="452" w:type="pct"/>
                  <w:noWrap w:val="0"/>
                  <w:vAlign w:val="center"/>
                </w:tcPr>
                <w:p w14:paraId="1C2E05A2">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48</w:t>
                  </w:r>
                </w:p>
              </w:tc>
              <w:tc>
                <w:tcPr>
                  <w:tcW w:w="433" w:type="pct"/>
                  <w:noWrap w:val="0"/>
                  <w:vAlign w:val="center"/>
                </w:tcPr>
                <w:p w14:paraId="3C9DB6C7">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0.9</w:t>
                  </w:r>
                </w:p>
              </w:tc>
              <w:tc>
                <w:tcPr>
                  <w:tcW w:w="461" w:type="pct"/>
                  <w:noWrap w:val="0"/>
                  <w:vAlign w:val="center"/>
                </w:tcPr>
                <w:p w14:paraId="31394F07">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118</w:t>
                  </w:r>
                </w:p>
              </w:tc>
              <w:tc>
                <w:tcPr>
                  <w:tcW w:w="367" w:type="pct"/>
                  <w:vMerge w:val="restart"/>
                  <w:noWrap w:val="0"/>
                  <w:vAlign w:val="center"/>
                </w:tcPr>
                <w:p w14:paraId="6E3176A2">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vertAlign w:val="baseline"/>
                      <w:lang w:eastAsia="zh-CN"/>
                    </w:rPr>
                    <w:t>二级</w:t>
                  </w:r>
                </w:p>
              </w:tc>
            </w:tr>
            <w:tr w14:paraId="673F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 w:type="pct"/>
                  <w:vMerge w:val="continue"/>
                  <w:noWrap w:val="0"/>
                  <w:vAlign w:val="top"/>
                </w:tcPr>
                <w:p w14:paraId="1185E51E">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p>
              </w:tc>
              <w:tc>
                <w:tcPr>
                  <w:tcW w:w="405" w:type="pct"/>
                  <w:noWrap w:val="0"/>
                  <w:vAlign w:val="center"/>
                </w:tcPr>
                <w:p w14:paraId="67E7EE18">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一级</w:t>
                  </w:r>
                </w:p>
              </w:tc>
              <w:tc>
                <w:tcPr>
                  <w:tcW w:w="452" w:type="pct"/>
                  <w:noWrap w:val="0"/>
                  <w:vAlign w:val="center"/>
                </w:tcPr>
                <w:p w14:paraId="0727BFA7">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二级</w:t>
                  </w:r>
                </w:p>
              </w:tc>
              <w:tc>
                <w:tcPr>
                  <w:tcW w:w="433" w:type="pct"/>
                  <w:noWrap w:val="0"/>
                  <w:vAlign w:val="center"/>
                </w:tcPr>
                <w:p w14:paraId="1A9C4DD9">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一级</w:t>
                  </w:r>
                </w:p>
              </w:tc>
              <w:tc>
                <w:tcPr>
                  <w:tcW w:w="480" w:type="pct"/>
                  <w:noWrap w:val="0"/>
                  <w:vAlign w:val="center"/>
                </w:tcPr>
                <w:p w14:paraId="1FC126E9">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一级</w:t>
                  </w:r>
                </w:p>
              </w:tc>
              <w:tc>
                <w:tcPr>
                  <w:tcW w:w="442" w:type="pct"/>
                  <w:noWrap w:val="0"/>
                  <w:vAlign w:val="center"/>
                </w:tcPr>
                <w:p w14:paraId="5E62FF35">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二级</w:t>
                  </w:r>
                </w:p>
              </w:tc>
              <w:tc>
                <w:tcPr>
                  <w:tcW w:w="423" w:type="pct"/>
                  <w:noWrap w:val="0"/>
                  <w:vAlign w:val="center"/>
                </w:tcPr>
                <w:p w14:paraId="5464AA0C">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二级</w:t>
                  </w:r>
                </w:p>
              </w:tc>
              <w:tc>
                <w:tcPr>
                  <w:tcW w:w="423" w:type="pct"/>
                  <w:noWrap w:val="0"/>
                  <w:vAlign w:val="center"/>
                </w:tcPr>
                <w:p w14:paraId="1DB22B62">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二级</w:t>
                  </w:r>
                </w:p>
              </w:tc>
              <w:tc>
                <w:tcPr>
                  <w:tcW w:w="452" w:type="pct"/>
                  <w:noWrap w:val="0"/>
                  <w:vAlign w:val="center"/>
                </w:tcPr>
                <w:p w14:paraId="1FE0DE2B">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二级</w:t>
                  </w:r>
                </w:p>
              </w:tc>
              <w:tc>
                <w:tcPr>
                  <w:tcW w:w="433" w:type="pct"/>
                  <w:noWrap w:val="0"/>
                  <w:vAlign w:val="center"/>
                </w:tcPr>
                <w:p w14:paraId="74E3BDA0">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一级</w:t>
                  </w:r>
                </w:p>
              </w:tc>
              <w:tc>
                <w:tcPr>
                  <w:tcW w:w="461" w:type="pct"/>
                  <w:noWrap w:val="0"/>
                  <w:vAlign w:val="center"/>
                </w:tcPr>
                <w:p w14:paraId="4E80E68F">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二级</w:t>
                  </w:r>
                </w:p>
              </w:tc>
              <w:tc>
                <w:tcPr>
                  <w:tcW w:w="367" w:type="pct"/>
                  <w:vMerge w:val="continue"/>
                  <w:noWrap w:val="0"/>
                  <w:vAlign w:val="top"/>
                </w:tcPr>
                <w:p w14:paraId="6D2F03EF">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p>
              </w:tc>
            </w:tr>
          </w:tbl>
          <w:p w14:paraId="58BC769B">
            <w:pPr>
              <w:widowControl/>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从近3年德宏州环境质量状况报告的监测数据来看，区域 PM</w:t>
            </w:r>
            <w:r>
              <w:rPr>
                <w:rFonts w:hint="eastAsia" w:asciiTheme="minorEastAsia" w:hAnsiTheme="minorEastAsia" w:eastAsiaTheme="minorEastAsia" w:cstheme="minorEastAsia"/>
                <w:color w:val="auto"/>
                <w:sz w:val="24"/>
                <w:szCs w:val="24"/>
                <w:vertAlign w:val="subscript"/>
              </w:rPr>
              <w:t>1</w:t>
            </w:r>
            <w:r>
              <w:rPr>
                <w:rFonts w:hint="eastAsia" w:asciiTheme="minorEastAsia" w:hAnsiTheme="minorEastAsia" w:eastAsiaTheme="minorEastAsia" w:cstheme="minorEastAsia"/>
                <w:color w:val="auto"/>
                <w:sz w:val="24"/>
                <w:szCs w:val="24"/>
                <w:vertAlign w:val="subscript"/>
                <w:lang w:val="en-US" w:eastAsia="zh-CN"/>
              </w:rPr>
              <w:t>0</w:t>
            </w:r>
            <w:r>
              <w:rPr>
                <w:rFonts w:hint="eastAsia" w:asciiTheme="minorEastAsia" w:hAnsiTheme="minorEastAsia" w:eastAsiaTheme="minorEastAsia" w:cstheme="minorEastAsia"/>
                <w:color w:val="auto"/>
                <w:sz w:val="24"/>
                <w:szCs w:val="24"/>
              </w:rPr>
              <w:t>、PM</w:t>
            </w:r>
            <w:r>
              <w:rPr>
                <w:rFonts w:hint="eastAsia" w:asciiTheme="minorEastAsia" w:hAnsiTheme="minorEastAsia" w:eastAsiaTheme="minorEastAsia" w:cstheme="minorEastAsia"/>
                <w:color w:val="auto"/>
                <w:sz w:val="24"/>
                <w:szCs w:val="24"/>
                <w:vertAlign w:val="subscript"/>
              </w:rPr>
              <w:t>2.5</w:t>
            </w:r>
            <w:r>
              <w:rPr>
                <w:rFonts w:hint="eastAsia" w:asciiTheme="minorEastAsia" w:hAnsiTheme="minorEastAsia" w:eastAsiaTheme="minorEastAsia" w:cstheme="minorEastAsia"/>
                <w:color w:val="auto"/>
                <w:sz w:val="24"/>
                <w:szCs w:val="24"/>
              </w:rPr>
              <w:t>、SO</w:t>
            </w:r>
            <w:r>
              <w:rPr>
                <w:rFonts w:hint="eastAsia" w:asciiTheme="minorEastAsia" w:hAnsiTheme="minorEastAsia" w:eastAsiaTheme="minorEastAsia" w:cstheme="minorEastAsia"/>
                <w:color w:val="auto"/>
                <w:sz w:val="24"/>
                <w:szCs w:val="24"/>
                <w:vertAlign w:val="subscript"/>
              </w:rPr>
              <w:t>2</w:t>
            </w:r>
            <w:r>
              <w:rPr>
                <w:rFonts w:hint="eastAsia" w:asciiTheme="minorEastAsia" w:hAnsiTheme="minorEastAsia" w:eastAsiaTheme="minorEastAsia" w:cstheme="minorEastAsia"/>
                <w:color w:val="auto"/>
                <w:sz w:val="24"/>
                <w:szCs w:val="24"/>
              </w:rPr>
              <w:t>、NO</w:t>
            </w:r>
            <w:r>
              <w:rPr>
                <w:rFonts w:hint="eastAsia" w:asciiTheme="minorEastAsia" w:hAnsiTheme="minorEastAsia" w:eastAsiaTheme="minorEastAsia" w:cstheme="minorEastAsia"/>
                <w:color w:val="auto"/>
                <w:sz w:val="24"/>
                <w:szCs w:val="24"/>
                <w:vertAlign w:val="subscript"/>
              </w:rPr>
              <w:t>2</w:t>
            </w:r>
            <w:r>
              <w:rPr>
                <w:rFonts w:hint="eastAsia" w:asciiTheme="minorEastAsia" w:hAnsiTheme="minorEastAsia" w:eastAsiaTheme="minorEastAsia" w:cstheme="minorEastAsia"/>
                <w:color w:val="auto"/>
                <w:sz w:val="24"/>
                <w:szCs w:val="24"/>
              </w:rPr>
              <w:t>、CO、O</w:t>
            </w:r>
            <w:r>
              <w:rPr>
                <w:rFonts w:hint="eastAsia" w:asciiTheme="minorEastAsia" w:hAnsiTheme="minorEastAsia" w:eastAsiaTheme="minorEastAsia" w:cstheme="minorEastAsia"/>
                <w:color w:val="auto"/>
                <w:sz w:val="24"/>
                <w:szCs w:val="24"/>
                <w:vertAlign w:val="subscript"/>
              </w:rPr>
              <w:t>3</w:t>
            </w:r>
            <w:r>
              <w:rPr>
                <w:rFonts w:hint="eastAsia" w:asciiTheme="minorEastAsia" w:hAnsiTheme="minorEastAsia" w:eastAsiaTheme="minorEastAsia" w:cstheme="minorEastAsia"/>
                <w:color w:val="auto"/>
                <w:sz w:val="24"/>
                <w:szCs w:val="24"/>
              </w:rPr>
              <w:t>六项污染物均达到《环境空气质量标准》（GB3095-2012）二级标准要求，为达标区，环境空气质量良好。</w:t>
            </w:r>
          </w:p>
          <w:p w14:paraId="32DABBB0">
            <w:pPr>
              <w:numPr>
                <w:ilvl w:val="0"/>
                <w:numId w:val="9"/>
              </w:numPr>
              <w:ind w:firstLine="422"/>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地表水环境质量现状</w:t>
            </w:r>
          </w:p>
          <w:p w14:paraId="163BAC30">
            <w:pPr>
              <w:pStyle w:val="52"/>
              <w:spacing w:line="360" w:lineRule="auto"/>
              <w:ind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val="0"/>
                <w:color w:val="000000"/>
                <w:sz w:val="24"/>
                <w:szCs w:val="24"/>
              </w:rPr>
              <w:t>根据现场勘查，项目区</w:t>
            </w:r>
            <w:r>
              <w:rPr>
                <w:rFonts w:hint="eastAsia" w:asciiTheme="minorEastAsia" w:hAnsiTheme="minorEastAsia" w:eastAsiaTheme="minorEastAsia" w:cstheme="minorEastAsia"/>
                <w:snapToGrid w:val="0"/>
                <w:color w:val="000000"/>
                <w:sz w:val="24"/>
                <w:szCs w:val="24"/>
                <w:lang w:val="en-US" w:eastAsia="zh-CN"/>
              </w:rPr>
              <w:t>附近</w:t>
            </w:r>
            <w:r>
              <w:rPr>
                <w:rFonts w:hint="eastAsia" w:asciiTheme="minorEastAsia" w:hAnsiTheme="minorEastAsia" w:eastAsiaTheme="minorEastAsia" w:cstheme="minorEastAsia"/>
                <w:snapToGrid w:val="0"/>
                <w:color w:val="000000"/>
                <w:sz w:val="24"/>
                <w:szCs w:val="24"/>
              </w:rPr>
              <w:t>主要地表水为</w:t>
            </w:r>
            <w:r>
              <w:rPr>
                <w:rFonts w:hint="eastAsia" w:asciiTheme="minorEastAsia" w:hAnsiTheme="minorEastAsia" w:eastAsiaTheme="minorEastAsia" w:cstheme="minorEastAsia"/>
                <w:snapToGrid w:val="0"/>
                <w:color w:val="000000"/>
                <w:sz w:val="24"/>
                <w:szCs w:val="24"/>
                <w:lang w:val="en-US" w:eastAsia="zh-CN"/>
              </w:rPr>
              <w:t>项目区北侧约480m处的</w:t>
            </w:r>
            <w:r>
              <w:rPr>
                <w:rFonts w:hint="eastAsia" w:asciiTheme="minorEastAsia" w:hAnsiTheme="minorEastAsia" w:eastAsiaTheme="minorEastAsia" w:cstheme="minorEastAsia"/>
                <w:snapToGrid w:val="0"/>
                <w:color w:val="000000"/>
                <w:sz w:val="24"/>
                <w:szCs w:val="24"/>
              </w:rPr>
              <w:t>芒市</w:t>
            </w:r>
            <w:r>
              <w:rPr>
                <w:rFonts w:hint="eastAsia" w:asciiTheme="minorEastAsia" w:hAnsiTheme="minorEastAsia" w:eastAsiaTheme="minorEastAsia" w:cstheme="minorEastAsia"/>
                <w:snapToGrid w:val="0"/>
                <w:color w:val="000000"/>
                <w:sz w:val="24"/>
                <w:szCs w:val="24"/>
                <w:lang w:val="en-US" w:eastAsia="zh-CN"/>
              </w:rPr>
              <w:t>大</w:t>
            </w:r>
            <w:r>
              <w:rPr>
                <w:rFonts w:hint="eastAsia" w:asciiTheme="minorEastAsia" w:hAnsiTheme="minorEastAsia" w:eastAsiaTheme="minorEastAsia" w:cstheme="minorEastAsia"/>
                <w:snapToGrid w:val="0"/>
                <w:color w:val="000000"/>
                <w:sz w:val="24"/>
                <w:szCs w:val="24"/>
              </w:rPr>
              <w:t>河</w:t>
            </w:r>
            <w:r>
              <w:rPr>
                <w:rFonts w:hint="eastAsia" w:asciiTheme="minorEastAsia" w:hAnsiTheme="minorEastAsia" w:eastAsiaTheme="minorEastAsia" w:cstheme="minorEastAsia"/>
                <w:snapToGrid w:val="0"/>
                <w:color w:val="000000"/>
                <w:sz w:val="24"/>
                <w:szCs w:val="24"/>
                <w:lang w:val="en-US" w:eastAsia="zh-CN"/>
              </w:rPr>
              <w:t>以及项目东侧约123m处的果朗河，果朗河是芒市大河的支流</w:t>
            </w:r>
            <w:r>
              <w:rPr>
                <w:rFonts w:hint="eastAsia" w:asciiTheme="minorEastAsia" w:hAnsiTheme="minorEastAsia" w:eastAsiaTheme="minorEastAsia" w:cstheme="minorEastAsia"/>
                <w:snapToGrid w:val="0"/>
                <w:color w:val="000000"/>
                <w:sz w:val="24"/>
                <w:szCs w:val="24"/>
              </w:rPr>
              <w:t>。</w:t>
            </w:r>
            <w:r>
              <w:rPr>
                <w:rFonts w:hint="eastAsia" w:asciiTheme="minorEastAsia" w:hAnsiTheme="minorEastAsia" w:eastAsiaTheme="minorEastAsia" w:cstheme="minorEastAsia"/>
                <w:color w:val="auto"/>
                <w:sz w:val="24"/>
                <w:szCs w:val="24"/>
                <w:highlight w:val="none"/>
                <w:lang w:val="en-GB"/>
              </w:rPr>
              <w:t>根据《德宏州人民政府关于水功能区划复核和调整报告》（德政复</w:t>
            </w:r>
            <w:r>
              <w:rPr>
                <w:rFonts w:hint="eastAsia" w:asciiTheme="minorEastAsia" w:hAnsiTheme="minorEastAsia" w:eastAsiaTheme="minorEastAsia" w:cstheme="minorEastAsia"/>
                <w:color w:val="auto"/>
                <w:sz w:val="24"/>
                <w:szCs w:val="24"/>
                <w:highlight w:val="none"/>
                <w:lang w:val="en-GB" w:eastAsia="zh-CN"/>
              </w:rPr>
              <w:t>〔2014〕</w:t>
            </w:r>
            <w:r>
              <w:rPr>
                <w:rFonts w:hint="eastAsia" w:asciiTheme="minorEastAsia" w:hAnsiTheme="minorEastAsia" w:eastAsiaTheme="minorEastAsia" w:cstheme="minorEastAsia"/>
                <w:color w:val="auto"/>
                <w:sz w:val="24"/>
                <w:szCs w:val="24"/>
                <w:highlight w:val="none"/>
                <w:lang w:val="en-GB"/>
              </w:rPr>
              <w:t>257号）区划水质标准</w:t>
            </w:r>
            <w:r>
              <w:rPr>
                <w:rFonts w:hint="eastAsia" w:asciiTheme="minorEastAsia" w:hAnsiTheme="minorEastAsia" w:eastAsiaTheme="minorEastAsia" w:cstheme="minorEastAsia"/>
                <w:color w:val="auto"/>
                <w:sz w:val="24"/>
                <w:szCs w:val="24"/>
                <w:highlight w:val="none"/>
                <w:lang w:val="en-US" w:eastAsia="zh-CN"/>
              </w:rPr>
              <w:t>，芒市大河</w:t>
            </w:r>
            <w:r>
              <w:rPr>
                <w:rFonts w:hint="eastAsia" w:asciiTheme="minorEastAsia" w:hAnsiTheme="minorEastAsia" w:eastAsiaTheme="minorEastAsia" w:cstheme="minorEastAsia"/>
                <w:color w:val="auto"/>
                <w:sz w:val="24"/>
                <w:szCs w:val="24"/>
                <w:highlight w:val="none"/>
              </w:rPr>
              <w:t>（木康断面—入瑞丽江口）</w:t>
            </w:r>
            <w:r>
              <w:rPr>
                <w:rFonts w:hint="eastAsia" w:asciiTheme="minorEastAsia" w:hAnsiTheme="minorEastAsia" w:eastAsiaTheme="minorEastAsia" w:cstheme="minorEastAsia"/>
                <w:color w:val="auto"/>
                <w:sz w:val="24"/>
                <w:szCs w:val="24"/>
                <w:highlight w:val="none"/>
                <w:lang w:val="en-US" w:eastAsia="zh-CN"/>
              </w:rPr>
              <w:t>水质类别为Ⅲ类</w:t>
            </w:r>
            <w:r>
              <w:rPr>
                <w:rFonts w:hint="eastAsia" w:asciiTheme="minorEastAsia" w:hAnsiTheme="minorEastAsia" w:eastAsiaTheme="minorEastAsia" w:cstheme="minorEastAsia"/>
                <w:color w:val="auto"/>
                <w:kern w:val="0"/>
                <w:sz w:val="24"/>
                <w:highlight w:val="none"/>
              </w:rPr>
              <w:t>保护目标，水体功能为</w:t>
            </w:r>
            <w:r>
              <w:rPr>
                <w:rFonts w:hint="eastAsia" w:asciiTheme="minorEastAsia" w:hAnsiTheme="minorEastAsia" w:eastAsiaTheme="minorEastAsia" w:cstheme="minorEastAsia"/>
                <w:color w:val="auto"/>
                <w:kern w:val="0"/>
                <w:sz w:val="24"/>
                <w:highlight w:val="none"/>
                <w:lang w:val="en-US" w:eastAsia="zh-CN"/>
              </w:rPr>
              <w:t>农业及景观用水</w:t>
            </w:r>
            <w:r>
              <w:rPr>
                <w:rFonts w:hint="eastAsia" w:asciiTheme="minorEastAsia" w:hAnsiTheme="minorEastAsia" w:eastAsiaTheme="minorEastAsia" w:cstheme="minorEastAsia"/>
                <w:color w:val="auto"/>
                <w:sz w:val="24"/>
                <w:szCs w:val="24"/>
                <w:highlight w:val="none"/>
                <w:lang w:val="en-US" w:eastAsia="zh-CN"/>
              </w:rPr>
              <w:t>，执行《地表水环境质量标准》（GB3838-2002）Ⅲ类标准。</w:t>
            </w:r>
          </w:p>
          <w:p w14:paraId="034F6E14">
            <w:pPr>
              <w:pStyle w:val="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GB" w:eastAsia="zh-CN"/>
              </w:rPr>
              <w:t>根据《2022年德宏州生态环境状况公报》，全州6条主要河流（河段）水质类别Ⅱ-Ⅲ类，优良率达100%，全州河流水质状况为优，其中芒市大河的</w:t>
            </w:r>
            <w:r>
              <w:rPr>
                <w:rFonts w:hint="eastAsia" w:asciiTheme="minorEastAsia" w:hAnsiTheme="minorEastAsia" w:eastAsiaTheme="minorEastAsia" w:cstheme="minorEastAsia"/>
                <w:color w:val="auto"/>
                <w:sz w:val="24"/>
                <w:szCs w:val="24"/>
                <w:highlight w:val="none"/>
                <w:lang w:val="en-US" w:eastAsia="zh-CN"/>
              </w:rPr>
              <w:t>3个监测断面中2个断面水质为</w:t>
            </w:r>
            <w:r>
              <w:rPr>
                <w:rFonts w:hint="eastAsia" w:asciiTheme="minorEastAsia" w:hAnsiTheme="minorEastAsia" w:eastAsiaTheme="minorEastAsia" w:cstheme="minorEastAsia"/>
                <w:color w:val="auto"/>
                <w:sz w:val="24"/>
                <w:szCs w:val="24"/>
                <w:highlight w:val="none"/>
                <w:lang w:val="en-GB" w:eastAsia="zh-CN"/>
              </w:rPr>
              <w:t>Ⅱ类，</w:t>
            </w:r>
            <w:r>
              <w:rPr>
                <w:rFonts w:hint="eastAsia" w:asciiTheme="minorEastAsia" w:hAnsiTheme="minorEastAsia" w:eastAsiaTheme="minorEastAsia" w:cstheme="minorEastAsia"/>
                <w:color w:val="auto"/>
                <w:sz w:val="24"/>
                <w:szCs w:val="24"/>
                <w:highlight w:val="none"/>
                <w:lang w:val="en-US" w:eastAsia="zh-CN"/>
              </w:rPr>
              <w:t>1个为</w:t>
            </w:r>
            <w:r>
              <w:rPr>
                <w:rFonts w:hint="eastAsia" w:asciiTheme="minorEastAsia" w:hAnsiTheme="minorEastAsia" w:eastAsiaTheme="minorEastAsia" w:cstheme="minorEastAsia"/>
                <w:color w:val="auto"/>
                <w:sz w:val="24"/>
                <w:szCs w:val="24"/>
                <w:highlight w:val="none"/>
                <w:lang w:val="en-GB" w:eastAsia="zh-CN"/>
              </w:rPr>
              <w:t>Ⅲ类，均满足芒市大河水环境功能区水质目标要求。</w:t>
            </w:r>
            <w:r>
              <w:rPr>
                <w:rFonts w:hint="eastAsia" w:asciiTheme="minorEastAsia" w:hAnsiTheme="minorEastAsia" w:eastAsiaTheme="minorEastAsia" w:cstheme="minorEastAsia"/>
                <w:color w:val="auto"/>
                <w:sz w:val="24"/>
                <w:szCs w:val="24"/>
                <w:highlight w:val="none"/>
                <w:lang w:val="en-US" w:eastAsia="zh-CN"/>
              </w:rPr>
              <w:t>因此，</w:t>
            </w:r>
            <w:r>
              <w:rPr>
                <w:rFonts w:hint="eastAsia" w:asciiTheme="minorEastAsia" w:hAnsiTheme="minorEastAsia" w:eastAsiaTheme="minorEastAsia" w:cstheme="minorEastAsia"/>
                <w:color w:val="auto"/>
                <w:sz w:val="24"/>
                <w:szCs w:val="24"/>
                <w:highlight w:val="none"/>
                <w:lang w:val="en-GB"/>
              </w:rPr>
              <w:t>项目区</w:t>
            </w:r>
            <w:r>
              <w:rPr>
                <w:rFonts w:hint="eastAsia" w:asciiTheme="minorEastAsia" w:hAnsiTheme="minorEastAsia" w:eastAsiaTheme="minorEastAsia" w:cstheme="minorEastAsia"/>
                <w:color w:val="auto"/>
                <w:sz w:val="24"/>
                <w:szCs w:val="24"/>
                <w:highlight w:val="none"/>
                <w:lang w:val="en-GB" w:eastAsia="zh-CN"/>
              </w:rPr>
              <w:t>最近地表水体芒市大河水质</w:t>
            </w:r>
            <w:r>
              <w:rPr>
                <w:rFonts w:hint="eastAsia" w:asciiTheme="minorEastAsia" w:hAnsiTheme="minorEastAsia" w:eastAsiaTheme="minorEastAsia" w:cstheme="minorEastAsia"/>
                <w:color w:val="auto"/>
                <w:sz w:val="24"/>
                <w:szCs w:val="24"/>
                <w:highlight w:val="none"/>
                <w:lang w:val="en-US" w:eastAsia="zh-CN"/>
              </w:rPr>
              <w:t>能满足《地表水环境质量标准》（GB3838-2002）中</w:t>
            </w:r>
            <w:r>
              <w:rPr>
                <w:rFonts w:hint="eastAsia" w:asciiTheme="minorEastAsia" w:hAnsiTheme="minorEastAsia" w:eastAsiaTheme="minorEastAsia" w:cstheme="minorEastAsia"/>
                <w:color w:val="auto"/>
                <w:sz w:val="24"/>
                <w:szCs w:val="24"/>
                <w:highlight w:val="none"/>
                <w:lang w:val="en-GB" w:eastAsia="zh-CN"/>
              </w:rPr>
              <w:t>Ⅲ</w:t>
            </w:r>
            <w:r>
              <w:rPr>
                <w:rFonts w:hint="eastAsia" w:asciiTheme="minorEastAsia" w:hAnsiTheme="minorEastAsia" w:eastAsiaTheme="minorEastAsia" w:cstheme="minorEastAsia"/>
                <w:color w:val="auto"/>
                <w:sz w:val="24"/>
                <w:szCs w:val="24"/>
                <w:highlight w:val="none"/>
                <w:lang w:val="en-US" w:eastAsia="zh-CN"/>
              </w:rPr>
              <w:t>类水质标准要求</w:t>
            </w:r>
            <w:r>
              <w:rPr>
                <w:rFonts w:hint="eastAsia" w:asciiTheme="minorEastAsia" w:hAnsiTheme="minorEastAsia" w:eastAsiaTheme="minorEastAsia" w:cstheme="minorEastAsia"/>
                <w:color w:val="auto"/>
                <w:sz w:val="24"/>
                <w:szCs w:val="24"/>
                <w:lang w:val="en-US" w:eastAsia="zh-CN"/>
              </w:rPr>
              <w:t>。</w:t>
            </w:r>
          </w:p>
          <w:p w14:paraId="7E05E06D">
            <w:pPr>
              <w:numPr>
                <w:ilvl w:val="0"/>
                <w:numId w:val="0"/>
              </w:numPr>
              <w:ind w:firstLine="241" w:firstLineChars="100"/>
              <w:rPr>
                <w:rFonts w:hint="eastAsia" w:asciiTheme="majorEastAsia" w:hAnsiTheme="majorEastAsia" w:eastAsiaTheme="majorEastAsia" w:cstheme="majorEastAsia"/>
                <w:b/>
                <w:bCs/>
                <w:color w:val="auto"/>
              </w:rPr>
            </w:pPr>
            <w:r>
              <w:rPr>
                <w:rFonts w:hint="eastAsia" w:asciiTheme="majorEastAsia" w:hAnsiTheme="majorEastAsia" w:eastAsiaTheme="majorEastAsia" w:cstheme="majorEastAsia"/>
                <w:b/>
                <w:bCs/>
                <w:color w:val="auto"/>
                <w:lang w:val="en-US" w:eastAsia="zh-CN"/>
              </w:rPr>
              <w:t>3、</w:t>
            </w:r>
            <w:r>
              <w:rPr>
                <w:rFonts w:hint="eastAsia" w:asciiTheme="majorEastAsia" w:hAnsiTheme="majorEastAsia" w:eastAsiaTheme="majorEastAsia" w:cstheme="majorEastAsia"/>
                <w:b/>
                <w:bCs/>
                <w:color w:val="auto"/>
              </w:rPr>
              <w:t>声环境质量现状</w:t>
            </w:r>
          </w:p>
          <w:p w14:paraId="0743DE39">
            <w:pPr>
              <w:ind w:firstLine="480" w:firstLineChars="20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本项目位于</w:t>
            </w:r>
            <w:r>
              <w:rPr>
                <w:rFonts w:hint="eastAsia" w:asciiTheme="majorEastAsia" w:hAnsiTheme="majorEastAsia" w:eastAsiaTheme="majorEastAsia" w:cstheme="majorEastAsia"/>
                <w:color w:val="auto"/>
                <w:lang w:eastAsia="zh-CN"/>
              </w:rPr>
              <w:t>云南省德宏州芒市风平镇帕底村芒市糖厂内</w:t>
            </w:r>
            <w:r>
              <w:rPr>
                <w:rFonts w:hint="eastAsia" w:asciiTheme="majorEastAsia" w:hAnsiTheme="majorEastAsia" w:eastAsiaTheme="majorEastAsia" w:cstheme="majorEastAsia"/>
                <w:color w:val="auto"/>
              </w:rPr>
              <w:t>，根据《声环境质量标准》（GB3096-2008），建设项目所在地噪声功能区划为声环境2类区，执行《声环境质量标准》（GB3096-2008）中的2类标准</w:t>
            </w:r>
            <w:r>
              <w:rPr>
                <w:rFonts w:hint="eastAsia" w:asciiTheme="majorEastAsia" w:hAnsiTheme="majorEastAsia" w:eastAsiaTheme="majorEastAsia" w:cstheme="majorEastAsia"/>
                <w:color w:val="auto"/>
                <w:lang w:eastAsia="zh-CN"/>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项目南侧紧邻沪瑞线，执行4a标准</w:t>
            </w:r>
            <w:r>
              <w:rPr>
                <w:rFonts w:hint="eastAsia" w:asciiTheme="majorEastAsia" w:hAnsiTheme="majorEastAsia" w:eastAsiaTheme="majorEastAsia" w:cstheme="majorEastAsia"/>
                <w:color w:val="auto"/>
              </w:rPr>
              <w:t>。</w:t>
            </w:r>
          </w:p>
          <w:p w14:paraId="645FF26B">
            <w:pPr>
              <w:ind w:firstLine="480" w:firstLineChars="20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z w:val="24"/>
                <w:szCs w:val="24"/>
                <w:lang w:val="en-US" w:eastAsia="zh-CN"/>
              </w:rPr>
              <w:t>经过调查，项目厂界外50m范围内无声环境保护目标，因此本次评价不开展声环境质量现状监测。经过环评人员现场踏勘，项目周边无大型工业噪声源，已存在的企业均相应的采取一定的降噪措施，因此区域声环境质量良好，可达到《声环境质量标准》</w:t>
            </w:r>
            <w:r>
              <w:rPr>
                <w:rFonts w:hint="eastAsia" w:asciiTheme="majorEastAsia" w:hAnsiTheme="majorEastAsia" w:eastAsiaTheme="majorEastAsia" w:cstheme="majorEastAsia"/>
                <w:color w:val="auto"/>
                <w:sz w:val="24"/>
                <w:szCs w:val="24"/>
                <w:highlight w:val="none"/>
                <w:lang w:val="en-US" w:eastAsia="zh-CN"/>
              </w:rPr>
              <w:t>（</w:t>
            </w:r>
            <w:r>
              <w:rPr>
                <w:rFonts w:hint="eastAsia" w:asciiTheme="majorEastAsia" w:hAnsiTheme="majorEastAsia" w:eastAsiaTheme="majorEastAsia" w:cstheme="majorEastAsia"/>
                <w:color w:val="auto"/>
                <w:sz w:val="24"/>
                <w:szCs w:val="24"/>
                <w:lang w:val="en-US" w:eastAsia="zh-CN"/>
              </w:rPr>
              <w:t>GB3096-2008</w:t>
            </w:r>
            <w:r>
              <w:rPr>
                <w:rFonts w:hint="eastAsia" w:asciiTheme="majorEastAsia" w:hAnsiTheme="majorEastAsia" w:eastAsiaTheme="majorEastAsia" w:cstheme="majorEastAsia"/>
                <w:color w:val="auto"/>
                <w:sz w:val="24"/>
                <w:szCs w:val="24"/>
                <w:highlight w:val="none"/>
                <w:lang w:val="en-US" w:eastAsia="zh-CN"/>
              </w:rPr>
              <w:t>）</w:t>
            </w:r>
            <w:r>
              <w:rPr>
                <w:rFonts w:hint="eastAsia" w:asciiTheme="majorEastAsia" w:hAnsiTheme="majorEastAsia" w:eastAsiaTheme="majorEastAsia" w:cstheme="majorEastAsia"/>
                <w:color w:val="auto"/>
                <w:sz w:val="24"/>
                <w:szCs w:val="24"/>
                <w:lang w:val="en-US" w:eastAsia="zh-CN"/>
              </w:rPr>
              <w:t>中的2类和4a类标准要求</w:t>
            </w:r>
            <w:r>
              <w:rPr>
                <w:rFonts w:hint="eastAsia" w:asciiTheme="majorEastAsia" w:hAnsiTheme="majorEastAsia" w:eastAsiaTheme="majorEastAsia" w:cstheme="majorEastAsia"/>
                <w:color w:val="auto"/>
              </w:rPr>
              <w:t>。</w:t>
            </w:r>
          </w:p>
          <w:p w14:paraId="59743131">
            <w:pPr>
              <w:numPr>
                <w:ilvl w:val="0"/>
                <w:numId w:val="0"/>
              </w:numPr>
              <w:ind w:firstLine="241" w:firstLineChars="100"/>
              <w:rPr>
                <w:rFonts w:hint="eastAsia" w:asciiTheme="majorEastAsia" w:hAnsiTheme="majorEastAsia" w:eastAsiaTheme="majorEastAsia" w:cstheme="majorEastAsia"/>
                <w:b/>
                <w:bCs/>
                <w:color w:val="auto"/>
              </w:rPr>
            </w:pPr>
            <w:r>
              <w:rPr>
                <w:rFonts w:hint="eastAsia" w:asciiTheme="majorEastAsia" w:hAnsiTheme="majorEastAsia" w:eastAsiaTheme="majorEastAsia" w:cstheme="majorEastAsia"/>
                <w:b/>
                <w:bCs/>
                <w:color w:val="auto"/>
                <w:lang w:val="en-US" w:eastAsia="zh-CN"/>
              </w:rPr>
              <w:t>4、</w:t>
            </w:r>
            <w:r>
              <w:rPr>
                <w:rFonts w:hint="eastAsia" w:asciiTheme="majorEastAsia" w:hAnsiTheme="majorEastAsia" w:eastAsiaTheme="majorEastAsia" w:cstheme="majorEastAsia"/>
                <w:b/>
                <w:bCs/>
                <w:color w:val="auto"/>
              </w:rPr>
              <w:t>生态环境质量现状</w:t>
            </w:r>
          </w:p>
          <w:p w14:paraId="3D1BF7A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color w:val="auto"/>
                <w:sz w:val="24"/>
                <w:szCs w:val="24"/>
                <w:highlight w:val="none"/>
                <w:lang w:val="zh-CN"/>
              </w:rPr>
            </w:pPr>
            <w:r>
              <w:rPr>
                <w:rFonts w:hint="eastAsia" w:asciiTheme="majorEastAsia" w:hAnsiTheme="majorEastAsia" w:eastAsiaTheme="majorEastAsia" w:cstheme="majorEastAsia"/>
                <w:color w:val="auto"/>
              </w:rPr>
              <w:t>经现场踏勘，项目</w:t>
            </w:r>
            <w:r>
              <w:rPr>
                <w:rFonts w:hint="eastAsia" w:asciiTheme="majorEastAsia" w:hAnsiTheme="majorEastAsia" w:eastAsiaTheme="majorEastAsia" w:cstheme="majorEastAsia"/>
                <w:color w:val="auto"/>
                <w:lang w:eastAsia="zh-CN"/>
              </w:rPr>
              <w:t>已完成土地平整工作，</w:t>
            </w:r>
            <w:r>
              <w:rPr>
                <w:rFonts w:hint="eastAsia" w:asciiTheme="majorEastAsia" w:hAnsiTheme="majorEastAsia" w:eastAsiaTheme="majorEastAsia" w:cstheme="majorEastAsia"/>
                <w:color w:val="auto"/>
              </w:rPr>
              <w:t>用地区域内地表已无原生植被。项目所在区域人类活动频繁，受人类活动影响，植被覆盖率低，</w:t>
            </w:r>
            <w:r>
              <w:rPr>
                <w:rFonts w:hint="eastAsia" w:asciiTheme="majorEastAsia" w:hAnsiTheme="majorEastAsia" w:eastAsiaTheme="majorEastAsia" w:cstheme="majorEastAsia"/>
                <w:color w:val="auto"/>
                <w:sz w:val="24"/>
                <w:lang w:val="en-US" w:eastAsia="zh-CN"/>
              </w:rPr>
              <w:t>项目区周边</w:t>
            </w:r>
            <w:r>
              <w:rPr>
                <w:rFonts w:hint="eastAsia" w:asciiTheme="majorEastAsia" w:hAnsiTheme="majorEastAsia" w:eastAsiaTheme="majorEastAsia" w:cstheme="majorEastAsia"/>
                <w:color w:val="auto"/>
                <w:sz w:val="24"/>
                <w:szCs w:val="24"/>
                <w:highlight w:val="none"/>
                <w:lang w:val="zh-CN"/>
              </w:rPr>
              <w:t>现状为</w:t>
            </w:r>
            <w:r>
              <w:rPr>
                <w:rFonts w:hint="eastAsia" w:asciiTheme="majorEastAsia" w:hAnsiTheme="majorEastAsia" w:eastAsiaTheme="majorEastAsia" w:cstheme="majorEastAsia"/>
                <w:color w:val="auto"/>
                <w:sz w:val="24"/>
                <w:szCs w:val="24"/>
                <w:highlight w:val="none"/>
                <w:lang w:val="en-US" w:eastAsia="zh-CN"/>
              </w:rPr>
              <w:t>居民点、</w:t>
            </w:r>
            <w:r>
              <w:rPr>
                <w:rFonts w:hint="eastAsia" w:asciiTheme="majorEastAsia" w:hAnsiTheme="majorEastAsia" w:eastAsiaTheme="majorEastAsia" w:cstheme="majorEastAsia"/>
                <w:bCs/>
                <w:color w:val="auto"/>
                <w:sz w:val="24"/>
                <w:szCs w:val="24"/>
                <w:highlight w:val="none"/>
                <w:lang w:val="en-US" w:eastAsia="zh-CN"/>
              </w:rPr>
              <w:t>裸地及绿化带</w:t>
            </w:r>
            <w:r>
              <w:rPr>
                <w:rFonts w:hint="eastAsia" w:asciiTheme="majorEastAsia" w:hAnsiTheme="majorEastAsia" w:eastAsiaTheme="majorEastAsia" w:cstheme="majorEastAsia"/>
                <w:color w:val="auto"/>
                <w:sz w:val="24"/>
                <w:szCs w:val="24"/>
                <w:highlight w:val="none"/>
                <w:lang w:val="zh-CN"/>
              </w:rPr>
              <w:t>，区域动物极少，经常出没的动物为常见的小型野生动物，主要有褐家鼠（</w:t>
            </w:r>
            <w:r>
              <w:rPr>
                <w:rFonts w:hint="eastAsia" w:asciiTheme="majorEastAsia" w:hAnsiTheme="majorEastAsia" w:eastAsiaTheme="majorEastAsia" w:cstheme="majorEastAsia"/>
                <w:i/>
                <w:iCs/>
                <w:color w:val="auto"/>
                <w:sz w:val="24"/>
                <w:szCs w:val="24"/>
                <w:highlight w:val="none"/>
                <w:lang w:val="zh-CN"/>
              </w:rPr>
              <w:t>Rattus norvgicus</w:t>
            </w:r>
            <w:r>
              <w:rPr>
                <w:rFonts w:hint="eastAsia" w:asciiTheme="majorEastAsia" w:hAnsiTheme="majorEastAsia" w:eastAsiaTheme="majorEastAsia" w:cstheme="majorEastAsia"/>
                <w:color w:val="auto"/>
                <w:sz w:val="24"/>
                <w:szCs w:val="24"/>
                <w:highlight w:val="none"/>
                <w:lang w:val="zh-CN"/>
              </w:rPr>
              <w:t>）、小家鼠（</w:t>
            </w:r>
            <w:r>
              <w:rPr>
                <w:rFonts w:hint="eastAsia" w:asciiTheme="majorEastAsia" w:hAnsiTheme="majorEastAsia" w:eastAsiaTheme="majorEastAsia" w:cstheme="majorEastAsia"/>
                <w:i/>
                <w:iCs/>
                <w:color w:val="auto"/>
                <w:sz w:val="24"/>
                <w:szCs w:val="24"/>
                <w:highlight w:val="none"/>
                <w:lang w:val="zh-CN"/>
              </w:rPr>
              <w:t>Mus musculus</w:t>
            </w:r>
            <w:r>
              <w:rPr>
                <w:rFonts w:hint="eastAsia" w:asciiTheme="majorEastAsia" w:hAnsiTheme="majorEastAsia" w:eastAsiaTheme="majorEastAsia" w:cstheme="majorEastAsia"/>
                <w:color w:val="auto"/>
                <w:sz w:val="24"/>
                <w:szCs w:val="24"/>
                <w:highlight w:val="none"/>
                <w:lang w:val="zh-CN"/>
              </w:rPr>
              <w:t>）、树麻雀（</w:t>
            </w:r>
            <w:r>
              <w:rPr>
                <w:rFonts w:hint="eastAsia" w:asciiTheme="majorEastAsia" w:hAnsiTheme="majorEastAsia" w:eastAsiaTheme="majorEastAsia" w:cstheme="majorEastAsia"/>
                <w:i/>
                <w:iCs/>
                <w:color w:val="auto"/>
                <w:sz w:val="24"/>
                <w:szCs w:val="24"/>
                <w:highlight w:val="none"/>
                <w:lang w:val="zh-CN"/>
              </w:rPr>
              <w:t>Passer montanu</w:t>
            </w:r>
            <w:r>
              <w:rPr>
                <w:rFonts w:hint="eastAsia" w:asciiTheme="majorEastAsia" w:hAnsiTheme="majorEastAsia" w:eastAsiaTheme="majorEastAsia" w:cstheme="majorEastAsia"/>
                <w:color w:val="auto"/>
                <w:sz w:val="24"/>
                <w:szCs w:val="24"/>
                <w:highlight w:val="none"/>
                <w:lang w:val="zh-CN"/>
              </w:rPr>
              <w:t>）、家燕（</w:t>
            </w:r>
            <w:r>
              <w:rPr>
                <w:rFonts w:hint="eastAsia" w:asciiTheme="majorEastAsia" w:hAnsiTheme="majorEastAsia" w:eastAsiaTheme="majorEastAsia" w:cstheme="majorEastAsia"/>
                <w:i/>
                <w:iCs/>
                <w:color w:val="auto"/>
                <w:sz w:val="24"/>
                <w:szCs w:val="24"/>
                <w:highlight w:val="none"/>
                <w:lang w:val="zh-CN"/>
              </w:rPr>
              <w:t>Hirundo rustica</w:t>
            </w:r>
            <w:r>
              <w:rPr>
                <w:rFonts w:hint="eastAsia" w:asciiTheme="majorEastAsia" w:hAnsiTheme="majorEastAsia" w:eastAsiaTheme="majorEastAsia" w:cstheme="majorEastAsia"/>
                <w:color w:val="auto"/>
                <w:sz w:val="24"/>
                <w:szCs w:val="24"/>
                <w:highlight w:val="none"/>
                <w:lang w:val="zh-CN"/>
              </w:rPr>
              <w:t>）等。</w:t>
            </w:r>
            <w:r>
              <w:rPr>
                <w:rFonts w:hint="eastAsia" w:asciiTheme="majorEastAsia" w:hAnsiTheme="majorEastAsia" w:eastAsiaTheme="majorEastAsia" w:cstheme="majorEastAsia"/>
                <w:color w:val="auto"/>
                <w:sz w:val="24"/>
                <w:szCs w:val="24"/>
                <w:highlight w:val="none"/>
                <w:lang w:val="en-US" w:eastAsia="zh-CN"/>
              </w:rPr>
              <w:t>根据调查，项目</w:t>
            </w:r>
            <w:r>
              <w:rPr>
                <w:rFonts w:hint="eastAsia" w:asciiTheme="majorEastAsia" w:hAnsiTheme="majorEastAsia" w:eastAsiaTheme="majorEastAsia" w:cstheme="majorEastAsia"/>
                <w:color w:val="auto"/>
                <w:sz w:val="24"/>
                <w:szCs w:val="24"/>
                <w:highlight w:val="none"/>
                <w:lang w:val="zh-CN"/>
              </w:rPr>
              <w:t>用地范围内无国家级和省级保护物种、珍稀濒危物种和地方特有种，无国家级和省级规定保护的古树名木。项目区域内生物多样性单一，生物多样性较差，生态环境自身调控能力较低，受人为影响较大。</w:t>
            </w:r>
          </w:p>
          <w:p w14:paraId="38994628">
            <w:pPr>
              <w:adjustRightInd w:val="0"/>
              <w:snapToGrid w:val="0"/>
              <w:ind w:firstLine="480" w:firstLineChars="200"/>
              <w:rPr>
                <w:rFonts w:hint="eastAsia" w:asciiTheme="majorEastAsia" w:hAnsiTheme="majorEastAsia" w:eastAsiaTheme="majorEastAsia" w:cstheme="majorEastAsia"/>
                <w:color w:val="auto"/>
                <w:sz w:val="24"/>
                <w:szCs w:val="24"/>
                <w:highlight w:val="none"/>
                <w:lang w:val="zh-CN"/>
              </w:rPr>
            </w:pPr>
            <w:r>
              <w:rPr>
                <w:rFonts w:hint="eastAsia" w:asciiTheme="majorEastAsia" w:hAnsiTheme="majorEastAsia" w:eastAsiaTheme="majorEastAsia" w:cstheme="majorEastAsia"/>
                <w:color w:val="auto"/>
                <w:sz w:val="24"/>
                <w:szCs w:val="24"/>
                <w:highlight w:val="none"/>
                <w:lang w:val="zh-CN"/>
              </w:rPr>
              <w:t>总体来说，评价区域植物类型较为单一，生态系统受人为控制，自身调节能力较弱。</w:t>
            </w:r>
          </w:p>
          <w:p w14:paraId="177F197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5、土壤环境和地下水</w:t>
            </w:r>
            <w:r>
              <w:rPr>
                <w:rFonts w:hint="eastAsia" w:asciiTheme="majorEastAsia" w:hAnsiTheme="majorEastAsia" w:eastAsiaTheme="majorEastAsia" w:cstheme="majorEastAsia"/>
                <w:b/>
                <w:bCs/>
                <w:color w:val="auto"/>
              </w:rPr>
              <w:t>环境质量现状</w:t>
            </w:r>
          </w:p>
          <w:p w14:paraId="1F023E5F">
            <w:pPr>
              <w:adjustRightInd w:val="0"/>
              <w:snapToGrid w:val="0"/>
              <w:ind w:firstLine="480" w:firstLineChars="200"/>
              <w:rPr>
                <w:rFonts w:ascii="Times New Roman" w:hAnsi="Times New Roman"/>
                <w:color w:val="auto"/>
                <w:sz w:val="21"/>
                <w:szCs w:val="21"/>
              </w:rPr>
            </w:pPr>
            <w:r>
              <w:rPr>
                <w:rFonts w:hint="eastAsia" w:asciiTheme="majorEastAsia" w:hAnsiTheme="majorEastAsia" w:eastAsiaTheme="majorEastAsia" w:cstheme="majorEastAsia"/>
                <w:color w:val="auto"/>
                <w:sz w:val="24"/>
                <w:szCs w:val="24"/>
                <w:highlight w:val="none"/>
                <w:lang w:val="en-US" w:eastAsia="zh-CN"/>
              </w:rPr>
              <w:t>项目用地性质为工业用地，周边为农田及其他企业，周边区域内目前尚未发现土壤、地下水过度开采和被受污染的现象，土壤、地下水环境状况总体良好</w:t>
            </w:r>
            <w:r>
              <w:rPr>
                <w:rFonts w:hint="eastAsia" w:asciiTheme="majorEastAsia" w:hAnsiTheme="majorEastAsia" w:eastAsiaTheme="majorEastAsia" w:cstheme="majorEastAsia"/>
                <w:color w:val="auto"/>
              </w:rPr>
              <w:t>。</w:t>
            </w:r>
          </w:p>
        </w:tc>
      </w:tr>
      <w:tr w14:paraId="0A2123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392" w:type="pct"/>
            <w:vAlign w:val="center"/>
          </w:tcPr>
          <w:p w14:paraId="60E3F002">
            <w:pPr>
              <w:adjustRightInd w:val="0"/>
              <w:snapToGrid w:val="0"/>
              <w:jc w:val="center"/>
              <w:rPr>
                <w:rFonts w:ascii="Times New Roman" w:hAnsi="Times New Roman"/>
                <w:color w:val="auto"/>
                <w:kern w:val="0"/>
                <w:sz w:val="21"/>
                <w:szCs w:val="21"/>
              </w:rPr>
            </w:pPr>
            <w:r>
              <w:rPr>
                <w:rFonts w:hint="eastAsia" w:ascii="Times New Roman" w:hAnsi="Times New Roman"/>
                <w:color w:val="auto"/>
                <w:kern w:val="0"/>
                <w:sz w:val="21"/>
                <w:szCs w:val="21"/>
              </w:rPr>
              <w:t>环境</w:t>
            </w:r>
          </w:p>
          <w:p w14:paraId="3759BAC5">
            <w:pPr>
              <w:adjustRightInd w:val="0"/>
              <w:snapToGrid w:val="0"/>
              <w:jc w:val="center"/>
              <w:rPr>
                <w:rFonts w:ascii="Times New Roman" w:hAnsi="Times New Roman"/>
                <w:color w:val="auto"/>
                <w:kern w:val="0"/>
                <w:sz w:val="21"/>
                <w:szCs w:val="21"/>
              </w:rPr>
            </w:pPr>
            <w:r>
              <w:rPr>
                <w:rFonts w:hint="eastAsia" w:ascii="Times New Roman" w:hAnsi="Times New Roman"/>
                <w:color w:val="auto"/>
                <w:kern w:val="0"/>
                <w:sz w:val="21"/>
                <w:szCs w:val="21"/>
              </w:rPr>
              <w:t>保护</w:t>
            </w:r>
          </w:p>
          <w:p w14:paraId="4BAEC822">
            <w:pPr>
              <w:adjustRightInd w:val="0"/>
              <w:snapToGrid w:val="0"/>
              <w:jc w:val="center"/>
              <w:rPr>
                <w:rFonts w:ascii="Times New Roman" w:hAnsi="Times New Roman"/>
                <w:color w:val="auto"/>
                <w:kern w:val="0"/>
                <w:sz w:val="21"/>
                <w:szCs w:val="21"/>
              </w:rPr>
            </w:pPr>
            <w:r>
              <w:rPr>
                <w:rFonts w:hint="eastAsia" w:ascii="Times New Roman" w:hAnsi="Times New Roman"/>
                <w:color w:val="auto"/>
                <w:kern w:val="0"/>
                <w:sz w:val="21"/>
                <w:szCs w:val="21"/>
              </w:rPr>
              <w:t>目标</w:t>
            </w:r>
          </w:p>
        </w:tc>
        <w:tc>
          <w:tcPr>
            <w:tcW w:w="4607" w:type="pct"/>
            <w:vAlign w:val="center"/>
          </w:tcPr>
          <w:p w14:paraId="0FCDA157">
            <w:pPr>
              <w:numPr>
                <w:ilvl w:val="0"/>
                <w:numId w:val="0"/>
              </w:numPr>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auto"/>
                <w:sz w:val="24"/>
                <w:lang w:val="zh-CN"/>
              </w:rPr>
              <w:t>根据《建设项目环境影响报告表编制技术指南（污染影响类）》（试行），确定本次大</w:t>
            </w:r>
            <w:r>
              <w:rPr>
                <w:rFonts w:hint="eastAsia" w:asciiTheme="minorEastAsia" w:hAnsiTheme="minorEastAsia" w:eastAsiaTheme="minorEastAsia" w:cstheme="minorEastAsia"/>
                <w:color w:val="000000" w:themeColor="text1"/>
                <w:sz w:val="24"/>
                <w:lang w:val="zh-CN"/>
                <w14:textFill>
                  <w14:solidFill>
                    <w14:schemeClr w14:val="tx1"/>
                  </w14:solidFill>
                </w14:textFill>
              </w:rPr>
              <w:t>气环境、</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地下水环境</w:t>
            </w:r>
            <w:r>
              <w:rPr>
                <w:rFonts w:hint="eastAsia" w:asciiTheme="minorEastAsia" w:hAnsiTheme="minorEastAsia" w:eastAsiaTheme="minorEastAsia" w:cstheme="minorEastAsia"/>
                <w:color w:val="000000" w:themeColor="text1"/>
                <w:sz w:val="24"/>
                <w:lang w:val="zh-CN"/>
                <w14:textFill>
                  <w14:solidFill>
                    <w14:schemeClr w14:val="tx1"/>
                  </w14:solidFill>
                </w14:textFill>
              </w:rPr>
              <w:t>评价范围主要为项目周边</w:t>
            </w:r>
            <w:r>
              <w:rPr>
                <w:rFonts w:hint="eastAsia" w:asciiTheme="minorEastAsia" w:hAnsiTheme="minorEastAsia" w:eastAsiaTheme="minorEastAsia" w:cstheme="minorEastAsia"/>
                <w:color w:val="000000" w:themeColor="text1"/>
                <w:sz w:val="24"/>
                <w14:textFill>
                  <w14:solidFill>
                    <w14:schemeClr w14:val="tx1"/>
                  </w14:solidFill>
                </w14:textFill>
              </w:rPr>
              <w:t>500m</w:t>
            </w:r>
            <w:r>
              <w:rPr>
                <w:rFonts w:hint="eastAsia" w:asciiTheme="minorEastAsia" w:hAnsiTheme="minorEastAsia" w:eastAsiaTheme="minorEastAsia" w:cstheme="minorEastAsia"/>
                <w:color w:val="000000" w:themeColor="text1"/>
                <w:sz w:val="24"/>
                <w:lang w:val="zh-CN"/>
                <w14:textFill>
                  <w14:solidFill>
                    <w14:schemeClr w14:val="tx1"/>
                  </w14:solidFill>
                </w14:textFill>
              </w:rPr>
              <w:t>范围内的敏感点，</w:t>
            </w:r>
            <w:r>
              <w:rPr>
                <w:rFonts w:hint="eastAsia" w:asciiTheme="minorEastAsia" w:hAnsiTheme="minorEastAsia" w:eastAsiaTheme="minorEastAsia" w:cstheme="minorEastAsia"/>
                <w:color w:val="000000" w:themeColor="text1"/>
                <w:sz w:val="24"/>
                <w14:textFill>
                  <w14:solidFill>
                    <w14:schemeClr w14:val="tx1"/>
                  </w14:solidFill>
                </w14:textFill>
              </w:rPr>
              <w:t>声环境评价范围为</w:t>
            </w:r>
            <w:r>
              <w:rPr>
                <w:rFonts w:hint="eastAsia" w:asciiTheme="minorEastAsia" w:hAnsiTheme="minorEastAsia" w:eastAsiaTheme="minorEastAsia" w:cstheme="minorEastAsia"/>
                <w:color w:val="000000" w:themeColor="text1"/>
                <w:sz w:val="24"/>
                <w:lang w:val="zh-CN"/>
                <w14:textFill>
                  <w14:solidFill>
                    <w14:schemeClr w14:val="tx1"/>
                  </w14:solidFill>
                </w14:textFill>
              </w:rPr>
              <w:t>项目周边</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50</w:t>
            </w:r>
            <w:r>
              <w:rPr>
                <w:rFonts w:hint="eastAsia" w:asciiTheme="minorEastAsia" w:hAnsiTheme="minorEastAsia" w:eastAsiaTheme="minorEastAsia" w:cstheme="minorEastAsia"/>
                <w:color w:val="000000" w:themeColor="text1"/>
                <w:sz w:val="24"/>
                <w14:textFill>
                  <w14:solidFill>
                    <w14:schemeClr w14:val="tx1"/>
                  </w14:solidFill>
                </w14:textFill>
              </w:rPr>
              <w:t>m内的敏感点。</w:t>
            </w:r>
          </w:p>
          <w:p w14:paraId="59E0100E">
            <w:pPr>
              <w:numPr>
                <w:ilvl w:val="0"/>
                <w:numId w:val="0"/>
              </w:numPr>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根据现场踏勘，</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本项目周边的咖啡渣场、沙场、木材厂、废品回收站等均不属于敏感点，距离项目最近的敏感点为项目区西北侧</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400m处的芒市糖厂生活区，</w:t>
            </w:r>
            <w:r>
              <w:rPr>
                <w:rFonts w:hint="eastAsia" w:asciiTheme="minorEastAsia" w:hAnsiTheme="minorEastAsia" w:eastAsiaTheme="minorEastAsia" w:cstheme="minorEastAsia"/>
                <w:color w:val="auto"/>
                <w:sz w:val="24"/>
                <w:szCs w:val="24"/>
                <w:lang w:eastAsia="zh-CN"/>
              </w:rPr>
              <w:t>无</w:t>
            </w:r>
            <w:r>
              <w:rPr>
                <w:rFonts w:hint="eastAsia" w:asciiTheme="minorEastAsia" w:hAnsiTheme="minorEastAsia" w:eastAsiaTheme="minorEastAsia" w:cstheme="minorEastAsia"/>
                <w:color w:val="auto"/>
                <w:sz w:val="24"/>
              </w:rPr>
              <w:t>声环境</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eastAsia="zh-CN"/>
              </w:rPr>
              <w:t>地下水环境、生态环境保护目标。</w:t>
            </w:r>
            <w:r>
              <w:rPr>
                <w:rFonts w:hint="eastAsia" w:asciiTheme="minorEastAsia" w:hAnsiTheme="minorEastAsia" w:eastAsiaTheme="minorEastAsia" w:cstheme="minorEastAsia"/>
                <w:snapToGrid/>
                <w:color w:val="auto"/>
                <w:kern w:val="2"/>
                <w:sz w:val="24"/>
                <w:szCs w:val="24"/>
                <w:lang w:val="en-US" w:eastAsia="zh-CN" w:bidi="ar-SA"/>
              </w:rPr>
              <w:t>项目环境保护目标详见表3-5</w:t>
            </w:r>
            <w:r>
              <w:rPr>
                <w:rFonts w:hint="eastAsia" w:asciiTheme="minorEastAsia" w:hAnsiTheme="minorEastAsia" w:eastAsiaTheme="minorEastAsia" w:cstheme="minorEastAsia"/>
                <w:color w:val="auto"/>
              </w:rPr>
              <w:t>。</w:t>
            </w:r>
          </w:p>
          <w:p w14:paraId="263F831D">
            <w:pPr>
              <w:adjustRightInd w:val="0"/>
              <w:snapToGrid w:val="0"/>
              <w:jc w:val="center"/>
              <w:rPr>
                <w:rFonts w:hint="eastAsia" w:asciiTheme="minorEastAsia" w:hAnsiTheme="minorEastAsia" w:eastAsiaTheme="minorEastAsia" w:cstheme="minorEastAsia"/>
                <w:b/>
                <w:bCs/>
                <w:color w:val="auto"/>
              </w:rPr>
            </w:pPr>
          </w:p>
          <w:p w14:paraId="38D4237D">
            <w:pPr>
              <w:adjustRightInd w:val="0"/>
              <w:snapToGrid w:val="0"/>
              <w:jc w:val="center"/>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表3-</w:t>
            </w:r>
            <w:r>
              <w:rPr>
                <w:rFonts w:hint="eastAsia" w:asciiTheme="minorEastAsia" w:hAnsiTheme="minorEastAsia" w:eastAsiaTheme="minorEastAsia" w:cstheme="minorEastAsia"/>
                <w:b/>
                <w:bCs/>
                <w:color w:val="auto"/>
                <w:lang w:val="en-US" w:eastAsia="zh-CN"/>
              </w:rPr>
              <w:t>5</w:t>
            </w:r>
            <w:r>
              <w:rPr>
                <w:rFonts w:hint="eastAsia" w:asciiTheme="minorEastAsia" w:hAnsiTheme="minorEastAsia" w:eastAsiaTheme="minorEastAsia" w:cstheme="minorEastAsia"/>
                <w:b/>
                <w:bCs/>
                <w:color w:val="auto"/>
              </w:rPr>
              <w:t xml:space="preserve"> </w:t>
            </w:r>
            <w:r>
              <w:rPr>
                <w:rFonts w:hint="eastAsia" w:asciiTheme="minorEastAsia" w:hAnsiTheme="minorEastAsia" w:eastAsiaTheme="minorEastAsia" w:cstheme="minorEastAsia"/>
                <w:b/>
                <w:bCs/>
                <w:color w:val="auto"/>
                <w:lang w:val="en-US" w:eastAsia="zh-CN"/>
              </w:rPr>
              <w:t xml:space="preserve"> </w:t>
            </w:r>
            <w:r>
              <w:rPr>
                <w:rFonts w:hint="eastAsia" w:asciiTheme="minorEastAsia" w:hAnsiTheme="minorEastAsia" w:eastAsiaTheme="minorEastAsia" w:cstheme="minorEastAsia"/>
                <w:b/>
                <w:bCs/>
                <w:color w:val="auto"/>
              </w:rPr>
              <w:t>项目环境保护目标一览表</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1456"/>
              <w:gridCol w:w="1085"/>
              <w:gridCol w:w="1741"/>
              <w:gridCol w:w="1713"/>
              <w:gridCol w:w="2186"/>
            </w:tblGrid>
            <w:tr w14:paraId="3247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pct"/>
                  <w:noWrap w:val="0"/>
                  <w:vAlign w:val="center"/>
                </w:tcPr>
                <w:p w14:paraId="0C50CE72">
                  <w:pPr>
                    <w:keepNext w:val="0"/>
                    <w:keepLines w:val="0"/>
                    <w:pageBreakBefore w:val="0"/>
                    <w:widowControl w:val="0"/>
                    <w:kinsoku/>
                    <w:wordWrap/>
                    <w:overflowPunct/>
                    <w:topLinePunct w:val="0"/>
                    <w:autoSpaceDE w:val="0"/>
                    <w:autoSpaceDN w:val="0"/>
                    <w:bidi w:val="0"/>
                    <w:adjustRightInd w:val="0"/>
                    <w:spacing w:line="240" w:lineRule="auto"/>
                    <w:ind w:firstLine="0" w:firstLineChars="0"/>
                    <w:jc w:val="center"/>
                    <w:textAlignment w:val="auto"/>
                    <w:rPr>
                      <w:rFonts w:hint="eastAsia" w:asciiTheme="minorEastAsia" w:hAnsiTheme="minorEastAsia" w:eastAsiaTheme="minorEastAsia" w:cstheme="minorEastAsia"/>
                      <w:color w:val="000000"/>
                      <w:spacing w:val="-10"/>
                      <w:sz w:val="21"/>
                      <w:szCs w:val="21"/>
                      <w:highlight w:val="none"/>
                      <w:lang w:val="en-US" w:eastAsia="zh-CN"/>
                    </w:rPr>
                  </w:pPr>
                  <w:r>
                    <w:rPr>
                      <w:rFonts w:hint="eastAsia" w:asciiTheme="minorEastAsia" w:hAnsiTheme="minorEastAsia" w:eastAsiaTheme="minorEastAsia" w:cstheme="minorEastAsia"/>
                      <w:b/>
                      <w:color w:val="000000"/>
                      <w:spacing w:val="-10"/>
                      <w:sz w:val="21"/>
                      <w:szCs w:val="21"/>
                      <w:highlight w:val="none"/>
                      <w:lang w:val="en-US" w:eastAsia="zh-CN"/>
                    </w:rPr>
                    <w:t>环境要素</w:t>
                  </w:r>
                </w:p>
              </w:tc>
              <w:tc>
                <w:tcPr>
                  <w:tcW w:w="792" w:type="pct"/>
                  <w:noWrap w:val="0"/>
                  <w:vAlign w:val="center"/>
                </w:tcPr>
                <w:p w14:paraId="4EA439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vertAlign w:val="baseline"/>
                      <w:lang w:val="en-US" w:eastAsia="zh-CN" w:bidi="ar-SA"/>
                    </w:rPr>
                  </w:pPr>
                  <w:r>
                    <w:rPr>
                      <w:rFonts w:hint="eastAsia" w:asciiTheme="minorEastAsia" w:hAnsiTheme="minorEastAsia" w:eastAsiaTheme="minorEastAsia" w:cstheme="minorEastAsia"/>
                      <w:b/>
                      <w:color w:val="000000"/>
                      <w:spacing w:val="-10"/>
                      <w:sz w:val="21"/>
                      <w:szCs w:val="21"/>
                      <w:highlight w:val="none"/>
                      <w:lang w:val="en-US" w:eastAsia="zh-CN"/>
                    </w:rPr>
                    <w:t>名称</w:t>
                  </w:r>
                </w:p>
              </w:tc>
              <w:tc>
                <w:tcPr>
                  <w:tcW w:w="590" w:type="pct"/>
                  <w:noWrap w:val="0"/>
                  <w:vAlign w:val="center"/>
                </w:tcPr>
                <w:p w14:paraId="0CCAD73F">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color w:val="000000"/>
                      <w:spacing w:val="-10"/>
                      <w:sz w:val="21"/>
                      <w:szCs w:val="21"/>
                      <w:highlight w:val="none"/>
                      <w:lang w:val="en-US" w:eastAsia="zh-CN"/>
                    </w:rPr>
                    <w:t>名称</w:t>
                  </w:r>
                </w:p>
              </w:tc>
              <w:tc>
                <w:tcPr>
                  <w:tcW w:w="947" w:type="pct"/>
                  <w:noWrap w:val="0"/>
                  <w:vAlign w:val="center"/>
                </w:tcPr>
                <w:p w14:paraId="65231E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vertAlign w:val="baseline"/>
                      <w:lang w:val="en-US" w:eastAsia="zh-CN" w:bidi="ar-SA"/>
                    </w:rPr>
                  </w:pPr>
                  <w:r>
                    <w:rPr>
                      <w:rFonts w:hint="eastAsia" w:asciiTheme="minorEastAsia" w:hAnsiTheme="minorEastAsia" w:eastAsiaTheme="minorEastAsia" w:cstheme="minorEastAsia"/>
                      <w:b/>
                      <w:color w:val="000000"/>
                      <w:spacing w:val="-10"/>
                      <w:sz w:val="21"/>
                      <w:szCs w:val="21"/>
                      <w:highlight w:val="none"/>
                    </w:rPr>
                    <w:t>相对厂址方向</w:t>
                  </w:r>
                </w:p>
              </w:tc>
              <w:tc>
                <w:tcPr>
                  <w:tcW w:w="932" w:type="pct"/>
                  <w:noWrap w:val="0"/>
                  <w:vAlign w:val="center"/>
                </w:tcPr>
                <w:p w14:paraId="15037C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vertAlign w:val="baseline"/>
                      <w:lang w:val="en-US" w:eastAsia="zh-CN" w:bidi="ar-SA"/>
                    </w:rPr>
                  </w:pPr>
                  <w:r>
                    <w:rPr>
                      <w:rFonts w:hint="eastAsia" w:asciiTheme="minorEastAsia" w:hAnsiTheme="minorEastAsia" w:eastAsiaTheme="minorEastAsia" w:cstheme="minorEastAsia"/>
                      <w:b/>
                      <w:color w:val="000000"/>
                      <w:spacing w:val="-10"/>
                      <w:sz w:val="21"/>
                      <w:szCs w:val="21"/>
                      <w:highlight w:val="none"/>
                    </w:rPr>
                    <w:t>相对厂界距离</w:t>
                  </w:r>
                  <w:r>
                    <w:rPr>
                      <w:rFonts w:hint="eastAsia" w:asciiTheme="minorEastAsia" w:hAnsiTheme="minorEastAsia" w:eastAsiaTheme="minorEastAsia" w:cstheme="minorEastAsia"/>
                      <w:b/>
                      <w:color w:val="000000"/>
                      <w:spacing w:val="-10"/>
                      <w:sz w:val="21"/>
                      <w:szCs w:val="21"/>
                      <w:highlight w:val="none"/>
                      <w:lang w:val="en-US" w:eastAsia="zh-CN"/>
                    </w:rPr>
                    <w:t>/m</w:t>
                  </w:r>
                </w:p>
              </w:tc>
              <w:tc>
                <w:tcPr>
                  <w:tcW w:w="1189" w:type="pct"/>
                  <w:noWrap w:val="0"/>
                  <w:vAlign w:val="center"/>
                </w:tcPr>
                <w:p w14:paraId="09698CA9">
                  <w:pPr>
                    <w:keepNext w:val="0"/>
                    <w:keepLines w:val="0"/>
                    <w:pageBreakBefore w:val="0"/>
                    <w:widowControl w:val="0"/>
                    <w:kinsoku/>
                    <w:wordWrap/>
                    <w:overflowPunct/>
                    <w:topLinePunct w:val="0"/>
                    <w:autoSpaceDE w:val="0"/>
                    <w:autoSpaceDN w:val="0"/>
                    <w:bidi w:val="0"/>
                    <w:adjustRightInd w:val="0"/>
                    <w:spacing w:line="240" w:lineRule="auto"/>
                    <w:ind w:firstLine="0" w:firstLineChars="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color w:val="000000"/>
                      <w:spacing w:val="-10"/>
                      <w:sz w:val="21"/>
                      <w:szCs w:val="21"/>
                      <w:highlight w:val="none"/>
                    </w:rPr>
                    <w:t>保护级别</w:t>
                  </w:r>
                </w:p>
              </w:tc>
            </w:tr>
            <w:tr w14:paraId="12F8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pct"/>
                  <w:noWrap w:val="0"/>
                  <w:vAlign w:val="center"/>
                </w:tcPr>
                <w:p w14:paraId="2C7B851F">
                  <w:pPr>
                    <w:keepNext w:val="0"/>
                    <w:keepLines w:val="0"/>
                    <w:pageBreakBefore w:val="0"/>
                    <w:widowControl w:val="0"/>
                    <w:kinsoku/>
                    <w:wordWrap/>
                    <w:overflowPunct/>
                    <w:topLinePunct w:val="0"/>
                    <w:autoSpaceDE w:val="0"/>
                    <w:autoSpaceDN w:val="0"/>
                    <w:bidi w:val="0"/>
                    <w:adjustRightInd w:val="0"/>
                    <w:spacing w:line="240" w:lineRule="auto"/>
                    <w:ind w:firstLine="0" w:firstLineChars="0"/>
                    <w:jc w:val="center"/>
                    <w:textAlignment w:val="auto"/>
                    <w:rPr>
                      <w:rFonts w:hint="eastAsia" w:asciiTheme="minorEastAsia" w:hAnsiTheme="minorEastAsia" w:eastAsiaTheme="minorEastAsia" w:cstheme="minorEastAsia"/>
                      <w:color w:val="000000"/>
                      <w:spacing w:val="-10"/>
                      <w:kern w:val="2"/>
                      <w:sz w:val="21"/>
                      <w:szCs w:val="21"/>
                      <w:highlight w:val="none"/>
                      <w:lang w:val="en-US" w:eastAsia="zh-CN" w:bidi="ar-SA"/>
                    </w:rPr>
                  </w:pPr>
                  <w:r>
                    <w:rPr>
                      <w:rFonts w:hint="eastAsia" w:asciiTheme="minorEastAsia" w:hAnsiTheme="minorEastAsia" w:eastAsiaTheme="minorEastAsia" w:cstheme="minorEastAsia"/>
                      <w:color w:val="000000"/>
                      <w:spacing w:val="-10"/>
                      <w:sz w:val="21"/>
                      <w:szCs w:val="21"/>
                      <w:highlight w:val="none"/>
                      <w:lang w:val="en-US" w:eastAsia="zh-CN"/>
                    </w:rPr>
                    <w:t>大气环境</w:t>
                  </w:r>
                </w:p>
              </w:tc>
              <w:tc>
                <w:tcPr>
                  <w:tcW w:w="792" w:type="pct"/>
                  <w:noWrap w:val="0"/>
                  <w:vAlign w:val="center"/>
                </w:tcPr>
                <w:p w14:paraId="35A1AB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vertAlign w:val="baseline"/>
                      <w:lang w:val="en-US" w:eastAsia="zh-CN" w:bidi="ar-SA"/>
                    </w:rPr>
                  </w:pPr>
                  <w:r>
                    <w:rPr>
                      <w:rFonts w:hint="eastAsia" w:asciiTheme="minorEastAsia" w:hAnsiTheme="minorEastAsia" w:eastAsiaTheme="minorEastAsia" w:cstheme="minorEastAsia"/>
                      <w:color w:val="000000"/>
                      <w:kern w:val="2"/>
                      <w:sz w:val="21"/>
                      <w:szCs w:val="21"/>
                      <w:vertAlign w:val="baseline"/>
                      <w:lang w:val="en-US" w:eastAsia="zh-CN" w:bidi="ar-SA"/>
                    </w:rPr>
                    <w:t>芒市糖厂生活区</w:t>
                  </w:r>
                </w:p>
              </w:tc>
              <w:tc>
                <w:tcPr>
                  <w:tcW w:w="590" w:type="pct"/>
                  <w:noWrap w:val="0"/>
                  <w:vAlign w:val="center"/>
                </w:tcPr>
                <w:p w14:paraId="3C6B3E2D">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38人</w:t>
                  </w:r>
                </w:p>
              </w:tc>
              <w:tc>
                <w:tcPr>
                  <w:tcW w:w="947" w:type="pct"/>
                  <w:noWrap w:val="0"/>
                  <w:vAlign w:val="center"/>
                </w:tcPr>
                <w:p w14:paraId="726D90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vertAlign w:val="baseline"/>
                      <w:lang w:val="en-US" w:eastAsia="zh-CN" w:bidi="ar-SA"/>
                    </w:rPr>
                  </w:pPr>
                  <w:r>
                    <w:rPr>
                      <w:rFonts w:hint="eastAsia" w:asciiTheme="minorEastAsia" w:hAnsiTheme="minorEastAsia" w:eastAsiaTheme="minorEastAsia" w:cstheme="minorEastAsia"/>
                      <w:color w:val="000000"/>
                      <w:kern w:val="2"/>
                      <w:sz w:val="21"/>
                      <w:szCs w:val="21"/>
                      <w:vertAlign w:val="baseline"/>
                      <w:lang w:val="en-US" w:eastAsia="zh-CN" w:bidi="ar-SA"/>
                    </w:rPr>
                    <w:t>西北侧</w:t>
                  </w:r>
                </w:p>
              </w:tc>
              <w:tc>
                <w:tcPr>
                  <w:tcW w:w="932" w:type="pct"/>
                  <w:noWrap w:val="0"/>
                  <w:vAlign w:val="center"/>
                </w:tcPr>
                <w:p w14:paraId="4F0B5E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vertAlign w:val="baseline"/>
                      <w:lang w:val="en-US" w:eastAsia="zh-CN" w:bidi="ar-SA"/>
                    </w:rPr>
                  </w:pPr>
                  <w:r>
                    <w:rPr>
                      <w:rFonts w:hint="eastAsia" w:asciiTheme="minorEastAsia" w:hAnsiTheme="minorEastAsia" w:eastAsiaTheme="minorEastAsia" w:cstheme="minorEastAsia"/>
                      <w:color w:val="000000"/>
                      <w:kern w:val="2"/>
                      <w:sz w:val="21"/>
                      <w:szCs w:val="21"/>
                      <w:vertAlign w:val="baseline"/>
                      <w:lang w:val="en-US" w:eastAsia="zh-CN" w:bidi="ar-SA"/>
                    </w:rPr>
                    <w:t>400</w:t>
                  </w:r>
                </w:p>
              </w:tc>
              <w:tc>
                <w:tcPr>
                  <w:tcW w:w="1189" w:type="pct"/>
                  <w:noWrap w:val="0"/>
                  <w:vAlign w:val="center"/>
                </w:tcPr>
                <w:p w14:paraId="43860802">
                  <w:pPr>
                    <w:keepNext w:val="0"/>
                    <w:keepLines w:val="0"/>
                    <w:pageBreakBefore w:val="0"/>
                    <w:widowControl w:val="0"/>
                    <w:kinsoku/>
                    <w:wordWrap/>
                    <w:overflowPunct/>
                    <w:topLinePunct w:val="0"/>
                    <w:autoSpaceDE w:val="0"/>
                    <w:autoSpaceDN w:val="0"/>
                    <w:bidi w:val="0"/>
                    <w:adjustRightInd w:val="0"/>
                    <w:spacing w:line="240" w:lineRule="auto"/>
                    <w:ind w:firstLine="0" w:firstLineChars="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《环境空气质量标准》（GB3095-2012）二级标准</w:t>
                  </w:r>
                </w:p>
              </w:tc>
            </w:tr>
            <w:tr w14:paraId="1078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547" w:type="pct"/>
                  <w:vMerge w:val="restart"/>
                  <w:noWrap w:val="0"/>
                  <w:vAlign w:val="center"/>
                </w:tcPr>
                <w:p w14:paraId="01093336">
                  <w:pPr>
                    <w:keepNext w:val="0"/>
                    <w:keepLines w:val="0"/>
                    <w:pageBreakBefore w:val="0"/>
                    <w:widowControl w:val="0"/>
                    <w:kinsoku/>
                    <w:wordWrap/>
                    <w:overflowPunct/>
                    <w:topLinePunct w:val="0"/>
                    <w:autoSpaceDE w:val="0"/>
                    <w:autoSpaceDN w:val="0"/>
                    <w:bidi w:val="0"/>
                    <w:adjustRightInd w:val="0"/>
                    <w:spacing w:line="240" w:lineRule="auto"/>
                    <w:ind w:firstLine="0" w:firstLineChars="0"/>
                    <w:jc w:val="center"/>
                    <w:textAlignment w:val="auto"/>
                    <w:rPr>
                      <w:rFonts w:hint="eastAsia" w:asciiTheme="minorEastAsia" w:hAnsiTheme="minorEastAsia" w:eastAsiaTheme="minorEastAsia" w:cstheme="minorEastAsia"/>
                      <w:color w:val="000000"/>
                      <w:spacing w:val="-10"/>
                      <w:sz w:val="21"/>
                      <w:szCs w:val="21"/>
                      <w:highlight w:val="none"/>
                      <w:lang w:val="en-US" w:eastAsia="zh-CN"/>
                    </w:rPr>
                  </w:pPr>
                  <w:r>
                    <w:rPr>
                      <w:rFonts w:hint="eastAsia" w:asciiTheme="minorEastAsia" w:hAnsiTheme="minorEastAsia" w:eastAsiaTheme="minorEastAsia" w:cstheme="minorEastAsia"/>
                      <w:color w:val="000000"/>
                      <w:spacing w:val="-10"/>
                      <w:sz w:val="21"/>
                      <w:szCs w:val="21"/>
                      <w:highlight w:val="none"/>
                      <w:lang w:val="en-US" w:eastAsia="zh-CN"/>
                    </w:rPr>
                    <w:t>地表水环境</w:t>
                  </w:r>
                </w:p>
              </w:tc>
              <w:tc>
                <w:tcPr>
                  <w:tcW w:w="792" w:type="pct"/>
                  <w:noWrap w:val="0"/>
                  <w:vAlign w:val="center"/>
                </w:tcPr>
                <w:p w14:paraId="3E74FB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vertAlign w:val="baseline"/>
                      <w:lang w:val="en-US" w:eastAsia="zh-CN" w:bidi="ar-SA"/>
                    </w:rPr>
                  </w:pPr>
                  <w:r>
                    <w:rPr>
                      <w:rFonts w:hint="eastAsia" w:asciiTheme="minorEastAsia" w:hAnsiTheme="minorEastAsia" w:eastAsiaTheme="minorEastAsia" w:cstheme="minorEastAsia"/>
                      <w:color w:val="000000"/>
                      <w:kern w:val="2"/>
                      <w:sz w:val="21"/>
                      <w:szCs w:val="21"/>
                      <w:vertAlign w:val="baseline"/>
                      <w:lang w:val="en-US" w:eastAsia="zh-CN" w:bidi="ar-SA"/>
                    </w:rPr>
                    <w:t>芒市大河</w:t>
                  </w:r>
                </w:p>
              </w:tc>
              <w:tc>
                <w:tcPr>
                  <w:tcW w:w="590" w:type="pct"/>
                  <w:noWrap w:val="0"/>
                  <w:vAlign w:val="center"/>
                </w:tcPr>
                <w:p w14:paraId="3D795315">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河流</w:t>
                  </w:r>
                </w:p>
              </w:tc>
              <w:tc>
                <w:tcPr>
                  <w:tcW w:w="947" w:type="pct"/>
                  <w:noWrap w:val="0"/>
                  <w:vAlign w:val="center"/>
                </w:tcPr>
                <w:p w14:paraId="124C9D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vertAlign w:val="baseline"/>
                      <w:lang w:val="en-US" w:eastAsia="zh-CN" w:bidi="ar-SA"/>
                    </w:rPr>
                  </w:pPr>
                  <w:r>
                    <w:rPr>
                      <w:rFonts w:hint="eastAsia" w:asciiTheme="minorEastAsia" w:hAnsiTheme="minorEastAsia" w:eastAsiaTheme="minorEastAsia" w:cstheme="minorEastAsia"/>
                      <w:color w:val="000000"/>
                      <w:kern w:val="2"/>
                      <w:sz w:val="21"/>
                      <w:szCs w:val="21"/>
                      <w:vertAlign w:val="baseline"/>
                      <w:lang w:val="en-US" w:eastAsia="zh-CN" w:bidi="ar-SA"/>
                    </w:rPr>
                    <w:t>北侧</w:t>
                  </w:r>
                </w:p>
              </w:tc>
              <w:tc>
                <w:tcPr>
                  <w:tcW w:w="932" w:type="pct"/>
                  <w:noWrap w:val="0"/>
                  <w:vAlign w:val="center"/>
                </w:tcPr>
                <w:p w14:paraId="56DC7E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vertAlign w:val="baseline"/>
                      <w:lang w:val="en-US" w:eastAsia="zh-CN" w:bidi="ar-SA"/>
                    </w:rPr>
                  </w:pPr>
                  <w:r>
                    <w:rPr>
                      <w:rFonts w:hint="eastAsia" w:asciiTheme="minorEastAsia" w:hAnsiTheme="minorEastAsia" w:eastAsiaTheme="minorEastAsia" w:cstheme="minorEastAsia"/>
                      <w:color w:val="000000"/>
                      <w:kern w:val="2"/>
                      <w:sz w:val="21"/>
                      <w:szCs w:val="21"/>
                      <w:vertAlign w:val="baseline"/>
                      <w:lang w:val="en-US" w:eastAsia="zh-CN" w:bidi="ar-SA"/>
                    </w:rPr>
                    <w:t>480</w:t>
                  </w:r>
                </w:p>
              </w:tc>
              <w:tc>
                <w:tcPr>
                  <w:tcW w:w="1189" w:type="pct"/>
                  <w:vMerge w:val="restart"/>
                  <w:noWrap w:val="0"/>
                  <w:vAlign w:val="center"/>
                </w:tcPr>
                <w:p w14:paraId="3C3D87F5">
                  <w:pPr>
                    <w:keepNext w:val="0"/>
                    <w:keepLines w:val="0"/>
                    <w:pageBreakBefore w:val="0"/>
                    <w:widowControl w:val="0"/>
                    <w:kinsoku/>
                    <w:wordWrap/>
                    <w:overflowPunct/>
                    <w:topLinePunct w:val="0"/>
                    <w:autoSpaceDE w:val="0"/>
                    <w:autoSpaceDN w:val="0"/>
                    <w:bidi w:val="0"/>
                    <w:adjustRightInd w:val="0"/>
                    <w:spacing w:line="240" w:lineRule="auto"/>
                    <w:ind w:firstLine="0" w:firstLineChars="0"/>
                    <w:jc w:val="both"/>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《地表水环境质量标准》（GB3838-2002）Ⅲ类标准</w:t>
                  </w:r>
                </w:p>
              </w:tc>
            </w:tr>
            <w:tr w14:paraId="6AE8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47" w:type="pct"/>
                  <w:vMerge w:val="continue"/>
                  <w:noWrap w:val="0"/>
                  <w:vAlign w:val="center"/>
                </w:tcPr>
                <w:p w14:paraId="6B520E09">
                  <w:pPr>
                    <w:keepNext w:val="0"/>
                    <w:keepLines w:val="0"/>
                    <w:pageBreakBefore w:val="0"/>
                    <w:widowControl w:val="0"/>
                    <w:kinsoku/>
                    <w:wordWrap/>
                    <w:overflowPunct/>
                    <w:topLinePunct w:val="0"/>
                    <w:autoSpaceDE w:val="0"/>
                    <w:autoSpaceDN w:val="0"/>
                    <w:bidi w:val="0"/>
                    <w:adjustRightInd w:val="0"/>
                    <w:spacing w:line="240" w:lineRule="auto"/>
                    <w:ind w:firstLine="0" w:firstLineChars="0"/>
                    <w:jc w:val="center"/>
                    <w:textAlignment w:val="auto"/>
                    <w:rPr>
                      <w:rFonts w:hint="eastAsia" w:asciiTheme="minorEastAsia" w:hAnsiTheme="minorEastAsia" w:eastAsiaTheme="minorEastAsia" w:cstheme="minorEastAsia"/>
                      <w:color w:val="000000"/>
                      <w:spacing w:val="-10"/>
                      <w:sz w:val="21"/>
                      <w:szCs w:val="21"/>
                      <w:highlight w:val="none"/>
                      <w:lang w:val="en-US" w:eastAsia="zh-CN"/>
                    </w:rPr>
                  </w:pPr>
                </w:p>
              </w:tc>
              <w:tc>
                <w:tcPr>
                  <w:tcW w:w="792" w:type="pct"/>
                  <w:noWrap w:val="0"/>
                  <w:vAlign w:val="center"/>
                </w:tcPr>
                <w:p w14:paraId="46B217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vertAlign w:val="baseline"/>
                      <w:lang w:val="en-US" w:eastAsia="zh-CN" w:bidi="ar-SA"/>
                    </w:rPr>
                  </w:pPr>
                  <w:r>
                    <w:rPr>
                      <w:rFonts w:hint="eastAsia" w:asciiTheme="minorEastAsia" w:hAnsiTheme="minorEastAsia" w:eastAsiaTheme="minorEastAsia" w:cstheme="minorEastAsia"/>
                      <w:color w:val="000000"/>
                      <w:kern w:val="2"/>
                      <w:sz w:val="21"/>
                      <w:szCs w:val="21"/>
                      <w:vertAlign w:val="baseline"/>
                      <w:lang w:val="en-US" w:eastAsia="zh-CN" w:bidi="ar-SA"/>
                    </w:rPr>
                    <w:t>果朗河</w:t>
                  </w:r>
                </w:p>
              </w:tc>
              <w:tc>
                <w:tcPr>
                  <w:tcW w:w="590" w:type="pct"/>
                  <w:noWrap w:val="0"/>
                  <w:vAlign w:val="center"/>
                </w:tcPr>
                <w:p w14:paraId="1FAD452F">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河流</w:t>
                  </w:r>
                </w:p>
              </w:tc>
              <w:tc>
                <w:tcPr>
                  <w:tcW w:w="947" w:type="pct"/>
                  <w:noWrap w:val="0"/>
                  <w:vAlign w:val="center"/>
                </w:tcPr>
                <w:p w14:paraId="1D01BB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vertAlign w:val="baseline"/>
                      <w:lang w:val="en-US" w:eastAsia="zh-CN"/>
                    </w:rPr>
                  </w:pPr>
                  <w:r>
                    <w:rPr>
                      <w:rFonts w:hint="eastAsia" w:asciiTheme="minorEastAsia" w:hAnsiTheme="minorEastAsia" w:eastAsiaTheme="minorEastAsia" w:cstheme="minorEastAsia"/>
                      <w:color w:val="000000"/>
                      <w:sz w:val="21"/>
                      <w:szCs w:val="21"/>
                      <w:vertAlign w:val="baseline"/>
                      <w:lang w:val="en-US" w:eastAsia="zh-CN"/>
                    </w:rPr>
                    <w:t>东侧</w:t>
                  </w:r>
                </w:p>
              </w:tc>
              <w:tc>
                <w:tcPr>
                  <w:tcW w:w="932" w:type="pct"/>
                  <w:noWrap w:val="0"/>
                  <w:vAlign w:val="center"/>
                </w:tcPr>
                <w:p w14:paraId="423015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vertAlign w:val="baseline"/>
                      <w:lang w:val="en-US" w:eastAsia="zh-CN" w:bidi="ar-SA"/>
                    </w:rPr>
                  </w:pPr>
                  <w:r>
                    <w:rPr>
                      <w:rFonts w:hint="eastAsia" w:asciiTheme="minorEastAsia" w:hAnsiTheme="minorEastAsia" w:eastAsiaTheme="minorEastAsia" w:cstheme="minorEastAsia"/>
                      <w:color w:val="000000"/>
                      <w:kern w:val="2"/>
                      <w:sz w:val="21"/>
                      <w:szCs w:val="21"/>
                      <w:vertAlign w:val="baseline"/>
                      <w:lang w:val="en-US" w:eastAsia="zh-CN" w:bidi="ar-SA"/>
                    </w:rPr>
                    <w:t>123</w:t>
                  </w:r>
                </w:p>
              </w:tc>
              <w:tc>
                <w:tcPr>
                  <w:tcW w:w="1189" w:type="pct"/>
                  <w:vMerge w:val="continue"/>
                  <w:noWrap w:val="0"/>
                  <w:vAlign w:val="center"/>
                </w:tcPr>
                <w:p w14:paraId="20CB616B">
                  <w:pPr>
                    <w:keepNext w:val="0"/>
                    <w:keepLines w:val="0"/>
                    <w:pageBreakBefore w:val="0"/>
                    <w:widowControl w:val="0"/>
                    <w:kinsoku/>
                    <w:wordWrap/>
                    <w:overflowPunct/>
                    <w:topLinePunct w:val="0"/>
                    <w:autoSpaceDE w:val="0"/>
                    <w:autoSpaceDN w:val="0"/>
                    <w:bidi w:val="0"/>
                    <w:adjustRightInd w:val="0"/>
                    <w:spacing w:line="240" w:lineRule="auto"/>
                    <w:ind w:firstLine="0" w:firstLineChars="0"/>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p>
              </w:tc>
            </w:tr>
          </w:tbl>
          <w:p w14:paraId="4AC76AD3">
            <w:pPr>
              <w:rPr>
                <w:rFonts w:ascii="Times New Roman" w:hAnsi="Times New Roman"/>
                <w:color w:val="auto"/>
              </w:rPr>
            </w:pPr>
          </w:p>
        </w:tc>
      </w:tr>
      <w:tr w14:paraId="3A8E4F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87" w:hRule="atLeast"/>
          <w:jc w:val="center"/>
        </w:trPr>
        <w:tc>
          <w:tcPr>
            <w:tcW w:w="392" w:type="pct"/>
            <w:tcMar>
              <w:left w:w="28" w:type="dxa"/>
              <w:right w:w="28" w:type="dxa"/>
            </w:tcMar>
            <w:vAlign w:val="center"/>
          </w:tcPr>
          <w:p w14:paraId="70A7D978">
            <w:pPr>
              <w:adjustRightInd w:val="0"/>
              <w:snapToGrid w:val="0"/>
              <w:jc w:val="center"/>
              <w:rPr>
                <w:rFonts w:ascii="Times New Roman" w:hAnsi="Times New Roman"/>
                <w:color w:val="auto"/>
                <w:kern w:val="0"/>
              </w:rPr>
            </w:pPr>
            <w:r>
              <w:rPr>
                <w:rFonts w:hint="eastAsia" w:ascii="Times New Roman" w:hAnsi="Times New Roman"/>
                <w:color w:val="auto"/>
                <w:kern w:val="0"/>
              </w:rPr>
              <w:t>污染</w:t>
            </w:r>
          </w:p>
          <w:p w14:paraId="0390A310">
            <w:pPr>
              <w:adjustRightInd w:val="0"/>
              <w:snapToGrid w:val="0"/>
              <w:jc w:val="center"/>
              <w:rPr>
                <w:rFonts w:ascii="Times New Roman" w:hAnsi="Times New Roman"/>
                <w:color w:val="auto"/>
                <w:kern w:val="0"/>
              </w:rPr>
            </w:pPr>
            <w:r>
              <w:rPr>
                <w:rFonts w:hint="eastAsia" w:ascii="Times New Roman" w:hAnsi="Times New Roman"/>
                <w:color w:val="auto"/>
                <w:kern w:val="0"/>
              </w:rPr>
              <w:t>物排</w:t>
            </w:r>
          </w:p>
          <w:p w14:paraId="4DFE6D82">
            <w:pPr>
              <w:adjustRightInd w:val="0"/>
              <w:snapToGrid w:val="0"/>
              <w:jc w:val="center"/>
              <w:rPr>
                <w:rFonts w:ascii="Times New Roman" w:hAnsi="Times New Roman"/>
                <w:color w:val="auto"/>
                <w:kern w:val="0"/>
              </w:rPr>
            </w:pPr>
            <w:r>
              <w:rPr>
                <w:rFonts w:hint="eastAsia" w:ascii="Times New Roman" w:hAnsi="Times New Roman"/>
                <w:color w:val="auto"/>
                <w:kern w:val="0"/>
              </w:rPr>
              <w:t>放控</w:t>
            </w:r>
          </w:p>
          <w:p w14:paraId="440511AB">
            <w:pPr>
              <w:adjustRightInd w:val="0"/>
              <w:snapToGrid w:val="0"/>
              <w:jc w:val="center"/>
              <w:rPr>
                <w:rFonts w:ascii="Times New Roman" w:hAnsi="Times New Roman"/>
                <w:color w:val="auto"/>
                <w:kern w:val="0"/>
              </w:rPr>
            </w:pPr>
            <w:r>
              <w:rPr>
                <w:rFonts w:hint="eastAsia" w:ascii="Times New Roman" w:hAnsi="Times New Roman"/>
                <w:color w:val="auto"/>
                <w:kern w:val="0"/>
              </w:rPr>
              <w:t>制标</w:t>
            </w:r>
          </w:p>
          <w:p w14:paraId="472910EE">
            <w:pPr>
              <w:adjustRightInd w:val="0"/>
              <w:snapToGrid w:val="0"/>
              <w:jc w:val="center"/>
              <w:rPr>
                <w:rFonts w:ascii="Times New Roman" w:hAnsi="Times New Roman"/>
                <w:color w:val="auto"/>
                <w:kern w:val="0"/>
                <w:sz w:val="21"/>
                <w:szCs w:val="21"/>
              </w:rPr>
            </w:pPr>
            <w:r>
              <w:rPr>
                <w:rFonts w:hint="eastAsia" w:ascii="Times New Roman" w:hAnsi="Times New Roman"/>
                <w:color w:val="auto"/>
                <w:kern w:val="0"/>
              </w:rPr>
              <w:t>准</w:t>
            </w:r>
          </w:p>
        </w:tc>
        <w:tc>
          <w:tcPr>
            <w:tcW w:w="4607" w:type="pct"/>
            <w:vAlign w:val="center"/>
          </w:tcPr>
          <w:p w14:paraId="5D8AF41E">
            <w:pPr>
              <w:numPr>
                <w:ilvl w:val="0"/>
                <w:numId w:val="10"/>
              </w:numPr>
              <w:ind w:firstLine="482" w:firstLineChars="200"/>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大气污染物排放标准</w:t>
            </w:r>
          </w:p>
          <w:p w14:paraId="0F392C8A">
            <w:pPr>
              <w:pStyle w:val="31"/>
              <w:numPr>
                <w:ilvl w:val="0"/>
                <w:numId w:val="0"/>
              </w:numPr>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lang w:eastAsia="zh-CN"/>
              </w:rPr>
              <w:t>（</w:t>
            </w:r>
            <w:r>
              <w:rPr>
                <w:rFonts w:hint="eastAsia" w:asciiTheme="minorEastAsia" w:hAnsiTheme="minorEastAsia" w:eastAsiaTheme="minorEastAsia" w:cstheme="minorEastAsia"/>
                <w:color w:val="auto"/>
                <w:szCs w:val="24"/>
                <w:lang w:val="en-US" w:eastAsia="zh-CN"/>
              </w:rPr>
              <w:t>1</w:t>
            </w:r>
            <w:r>
              <w:rPr>
                <w:rFonts w:hint="eastAsia" w:asciiTheme="minorEastAsia" w:hAnsiTheme="minorEastAsia" w:eastAsiaTheme="minorEastAsia" w:cstheme="minorEastAsia"/>
                <w:color w:val="auto"/>
                <w:szCs w:val="24"/>
                <w:lang w:eastAsia="zh-CN"/>
              </w:rPr>
              <w:t>）</w:t>
            </w:r>
            <w:r>
              <w:rPr>
                <w:rFonts w:hint="eastAsia" w:asciiTheme="minorEastAsia" w:hAnsiTheme="minorEastAsia" w:eastAsiaTheme="minorEastAsia" w:cstheme="minorEastAsia"/>
                <w:color w:val="auto"/>
                <w:szCs w:val="24"/>
              </w:rPr>
              <w:t>施工期</w:t>
            </w:r>
          </w:p>
          <w:p w14:paraId="19A90743">
            <w:pPr>
              <w:pStyle w:val="31"/>
              <w:ind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项目施工期产生的无组织废气排放执行《大气污染物综合排放标准》（GB16297－1996）表2中无组织排放浓度限值，标准限值见下表。</w:t>
            </w:r>
          </w:p>
          <w:p w14:paraId="68C0D3DC">
            <w:pPr>
              <w:pStyle w:val="31"/>
              <w:ind w:firstLine="482"/>
              <w:jc w:val="center"/>
              <w:rPr>
                <w:rFonts w:hint="eastAsia" w:asciiTheme="minorEastAsia" w:hAnsiTheme="minorEastAsia" w:eastAsiaTheme="minorEastAsia" w:cstheme="minorEastAsia"/>
                <w:b/>
                <w:bCs/>
                <w:color w:val="auto"/>
                <w:szCs w:val="24"/>
                <w:vertAlign w:val="superscript"/>
              </w:rPr>
            </w:pPr>
            <w:r>
              <w:rPr>
                <w:rFonts w:hint="eastAsia" w:asciiTheme="minorEastAsia" w:hAnsiTheme="minorEastAsia" w:eastAsiaTheme="minorEastAsia" w:cstheme="minorEastAsia"/>
                <w:b/>
                <w:bCs/>
                <w:color w:val="auto"/>
                <w:szCs w:val="24"/>
              </w:rPr>
              <w:t>表3-</w:t>
            </w:r>
            <w:r>
              <w:rPr>
                <w:rFonts w:hint="eastAsia" w:asciiTheme="minorEastAsia" w:hAnsiTheme="minorEastAsia" w:eastAsiaTheme="minorEastAsia" w:cstheme="minorEastAsia"/>
                <w:b/>
                <w:bCs/>
                <w:color w:val="auto"/>
                <w:szCs w:val="24"/>
                <w:lang w:val="en-US" w:eastAsia="zh-CN"/>
              </w:rPr>
              <w:t>6</w:t>
            </w:r>
            <w:r>
              <w:rPr>
                <w:rFonts w:hint="eastAsia" w:asciiTheme="minorEastAsia" w:hAnsiTheme="minorEastAsia" w:eastAsiaTheme="minorEastAsia" w:cstheme="minorEastAsia"/>
                <w:b/>
                <w:bCs/>
                <w:color w:val="auto"/>
                <w:szCs w:val="24"/>
              </w:rPr>
              <w:t xml:space="preserve"> 大气污染物综合排放标准 单位：mg/m</w:t>
            </w:r>
            <w:r>
              <w:rPr>
                <w:rFonts w:hint="eastAsia" w:asciiTheme="minorEastAsia" w:hAnsiTheme="minorEastAsia" w:eastAsiaTheme="minorEastAsia" w:cstheme="minorEastAsia"/>
                <w:b/>
                <w:bCs/>
                <w:color w:val="auto"/>
                <w:szCs w:val="24"/>
                <w:vertAlign w:val="superscript"/>
              </w:rPr>
              <w:t>3</w:t>
            </w:r>
          </w:p>
          <w:tbl>
            <w:tblPr>
              <w:tblStyle w:val="20"/>
              <w:tblW w:w="499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181"/>
              <w:gridCol w:w="2506"/>
              <w:gridCol w:w="2509"/>
            </w:tblGrid>
            <w:tr w14:paraId="09C0A4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5" w:hRule="atLeast"/>
                <w:jc w:val="center"/>
              </w:trPr>
              <w:tc>
                <w:tcPr>
                  <w:tcW w:w="2273" w:type="pct"/>
                  <w:vMerge w:val="restart"/>
                  <w:tcBorders>
                    <w:right w:val="single" w:color="auto" w:sz="4" w:space="0"/>
                  </w:tcBorders>
                  <w:vAlign w:val="center"/>
                </w:tcPr>
                <w:p w14:paraId="17058808">
                  <w:pPr>
                    <w:spacing w:line="24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污染物</w:t>
                  </w:r>
                </w:p>
              </w:tc>
              <w:tc>
                <w:tcPr>
                  <w:tcW w:w="2726" w:type="pct"/>
                  <w:gridSpan w:val="2"/>
                  <w:tcBorders>
                    <w:left w:val="single" w:color="auto" w:sz="4" w:space="0"/>
                  </w:tcBorders>
                  <w:vAlign w:val="center"/>
                </w:tcPr>
                <w:p w14:paraId="379DD144">
                  <w:pPr>
                    <w:pStyle w:val="4"/>
                    <w:spacing w:line="240" w:lineRule="auto"/>
                    <w:ind w:left="278" w:hanging="278" w:hangingChars="132"/>
                    <w:rPr>
                      <w:rFonts w:hint="eastAsia"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无组织排放监控浓度限值</w:t>
                  </w:r>
                </w:p>
              </w:tc>
            </w:tr>
            <w:tr w14:paraId="13E82E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0" w:hRule="atLeast"/>
                <w:jc w:val="center"/>
              </w:trPr>
              <w:tc>
                <w:tcPr>
                  <w:tcW w:w="2273" w:type="pct"/>
                  <w:vMerge w:val="continue"/>
                  <w:tcBorders>
                    <w:right w:val="single" w:color="auto" w:sz="4" w:space="0"/>
                  </w:tcBorders>
                  <w:vAlign w:val="center"/>
                </w:tcPr>
                <w:p w14:paraId="3EEA8661">
                  <w:pPr>
                    <w:pStyle w:val="4"/>
                    <w:spacing w:line="240" w:lineRule="auto"/>
                    <w:ind w:left="264" w:hanging="264" w:hangingChars="132"/>
                    <w:rPr>
                      <w:rFonts w:hint="eastAsia" w:asciiTheme="minorEastAsia" w:hAnsiTheme="minorEastAsia" w:eastAsiaTheme="minorEastAsia" w:cstheme="minorEastAsia"/>
                      <w:color w:val="auto"/>
                    </w:rPr>
                  </w:pPr>
                </w:p>
              </w:tc>
              <w:tc>
                <w:tcPr>
                  <w:tcW w:w="1362" w:type="pct"/>
                  <w:tcBorders>
                    <w:left w:val="single" w:color="auto" w:sz="4" w:space="0"/>
                  </w:tcBorders>
                  <w:vAlign w:val="center"/>
                </w:tcPr>
                <w:p w14:paraId="21FCBCF0">
                  <w:pPr>
                    <w:pStyle w:val="17"/>
                    <w:adjustRightInd w:val="0"/>
                    <w:snapToGrid w:val="0"/>
                    <w:spacing w:line="240" w:lineRule="auto"/>
                    <w:ind w:left="420" w:hanging="42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浓度限值</w:t>
                  </w:r>
                </w:p>
              </w:tc>
              <w:tc>
                <w:tcPr>
                  <w:tcW w:w="1363" w:type="pct"/>
                  <w:tcBorders>
                    <w:left w:val="single" w:color="auto" w:sz="4" w:space="0"/>
                  </w:tcBorders>
                  <w:vAlign w:val="center"/>
                </w:tcPr>
                <w:p w14:paraId="3A5D8CCA">
                  <w:pPr>
                    <w:pStyle w:val="17"/>
                    <w:adjustRightInd w:val="0"/>
                    <w:snapToGrid w:val="0"/>
                    <w:spacing w:line="240" w:lineRule="auto"/>
                    <w:ind w:left="420" w:hanging="42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监控点</w:t>
                  </w:r>
                </w:p>
              </w:tc>
            </w:tr>
            <w:tr w14:paraId="683195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85" w:hRule="atLeast"/>
                <w:jc w:val="center"/>
              </w:trPr>
              <w:tc>
                <w:tcPr>
                  <w:tcW w:w="2273" w:type="pct"/>
                  <w:tcBorders>
                    <w:right w:val="single" w:color="auto" w:sz="4" w:space="0"/>
                  </w:tcBorders>
                  <w:vAlign w:val="center"/>
                </w:tcPr>
                <w:p w14:paraId="01696675">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颗粒物</w:t>
                  </w:r>
                </w:p>
              </w:tc>
              <w:tc>
                <w:tcPr>
                  <w:tcW w:w="1362" w:type="pct"/>
                  <w:tcBorders>
                    <w:left w:val="single" w:color="auto" w:sz="4" w:space="0"/>
                  </w:tcBorders>
                  <w:vAlign w:val="center"/>
                </w:tcPr>
                <w:p w14:paraId="0A5EC4CD">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p>
              </w:tc>
              <w:tc>
                <w:tcPr>
                  <w:tcW w:w="1363" w:type="pct"/>
                  <w:tcBorders>
                    <w:left w:val="single" w:color="auto" w:sz="4" w:space="0"/>
                  </w:tcBorders>
                  <w:vAlign w:val="center"/>
                </w:tcPr>
                <w:p w14:paraId="2C260A24">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周界外浓度最高点</w:t>
                  </w:r>
                </w:p>
              </w:tc>
            </w:tr>
          </w:tbl>
          <w:p w14:paraId="16FA33AF">
            <w:pPr>
              <w:pStyle w:val="31"/>
              <w:numPr>
                <w:ilvl w:val="0"/>
                <w:numId w:val="0"/>
              </w:numPr>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lang w:eastAsia="zh-CN"/>
              </w:rPr>
              <w:t>（</w:t>
            </w:r>
            <w:r>
              <w:rPr>
                <w:rFonts w:hint="eastAsia" w:asciiTheme="minorEastAsia" w:hAnsiTheme="minorEastAsia" w:eastAsiaTheme="minorEastAsia" w:cstheme="minorEastAsia"/>
                <w:color w:val="auto"/>
                <w:szCs w:val="24"/>
                <w:lang w:val="en-US" w:eastAsia="zh-CN"/>
              </w:rPr>
              <w:t>2</w:t>
            </w:r>
            <w:r>
              <w:rPr>
                <w:rFonts w:hint="eastAsia" w:asciiTheme="minorEastAsia" w:hAnsiTheme="minorEastAsia" w:eastAsiaTheme="minorEastAsia" w:cstheme="minorEastAsia"/>
                <w:color w:val="auto"/>
                <w:szCs w:val="24"/>
                <w:lang w:eastAsia="zh-CN"/>
              </w:rPr>
              <w:t>）</w:t>
            </w:r>
            <w:r>
              <w:rPr>
                <w:rFonts w:hint="eastAsia" w:asciiTheme="minorEastAsia" w:hAnsiTheme="minorEastAsia" w:eastAsiaTheme="minorEastAsia" w:cstheme="minorEastAsia"/>
                <w:color w:val="auto"/>
                <w:szCs w:val="24"/>
              </w:rPr>
              <w:t>运营期</w:t>
            </w:r>
          </w:p>
          <w:p w14:paraId="0597F725">
            <w:pPr>
              <w:pStyle w:val="36"/>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运营期项目无组织排放粉尘执行</w:t>
            </w:r>
            <w:r>
              <w:rPr>
                <w:rFonts w:hint="eastAsia" w:asciiTheme="minorEastAsia" w:hAnsiTheme="minorEastAsia" w:eastAsiaTheme="minorEastAsia" w:cstheme="minorEastAsia"/>
                <w:color w:val="auto"/>
                <w:lang w:val="en-US" w:eastAsia="zh-CN"/>
              </w:rPr>
              <w:t>《水泥工业大气污染物排放标准》（GB4915-2013）中企业边界大气污染物限值，焊接工段焊接废气执行《车间空气中电焊烟尘卫生标准》（GB 16194-1996）规定车间空气中最高容许浓度，标准限值见</w:t>
            </w:r>
            <w:r>
              <w:rPr>
                <w:rFonts w:hint="eastAsia" w:asciiTheme="minorEastAsia" w:hAnsiTheme="minorEastAsia" w:eastAsiaTheme="minorEastAsia" w:cstheme="minorEastAsia"/>
                <w:color w:val="auto"/>
              </w:rPr>
              <w:t>表3-</w:t>
            </w:r>
            <w:r>
              <w:rPr>
                <w:rFonts w:hint="eastAsia" w:asciiTheme="minorEastAsia" w:hAnsiTheme="minorEastAsia" w:eastAsiaTheme="minorEastAsia" w:cstheme="minorEastAsia"/>
                <w:color w:val="auto"/>
                <w:lang w:val="en-US" w:eastAsia="zh-CN"/>
              </w:rPr>
              <w:t>7</w:t>
            </w:r>
            <w:r>
              <w:rPr>
                <w:rFonts w:hint="eastAsia" w:asciiTheme="minorEastAsia" w:hAnsiTheme="minorEastAsia" w:eastAsiaTheme="minorEastAsia" w:cstheme="minorEastAsia"/>
                <w:color w:val="auto"/>
                <w:lang w:eastAsia="zh-CN"/>
              </w:rPr>
              <w:t>；餐饮业油烟执行《饮食业油烟排放标准》（GB18483-2001）表2小型规模排放限值，具体见表</w:t>
            </w:r>
            <w:r>
              <w:rPr>
                <w:rFonts w:hint="eastAsia" w:asciiTheme="minorEastAsia" w:hAnsiTheme="minorEastAsia" w:eastAsiaTheme="minorEastAsia" w:cstheme="minorEastAsia"/>
                <w:color w:val="auto"/>
                <w:lang w:val="en-US" w:eastAsia="zh-CN"/>
              </w:rPr>
              <w:t>3-8</w:t>
            </w:r>
            <w:r>
              <w:rPr>
                <w:rFonts w:hint="eastAsia" w:asciiTheme="minorEastAsia" w:hAnsiTheme="minorEastAsia" w:eastAsiaTheme="minorEastAsia" w:cstheme="minorEastAsia"/>
                <w:color w:val="auto"/>
              </w:rPr>
              <w:t>。</w:t>
            </w:r>
          </w:p>
          <w:p w14:paraId="03314228">
            <w:pPr>
              <w:pStyle w:val="37"/>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表3-</w:t>
            </w:r>
            <w:r>
              <w:rPr>
                <w:rFonts w:hint="eastAsia" w:asciiTheme="minorEastAsia" w:hAnsiTheme="minorEastAsia" w:eastAsiaTheme="minorEastAsia" w:cstheme="minorEastAsia"/>
                <w:color w:val="auto"/>
                <w:lang w:val="en-US" w:eastAsia="zh-CN"/>
              </w:rPr>
              <w:t>7</w:t>
            </w:r>
            <w:r>
              <w:rPr>
                <w:rFonts w:hint="eastAsia" w:asciiTheme="minorEastAsia" w:hAnsiTheme="minorEastAsia" w:eastAsiaTheme="minorEastAsia" w:cstheme="minorEastAsia"/>
                <w:color w:val="auto"/>
              </w:rPr>
              <w:t xml:space="preserve">  新建企业边界大气污染物浓度限值（mg/m</w:t>
            </w:r>
            <w:r>
              <w:rPr>
                <w:rFonts w:hint="eastAsia" w:asciiTheme="minorEastAsia" w:hAnsiTheme="minorEastAsia" w:eastAsiaTheme="minorEastAsia" w:cstheme="minorEastAsia"/>
                <w:color w:val="auto"/>
                <w:vertAlign w:val="superscript"/>
              </w:rPr>
              <w:t>3</w:t>
            </w:r>
            <w:r>
              <w:rPr>
                <w:rFonts w:hint="eastAsia" w:asciiTheme="minorEastAsia" w:hAnsiTheme="minorEastAsia" w:eastAsiaTheme="minorEastAsia" w:cstheme="minorEastAsia"/>
                <w:color w:val="auto"/>
              </w:rPr>
              <w:t>）</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9"/>
              <w:gridCol w:w="3707"/>
              <w:gridCol w:w="1621"/>
            </w:tblGrid>
            <w:tr w14:paraId="18A96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00" w:type="pct"/>
                  <w:vAlign w:val="center"/>
                </w:tcPr>
                <w:p w14:paraId="3020D623">
                  <w:pPr>
                    <w:snapToGrid w:val="0"/>
                    <w:spacing w:line="240" w:lineRule="auto"/>
                    <w:jc w:val="center"/>
                    <w:rPr>
                      <w:rFonts w:hint="eastAsia" w:ascii="Times New Roman" w:hAnsi="Times New Roman" w:eastAsia="宋体"/>
                      <w:b/>
                      <w:bCs/>
                      <w:color w:val="auto"/>
                      <w:sz w:val="21"/>
                      <w:szCs w:val="21"/>
                      <w:lang w:eastAsia="zh-CN"/>
                    </w:rPr>
                  </w:pPr>
                  <w:r>
                    <w:rPr>
                      <w:rFonts w:hint="eastAsia" w:ascii="Times New Roman" w:hAnsi="Times New Roman"/>
                      <w:b/>
                      <w:bCs/>
                      <w:color w:val="auto"/>
                      <w:sz w:val="21"/>
                      <w:szCs w:val="21"/>
                      <w:lang w:eastAsia="zh-CN"/>
                    </w:rPr>
                    <w:t>执行标准</w:t>
                  </w:r>
                </w:p>
              </w:tc>
              <w:tc>
                <w:tcPr>
                  <w:tcW w:w="2017" w:type="pct"/>
                  <w:vAlign w:val="center"/>
                </w:tcPr>
                <w:p w14:paraId="04460E03">
                  <w:pPr>
                    <w:snapToGrid w:val="0"/>
                    <w:spacing w:line="240" w:lineRule="auto"/>
                    <w:jc w:val="center"/>
                    <w:rPr>
                      <w:rFonts w:ascii="Times New Roman" w:hAnsi="Times New Roman"/>
                      <w:b/>
                      <w:bCs/>
                      <w:color w:val="auto"/>
                      <w:sz w:val="21"/>
                      <w:szCs w:val="21"/>
                    </w:rPr>
                  </w:pPr>
                  <w:r>
                    <w:rPr>
                      <w:rFonts w:hint="eastAsia" w:ascii="Times New Roman" w:hAnsi="Times New Roman"/>
                      <w:b/>
                      <w:bCs/>
                      <w:color w:val="auto"/>
                      <w:sz w:val="21"/>
                      <w:szCs w:val="21"/>
                    </w:rPr>
                    <w:t>污染物</w:t>
                  </w:r>
                </w:p>
              </w:tc>
              <w:tc>
                <w:tcPr>
                  <w:tcW w:w="882" w:type="pct"/>
                  <w:vAlign w:val="center"/>
                </w:tcPr>
                <w:p w14:paraId="78210686">
                  <w:pPr>
                    <w:snapToGrid w:val="0"/>
                    <w:spacing w:line="240" w:lineRule="auto"/>
                    <w:ind w:left="-48" w:leftChars="-166" w:hanging="350" w:hangingChars="166"/>
                    <w:jc w:val="center"/>
                    <w:rPr>
                      <w:rFonts w:ascii="Times New Roman" w:hAnsi="Times New Roman"/>
                      <w:b/>
                      <w:bCs/>
                      <w:color w:val="auto"/>
                      <w:sz w:val="21"/>
                      <w:szCs w:val="21"/>
                    </w:rPr>
                  </w:pPr>
                  <w:r>
                    <w:rPr>
                      <w:rFonts w:hint="eastAsia" w:ascii="Times New Roman" w:hAnsi="Times New Roman"/>
                      <w:b/>
                      <w:bCs/>
                      <w:color w:val="auto"/>
                      <w:sz w:val="21"/>
                      <w:szCs w:val="21"/>
                      <w:lang w:val="en-US" w:eastAsia="zh-CN"/>
                    </w:rPr>
                    <w:t xml:space="preserve">     </w:t>
                  </w:r>
                  <w:r>
                    <w:rPr>
                      <w:rFonts w:hint="eastAsia" w:ascii="Times New Roman" w:hAnsi="Times New Roman"/>
                      <w:b/>
                      <w:bCs/>
                      <w:color w:val="auto"/>
                      <w:sz w:val="21"/>
                      <w:szCs w:val="21"/>
                    </w:rPr>
                    <w:t>浓度限值</w:t>
                  </w:r>
                </w:p>
              </w:tc>
            </w:tr>
            <w:tr w14:paraId="3F60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100" w:type="pct"/>
                  <w:vAlign w:val="center"/>
                </w:tcPr>
                <w:p w14:paraId="25B58A12">
                  <w:pPr>
                    <w:snapToGrid w:val="0"/>
                    <w:spacing w:line="24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《水泥工业大气污染物排放标准》（GB4915-2013）</w:t>
                  </w:r>
                </w:p>
              </w:tc>
              <w:tc>
                <w:tcPr>
                  <w:tcW w:w="2017" w:type="pct"/>
                  <w:vAlign w:val="center"/>
                </w:tcPr>
                <w:p w14:paraId="070E9FF3">
                  <w:pPr>
                    <w:snapToGrid w:val="0"/>
                    <w:spacing w:line="24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颗粒物</w:t>
                  </w:r>
                </w:p>
              </w:tc>
              <w:tc>
                <w:tcPr>
                  <w:tcW w:w="882" w:type="pct"/>
                  <w:vAlign w:val="center"/>
                </w:tcPr>
                <w:p w14:paraId="4B0A02D7">
                  <w:pPr>
                    <w:snapToGrid w:val="0"/>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0.5</w:t>
                  </w:r>
                </w:p>
              </w:tc>
            </w:tr>
            <w:tr w14:paraId="364B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100" w:type="pct"/>
                  <w:vAlign w:val="center"/>
                </w:tcPr>
                <w:p w14:paraId="06D9D162">
                  <w:pPr>
                    <w:snapToGrid w:val="0"/>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《车间空气中电焊烟尘卫生标准》（GB 16194-1996）</w:t>
                  </w:r>
                </w:p>
              </w:tc>
              <w:tc>
                <w:tcPr>
                  <w:tcW w:w="2017" w:type="pct"/>
                  <w:vAlign w:val="center"/>
                </w:tcPr>
                <w:p w14:paraId="7627A081">
                  <w:pPr>
                    <w:snapToGrid w:val="0"/>
                    <w:spacing w:line="24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焊接粉尘</w:t>
                  </w:r>
                </w:p>
              </w:tc>
              <w:tc>
                <w:tcPr>
                  <w:tcW w:w="882" w:type="pct"/>
                  <w:vAlign w:val="center"/>
                </w:tcPr>
                <w:p w14:paraId="619B71E5">
                  <w:pPr>
                    <w:snapToGrid w:val="0"/>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r>
          </w:tbl>
          <w:p w14:paraId="34E19274">
            <w:pPr>
              <w:keepNext w:val="0"/>
              <w:keepLines w:val="0"/>
              <w:widowControl/>
              <w:suppressLineNumbers w:val="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kern w:val="0"/>
                <w:sz w:val="24"/>
                <w:szCs w:val="24"/>
                <w:lang w:val="en-US" w:eastAsia="zh-CN" w:bidi="ar"/>
              </w:rPr>
              <w:t>表3-8  《饮食业油烟排放标准》表 2 小型规模标准限值 （mg/m</w:t>
            </w:r>
            <w:r>
              <w:rPr>
                <w:rFonts w:hint="eastAsia" w:asciiTheme="minorEastAsia" w:hAnsiTheme="minorEastAsia" w:eastAsiaTheme="minorEastAsia" w:cstheme="minorEastAsia"/>
                <w:b/>
                <w:bCs/>
                <w:color w:val="auto"/>
                <w:kern w:val="0"/>
                <w:sz w:val="15"/>
                <w:szCs w:val="15"/>
                <w:lang w:val="en-US" w:eastAsia="zh-CN" w:bidi="ar"/>
              </w:rPr>
              <w:t>3</w:t>
            </w:r>
            <w:r>
              <w:rPr>
                <w:rFonts w:hint="eastAsia" w:asciiTheme="minorEastAsia" w:hAnsiTheme="minorEastAsia" w:eastAsiaTheme="minorEastAsia" w:cstheme="minorEastAsia"/>
                <w:b/>
                <w:bCs/>
                <w:color w:val="auto"/>
                <w:kern w:val="0"/>
                <w:sz w:val="24"/>
                <w:szCs w:val="24"/>
                <w:lang w:val="en-US" w:eastAsia="zh-CN" w:bidi="ar"/>
              </w:rPr>
              <w:t>）</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3"/>
              <w:gridCol w:w="3063"/>
              <w:gridCol w:w="3063"/>
            </w:tblGrid>
            <w:tr w14:paraId="1FA2B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666" w:type="pct"/>
                  <w:vAlign w:val="center"/>
                </w:tcPr>
                <w:p w14:paraId="4D0B246D">
                  <w:pPr>
                    <w:adjustRightInd w:val="0"/>
                    <w:snapToGrid w:val="0"/>
                    <w:spacing w:line="240" w:lineRule="auto"/>
                    <w:jc w:val="center"/>
                    <w:rPr>
                      <w:rFonts w:hint="eastAsia" w:asciiTheme="minorEastAsia" w:hAnsiTheme="minorEastAsia" w:eastAsiaTheme="minorEastAsia" w:cstheme="minorEastAsia"/>
                      <w:b/>
                      <w:bCs/>
                      <w:color w:val="auto"/>
                      <w:kern w:val="0"/>
                      <w:sz w:val="21"/>
                      <w:szCs w:val="21"/>
                      <w:vertAlign w:val="baseline"/>
                      <w:lang w:val="en-US" w:eastAsia="zh-CN"/>
                    </w:rPr>
                  </w:pPr>
                  <w:r>
                    <w:rPr>
                      <w:rFonts w:hint="eastAsia" w:asciiTheme="minorEastAsia" w:hAnsiTheme="minorEastAsia" w:eastAsiaTheme="minorEastAsia" w:cstheme="minorEastAsia"/>
                      <w:b/>
                      <w:bCs/>
                      <w:color w:val="auto"/>
                      <w:kern w:val="0"/>
                      <w:sz w:val="21"/>
                      <w:szCs w:val="21"/>
                      <w:vertAlign w:val="baseline"/>
                      <w:lang w:val="en-US" w:eastAsia="zh-CN"/>
                    </w:rPr>
                    <w:t>项目</w:t>
                  </w:r>
                </w:p>
              </w:tc>
              <w:tc>
                <w:tcPr>
                  <w:tcW w:w="1666" w:type="pct"/>
                  <w:vAlign w:val="center"/>
                </w:tcPr>
                <w:p w14:paraId="15F47FD3">
                  <w:pPr>
                    <w:adjustRightInd w:val="0"/>
                    <w:snapToGrid w:val="0"/>
                    <w:spacing w:line="240" w:lineRule="auto"/>
                    <w:jc w:val="center"/>
                    <w:rPr>
                      <w:rFonts w:hint="eastAsia" w:asciiTheme="minorEastAsia" w:hAnsiTheme="minorEastAsia" w:eastAsiaTheme="minorEastAsia" w:cstheme="minorEastAsia"/>
                      <w:b/>
                      <w:bCs/>
                      <w:color w:val="auto"/>
                      <w:kern w:val="0"/>
                      <w:sz w:val="21"/>
                      <w:szCs w:val="21"/>
                      <w:vertAlign w:val="baseline"/>
                      <w:lang w:val="en-US" w:eastAsia="zh-CN"/>
                    </w:rPr>
                  </w:pPr>
                  <w:r>
                    <w:rPr>
                      <w:rFonts w:hint="eastAsia" w:asciiTheme="minorEastAsia" w:hAnsiTheme="minorEastAsia" w:eastAsiaTheme="minorEastAsia" w:cstheme="minorEastAsia"/>
                      <w:b/>
                      <w:bCs/>
                      <w:color w:val="auto"/>
                      <w:kern w:val="0"/>
                      <w:sz w:val="21"/>
                      <w:szCs w:val="21"/>
                      <w:vertAlign w:val="baseline"/>
                      <w:lang w:val="en-US" w:eastAsia="zh-CN"/>
                    </w:rPr>
                    <w:t>油烟最高允许排放浓度</w:t>
                  </w:r>
                </w:p>
              </w:tc>
              <w:tc>
                <w:tcPr>
                  <w:tcW w:w="1666" w:type="pct"/>
                  <w:vAlign w:val="center"/>
                </w:tcPr>
                <w:p w14:paraId="147AB390">
                  <w:pPr>
                    <w:adjustRightInd w:val="0"/>
                    <w:snapToGrid w:val="0"/>
                    <w:spacing w:line="240" w:lineRule="auto"/>
                    <w:jc w:val="center"/>
                    <w:rPr>
                      <w:rFonts w:hint="eastAsia" w:asciiTheme="minorEastAsia" w:hAnsiTheme="minorEastAsia" w:eastAsiaTheme="minorEastAsia" w:cstheme="minorEastAsia"/>
                      <w:b/>
                      <w:bCs/>
                      <w:color w:val="auto"/>
                      <w:kern w:val="0"/>
                      <w:sz w:val="21"/>
                      <w:szCs w:val="21"/>
                      <w:vertAlign w:val="baseline"/>
                      <w:lang w:val="en-US" w:eastAsia="zh-CN"/>
                    </w:rPr>
                  </w:pPr>
                  <w:r>
                    <w:rPr>
                      <w:rFonts w:hint="eastAsia" w:asciiTheme="minorEastAsia" w:hAnsiTheme="minorEastAsia" w:eastAsiaTheme="minorEastAsia" w:cstheme="minorEastAsia"/>
                      <w:b/>
                      <w:bCs/>
                      <w:color w:val="auto"/>
                      <w:kern w:val="0"/>
                      <w:sz w:val="21"/>
                      <w:szCs w:val="21"/>
                      <w:vertAlign w:val="baseline"/>
                      <w:lang w:val="en-US" w:eastAsia="zh-CN"/>
                    </w:rPr>
                    <w:t>净化设施最低去除率</w:t>
                  </w:r>
                </w:p>
              </w:tc>
            </w:tr>
            <w:tr w14:paraId="08D8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6" w:type="pct"/>
                  <w:vAlign w:val="center"/>
                </w:tcPr>
                <w:p w14:paraId="33719C41">
                  <w:pPr>
                    <w:adjustRightInd w:val="0"/>
                    <w:snapToGrid w:val="0"/>
                    <w:spacing w:line="240" w:lineRule="auto"/>
                    <w:jc w:val="center"/>
                    <w:rPr>
                      <w:rFonts w:hint="eastAsia" w:asciiTheme="minorEastAsia" w:hAnsiTheme="minorEastAsia" w:eastAsiaTheme="minorEastAsia" w:cstheme="minorEastAsia"/>
                      <w:b w:val="0"/>
                      <w:bCs w:val="0"/>
                      <w:color w:val="auto"/>
                      <w:kern w:val="0"/>
                      <w:sz w:val="21"/>
                      <w:szCs w:val="21"/>
                      <w:vertAlign w:val="baseline"/>
                      <w:lang w:val="en-US" w:eastAsia="zh-CN"/>
                    </w:rPr>
                  </w:pPr>
                  <w:r>
                    <w:rPr>
                      <w:rFonts w:hint="eastAsia" w:asciiTheme="minorEastAsia" w:hAnsiTheme="minorEastAsia" w:eastAsiaTheme="minorEastAsia" w:cstheme="minorEastAsia"/>
                      <w:b w:val="0"/>
                      <w:bCs w:val="0"/>
                      <w:color w:val="auto"/>
                      <w:kern w:val="0"/>
                      <w:sz w:val="21"/>
                      <w:szCs w:val="21"/>
                      <w:vertAlign w:val="baseline"/>
                      <w:lang w:val="en-US" w:eastAsia="zh-CN"/>
                    </w:rPr>
                    <w:t>小型规模标准</w:t>
                  </w:r>
                </w:p>
              </w:tc>
              <w:tc>
                <w:tcPr>
                  <w:tcW w:w="1666" w:type="pct"/>
                  <w:vAlign w:val="center"/>
                </w:tcPr>
                <w:p w14:paraId="78E8090F">
                  <w:pPr>
                    <w:adjustRightInd w:val="0"/>
                    <w:snapToGrid w:val="0"/>
                    <w:spacing w:line="240" w:lineRule="auto"/>
                    <w:jc w:val="center"/>
                    <w:rPr>
                      <w:rFonts w:hint="eastAsia" w:asciiTheme="minorEastAsia" w:hAnsiTheme="minorEastAsia" w:eastAsiaTheme="minorEastAsia" w:cstheme="minorEastAsia"/>
                      <w:b w:val="0"/>
                      <w:bCs w:val="0"/>
                      <w:color w:val="auto"/>
                      <w:kern w:val="0"/>
                      <w:sz w:val="21"/>
                      <w:szCs w:val="21"/>
                      <w:vertAlign w:val="baseline"/>
                      <w:lang w:val="en-US" w:eastAsia="zh-CN"/>
                    </w:rPr>
                  </w:pPr>
                  <w:r>
                    <w:rPr>
                      <w:rFonts w:hint="eastAsia" w:asciiTheme="minorEastAsia" w:hAnsiTheme="minorEastAsia" w:eastAsiaTheme="minorEastAsia" w:cstheme="minorEastAsia"/>
                      <w:b w:val="0"/>
                      <w:bCs w:val="0"/>
                      <w:color w:val="auto"/>
                      <w:kern w:val="0"/>
                      <w:sz w:val="21"/>
                      <w:szCs w:val="21"/>
                      <w:vertAlign w:val="baseline"/>
                      <w:lang w:val="en-US" w:eastAsia="zh-CN"/>
                    </w:rPr>
                    <w:t>＜2.0</w:t>
                  </w:r>
                </w:p>
              </w:tc>
              <w:tc>
                <w:tcPr>
                  <w:tcW w:w="1666" w:type="pct"/>
                  <w:vAlign w:val="center"/>
                </w:tcPr>
                <w:p w14:paraId="0A19390E">
                  <w:pPr>
                    <w:adjustRightInd w:val="0"/>
                    <w:snapToGrid w:val="0"/>
                    <w:spacing w:line="240" w:lineRule="auto"/>
                    <w:jc w:val="center"/>
                    <w:rPr>
                      <w:rFonts w:hint="eastAsia" w:asciiTheme="minorEastAsia" w:hAnsiTheme="minorEastAsia" w:eastAsiaTheme="minorEastAsia" w:cstheme="minorEastAsia"/>
                      <w:b w:val="0"/>
                      <w:bCs w:val="0"/>
                      <w:color w:val="auto"/>
                      <w:kern w:val="0"/>
                      <w:sz w:val="21"/>
                      <w:szCs w:val="21"/>
                      <w:vertAlign w:val="baseline"/>
                      <w:lang w:val="en-US" w:eastAsia="zh-CN"/>
                    </w:rPr>
                  </w:pPr>
                  <w:r>
                    <w:rPr>
                      <w:rFonts w:hint="eastAsia" w:asciiTheme="minorEastAsia" w:hAnsiTheme="minorEastAsia" w:eastAsiaTheme="minorEastAsia" w:cstheme="minorEastAsia"/>
                      <w:b w:val="0"/>
                      <w:bCs w:val="0"/>
                      <w:color w:val="auto"/>
                      <w:kern w:val="0"/>
                      <w:sz w:val="21"/>
                      <w:szCs w:val="21"/>
                      <w:vertAlign w:val="baseline"/>
                      <w:lang w:val="en-US" w:eastAsia="zh-CN"/>
                    </w:rPr>
                    <w:t>60%</w:t>
                  </w:r>
                </w:p>
              </w:tc>
            </w:tr>
          </w:tbl>
          <w:p w14:paraId="0107871C">
            <w:pPr>
              <w:adjustRightInd w:val="0"/>
              <w:snapToGrid w:val="0"/>
              <w:ind w:left="480" w:leftChars="200"/>
              <w:rPr>
                <w:rFonts w:hint="eastAsia" w:asciiTheme="minorEastAsia" w:hAnsiTheme="minorEastAsia" w:eastAsiaTheme="minorEastAsia" w:cstheme="minorEastAsia"/>
                <w:b/>
                <w:bCs/>
                <w:color w:val="auto"/>
                <w:kern w:val="0"/>
              </w:rPr>
            </w:pPr>
            <w:r>
              <w:rPr>
                <w:rFonts w:hint="eastAsia" w:asciiTheme="minorEastAsia" w:hAnsiTheme="minorEastAsia" w:eastAsiaTheme="minorEastAsia" w:cstheme="minorEastAsia"/>
                <w:b/>
                <w:bCs/>
                <w:color w:val="auto"/>
                <w:kern w:val="0"/>
              </w:rPr>
              <w:t>2、废水污染物排放标准</w:t>
            </w:r>
          </w:p>
          <w:p w14:paraId="140D1B9E">
            <w:pPr>
              <w:adjustRightInd w:val="0"/>
              <w:snapToGrid w:val="0"/>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项目施工期无废水外排，</w:t>
            </w:r>
            <w:r>
              <w:rPr>
                <w:rFonts w:hint="eastAsia" w:asciiTheme="minorEastAsia" w:hAnsiTheme="minorEastAsia" w:eastAsiaTheme="minorEastAsia" w:cstheme="minorEastAsia"/>
                <w:color w:val="auto"/>
                <w:kern w:val="1"/>
              </w:rPr>
              <w:t>不设</w:t>
            </w:r>
            <w:r>
              <w:rPr>
                <w:rFonts w:hint="eastAsia" w:asciiTheme="minorEastAsia" w:hAnsiTheme="minorEastAsia" w:eastAsiaTheme="minorEastAsia" w:cstheme="minorEastAsia"/>
                <w:color w:val="auto"/>
                <w:kern w:val="1"/>
                <w:lang w:eastAsia="zh-CN"/>
              </w:rPr>
              <w:t>废水</w:t>
            </w:r>
            <w:r>
              <w:rPr>
                <w:rFonts w:hint="eastAsia" w:asciiTheme="minorEastAsia" w:hAnsiTheme="minorEastAsia" w:eastAsiaTheme="minorEastAsia" w:cstheme="minorEastAsia"/>
                <w:color w:val="auto"/>
                <w:kern w:val="1"/>
              </w:rPr>
              <w:t>排放标准</w:t>
            </w:r>
            <w:r>
              <w:rPr>
                <w:rFonts w:hint="eastAsia" w:asciiTheme="minorEastAsia" w:hAnsiTheme="minorEastAsia" w:eastAsiaTheme="minorEastAsia" w:cstheme="minorEastAsia"/>
                <w:color w:val="auto"/>
              </w:rPr>
              <w:t>。</w:t>
            </w:r>
          </w:p>
          <w:p w14:paraId="7462A6F8">
            <w:pPr>
              <w:adjustRightInd w:val="0"/>
              <w:snapToGrid w:val="0"/>
              <w:ind w:firstLine="48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运营期项目</w:t>
            </w:r>
            <w:r>
              <w:rPr>
                <w:rFonts w:hint="eastAsia" w:asciiTheme="minorEastAsia" w:hAnsiTheme="minorEastAsia" w:eastAsiaTheme="minorEastAsia" w:cstheme="minorEastAsia"/>
                <w:color w:val="auto"/>
                <w:lang w:eastAsia="zh-CN"/>
              </w:rPr>
              <w:t>实行雨污分流：</w:t>
            </w:r>
            <w:r>
              <w:rPr>
                <w:rFonts w:hint="eastAsia" w:asciiTheme="minorEastAsia" w:hAnsiTheme="minorEastAsia" w:eastAsiaTheme="minorEastAsia" w:cstheme="minorEastAsia"/>
                <w:color w:val="auto"/>
                <w:lang w:val="en-US" w:eastAsia="zh-CN"/>
              </w:rPr>
              <w:t>项目</w:t>
            </w:r>
            <w:r>
              <w:rPr>
                <w:rFonts w:hint="eastAsia" w:asciiTheme="minorEastAsia" w:hAnsiTheme="minorEastAsia" w:eastAsiaTheme="minorEastAsia" w:cstheme="minorEastAsia"/>
                <w:b w:val="0"/>
                <w:bCs/>
                <w:color w:val="auto"/>
                <w:sz w:val="24"/>
                <w:szCs w:val="24"/>
                <w:lang w:val="en-US" w:eastAsia="zh-CN"/>
              </w:rPr>
              <w:t>搅拌机清洗废水排入防渗沉淀池内沉淀后上清液全部回用于生产工序的搅拌机内，不外排</w:t>
            </w:r>
            <w:r>
              <w:rPr>
                <w:rFonts w:hint="eastAsia" w:asciiTheme="minorEastAsia" w:hAnsiTheme="minorEastAsia" w:eastAsiaTheme="minorEastAsia" w:cstheme="minorEastAsia"/>
                <w:color w:val="auto"/>
                <w:lang w:val="en-US" w:eastAsia="zh-CN"/>
              </w:rPr>
              <w:t>；少量</w:t>
            </w:r>
            <w:r>
              <w:rPr>
                <w:rFonts w:hint="eastAsia" w:asciiTheme="minorEastAsia" w:hAnsiTheme="minorEastAsia" w:eastAsiaTheme="minorEastAsia" w:cstheme="minorEastAsia"/>
                <w:color w:val="auto"/>
                <w:lang w:eastAsia="zh-CN"/>
              </w:rPr>
              <w:t>餐饮废水经</w:t>
            </w:r>
            <w:r>
              <w:rPr>
                <w:rFonts w:hint="eastAsia" w:asciiTheme="minorEastAsia" w:hAnsiTheme="minorEastAsia" w:eastAsiaTheme="minorEastAsia" w:cstheme="minorEastAsia"/>
                <w:color w:val="auto"/>
                <w:lang w:val="en-US" w:eastAsia="zh-CN"/>
              </w:rPr>
              <w:t>油水分离器预处理后同办公、生活污水经</w:t>
            </w:r>
            <w:r>
              <w:rPr>
                <w:rFonts w:hint="eastAsia" w:asciiTheme="minorEastAsia" w:hAnsiTheme="minorEastAsia" w:eastAsiaTheme="minorEastAsia" w:cstheme="minorEastAsia"/>
                <w:color w:val="auto"/>
                <w:lang w:eastAsia="zh-CN"/>
              </w:rPr>
              <w:t>化粪池处理后委托周边村民进行清掏用作农肥</w:t>
            </w:r>
            <w:r>
              <w:rPr>
                <w:rFonts w:hint="eastAsia" w:asciiTheme="minorEastAsia" w:hAnsiTheme="minorEastAsia" w:eastAsiaTheme="minorEastAsia" w:cstheme="minorEastAsia"/>
                <w:color w:val="auto"/>
                <w:lang w:val="en-US" w:eastAsia="zh-CN"/>
              </w:rPr>
              <w:t>，项目区污水不外排，因此不设排放标准</w:t>
            </w:r>
            <w:r>
              <w:rPr>
                <w:rFonts w:hint="eastAsia" w:asciiTheme="minorEastAsia" w:hAnsiTheme="minorEastAsia" w:eastAsiaTheme="minorEastAsia" w:cstheme="minorEastAsia"/>
                <w:color w:val="auto"/>
                <w:lang w:eastAsia="zh-CN"/>
              </w:rPr>
              <w:t>。</w:t>
            </w:r>
          </w:p>
          <w:p w14:paraId="09CDE7D7">
            <w:pPr>
              <w:adjustRightInd w:val="0"/>
              <w:snapToGrid w:val="0"/>
              <w:spacing w:line="240" w:lineRule="auto"/>
              <w:ind w:left="480" w:leftChars="200"/>
              <w:rPr>
                <w:rFonts w:hint="eastAsia" w:ascii="Times New Roman" w:hAnsi="Times New Roman"/>
                <w:b/>
                <w:bCs/>
                <w:color w:val="auto"/>
              </w:rPr>
            </w:pPr>
          </w:p>
          <w:p w14:paraId="496CE3DF">
            <w:pPr>
              <w:adjustRightInd w:val="0"/>
              <w:snapToGrid w:val="0"/>
              <w:spacing w:line="240" w:lineRule="auto"/>
              <w:ind w:left="480" w:leftChars="200"/>
              <w:rPr>
                <w:rFonts w:hint="eastAsia" w:ascii="Times New Roman" w:hAnsi="Times New Roman"/>
                <w:b/>
                <w:bCs/>
                <w:color w:val="auto"/>
              </w:rPr>
            </w:pPr>
          </w:p>
          <w:p w14:paraId="06B4B410">
            <w:pPr>
              <w:adjustRightInd w:val="0"/>
              <w:snapToGrid w:val="0"/>
              <w:spacing w:line="240" w:lineRule="auto"/>
              <w:ind w:left="480" w:leftChars="200"/>
              <w:rPr>
                <w:rFonts w:ascii="Times New Roman" w:hAnsi="Times New Roman"/>
                <w:b/>
                <w:bCs/>
                <w:color w:val="auto"/>
              </w:rPr>
            </w:pPr>
            <w:r>
              <w:rPr>
                <w:rFonts w:hint="eastAsia" w:ascii="Times New Roman" w:hAnsi="Times New Roman"/>
                <w:b/>
                <w:bCs/>
                <w:color w:val="auto"/>
              </w:rPr>
              <w:t>3、噪声排放标准</w:t>
            </w:r>
          </w:p>
          <w:p w14:paraId="11501465">
            <w:pPr>
              <w:pStyle w:val="31"/>
              <w:ind w:firstLine="480"/>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color w:val="auto"/>
                <w:szCs w:val="24"/>
                <w:lang w:eastAsia="zh-CN"/>
              </w:rPr>
              <w:t>（</w:t>
            </w:r>
            <w:r>
              <w:rPr>
                <w:rFonts w:hint="eastAsia" w:asciiTheme="minorEastAsia" w:hAnsiTheme="minorEastAsia" w:eastAsiaTheme="minorEastAsia" w:cstheme="minorEastAsia"/>
                <w:color w:val="auto"/>
                <w:szCs w:val="24"/>
                <w:lang w:val="en-US" w:eastAsia="zh-CN"/>
              </w:rPr>
              <w:t>1</w:t>
            </w:r>
            <w:r>
              <w:rPr>
                <w:rFonts w:hint="eastAsia" w:asciiTheme="minorEastAsia" w:hAnsiTheme="minorEastAsia" w:eastAsiaTheme="minorEastAsia" w:cstheme="minorEastAsia"/>
                <w:color w:val="auto"/>
                <w:szCs w:val="24"/>
                <w:lang w:eastAsia="zh-CN"/>
              </w:rPr>
              <w:t>）</w:t>
            </w:r>
            <w:r>
              <w:rPr>
                <w:rFonts w:hint="eastAsia" w:asciiTheme="minorEastAsia" w:hAnsiTheme="minorEastAsia" w:eastAsiaTheme="minorEastAsia" w:cstheme="minorEastAsia"/>
                <w:color w:val="auto"/>
                <w:szCs w:val="24"/>
              </w:rPr>
              <w:t>项目施工期噪声执行《建筑施工场界环境噪声排放标准》（GB12523-2011），标准限值见下表。</w:t>
            </w:r>
          </w:p>
          <w:p w14:paraId="598614B7">
            <w:pPr>
              <w:jc w:val="center"/>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表3-</w:t>
            </w:r>
            <w:r>
              <w:rPr>
                <w:rFonts w:hint="eastAsia" w:asciiTheme="minorEastAsia" w:hAnsiTheme="minorEastAsia" w:eastAsiaTheme="minorEastAsia" w:cstheme="minorEastAsia"/>
                <w:b/>
                <w:bCs/>
                <w:color w:val="auto"/>
                <w:lang w:val="en-US" w:eastAsia="zh-CN"/>
              </w:rPr>
              <w:t>9</w:t>
            </w:r>
            <w:r>
              <w:rPr>
                <w:rFonts w:hint="eastAsia" w:asciiTheme="minorEastAsia" w:hAnsiTheme="minorEastAsia" w:eastAsiaTheme="minorEastAsia" w:cstheme="minorEastAsia"/>
                <w:b/>
                <w:bCs/>
                <w:color w:val="auto"/>
              </w:rPr>
              <w:t xml:space="preserve"> 建筑施工场界环境噪声排放限值 </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6"/>
              <w:gridCol w:w="4597"/>
            </w:tblGrid>
            <w:tr w14:paraId="72B1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9"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0047790A">
                  <w:pPr>
                    <w:spacing w:line="24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昼间[dB</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rPr>
                    <w:t>A</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rPr>
                    <w:t>]</w:t>
                  </w:r>
                </w:p>
              </w:tc>
              <w:tc>
                <w:tcPr>
                  <w:tcW w:w="2500" w:type="pct"/>
                  <w:tcBorders>
                    <w:top w:val="single" w:color="auto" w:sz="4" w:space="0"/>
                    <w:left w:val="single" w:color="auto" w:sz="4" w:space="0"/>
                    <w:bottom w:val="single" w:color="auto" w:sz="4" w:space="0"/>
                    <w:right w:val="single" w:color="auto" w:sz="4" w:space="0"/>
                  </w:tcBorders>
                  <w:vAlign w:val="center"/>
                </w:tcPr>
                <w:p w14:paraId="58DBD831">
                  <w:pPr>
                    <w:spacing w:line="24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夜间[dB</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rPr>
                    <w:t>A</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rPr>
                    <w:t>]</w:t>
                  </w:r>
                </w:p>
              </w:tc>
            </w:tr>
            <w:tr w14:paraId="4F1AC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07A857C9">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70</w:t>
                  </w:r>
                </w:p>
              </w:tc>
              <w:tc>
                <w:tcPr>
                  <w:tcW w:w="2500" w:type="pct"/>
                  <w:tcBorders>
                    <w:top w:val="single" w:color="auto" w:sz="4" w:space="0"/>
                    <w:left w:val="single" w:color="auto" w:sz="4" w:space="0"/>
                    <w:bottom w:val="single" w:color="auto" w:sz="4" w:space="0"/>
                    <w:right w:val="single" w:color="auto" w:sz="4" w:space="0"/>
                  </w:tcBorders>
                  <w:vAlign w:val="center"/>
                </w:tcPr>
                <w:p w14:paraId="5A7B8039">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55</w:t>
                  </w:r>
                </w:p>
              </w:tc>
            </w:tr>
          </w:tbl>
          <w:p w14:paraId="27141EEF">
            <w:pPr>
              <w:keepNext w:val="0"/>
              <w:keepLines w:val="0"/>
              <w:suppressLineNumbers w:val="0"/>
              <w:spacing w:before="0" w:beforeAutospacing="0" w:after="0" w:afterAutospacing="0" w:line="360" w:lineRule="auto"/>
              <w:ind w:left="0" w:right="0" w:firstLine="480"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（2）项目营运期</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南侧</w:t>
            </w:r>
            <w:r>
              <w:rPr>
                <w:rFonts w:hint="eastAsia" w:asciiTheme="minorEastAsia" w:hAnsiTheme="minorEastAsia" w:eastAsiaTheme="minorEastAsia" w:cstheme="minorEastAsia"/>
                <w:color w:val="000000" w:themeColor="text1"/>
                <w:sz w:val="24"/>
                <w14:textFill>
                  <w14:solidFill>
                    <w14:schemeClr w14:val="tx1"/>
                  </w14:solidFill>
                </w14:textFill>
              </w:rPr>
              <w:t>临近</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沪瑞线</w:t>
            </w:r>
            <w:r>
              <w:rPr>
                <w:rFonts w:hint="eastAsia" w:asciiTheme="minorEastAsia" w:hAnsiTheme="minorEastAsia" w:eastAsiaTheme="minorEastAsia" w:cstheme="minorEastAsia"/>
                <w:color w:val="000000" w:themeColor="text1"/>
                <w:sz w:val="24"/>
                <w14:textFill>
                  <w14:solidFill>
                    <w14:schemeClr w14:val="tx1"/>
                  </w14:solidFill>
                </w14:textFill>
              </w:rPr>
              <w:t>一侧噪声执行《工业企业厂界环境噪声排放标准》（GB12348-2008）4a类区标准，其余区域噪声执行《工业企业厂界环境噪声排放标准》（GB12348-2008）2类区标准</w:t>
            </w:r>
            <w:r>
              <w:rPr>
                <w:rFonts w:hint="eastAsia" w:asciiTheme="minorEastAsia" w:hAnsiTheme="minorEastAsia" w:eastAsiaTheme="minorEastAsia" w:cstheme="minorEastAsia"/>
                <w:color w:val="000000" w:themeColor="text1"/>
                <w:kern w:val="0"/>
                <w:sz w:val="24"/>
                <w14:textFill>
                  <w14:solidFill>
                    <w14:schemeClr w14:val="tx1"/>
                  </w14:solidFill>
                </w14:textFill>
              </w:rPr>
              <w:t>。具体指标见表</w:t>
            </w:r>
            <w:r>
              <w:rPr>
                <w:rFonts w:hint="eastAsia" w:asciiTheme="minorEastAsia" w:hAnsiTheme="minorEastAsia" w:eastAsiaTheme="minorEastAsia" w:cstheme="minorEastAsia"/>
                <w:color w:val="000000" w:themeColor="text1"/>
                <w:sz w:val="24"/>
                <w14:textFill>
                  <w14:solidFill>
                    <w14:schemeClr w14:val="tx1"/>
                  </w14:solidFill>
                </w14:textFill>
              </w:rPr>
              <w:t>3-1</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14:textFill>
                  <w14:solidFill>
                    <w14:schemeClr w14:val="tx1"/>
                  </w14:solidFill>
                </w14:textFill>
              </w:rPr>
              <w:t>。</w:t>
            </w:r>
          </w:p>
          <w:p w14:paraId="3D3C5B3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表3-1</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0</w:t>
            </w:r>
            <w:r>
              <w:rPr>
                <w:rFonts w:hint="eastAsia" w:asciiTheme="minorEastAsia" w:hAnsiTheme="minorEastAsia" w:eastAsiaTheme="minorEastAsia" w:cstheme="minorEastAsia"/>
                <w:b/>
                <w:color w:val="000000" w:themeColor="text1"/>
                <w:sz w:val="24"/>
                <w:szCs w:val="24"/>
                <w14:textFill>
                  <w14:solidFill>
                    <w14:schemeClr w14:val="tx1"/>
                  </w14:solidFill>
                </w14:textFill>
              </w:rPr>
              <w:t xml:space="preserve"> 工业企业厂界环境噪声排放标准   单位：dB(A)</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1820"/>
              <w:gridCol w:w="3650"/>
              <w:gridCol w:w="2052"/>
            </w:tblGrid>
            <w:tr w14:paraId="3CA3D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908" w:type="pct"/>
                  <w:vMerge w:val="restart"/>
                  <w:noWrap w:val="0"/>
                  <w:vAlign w:val="center"/>
                </w:tcPr>
                <w:p w14:paraId="7F7201C0">
                  <w:pPr>
                    <w:keepNext w:val="0"/>
                    <w:keepLines w:val="0"/>
                    <w:suppressLineNumbers w:val="0"/>
                    <w:autoSpaceDE w:val="0"/>
                    <w:autoSpaceDN w:val="0"/>
                    <w:spacing w:before="0" w:beforeAutospacing="0" w:after="0" w:afterAutospacing="0" w:line="240" w:lineRule="atLeast"/>
                    <w:ind w:left="0" w:right="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标准类别</w:t>
                  </w:r>
                </w:p>
              </w:tc>
              <w:tc>
                <w:tcPr>
                  <w:tcW w:w="2975" w:type="pct"/>
                  <w:gridSpan w:val="2"/>
                  <w:noWrap w:val="0"/>
                  <w:vAlign w:val="center"/>
                </w:tcPr>
                <w:p w14:paraId="6830EE8C">
                  <w:pPr>
                    <w:keepNext w:val="0"/>
                    <w:keepLines w:val="0"/>
                    <w:suppressLineNumbers w:val="0"/>
                    <w:autoSpaceDE w:val="0"/>
                    <w:autoSpaceDN w:val="0"/>
                    <w:spacing w:before="0" w:beforeAutospacing="0" w:after="0" w:afterAutospacing="0" w:line="240" w:lineRule="atLeast"/>
                    <w:ind w:left="0" w:right="0" w:firstLine="422" w:firstLineChars="20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等效声级[dB(A)]</w:t>
                  </w:r>
                </w:p>
              </w:tc>
              <w:tc>
                <w:tcPr>
                  <w:tcW w:w="1116" w:type="pct"/>
                  <w:vMerge w:val="restart"/>
                  <w:noWrap w:val="0"/>
                  <w:vAlign w:val="center"/>
                </w:tcPr>
                <w:p w14:paraId="72FBDDA8">
                  <w:pPr>
                    <w:keepNext w:val="0"/>
                    <w:keepLines w:val="0"/>
                    <w:suppressLineNumbers w:val="0"/>
                    <w:autoSpaceDE w:val="0"/>
                    <w:autoSpaceDN w:val="0"/>
                    <w:spacing w:before="0" w:beforeAutospacing="0" w:after="0" w:afterAutospacing="0" w:line="240" w:lineRule="atLeast"/>
                    <w:ind w:left="0" w:right="0" w:firstLine="422" w:firstLineChars="200"/>
                    <w:jc w:val="cente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备注</w:t>
                  </w:r>
                </w:p>
              </w:tc>
            </w:tr>
            <w:tr w14:paraId="63BE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pct"/>
                  <w:vMerge w:val="continue"/>
                  <w:noWrap w:val="0"/>
                  <w:vAlign w:val="center"/>
                </w:tcPr>
                <w:p w14:paraId="3890CD32">
                  <w:pPr>
                    <w:keepNext w:val="0"/>
                    <w:keepLines w:val="0"/>
                    <w:suppressLineNumbers w:val="0"/>
                    <w:autoSpaceDE w:val="0"/>
                    <w:autoSpaceDN w:val="0"/>
                    <w:spacing w:before="0" w:beforeAutospacing="0" w:after="0" w:afterAutospacing="0" w:line="240" w:lineRule="atLeast"/>
                    <w:ind w:left="0" w:right="0" w:firstLine="420" w:firstLineChars="20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90" w:type="pct"/>
                  <w:noWrap w:val="0"/>
                  <w:vAlign w:val="center"/>
                </w:tcPr>
                <w:p w14:paraId="344127CF">
                  <w:pPr>
                    <w:keepNext w:val="0"/>
                    <w:keepLines w:val="0"/>
                    <w:suppressLineNumbers w:val="0"/>
                    <w:autoSpaceDE w:val="0"/>
                    <w:autoSpaceDN w:val="0"/>
                    <w:spacing w:before="0" w:beforeAutospacing="0" w:after="0" w:afterAutospacing="0" w:line="240" w:lineRule="atLeast"/>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昼间</w:t>
                  </w:r>
                </w:p>
              </w:tc>
              <w:tc>
                <w:tcPr>
                  <w:tcW w:w="1985" w:type="pct"/>
                  <w:noWrap w:val="0"/>
                  <w:vAlign w:val="center"/>
                </w:tcPr>
                <w:p w14:paraId="57C08761">
                  <w:pPr>
                    <w:keepNext w:val="0"/>
                    <w:keepLines w:val="0"/>
                    <w:suppressLineNumbers w:val="0"/>
                    <w:autoSpaceDE w:val="0"/>
                    <w:autoSpaceDN w:val="0"/>
                    <w:spacing w:before="0" w:beforeAutospacing="0" w:after="0" w:afterAutospacing="0" w:line="240" w:lineRule="atLeast"/>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夜间</w:t>
                  </w:r>
                </w:p>
              </w:tc>
              <w:tc>
                <w:tcPr>
                  <w:tcW w:w="1116" w:type="pct"/>
                  <w:vMerge w:val="continue"/>
                  <w:noWrap w:val="0"/>
                  <w:vAlign w:val="center"/>
                </w:tcPr>
                <w:p w14:paraId="6F42201A">
                  <w:pPr>
                    <w:keepNext w:val="0"/>
                    <w:keepLines w:val="0"/>
                    <w:suppressLineNumbers w:val="0"/>
                    <w:autoSpaceDE w:val="0"/>
                    <w:autoSpaceDN w:val="0"/>
                    <w:spacing w:before="0" w:beforeAutospacing="0" w:after="0" w:afterAutospacing="0" w:line="240" w:lineRule="atLeast"/>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198F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pct"/>
                  <w:noWrap w:val="0"/>
                  <w:vAlign w:val="center"/>
                </w:tcPr>
                <w:p w14:paraId="53551970">
                  <w:pPr>
                    <w:keepNext w:val="0"/>
                    <w:keepLines w:val="0"/>
                    <w:suppressLineNumbers w:val="0"/>
                    <w:autoSpaceDE w:val="0"/>
                    <w:autoSpaceDN w:val="0"/>
                    <w:spacing w:before="0" w:beforeAutospacing="0" w:after="0" w:afterAutospacing="0" w:line="240" w:lineRule="atLeast"/>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2类</w:t>
                  </w:r>
                </w:p>
              </w:tc>
              <w:tc>
                <w:tcPr>
                  <w:tcW w:w="990" w:type="pct"/>
                  <w:noWrap w:val="0"/>
                  <w:vAlign w:val="center"/>
                </w:tcPr>
                <w:p w14:paraId="7D2E0B77">
                  <w:pPr>
                    <w:keepNext w:val="0"/>
                    <w:keepLines w:val="0"/>
                    <w:suppressLineNumbers w:val="0"/>
                    <w:autoSpaceDE w:val="0"/>
                    <w:autoSpaceDN w:val="0"/>
                    <w:spacing w:before="0" w:beforeAutospacing="0" w:after="0" w:afterAutospacing="0" w:line="240" w:lineRule="atLeast"/>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60</w:t>
                  </w:r>
                </w:p>
              </w:tc>
              <w:tc>
                <w:tcPr>
                  <w:tcW w:w="1985" w:type="pct"/>
                  <w:noWrap w:val="0"/>
                  <w:vAlign w:val="center"/>
                </w:tcPr>
                <w:p w14:paraId="569C8F6F">
                  <w:pPr>
                    <w:keepNext w:val="0"/>
                    <w:keepLines w:val="0"/>
                    <w:suppressLineNumbers w:val="0"/>
                    <w:autoSpaceDE w:val="0"/>
                    <w:autoSpaceDN w:val="0"/>
                    <w:spacing w:before="0" w:beforeAutospacing="0" w:after="0" w:afterAutospacing="0" w:line="240" w:lineRule="atLeast"/>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50</w:t>
                  </w:r>
                </w:p>
              </w:tc>
              <w:tc>
                <w:tcPr>
                  <w:tcW w:w="1116" w:type="pct"/>
                  <w:noWrap w:val="0"/>
                  <w:vAlign w:val="center"/>
                </w:tcPr>
                <w:p w14:paraId="03DD4D7B">
                  <w:pPr>
                    <w:keepNext w:val="0"/>
                    <w:keepLines w:val="0"/>
                    <w:suppressLineNumbers w:val="0"/>
                    <w:autoSpaceDE w:val="0"/>
                    <w:autoSpaceDN w:val="0"/>
                    <w:spacing w:before="0" w:beforeAutospacing="0" w:after="0" w:afterAutospacing="0" w:line="240" w:lineRule="atLeast"/>
                    <w:ind w:left="0" w:right="0"/>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东、西、北侧</w:t>
                  </w:r>
                </w:p>
              </w:tc>
            </w:tr>
            <w:tr w14:paraId="65F8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908" w:type="pct"/>
                  <w:noWrap w:val="0"/>
                  <w:vAlign w:val="center"/>
                </w:tcPr>
                <w:p w14:paraId="12552985">
                  <w:pPr>
                    <w:keepNext w:val="0"/>
                    <w:keepLines w:val="0"/>
                    <w:suppressLineNumbers w:val="0"/>
                    <w:autoSpaceDE w:val="0"/>
                    <w:autoSpaceDN w:val="0"/>
                    <w:spacing w:before="0" w:beforeAutospacing="0" w:after="0" w:afterAutospacing="0" w:line="240" w:lineRule="atLeast"/>
                    <w:ind w:left="0" w:right="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4a类</w:t>
                  </w:r>
                </w:p>
              </w:tc>
              <w:tc>
                <w:tcPr>
                  <w:tcW w:w="990" w:type="pct"/>
                  <w:noWrap w:val="0"/>
                  <w:vAlign w:val="center"/>
                </w:tcPr>
                <w:p w14:paraId="3D6917A9">
                  <w:pPr>
                    <w:keepNext w:val="0"/>
                    <w:keepLines w:val="0"/>
                    <w:suppressLineNumbers w:val="0"/>
                    <w:autoSpaceDE w:val="0"/>
                    <w:autoSpaceDN w:val="0"/>
                    <w:spacing w:before="0" w:beforeAutospacing="0" w:after="0" w:afterAutospacing="0" w:line="240" w:lineRule="atLeast"/>
                    <w:ind w:left="0" w:right="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70</w:t>
                  </w:r>
                </w:p>
              </w:tc>
              <w:tc>
                <w:tcPr>
                  <w:tcW w:w="1985" w:type="pct"/>
                  <w:noWrap w:val="0"/>
                  <w:vAlign w:val="center"/>
                </w:tcPr>
                <w:p w14:paraId="30A087AF">
                  <w:pPr>
                    <w:keepNext w:val="0"/>
                    <w:keepLines w:val="0"/>
                    <w:suppressLineNumbers w:val="0"/>
                    <w:autoSpaceDE w:val="0"/>
                    <w:autoSpaceDN w:val="0"/>
                    <w:spacing w:before="0" w:beforeAutospacing="0" w:after="0" w:afterAutospacing="0" w:line="240" w:lineRule="atLeast"/>
                    <w:ind w:left="0" w:right="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55</w:t>
                  </w:r>
                </w:p>
              </w:tc>
              <w:tc>
                <w:tcPr>
                  <w:tcW w:w="1116" w:type="pct"/>
                  <w:noWrap w:val="0"/>
                  <w:vAlign w:val="center"/>
                </w:tcPr>
                <w:p w14:paraId="66B816A6">
                  <w:pPr>
                    <w:keepNext w:val="0"/>
                    <w:keepLines w:val="0"/>
                    <w:suppressLineNumbers w:val="0"/>
                    <w:autoSpaceDE w:val="0"/>
                    <w:autoSpaceDN w:val="0"/>
                    <w:spacing w:before="0" w:beforeAutospacing="0" w:after="0" w:afterAutospacing="0" w:line="240" w:lineRule="atLeast"/>
                    <w:ind w:left="0" w:right="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南侧</w:t>
                  </w:r>
                </w:p>
              </w:tc>
            </w:tr>
          </w:tbl>
          <w:p w14:paraId="4B32BCF3">
            <w:pPr>
              <w:pStyle w:val="31"/>
              <w:ind w:left="480" w:leftChars="200" w:firstLine="0"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4、固体废物</w:t>
            </w:r>
          </w:p>
          <w:p w14:paraId="1E0D8C80">
            <w:pPr>
              <w:adjustRightInd w:val="0"/>
              <w:snapToGrid w:val="0"/>
              <w:ind w:firstLine="480" w:firstLineChars="200"/>
              <w:rPr>
                <w:rFonts w:ascii="Times New Roman" w:hAnsi="Times New Roman"/>
                <w:color w:val="auto"/>
                <w:kern w:val="0"/>
                <w:sz w:val="21"/>
                <w:szCs w:val="21"/>
              </w:rPr>
            </w:pPr>
            <w:r>
              <w:rPr>
                <w:rFonts w:hint="eastAsia" w:asciiTheme="minorEastAsia" w:hAnsiTheme="minorEastAsia" w:eastAsiaTheme="minorEastAsia" w:cstheme="minorEastAsia"/>
                <w:color w:val="auto"/>
              </w:rPr>
              <w:t>项目产生的一般固体废物执行《一般工业固体废物贮存和填埋污染控制标准》（GB18599-2020）。</w:t>
            </w:r>
          </w:p>
        </w:tc>
      </w:tr>
      <w:tr w14:paraId="4C4D4E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392" w:type="pct"/>
            <w:vAlign w:val="center"/>
          </w:tcPr>
          <w:p w14:paraId="6B45C273">
            <w:pPr>
              <w:adjustRightInd w:val="0"/>
              <w:snapToGrid w:val="0"/>
              <w:jc w:val="center"/>
              <w:rPr>
                <w:rFonts w:ascii="Times New Roman" w:hAnsi="Times New Roman"/>
                <w:color w:val="auto"/>
                <w:kern w:val="0"/>
              </w:rPr>
            </w:pPr>
            <w:r>
              <w:rPr>
                <w:rFonts w:hint="eastAsia" w:ascii="Times New Roman" w:hAnsi="Times New Roman"/>
                <w:color w:val="auto"/>
                <w:kern w:val="0"/>
              </w:rPr>
              <w:t>总量</w:t>
            </w:r>
          </w:p>
          <w:p w14:paraId="4708748A">
            <w:pPr>
              <w:adjustRightInd w:val="0"/>
              <w:snapToGrid w:val="0"/>
              <w:jc w:val="center"/>
              <w:rPr>
                <w:rFonts w:ascii="Times New Roman" w:hAnsi="Times New Roman"/>
                <w:color w:val="auto"/>
                <w:kern w:val="0"/>
              </w:rPr>
            </w:pPr>
            <w:r>
              <w:rPr>
                <w:rFonts w:hint="eastAsia" w:ascii="Times New Roman" w:hAnsi="Times New Roman"/>
                <w:color w:val="auto"/>
                <w:kern w:val="0"/>
              </w:rPr>
              <w:t>控制</w:t>
            </w:r>
          </w:p>
          <w:p w14:paraId="70319A38">
            <w:pPr>
              <w:adjustRightInd w:val="0"/>
              <w:snapToGrid w:val="0"/>
              <w:jc w:val="center"/>
              <w:rPr>
                <w:rFonts w:ascii="Times New Roman" w:hAnsi="Times New Roman"/>
                <w:color w:val="auto"/>
                <w:kern w:val="0"/>
                <w:sz w:val="21"/>
                <w:szCs w:val="21"/>
              </w:rPr>
            </w:pPr>
            <w:r>
              <w:rPr>
                <w:rFonts w:hint="eastAsia" w:ascii="Times New Roman" w:hAnsi="Times New Roman"/>
                <w:color w:val="auto"/>
                <w:kern w:val="0"/>
              </w:rPr>
              <w:t>指标</w:t>
            </w:r>
          </w:p>
        </w:tc>
        <w:tc>
          <w:tcPr>
            <w:tcW w:w="4607" w:type="pct"/>
            <w:vAlign w:val="center"/>
          </w:tcPr>
          <w:p w14:paraId="044BBBAE">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根据本</w:t>
            </w:r>
            <w:r>
              <w:rPr>
                <w:rFonts w:hint="eastAsia" w:asciiTheme="minorEastAsia" w:hAnsiTheme="minorEastAsia" w:eastAsiaTheme="minorEastAsia" w:cstheme="minorEastAsia"/>
                <w:color w:val="auto"/>
                <w:sz w:val="24"/>
                <w:szCs w:val="24"/>
                <w:highlight w:val="none"/>
                <w:lang w:val="en-US" w:eastAsia="zh-CN"/>
              </w:rPr>
              <w:t>项目</w:t>
            </w:r>
            <w:r>
              <w:rPr>
                <w:rFonts w:hint="eastAsia" w:asciiTheme="minorEastAsia" w:hAnsiTheme="minorEastAsia" w:eastAsiaTheme="minorEastAsia" w:cstheme="minorEastAsia"/>
                <w:color w:val="auto"/>
                <w:sz w:val="24"/>
                <w:szCs w:val="24"/>
                <w:highlight w:val="none"/>
              </w:rPr>
              <w:t>的具体情况，结合国家污染物排放总量控制原则，提出本项目建议的污染物排放总量控制指标。</w:t>
            </w:r>
          </w:p>
          <w:p w14:paraId="04F13AC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1、废水</w:t>
            </w:r>
          </w:p>
          <w:p w14:paraId="49BAC5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项目运营期废水不外排</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不设总量控制指标。</w:t>
            </w:r>
          </w:p>
          <w:p w14:paraId="3D6A7F6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2、废气</w:t>
            </w:r>
          </w:p>
          <w:p w14:paraId="47531B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Cs w:val="24"/>
                <w:lang w:val="en-US" w:eastAsia="zh-CN"/>
              </w:rPr>
              <w:t>运营期废气主要是</w:t>
            </w:r>
            <w:r>
              <w:rPr>
                <w:rFonts w:hint="eastAsia" w:asciiTheme="minorEastAsia" w:hAnsiTheme="minorEastAsia" w:eastAsiaTheme="minorEastAsia" w:cstheme="minorEastAsia"/>
                <w:color w:val="auto"/>
              </w:rPr>
              <w:t>粉尘、运输车辆产生的粉尘</w:t>
            </w:r>
            <w:r>
              <w:rPr>
                <w:rFonts w:hint="eastAsia" w:asciiTheme="minorEastAsia" w:hAnsiTheme="minorEastAsia" w:eastAsiaTheme="minorEastAsia" w:cstheme="minorEastAsia"/>
                <w:color w:val="auto"/>
                <w:lang w:eastAsia="zh-CN"/>
              </w:rPr>
              <w:t>、油烟</w:t>
            </w:r>
            <w:r>
              <w:rPr>
                <w:rFonts w:hint="eastAsia" w:asciiTheme="minorEastAsia" w:hAnsiTheme="minorEastAsia" w:eastAsiaTheme="minorEastAsia" w:cstheme="minorEastAsia"/>
                <w:color w:val="auto"/>
                <w:szCs w:val="24"/>
                <w:lang w:val="en-US" w:eastAsia="zh-CN"/>
              </w:rPr>
              <w:t>，均呈无组织排放，不设总量控制指标</w:t>
            </w:r>
            <w:r>
              <w:rPr>
                <w:rFonts w:hint="eastAsia" w:asciiTheme="minorEastAsia" w:hAnsiTheme="minorEastAsia" w:eastAsiaTheme="minorEastAsia" w:cstheme="minorEastAsia"/>
                <w:color w:val="auto"/>
                <w:sz w:val="24"/>
                <w:szCs w:val="24"/>
                <w:highlight w:val="none"/>
                <w:lang w:val="en-US" w:eastAsia="zh-CN"/>
              </w:rPr>
              <w:t>。</w:t>
            </w:r>
          </w:p>
          <w:p w14:paraId="3C3E37A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3、固体废物</w:t>
            </w:r>
          </w:p>
          <w:p w14:paraId="5D4AA59F">
            <w:pPr>
              <w:adjustRightInd w:val="0"/>
              <w:snapToGrid w:val="0"/>
              <w:spacing w:line="360" w:lineRule="auto"/>
              <w:ind w:firstLine="480" w:firstLineChars="200"/>
              <w:jc w:val="both"/>
              <w:rPr>
                <w:rFonts w:ascii="Times New Roman" w:hAnsi="Times New Roman"/>
                <w:color w:val="auto"/>
                <w:kern w:val="0"/>
                <w:sz w:val="21"/>
                <w:szCs w:val="21"/>
              </w:rPr>
            </w:pPr>
            <w:r>
              <w:rPr>
                <w:rFonts w:hint="eastAsia" w:asciiTheme="minorEastAsia" w:hAnsiTheme="minorEastAsia" w:eastAsiaTheme="minorEastAsia" w:cstheme="minorEastAsia"/>
                <w:color w:val="auto"/>
                <w:sz w:val="24"/>
                <w:szCs w:val="24"/>
                <w:highlight w:val="none"/>
              </w:rPr>
              <w:t>项目固体废物处置率达100%。不设总量控制指标。</w:t>
            </w:r>
          </w:p>
        </w:tc>
      </w:tr>
    </w:tbl>
    <w:p w14:paraId="4DFCFF80">
      <w:pPr>
        <w:rPr>
          <w:rFonts w:ascii="Times New Roman" w:hAnsi="Times New Roman"/>
          <w:color w:val="auto"/>
        </w:rPr>
      </w:pPr>
      <w:r>
        <w:rPr>
          <w:rFonts w:hint="eastAsia" w:ascii="Times New Roman" w:hAnsi="Times New Roman"/>
          <w:color w:val="auto"/>
        </w:rPr>
        <w:br w:type="page"/>
      </w:r>
    </w:p>
    <w:p w14:paraId="3D3ACCFB">
      <w:pPr>
        <w:pStyle w:val="2"/>
        <w:jc w:val="center"/>
        <w:rPr>
          <w:rFonts w:hint="eastAsia" w:asciiTheme="majorEastAsia" w:hAnsiTheme="majorEastAsia" w:eastAsiaTheme="majorEastAsia" w:cstheme="majorEastAsia"/>
          <w:color w:val="auto"/>
        </w:rPr>
      </w:pPr>
      <w:bookmarkStart w:id="13" w:name="_Toc13024"/>
      <w:bookmarkStart w:id="14" w:name="_Toc12568"/>
      <w:r>
        <w:rPr>
          <w:rFonts w:hint="eastAsia" w:asciiTheme="majorEastAsia" w:hAnsiTheme="majorEastAsia" w:eastAsiaTheme="majorEastAsia" w:cstheme="majorEastAsia"/>
          <w:color w:val="auto"/>
        </w:rPr>
        <w:t>四、主要环境影响和保护措施</w:t>
      </w:r>
      <w:bookmarkEnd w:id="13"/>
      <w:bookmarkEnd w:id="14"/>
    </w:p>
    <w:tbl>
      <w:tblPr>
        <w:tblStyle w:val="20"/>
        <w:tblW w:w="503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489"/>
      </w:tblGrid>
      <w:tr w14:paraId="7B2EEC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51" w:hRule="atLeast"/>
          <w:jc w:val="center"/>
        </w:trPr>
        <w:tc>
          <w:tcPr>
            <w:tcW w:w="357" w:type="pct"/>
            <w:tcMar>
              <w:left w:w="28" w:type="dxa"/>
              <w:right w:w="28" w:type="dxa"/>
            </w:tcMar>
            <w:vAlign w:val="center"/>
          </w:tcPr>
          <w:p w14:paraId="478799F3">
            <w:pPr>
              <w:pStyle w:val="18"/>
              <w:adjustRightInd w:val="0"/>
              <w:snapToGrid w:val="0"/>
              <w:spacing w:before="0" w:beforeAutospacing="0" w:after="0" w:afterAutospacing="0"/>
              <w:jc w:val="center"/>
              <w:rPr>
                <w:rFonts w:hint="eastAsia" w:asciiTheme="majorEastAsia" w:hAnsiTheme="majorEastAsia" w:eastAsiaTheme="majorEastAsia" w:cstheme="majorEastAsia"/>
                <w:color w:val="auto"/>
                <w:kern w:val="2"/>
                <w:szCs w:val="24"/>
              </w:rPr>
            </w:pPr>
            <w:r>
              <w:rPr>
                <w:rFonts w:hint="eastAsia" w:asciiTheme="majorEastAsia" w:hAnsiTheme="majorEastAsia" w:eastAsiaTheme="majorEastAsia" w:cstheme="majorEastAsia"/>
                <w:color w:val="auto"/>
                <w:kern w:val="2"/>
                <w:szCs w:val="24"/>
              </w:rPr>
              <w:t>施工</w:t>
            </w:r>
          </w:p>
          <w:p w14:paraId="26252388">
            <w:pPr>
              <w:pStyle w:val="18"/>
              <w:adjustRightInd w:val="0"/>
              <w:snapToGrid w:val="0"/>
              <w:spacing w:before="0" w:beforeAutospacing="0" w:after="0" w:afterAutospacing="0"/>
              <w:jc w:val="center"/>
              <w:rPr>
                <w:rFonts w:hint="eastAsia" w:asciiTheme="majorEastAsia" w:hAnsiTheme="majorEastAsia" w:eastAsiaTheme="majorEastAsia" w:cstheme="majorEastAsia"/>
                <w:color w:val="auto"/>
                <w:kern w:val="2"/>
                <w:szCs w:val="24"/>
              </w:rPr>
            </w:pPr>
            <w:r>
              <w:rPr>
                <w:rFonts w:hint="eastAsia" w:asciiTheme="majorEastAsia" w:hAnsiTheme="majorEastAsia" w:eastAsiaTheme="majorEastAsia" w:cstheme="majorEastAsia"/>
                <w:color w:val="auto"/>
                <w:kern w:val="2"/>
                <w:szCs w:val="24"/>
              </w:rPr>
              <w:t>期环</w:t>
            </w:r>
          </w:p>
          <w:p w14:paraId="2D1072DC">
            <w:pPr>
              <w:pStyle w:val="18"/>
              <w:adjustRightInd w:val="0"/>
              <w:snapToGrid w:val="0"/>
              <w:spacing w:before="0" w:beforeAutospacing="0" w:after="0" w:afterAutospacing="0"/>
              <w:jc w:val="center"/>
              <w:rPr>
                <w:rFonts w:hint="eastAsia" w:asciiTheme="majorEastAsia" w:hAnsiTheme="majorEastAsia" w:eastAsiaTheme="majorEastAsia" w:cstheme="majorEastAsia"/>
                <w:color w:val="auto"/>
                <w:kern w:val="2"/>
                <w:szCs w:val="24"/>
              </w:rPr>
            </w:pPr>
            <w:r>
              <w:rPr>
                <w:rFonts w:hint="eastAsia" w:asciiTheme="majorEastAsia" w:hAnsiTheme="majorEastAsia" w:eastAsiaTheme="majorEastAsia" w:cstheme="majorEastAsia"/>
                <w:color w:val="auto"/>
                <w:kern w:val="2"/>
                <w:szCs w:val="24"/>
              </w:rPr>
              <w:t>境保</w:t>
            </w:r>
          </w:p>
          <w:p w14:paraId="5E1FDE78">
            <w:pPr>
              <w:pStyle w:val="18"/>
              <w:adjustRightInd w:val="0"/>
              <w:snapToGrid w:val="0"/>
              <w:spacing w:before="0" w:beforeAutospacing="0" w:after="0" w:afterAutospacing="0"/>
              <w:jc w:val="center"/>
              <w:rPr>
                <w:rFonts w:hint="eastAsia" w:asciiTheme="majorEastAsia" w:hAnsiTheme="majorEastAsia" w:eastAsiaTheme="majorEastAsia" w:cstheme="majorEastAsia"/>
                <w:color w:val="auto"/>
                <w:kern w:val="2"/>
                <w:szCs w:val="24"/>
              </w:rPr>
            </w:pPr>
            <w:r>
              <w:rPr>
                <w:rFonts w:hint="eastAsia" w:asciiTheme="majorEastAsia" w:hAnsiTheme="majorEastAsia" w:eastAsiaTheme="majorEastAsia" w:cstheme="majorEastAsia"/>
                <w:color w:val="auto"/>
                <w:kern w:val="2"/>
                <w:szCs w:val="24"/>
              </w:rPr>
              <w:t>护措</w:t>
            </w:r>
          </w:p>
          <w:p w14:paraId="64CF95E0">
            <w:pPr>
              <w:pStyle w:val="18"/>
              <w:adjustRightInd w:val="0"/>
              <w:snapToGrid w:val="0"/>
              <w:spacing w:before="0" w:beforeAutospacing="0" w:after="0" w:afterAutospacing="0"/>
              <w:jc w:val="center"/>
              <w:rPr>
                <w:rFonts w:hint="eastAsia" w:asciiTheme="majorEastAsia" w:hAnsiTheme="majorEastAsia" w:eastAsiaTheme="majorEastAsia" w:cstheme="majorEastAsia"/>
                <w:bCs/>
                <w:color w:val="auto"/>
                <w:kern w:val="2"/>
                <w:sz w:val="21"/>
                <w:szCs w:val="21"/>
              </w:rPr>
            </w:pPr>
            <w:r>
              <w:rPr>
                <w:rFonts w:hint="eastAsia" w:asciiTheme="majorEastAsia" w:hAnsiTheme="majorEastAsia" w:eastAsiaTheme="majorEastAsia" w:cstheme="majorEastAsia"/>
                <w:color w:val="auto"/>
                <w:kern w:val="2"/>
                <w:szCs w:val="24"/>
              </w:rPr>
              <w:t>施</w:t>
            </w:r>
          </w:p>
        </w:tc>
        <w:tc>
          <w:tcPr>
            <w:tcW w:w="4642" w:type="pct"/>
            <w:vAlign w:val="center"/>
          </w:tcPr>
          <w:p w14:paraId="159EB4DF">
            <w:pPr>
              <w:pStyle w:val="47"/>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Autospacing="0" w:afterAutospacing="0" w:line="360" w:lineRule="auto"/>
              <w:ind w:right="0" w:rightChars="0" w:firstLine="480" w:firstLineChars="200"/>
              <w:jc w:val="both"/>
              <w:textAlignment w:val="auto"/>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color w:val="auto"/>
                <w:kern w:val="0"/>
                <w:sz w:val="24"/>
                <w:szCs w:val="24"/>
                <w:highlight w:val="none"/>
              </w:rPr>
              <w:t>本项目</w:t>
            </w:r>
            <w:r>
              <w:rPr>
                <w:rFonts w:hint="eastAsia" w:asciiTheme="majorEastAsia" w:hAnsiTheme="majorEastAsia" w:eastAsiaTheme="majorEastAsia" w:cstheme="majorEastAsia"/>
                <w:color w:val="auto"/>
                <w:kern w:val="0"/>
                <w:sz w:val="24"/>
                <w:szCs w:val="24"/>
                <w:highlight w:val="none"/>
                <w:lang w:val="en-US" w:eastAsia="zh-CN"/>
              </w:rPr>
              <w:t>租用闲置用地和厂房，进行部分厂房的建设，厂房建设完成</w:t>
            </w:r>
            <w:r>
              <w:rPr>
                <w:rFonts w:hint="eastAsia" w:asciiTheme="majorEastAsia" w:hAnsiTheme="majorEastAsia" w:eastAsiaTheme="majorEastAsia" w:cstheme="majorEastAsia"/>
                <w:color w:val="auto"/>
                <w:kern w:val="0"/>
                <w:sz w:val="24"/>
                <w:szCs w:val="24"/>
                <w:highlight w:val="none"/>
              </w:rPr>
              <w:t>后进行设备的安装和调试，</w:t>
            </w:r>
            <w:r>
              <w:rPr>
                <w:rFonts w:hint="eastAsia" w:asciiTheme="majorEastAsia" w:hAnsiTheme="majorEastAsia" w:eastAsiaTheme="majorEastAsia" w:cstheme="majorEastAsia"/>
                <w:color w:val="auto"/>
                <w:kern w:val="0"/>
                <w:sz w:val="24"/>
                <w:szCs w:val="24"/>
                <w:highlight w:val="none"/>
                <w:lang w:val="en-US" w:eastAsia="zh-CN"/>
              </w:rPr>
              <w:t>厂房为钢架棚结构</w:t>
            </w:r>
            <w:r>
              <w:rPr>
                <w:rFonts w:hint="eastAsia" w:asciiTheme="majorEastAsia" w:hAnsiTheme="majorEastAsia" w:eastAsiaTheme="majorEastAsia" w:cstheme="majorEastAsia"/>
                <w:color w:val="auto"/>
                <w:kern w:val="0"/>
                <w:sz w:val="24"/>
                <w:szCs w:val="24"/>
                <w:highlight w:val="none"/>
                <w:lang w:eastAsia="zh-CN"/>
              </w:rPr>
              <w:t>，</w:t>
            </w:r>
            <w:r>
              <w:rPr>
                <w:rFonts w:hint="eastAsia" w:asciiTheme="majorEastAsia" w:hAnsiTheme="majorEastAsia" w:eastAsiaTheme="majorEastAsia" w:cstheme="majorEastAsia"/>
                <w:color w:val="auto"/>
                <w:kern w:val="0"/>
                <w:sz w:val="24"/>
                <w:szCs w:val="24"/>
                <w:highlight w:val="none"/>
              </w:rPr>
              <w:t>无土建施工。施工期的主要污染源及</w:t>
            </w:r>
            <w:r>
              <w:rPr>
                <w:rFonts w:hint="eastAsia" w:asciiTheme="majorEastAsia" w:hAnsiTheme="majorEastAsia" w:eastAsiaTheme="majorEastAsia" w:cstheme="majorEastAsia"/>
                <w:color w:val="auto"/>
                <w:kern w:val="0"/>
                <w:sz w:val="24"/>
                <w:highlight w:val="none"/>
              </w:rPr>
              <w:t>采取的环境保护措施</w:t>
            </w:r>
            <w:r>
              <w:rPr>
                <w:rFonts w:hint="eastAsia" w:asciiTheme="majorEastAsia" w:hAnsiTheme="majorEastAsia" w:eastAsiaTheme="majorEastAsia" w:cstheme="majorEastAsia"/>
                <w:color w:val="auto"/>
                <w:kern w:val="0"/>
                <w:sz w:val="24"/>
                <w:highlight w:val="none"/>
                <w:lang w:val="en-US" w:eastAsia="zh-CN"/>
              </w:rPr>
              <w:t>如下</w:t>
            </w:r>
            <w:r>
              <w:rPr>
                <w:rFonts w:hint="eastAsia" w:asciiTheme="majorEastAsia" w:hAnsiTheme="majorEastAsia" w:eastAsiaTheme="majorEastAsia" w:cstheme="majorEastAsia"/>
                <w:color w:val="auto"/>
                <w:kern w:val="0"/>
                <w:sz w:val="24"/>
                <w:highlight w:val="none"/>
              </w:rPr>
              <w:t>：</w:t>
            </w:r>
          </w:p>
          <w:p w14:paraId="64997E03">
            <w:pPr>
              <w:pStyle w:val="47"/>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Autospacing="0" w:afterAutospacing="0" w:line="360" w:lineRule="auto"/>
              <w:ind w:right="0" w:rightChars="0"/>
              <w:jc w:val="both"/>
              <w:textAlignment w:val="auto"/>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color w:val="auto"/>
                <w:kern w:val="2"/>
                <w:sz w:val="24"/>
                <w:szCs w:val="24"/>
                <w:highlight w:val="none"/>
                <w:lang w:val="en-US" w:eastAsia="zh-CN" w:bidi="ar-SA"/>
              </w:rPr>
              <w:t>（一）</w:t>
            </w:r>
            <w:r>
              <w:rPr>
                <w:rFonts w:hint="eastAsia" w:asciiTheme="majorEastAsia" w:hAnsiTheme="majorEastAsia" w:eastAsiaTheme="majorEastAsia" w:cstheme="majorEastAsia"/>
                <w:b/>
                <w:bCs/>
                <w:color w:val="auto"/>
                <w:kern w:val="0"/>
                <w:sz w:val="24"/>
                <w:highlight w:val="none"/>
              </w:rPr>
              <w:t>施工期废气污染防治措施</w:t>
            </w:r>
          </w:p>
          <w:p w14:paraId="5EB61CD1">
            <w:pPr>
              <w:pStyle w:val="47"/>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Autospacing="0" w:afterAutospacing="0" w:line="360" w:lineRule="auto"/>
              <w:ind w:right="0" w:rightChars="0" w:firstLine="482" w:firstLineChars="200"/>
              <w:jc w:val="both"/>
              <w:textAlignment w:val="auto"/>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color w:val="auto"/>
                <w:kern w:val="2"/>
                <w:sz w:val="24"/>
                <w:szCs w:val="24"/>
                <w:highlight w:val="none"/>
                <w:lang w:val="en-US" w:eastAsia="zh-CN" w:bidi="ar-SA"/>
              </w:rPr>
              <w:t>1、施工过程中扬尘</w:t>
            </w:r>
          </w:p>
          <w:p w14:paraId="5A69DE56">
            <w:pPr>
              <w:pStyle w:val="47"/>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Autospacing="0" w:afterAutospacing="0" w:line="360" w:lineRule="auto"/>
              <w:ind w:right="0" w:righ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项目施工扬尘主要来源于厂房建设、材料装卸、堆放和运输、建筑垃圾堆放和运出、施工车辆和施工机械行驶等，属无组织排放。</w:t>
            </w:r>
          </w:p>
          <w:p w14:paraId="3FA6D671">
            <w:pPr>
              <w:pStyle w:val="47"/>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Autospacing="0" w:afterAutospacing="0" w:line="360" w:lineRule="auto"/>
              <w:ind w:right="0" w:righ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项目组用的场地四周已有围墙围挡；同时在施工频繁的道路上适时进行现场洒水降尘，在干燥季节和夏季的中午时段应增加洒水的频率；禁止在大风天进行土地平整作业，风速过大时应停止施工，对裸露地面覆盖处理；在施工场地对施工车辆必须实施限速行驶；选择对周围环境影响较小的固定运输路线，定时对运输路线进行清扫。</w:t>
            </w:r>
          </w:p>
          <w:p w14:paraId="18E4793E">
            <w:pPr>
              <w:pStyle w:val="47"/>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Autospacing="0" w:afterAutospacing="0" w:line="360" w:lineRule="auto"/>
              <w:ind w:right="0" w:rightChars="0" w:firstLine="482" w:firstLineChars="200"/>
              <w:jc w:val="both"/>
              <w:textAlignment w:val="auto"/>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color w:val="auto"/>
                <w:kern w:val="2"/>
                <w:sz w:val="24"/>
                <w:szCs w:val="24"/>
                <w:highlight w:val="none"/>
                <w:lang w:val="en-US" w:eastAsia="zh-CN" w:bidi="ar-SA"/>
              </w:rPr>
              <w:t>2、施工机械和运输车辆尾气</w:t>
            </w:r>
          </w:p>
          <w:p w14:paraId="5B8F1C80">
            <w:pPr>
              <w:pStyle w:val="47"/>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Autospacing="0" w:afterAutospacing="0" w:line="360" w:lineRule="auto"/>
              <w:ind w:right="0" w:righ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施工机械一般燃用柴油作动力，开动时会产生一些燃油废气；施工运输车辆一般是大型柴油车，产生机动车尾气。排放污染物主要为CO、NOx、HC，无组织排放。建设单位在施工期多加注意施工设备的维护，使其能够正常的运行，从而可以避免施工机械因病态而使产生的废气超标的现象发生。加之项目施工场地较为开阔，尾气经大气稀释扩散后，对周围环境影响不大。</w:t>
            </w:r>
          </w:p>
          <w:p w14:paraId="15C7ADCF">
            <w:pPr>
              <w:pStyle w:val="47"/>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Autospacing="0" w:afterAutospacing="0" w:line="360" w:lineRule="auto"/>
              <w:ind w:right="0" w:rightChars="0"/>
              <w:jc w:val="both"/>
              <w:textAlignment w:val="auto"/>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color w:val="auto"/>
                <w:kern w:val="2"/>
                <w:sz w:val="24"/>
                <w:szCs w:val="24"/>
                <w:highlight w:val="none"/>
                <w:lang w:val="en-US" w:eastAsia="zh-CN" w:bidi="ar-SA"/>
              </w:rPr>
              <w:t>（二）</w:t>
            </w:r>
            <w:r>
              <w:rPr>
                <w:rFonts w:hint="eastAsia" w:asciiTheme="majorEastAsia" w:hAnsiTheme="majorEastAsia" w:eastAsiaTheme="majorEastAsia" w:cstheme="majorEastAsia"/>
                <w:b/>
                <w:bCs/>
                <w:color w:val="auto"/>
                <w:kern w:val="0"/>
                <w:sz w:val="24"/>
                <w:highlight w:val="none"/>
              </w:rPr>
              <w:t>施工期废水污染防治措施</w:t>
            </w:r>
          </w:p>
          <w:p w14:paraId="0EFD85E5">
            <w:pPr>
              <w:pStyle w:val="47"/>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Autospacing="0" w:afterAutospacing="0" w:line="360" w:lineRule="auto"/>
              <w:ind w:right="0" w:righ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0"/>
                <w:sz w:val="24"/>
              </w:rPr>
              <w:t>施工过程中</w:t>
            </w:r>
            <w:r>
              <w:rPr>
                <w:rFonts w:hint="eastAsia" w:asciiTheme="majorEastAsia" w:hAnsiTheme="majorEastAsia" w:eastAsiaTheme="majorEastAsia" w:cstheme="majorEastAsia"/>
                <w:color w:val="auto"/>
                <w:kern w:val="0"/>
                <w:sz w:val="24"/>
                <w:lang w:val="en-US" w:eastAsia="zh-CN"/>
              </w:rPr>
              <w:t>产生的施工废水</w:t>
            </w:r>
            <w:r>
              <w:rPr>
                <w:rFonts w:hint="eastAsia" w:asciiTheme="majorEastAsia" w:hAnsiTheme="majorEastAsia" w:eastAsiaTheme="majorEastAsia" w:cstheme="majorEastAsia"/>
                <w:color w:val="auto"/>
                <w:kern w:val="0"/>
                <w:sz w:val="24"/>
              </w:rPr>
              <w:t>设置1个2m</w:t>
            </w:r>
            <w:r>
              <w:rPr>
                <w:rFonts w:hint="eastAsia" w:asciiTheme="majorEastAsia" w:hAnsiTheme="majorEastAsia" w:eastAsiaTheme="majorEastAsia" w:cstheme="majorEastAsia"/>
                <w:color w:val="auto"/>
                <w:kern w:val="0"/>
                <w:sz w:val="24"/>
                <w:vertAlign w:val="superscript"/>
              </w:rPr>
              <w:t>3</w:t>
            </w:r>
            <w:r>
              <w:rPr>
                <w:rFonts w:hint="eastAsia" w:asciiTheme="majorEastAsia" w:hAnsiTheme="majorEastAsia" w:eastAsiaTheme="majorEastAsia" w:cstheme="majorEastAsia"/>
                <w:color w:val="auto"/>
                <w:kern w:val="0"/>
                <w:sz w:val="24"/>
              </w:rPr>
              <w:t>的</w:t>
            </w:r>
            <w:r>
              <w:rPr>
                <w:rFonts w:hint="eastAsia" w:asciiTheme="majorEastAsia" w:hAnsiTheme="majorEastAsia" w:eastAsiaTheme="majorEastAsia" w:cstheme="majorEastAsia"/>
                <w:color w:val="auto"/>
                <w:kern w:val="0"/>
                <w:sz w:val="24"/>
                <w:lang w:val="en-US" w:eastAsia="zh-CN"/>
              </w:rPr>
              <w:t>临时沉淀池</w:t>
            </w:r>
            <w:r>
              <w:rPr>
                <w:rFonts w:hint="eastAsia" w:asciiTheme="majorEastAsia" w:hAnsiTheme="majorEastAsia" w:eastAsiaTheme="majorEastAsia" w:cstheme="majorEastAsia"/>
                <w:color w:val="auto"/>
                <w:kern w:val="0"/>
                <w:sz w:val="24"/>
              </w:rPr>
              <w:t>，对废水进行沉淀处理后，</w:t>
            </w:r>
            <w:r>
              <w:rPr>
                <w:rFonts w:hint="eastAsia" w:asciiTheme="majorEastAsia" w:hAnsiTheme="majorEastAsia" w:eastAsiaTheme="majorEastAsia" w:cstheme="majorEastAsia"/>
                <w:color w:val="auto"/>
                <w:kern w:val="0"/>
                <w:sz w:val="24"/>
                <w:szCs w:val="24"/>
                <w:highlight w:val="none"/>
                <w:lang w:val="en-US" w:eastAsia="zh-CN"/>
              </w:rPr>
              <w:t>回用施工过程或于施工场地洒水降尘等</w:t>
            </w:r>
            <w:r>
              <w:rPr>
                <w:rFonts w:hint="eastAsia" w:asciiTheme="majorEastAsia" w:hAnsiTheme="majorEastAsia" w:eastAsiaTheme="majorEastAsia" w:cstheme="majorEastAsia"/>
                <w:color w:val="auto"/>
                <w:kern w:val="0"/>
                <w:sz w:val="24"/>
                <w:lang w:eastAsia="zh-CN"/>
              </w:rPr>
              <w:t>；</w:t>
            </w:r>
            <w:r>
              <w:rPr>
                <w:rFonts w:hint="eastAsia" w:asciiTheme="majorEastAsia" w:hAnsiTheme="majorEastAsia" w:eastAsiaTheme="majorEastAsia" w:cstheme="majorEastAsia"/>
                <w:color w:val="auto"/>
                <w:kern w:val="2"/>
                <w:sz w:val="24"/>
                <w:szCs w:val="24"/>
                <w:highlight w:val="none"/>
                <w:lang w:val="en-US" w:eastAsia="zh-CN" w:bidi="ar-SA"/>
              </w:rPr>
              <w:t>施工人员不在施工现场食宿，施工人员洗手等生活污水依托现有化粪池收集处理后委托周边村民清运作为农家肥使用。废水不直接排入周边地表水环境</w:t>
            </w:r>
            <w:r>
              <w:rPr>
                <w:rFonts w:hint="eastAsia" w:asciiTheme="majorEastAsia" w:hAnsiTheme="majorEastAsia" w:eastAsiaTheme="majorEastAsia" w:cstheme="majorEastAsia"/>
                <w:bCs/>
                <w:snapToGrid w:val="0"/>
                <w:color w:val="auto"/>
                <w:kern w:val="0"/>
                <w:sz w:val="24"/>
                <w:highlight w:val="none"/>
                <w:lang w:eastAsia="zh-CN"/>
              </w:rPr>
              <w:t>。</w:t>
            </w:r>
            <w:r>
              <w:rPr>
                <w:rFonts w:hint="eastAsia" w:asciiTheme="majorEastAsia" w:hAnsiTheme="majorEastAsia" w:eastAsiaTheme="majorEastAsia" w:cstheme="majorEastAsia"/>
                <w:color w:val="auto"/>
                <w:kern w:val="2"/>
                <w:sz w:val="24"/>
                <w:szCs w:val="24"/>
                <w:highlight w:val="none"/>
                <w:lang w:val="en-US" w:eastAsia="zh-CN" w:bidi="ar-SA"/>
              </w:rPr>
              <w:t>对周围环境的影响很小。</w:t>
            </w:r>
          </w:p>
          <w:p w14:paraId="73AE2285">
            <w:pPr>
              <w:pStyle w:val="47"/>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Autospacing="0" w:afterAutospacing="0" w:line="360" w:lineRule="auto"/>
              <w:ind w:right="0" w:rightChars="0"/>
              <w:jc w:val="both"/>
              <w:textAlignment w:val="auto"/>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color w:val="auto"/>
                <w:kern w:val="2"/>
                <w:sz w:val="24"/>
                <w:szCs w:val="24"/>
                <w:highlight w:val="none"/>
                <w:lang w:val="en-US" w:eastAsia="zh-CN" w:bidi="ar-SA"/>
              </w:rPr>
              <w:t>（三）</w:t>
            </w:r>
            <w:r>
              <w:rPr>
                <w:rFonts w:hint="eastAsia" w:asciiTheme="majorEastAsia" w:hAnsiTheme="majorEastAsia" w:eastAsiaTheme="majorEastAsia" w:cstheme="majorEastAsia"/>
                <w:b/>
                <w:bCs/>
                <w:color w:val="auto"/>
                <w:kern w:val="0"/>
                <w:sz w:val="24"/>
                <w:highlight w:val="none"/>
              </w:rPr>
              <w:t>施工期固废污染防治措施</w:t>
            </w:r>
          </w:p>
          <w:p w14:paraId="161F73D3">
            <w:pPr>
              <w:pStyle w:val="47"/>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Autospacing="0" w:afterAutospacing="0" w:line="360" w:lineRule="auto"/>
              <w:ind w:right="0" w:righ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项目施工期固体废弃物主要为</w:t>
            </w:r>
            <w:r>
              <w:rPr>
                <w:rFonts w:hint="eastAsia" w:asciiTheme="majorEastAsia" w:hAnsiTheme="majorEastAsia" w:eastAsiaTheme="majorEastAsia" w:cstheme="majorEastAsia"/>
                <w:color w:val="auto"/>
                <w:kern w:val="0"/>
                <w:sz w:val="24"/>
                <w:highlight w:val="none"/>
                <w:lang w:val="en-US" w:eastAsia="zh-CN"/>
              </w:rPr>
              <w:t>废包装材料、建筑垃圾</w:t>
            </w:r>
            <w:r>
              <w:rPr>
                <w:rFonts w:hint="eastAsia" w:asciiTheme="majorEastAsia" w:hAnsiTheme="majorEastAsia" w:eastAsiaTheme="majorEastAsia" w:cstheme="majorEastAsia"/>
                <w:color w:val="auto"/>
                <w:kern w:val="2"/>
                <w:sz w:val="24"/>
                <w:szCs w:val="24"/>
                <w:highlight w:val="none"/>
                <w:lang w:val="en-US" w:eastAsia="zh-CN" w:bidi="ar-SA"/>
              </w:rPr>
              <w:t>和生活垃圾。</w:t>
            </w:r>
          </w:p>
          <w:p w14:paraId="6E8F669B">
            <w:pPr>
              <w:pStyle w:val="47"/>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Autospacing="0" w:afterAutospacing="0" w:line="360" w:lineRule="auto"/>
              <w:ind w:right="0" w:righ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0"/>
                <w:sz w:val="24"/>
                <w:highlight w:val="none"/>
                <w:lang w:val="en-US" w:eastAsia="zh-CN"/>
              </w:rPr>
              <w:t>（1）废包装材料</w:t>
            </w:r>
            <w:r>
              <w:rPr>
                <w:rFonts w:hint="eastAsia" w:asciiTheme="majorEastAsia" w:hAnsiTheme="majorEastAsia" w:eastAsiaTheme="majorEastAsia" w:cstheme="majorEastAsia"/>
                <w:color w:val="auto"/>
                <w:kern w:val="2"/>
                <w:sz w:val="24"/>
                <w:szCs w:val="24"/>
                <w:highlight w:val="none"/>
                <w:lang w:val="en-US" w:eastAsia="zh-CN" w:bidi="ar-SA"/>
              </w:rPr>
              <w:t>能够回收利用的进行回收利用，不能回收利用的运至指定地点妥善处置，对周围环境影响很小。</w:t>
            </w:r>
          </w:p>
          <w:p w14:paraId="38EEBDE2">
            <w:pPr>
              <w:pStyle w:val="47"/>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Autospacing="0" w:afterAutospacing="0" w:line="360" w:lineRule="auto"/>
              <w:ind w:right="0" w:righ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（2）建筑垃圾不得乱堆乱放，固体废物产生后须及时收集清运至指定的建筑垃圾堆放场所进行处置。</w:t>
            </w:r>
          </w:p>
          <w:p w14:paraId="0965EC41">
            <w:pPr>
              <w:pStyle w:val="47"/>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Autospacing="0" w:afterAutospacing="0" w:line="360" w:lineRule="auto"/>
              <w:ind w:right="0" w:righ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（3）施工期施工人员不在现场食宿，项目施工期短，生活垃圾的产生量较少。施工期生活垃圾集中收集后，由周边村民清掏，用作农肥处置，对周围环境影响很小。</w:t>
            </w:r>
          </w:p>
          <w:p w14:paraId="701034D7">
            <w:pPr>
              <w:pStyle w:val="47"/>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Autospacing="0" w:afterAutospacing="0" w:line="360" w:lineRule="auto"/>
              <w:ind w:right="0" w:rightChars="0"/>
              <w:jc w:val="both"/>
              <w:textAlignment w:val="auto"/>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color w:val="auto"/>
                <w:kern w:val="2"/>
                <w:sz w:val="24"/>
                <w:szCs w:val="24"/>
                <w:highlight w:val="none"/>
                <w:lang w:val="en-US" w:eastAsia="zh-CN" w:bidi="ar-SA"/>
              </w:rPr>
              <w:t>（四）</w:t>
            </w:r>
            <w:r>
              <w:rPr>
                <w:rFonts w:hint="eastAsia" w:asciiTheme="majorEastAsia" w:hAnsiTheme="majorEastAsia" w:eastAsiaTheme="majorEastAsia" w:cstheme="majorEastAsia"/>
                <w:b/>
                <w:bCs/>
                <w:color w:val="auto"/>
                <w:kern w:val="0"/>
                <w:sz w:val="24"/>
                <w:highlight w:val="none"/>
              </w:rPr>
              <w:t>施工期噪声污染防治措施</w:t>
            </w:r>
          </w:p>
          <w:p w14:paraId="324AF3A6">
            <w:pPr>
              <w:pStyle w:val="47"/>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Autospacing="0" w:afterAutospacing="0" w:line="360" w:lineRule="auto"/>
              <w:ind w:right="0" w:righ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项目施工主要为人力施工，施工机械使用较少，噪声为间歇性噪声。施工期间噪声多来源于自卸运输车辆等设备的发动机噪声以及设备安装产生的噪声。</w:t>
            </w:r>
          </w:p>
          <w:p w14:paraId="1FC4AB72">
            <w:pPr>
              <w:pStyle w:val="47"/>
              <w:keepNext w:val="0"/>
              <w:keepLines w:val="0"/>
              <w:pageBreakBefore w:val="0"/>
              <w:widowControl w:val="0"/>
              <w:numPr>
                <w:ilvl w:val="0"/>
                <w:numId w:val="0"/>
              </w:numPr>
              <w:suppressLineNumbers w:val="0"/>
              <w:kinsoku/>
              <w:wordWrap/>
              <w:overflowPunct/>
              <w:topLinePunct w:val="0"/>
              <w:bidi w:val="0"/>
              <w:spacing w:beforeAutospacing="0" w:afterAutospacing="0" w:line="360" w:lineRule="auto"/>
              <w:ind w:right="0" w:righ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为减小施工期间噪声对周围环境的影响，防止声污染事故的发生，环评要求工程施工时应采取以下措施：</w:t>
            </w:r>
          </w:p>
          <w:p w14:paraId="740FEDC3">
            <w:pPr>
              <w:pStyle w:val="47"/>
              <w:keepNext w:val="0"/>
              <w:keepLines w:val="0"/>
              <w:pageBreakBefore w:val="0"/>
              <w:widowControl w:val="0"/>
              <w:numPr>
                <w:ilvl w:val="0"/>
                <w:numId w:val="0"/>
              </w:numPr>
              <w:suppressLineNumbers w:val="0"/>
              <w:kinsoku/>
              <w:wordWrap/>
              <w:overflowPunct/>
              <w:topLinePunct w:val="0"/>
              <w:bidi w:val="0"/>
              <w:spacing w:beforeAutospacing="0" w:afterAutospacing="0" w:line="360" w:lineRule="auto"/>
              <w:ind w:right="0" w:righ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（1）施工单位应合理安排好施工时间，严禁在12:00~14:00、22:00~6:00期间施工；</w:t>
            </w:r>
          </w:p>
          <w:p w14:paraId="2528BED6">
            <w:pPr>
              <w:pStyle w:val="47"/>
              <w:keepNext w:val="0"/>
              <w:keepLines w:val="0"/>
              <w:pageBreakBefore w:val="0"/>
              <w:widowControl w:val="0"/>
              <w:numPr>
                <w:ilvl w:val="0"/>
                <w:numId w:val="0"/>
              </w:numPr>
              <w:suppressLineNumbers w:val="0"/>
              <w:kinsoku/>
              <w:wordWrap/>
              <w:overflowPunct/>
              <w:topLinePunct w:val="0"/>
              <w:bidi w:val="0"/>
              <w:spacing w:beforeAutospacing="0" w:afterAutospacing="0" w:line="360" w:lineRule="auto"/>
              <w:ind w:right="0" w:righ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（2）材料采用定尺定料，减少现场切割；</w:t>
            </w:r>
          </w:p>
          <w:p w14:paraId="78902493">
            <w:pPr>
              <w:pStyle w:val="47"/>
              <w:keepNext w:val="0"/>
              <w:keepLines w:val="0"/>
              <w:pageBreakBefore w:val="0"/>
              <w:widowControl w:val="0"/>
              <w:numPr>
                <w:ilvl w:val="0"/>
                <w:numId w:val="0"/>
              </w:numPr>
              <w:suppressLineNumbers w:val="0"/>
              <w:kinsoku/>
              <w:wordWrap/>
              <w:overflowPunct/>
              <w:topLinePunct w:val="0"/>
              <w:bidi w:val="0"/>
              <w:spacing w:beforeAutospacing="0" w:afterAutospacing="0" w:line="360" w:lineRule="auto"/>
              <w:ind w:right="0" w:righ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（3）加强机械设备的维护管理，保证其处于正常的工作状态；</w:t>
            </w:r>
          </w:p>
          <w:p w14:paraId="7D119412">
            <w:pPr>
              <w:pStyle w:val="47"/>
              <w:keepNext w:val="0"/>
              <w:keepLines w:val="0"/>
              <w:pageBreakBefore w:val="0"/>
              <w:widowControl w:val="0"/>
              <w:numPr>
                <w:ilvl w:val="0"/>
                <w:numId w:val="0"/>
              </w:numPr>
              <w:suppressLineNumbers w:val="0"/>
              <w:kinsoku/>
              <w:wordWrap/>
              <w:overflowPunct/>
              <w:topLinePunct w:val="0"/>
              <w:bidi w:val="0"/>
              <w:spacing w:beforeAutospacing="0" w:afterAutospacing="0" w:line="360" w:lineRule="auto"/>
              <w:ind w:right="0" w:righ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（4）加强对施工人员的管理，避免人为噪声的产生，做到文明施工；</w:t>
            </w:r>
          </w:p>
          <w:p w14:paraId="772DA5DD">
            <w:pPr>
              <w:pStyle w:val="47"/>
              <w:keepNext w:val="0"/>
              <w:keepLines w:val="0"/>
              <w:pageBreakBefore w:val="0"/>
              <w:widowControl w:val="0"/>
              <w:numPr>
                <w:ilvl w:val="0"/>
                <w:numId w:val="0"/>
              </w:numPr>
              <w:suppressLineNumbers w:val="0"/>
              <w:kinsoku/>
              <w:wordWrap/>
              <w:overflowPunct/>
              <w:topLinePunct w:val="0"/>
              <w:bidi w:val="0"/>
              <w:spacing w:beforeAutospacing="0" w:afterAutospacing="0" w:line="360" w:lineRule="auto"/>
              <w:ind w:right="0" w:righ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（5）合理布设施工场地，尽量使高噪声设备远离厂界。</w:t>
            </w:r>
          </w:p>
          <w:p w14:paraId="7DF011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只要施工单位在施工中加强管理、合理操作，同时合理安排作业时间，则施工噪声影响将得以减小；施工噪声对于区域噪声环境质量的影响是短暂的，其噪声影响随着施工期的结束而结束，影响较小。</w:t>
            </w:r>
          </w:p>
          <w:p w14:paraId="7636F833">
            <w:pPr>
              <w:numPr>
                <w:ilvl w:val="0"/>
                <w:numId w:val="0"/>
              </w:numPr>
              <w:adjustRightInd w:val="0"/>
              <w:snapToGrid w:val="0"/>
              <w:rPr>
                <w:rFonts w:hint="eastAsia" w:asciiTheme="majorEastAsia" w:hAnsiTheme="majorEastAsia" w:eastAsiaTheme="majorEastAsia" w:cstheme="majorEastAsia"/>
                <w:color w:val="auto"/>
                <w:kern w:val="0"/>
                <w:sz w:val="24"/>
                <w:highlight w:val="none"/>
                <w:lang w:val="en-US" w:eastAsia="zh-CN"/>
              </w:rPr>
            </w:pPr>
            <w:r>
              <w:rPr>
                <w:sz w:val="24"/>
              </w:rPr>
              <mc:AlternateContent>
                <mc:Choice Requires="wps">
                  <w:drawing>
                    <wp:anchor distT="0" distB="0" distL="114300" distR="114300" simplePos="0" relativeHeight="251667456" behindDoc="0" locked="0" layoutInCell="1" allowOverlap="1">
                      <wp:simplePos x="0" y="0"/>
                      <wp:positionH relativeFrom="column">
                        <wp:posOffset>-546735</wp:posOffset>
                      </wp:positionH>
                      <wp:positionV relativeFrom="paragraph">
                        <wp:posOffset>514350</wp:posOffset>
                      </wp:positionV>
                      <wp:extent cx="6496050" cy="1270"/>
                      <wp:effectExtent l="0" t="0" r="0" b="0"/>
                      <wp:wrapNone/>
                      <wp:docPr id="23" name="直接连接符 23"/>
                      <wp:cNvGraphicFramePr/>
                      <a:graphic xmlns:a="http://schemas.openxmlformats.org/drawingml/2006/main">
                        <a:graphicData uri="http://schemas.microsoft.com/office/word/2010/wordprocessingShape">
                          <wps:wsp>
                            <wps:cNvCnPr/>
                            <wps:spPr>
                              <a:xfrm>
                                <a:off x="1034415" y="5791835"/>
                                <a:ext cx="6496050" cy="127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3.05pt;margin-top:40.5pt;height:0.1pt;width:511.5pt;z-index:251667456;mso-width-relative:page;mso-height-relative:page;" filled="f" stroked="t" coordsize="21600,21600" o:gfxdata="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h4iO2QAAAAkBAAAPAAAAAAAAAAEAIAAAACIAAABkcnMvZG93bnJldi54bWxQSwEC&#10;FAAUAAAACACHTuJAO4WLq/MBAADDAwAADgAAAAAAAAABACAAAAAoAQAAZHJzL2Uyb0RvYy54bWxQ&#10;SwUGAAAAAAYABgBZAQAAjQUAAAAA&#10;">
                      <v:fill on="f" focussize="0,0"/>
                      <v:stroke weight="1pt" color="#000000 [3213]" miterlimit="8" joinstyle="miter"/>
                      <v:imagedata o:title=""/>
                      <o:lock v:ext="edit" aspectratio="f"/>
                    </v:line>
                  </w:pict>
                </mc:Fallback>
              </mc:AlternateContent>
            </w:r>
            <w:r>
              <w:rPr>
                <w:rFonts w:hint="eastAsia" w:asciiTheme="majorEastAsia" w:hAnsiTheme="majorEastAsia" w:eastAsiaTheme="majorEastAsia" w:cstheme="majorEastAsia"/>
                <w:b w:val="0"/>
                <w:bCs/>
                <w:color w:val="auto"/>
                <w:sz w:val="24"/>
                <w:szCs w:val="24"/>
                <w:lang w:val="en-US" w:eastAsia="zh-CN"/>
              </w:rPr>
              <w:t>综上，</w:t>
            </w:r>
            <w:r>
              <w:rPr>
                <w:rFonts w:hint="eastAsia" w:asciiTheme="majorEastAsia" w:hAnsiTheme="majorEastAsia" w:eastAsiaTheme="majorEastAsia" w:cstheme="majorEastAsia"/>
                <w:b w:val="0"/>
                <w:bCs/>
                <w:color w:val="auto"/>
                <w:sz w:val="24"/>
                <w:szCs w:val="24"/>
              </w:rPr>
              <w:t>项目施工期产生的</w:t>
            </w:r>
            <w:r>
              <w:rPr>
                <w:rFonts w:hint="eastAsia" w:asciiTheme="majorEastAsia" w:hAnsiTheme="majorEastAsia" w:eastAsiaTheme="majorEastAsia" w:cstheme="majorEastAsia"/>
                <w:b w:val="0"/>
                <w:bCs/>
                <w:color w:val="auto"/>
                <w:sz w:val="24"/>
                <w:szCs w:val="24"/>
                <w:lang w:val="en-US" w:eastAsia="zh-CN"/>
              </w:rPr>
              <w:t>污染物都采取了合理可行的防治措施</w:t>
            </w:r>
            <w:r>
              <w:rPr>
                <w:rFonts w:hint="eastAsia" w:asciiTheme="majorEastAsia" w:hAnsiTheme="majorEastAsia" w:eastAsiaTheme="majorEastAsia" w:cstheme="majorEastAsia"/>
                <w:b w:val="0"/>
                <w:bCs/>
                <w:color w:val="auto"/>
                <w:sz w:val="24"/>
                <w:szCs w:val="24"/>
              </w:rPr>
              <w:t>，对周围环境影响</w:t>
            </w:r>
            <w:r>
              <w:rPr>
                <w:rFonts w:hint="eastAsia" w:asciiTheme="majorEastAsia" w:hAnsiTheme="majorEastAsia" w:eastAsiaTheme="majorEastAsia" w:cstheme="majorEastAsia"/>
                <w:b w:val="0"/>
                <w:bCs/>
                <w:color w:val="auto"/>
                <w:sz w:val="24"/>
                <w:szCs w:val="24"/>
                <w:lang w:val="en-US" w:eastAsia="zh-CN"/>
              </w:rPr>
              <w:t>较</w:t>
            </w:r>
            <w:r>
              <w:rPr>
                <w:rFonts w:hint="eastAsia" w:asciiTheme="majorEastAsia" w:hAnsiTheme="majorEastAsia" w:eastAsiaTheme="majorEastAsia" w:cstheme="majorEastAsia"/>
                <w:b w:val="0"/>
                <w:bCs/>
                <w:color w:val="auto"/>
                <w:sz w:val="24"/>
                <w:szCs w:val="24"/>
              </w:rPr>
              <w:t>小</w:t>
            </w:r>
            <w:r>
              <w:rPr>
                <w:rFonts w:hint="eastAsia" w:asciiTheme="majorEastAsia" w:hAnsiTheme="majorEastAsia" w:eastAsiaTheme="majorEastAsia" w:cstheme="majorEastAsia"/>
                <w:color w:val="auto"/>
                <w:kern w:val="0"/>
                <w:sz w:val="24"/>
                <w:highlight w:val="none"/>
              </w:rPr>
              <w:t>，措施可行</w:t>
            </w:r>
            <w:r>
              <w:rPr>
                <w:rFonts w:hint="eastAsia" w:asciiTheme="majorEastAsia" w:hAnsiTheme="majorEastAsia" w:eastAsiaTheme="majorEastAsia" w:cstheme="majorEastAsia"/>
                <w:b w:val="0"/>
                <w:bCs/>
                <w:color w:val="auto"/>
                <w:sz w:val="24"/>
                <w:szCs w:val="24"/>
              </w:rPr>
              <w:t>。</w:t>
            </w:r>
            <w:r>
              <w:rPr>
                <w:rFonts w:hint="eastAsia" w:asciiTheme="majorEastAsia" w:hAnsiTheme="majorEastAsia" w:eastAsiaTheme="majorEastAsia" w:cstheme="majorEastAsia"/>
                <w:color w:val="auto"/>
                <w:kern w:val="0"/>
                <w:sz w:val="24"/>
                <w:highlight w:val="none"/>
                <w:lang w:val="en-US" w:eastAsia="zh-CN"/>
              </w:rPr>
              <w:t xml:space="preserve"> </w:t>
            </w:r>
          </w:p>
          <w:p w14:paraId="0D793BF4">
            <w:pPr>
              <w:numPr>
                <w:ilvl w:val="0"/>
                <w:numId w:val="0"/>
              </w:numPr>
              <w:adjustRightInd w:val="0"/>
              <w:snapToGrid w:val="0"/>
              <w:rPr>
                <w:rFonts w:hint="eastAsia" w:asciiTheme="majorEastAsia" w:hAnsiTheme="majorEastAsia" w:eastAsiaTheme="majorEastAsia" w:cstheme="majorEastAsia"/>
                <w:b/>
                <w:bCs/>
                <w:color w:val="auto"/>
              </w:rPr>
            </w:pPr>
            <w:r>
              <w:rPr>
                <w:rFonts w:hint="eastAsia" w:asciiTheme="majorEastAsia" w:hAnsiTheme="majorEastAsia" w:eastAsiaTheme="majorEastAsia" w:cstheme="majorEastAsia"/>
                <w:b/>
                <w:bCs/>
                <w:color w:val="auto"/>
                <w:lang w:eastAsia="zh-CN"/>
              </w:rPr>
              <w:t>一、</w:t>
            </w:r>
            <w:r>
              <w:rPr>
                <w:rFonts w:hint="eastAsia" w:asciiTheme="majorEastAsia" w:hAnsiTheme="majorEastAsia" w:eastAsiaTheme="majorEastAsia" w:cstheme="majorEastAsia"/>
                <w:b/>
                <w:bCs/>
                <w:color w:val="auto"/>
              </w:rPr>
              <w:t>大气环境影响分析</w:t>
            </w:r>
          </w:p>
          <w:p w14:paraId="4F9E8C78">
            <w:pPr>
              <w:numPr>
                <w:ilvl w:val="0"/>
                <w:numId w:val="11"/>
              </w:numPr>
              <w:adjustRightInd w:val="0"/>
              <w:snapToGrid w:val="0"/>
              <w:ind w:firstLine="482" w:firstLineChars="200"/>
              <w:rPr>
                <w:rFonts w:hint="eastAsia" w:asciiTheme="majorEastAsia" w:hAnsiTheme="majorEastAsia" w:eastAsiaTheme="majorEastAsia" w:cstheme="majorEastAsia"/>
                <w:b/>
                <w:bCs/>
                <w:color w:val="auto"/>
              </w:rPr>
            </w:pPr>
            <w:r>
              <w:rPr>
                <w:rFonts w:hint="eastAsia" w:asciiTheme="majorEastAsia" w:hAnsiTheme="majorEastAsia" w:eastAsiaTheme="majorEastAsia" w:cstheme="majorEastAsia"/>
                <w:b/>
                <w:bCs/>
                <w:color w:val="auto"/>
              </w:rPr>
              <w:t>污染物产排情况</w:t>
            </w:r>
          </w:p>
          <w:p w14:paraId="66FCFDA4">
            <w:pPr>
              <w:adjustRightInd w:val="0"/>
              <w:snapToGrid w:val="0"/>
              <w:ind w:firstLine="480" w:firstLineChars="20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项目运营期产生的废气主要为</w:t>
            </w:r>
            <w:r>
              <w:rPr>
                <w:rFonts w:hint="eastAsia" w:asciiTheme="majorEastAsia" w:hAnsiTheme="majorEastAsia" w:eastAsiaTheme="majorEastAsia" w:cstheme="majorEastAsia"/>
                <w:color w:val="auto"/>
                <w:lang w:eastAsia="zh-CN"/>
              </w:rPr>
              <w:t>生产</w:t>
            </w:r>
            <w:r>
              <w:rPr>
                <w:rFonts w:hint="eastAsia" w:asciiTheme="majorEastAsia" w:hAnsiTheme="majorEastAsia" w:eastAsiaTheme="majorEastAsia" w:cstheme="majorEastAsia"/>
                <w:color w:val="auto"/>
              </w:rPr>
              <w:t>粉尘、运输车辆产生的粉尘</w:t>
            </w:r>
            <w:r>
              <w:rPr>
                <w:rFonts w:hint="eastAsia" w:asciiTheme="majorEastAsia" w:hAnsiTheme="majorEastAsia" w:eastAsiaTheme="majorEastAsia" w:cstheme="majorEastAsia"/>
                <w:color w:val="auto"/>
                <w:lang w:eastAsia="zh-CN"/>
              </w:rPr>
              <w:t>、油烟</w:t>
            </w:r>
            <w:r>
              <w:rPr>
                <w:rFonts w:hint="eastAsia" w:asciiTheme="majorEastAsia" w:hAnsiTheme="majorEastAsia" w:eastAsiaTheme="majorEastAsia" w:cstheme="majorEastAsia"/>
                <w:color w:val="auto"/>
              </w:rPr>
              <w:t>。</w:t>
            </w:r>
          </w:p>
          <w:p w14:paraId="365160F1">
            <w:pPr>
              <w:adjustRightInd w:val="0"/>
              <w:snapToGrid w:val="0"/>
              <w:ind w:firstLine="482" w:firstLineChars="200"/>
              <w:rPr>
                <w:rFonts w:hint="eastAsia" w:asciiTheme="majorEastAsia" w:hAnsiTheme="majorEastAsia" w:eastAsiaTheme="majorEastAsia" w:cstheme="majorEastAsia"/>
                <w:b/>
                <w:bCs/>
                <w:color w:val="auto"/>
              </w:rPr>
            </w:pPr>
            <w:r>
              <w:rPr>
                <w:rFonts w:hint="eastAsia" w:asciiTheme="majorEastAsia" w:hAnsiTheme="majorEastAsia" w:eastAsiaTheme="majorEastAsia" w:cstheme="majorEastAsia"/>
                <w:b/>
                <w:bCs/>
                <w:color w:val="auto"/>
              </w:rPr>
              <w:t>（1）</w:t>
            </w:r>
            <w:r>
              <w:rPr>
                <w:rFonts w:hint="eastAsia" w:asciiTheme="majorEastAsia" w:hAnsiTheme="majorEastAsia" w:eastAsiaTheme="majorEastAsia" w:cstheme="majorEastAsia"/>
                <w:b/>
                <w:bCs/>
                <w:color w:val="auto"/>
                <w:lang w:eastAsia="zh-CN"/>
              </w:rPr>
              <w:t>生产</w:t>
            </w:r>
            <w:r>
              <w:rPr>
                <w:rFonts w:hint="eastAsia" w:asciiTheme="majorEastAsia" w:hAnsiTheme="majorEastAsia" w:eastAsiaTheme="majorEastAsia" w:cstheme="majorEastAsia"/>
                <w:b/>
                <w:bCs/>
                <w:color w:val="auto"/>
              </w:rPr>
              <w:t>粉尘</w:t>
            </w:r>
          </w:p>
          <w:p w14:paraId="2FAE8544">
            <w:pPr>
              <w:adjustRightInd w:val="0"/>
              <w:snapToGrid w:val="0"/>
              <w:ind w:firstLine="480" w:firstLineChars="20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本项目产生的粉尘为</w:t>
            </w:r>
            <w:r>
              <w:rPr>
                <w:rFonts w:hint="eastAsia" w:asciiTheme="majorEastAsia" w:hAnsiTheme="majorEastAsia" w:eastAsiaTheme="majorEastAsia" w:cstheme="majorEastAsia"/>
                <w:color w:val="auto"/>
                <w:lang w:eastAsia="zh-CN"/>
              </w:rPr>
              <w:t>物料混合及搅拌</w:t>
            </w:r>
            <w:r>
              <w:rPr>
                <w:rFonts w:hint="eastAsia" w:asciiTheme="majorEastAsia" w:hAnsiTheme="majorEastAsia" w:eastAsiaTheme="majorEastAsia" w:cstheme="majorEastAsia"/>
                <w:color w:val="auto"/>
              </w:rPr>
              <w:t>粉尘</w:t>
            </w:r>
            <w:r>
              <w:rPr>
                <w:rFonts w:hint="eastAsia" w:asciiTheme="majorEastAsia" w:hAnsiTheme="majorEastAsia" w:eastAsiaTheme="majorEastAsia" w:cstheme="majorEastAsia"/>
                <w:color w:val="auto"/>
                <w:lang w:eastAsia="zh-CN"/>
              </w:rPr>
              <w:t>，物料输送、储存粉尘，</w:t>
            </w:r>
            <w:r>
              <w:rPr>
                <w:rFonts w:hint="eastAsia" w:asciiTheme="majorEastAsia" w:hAnsiTheme="majorEastAsia" w:eastAsiaTheme="majorEastAsia" w:cstheme="majorEastAsia"/>
                <w:color w:val="auto"/>
              </w:rPr>
              <w:t>水泥储罐粉尘</w:t>
            </w:r>
            <w:r>
              <w:rPr>
                <w:rFonts w:hint="eastAsia" w:asciiTheme="majorEastAsia" w:hAnsiTheme="majorEastAsia" w:eastAsiaTheme="majorEastAsia" w:cstheme="majorEastAsia"/>
                <w:color w:val="auto"/>
                <w:lang w:eastAsia="zh-CN"/>
              </w:rPr>
              <w:t>，焊接废气</w:t>
            </w:r>
            <w:r>
              <w:rPr>
                <w:rFonts w:hint="eastAsia" w:asciiTheme="majorEastAsia" w:hAnsiTheme="majorEastAsia" w:eastAsiaTheme="majorEastAsia" w:cstheme="majorEastAsia"/>
                <w:color w:val="auto"/>
              </w:rPr>
              <w:t>。</w:t>
            </w:r>
          </w:p>
          <w:p w14:paraId="0460B40A">
            <w:pPr>
              <w:widowControl/>
              <w:ind w:firstLine="482" w:firstLineChars="200"/>
              <w:jc w:val="left"/>
              <w:rPr>
                <w:rFonts w:hint="eastAsia" w:asciiTheme="majorEastAsia" w:hAnsiTheme="majorEastAsia" w:eastAsiaTheme="majorEastAsia" w:cstheme="majorEastAsia"/>
                <w:b/>
                <w:bCs/>
                <w:color w:val="auto"/>
              </w:rPr>
            </w:pPr>
            <w:r>
              <w:rPr>
                <w:rFonts w:hint="eastAsia" w:asciiTheme="majorEastAsia" w:hAnsiTheme="majorEastAsia" w:eastAsiaTheme="majorEastAsia" w:cstheme="majorEastAsia"/>
                <w:b/>
                <w:bCs/>
                <w:color w:val="auto"/>
                <w:lang w:eastAsia="zh-CN"/>
              </w:rPr>
              <w:t>①物料混合及搅拌</w:t>
            </w:r>
            <w:r>
              <w:rPr>
                <w:rFonts w:hint="eastAsia" w:asciiTheme="majorEastAsia" w:hAnsiTheme="majorEastAsia" w:eastAsiaTheme="majorEastAsia" w:cstheme="majorEastAsia"/>
                <w:b/>
                <w:bCs/>
                <w:color w:val="auto"/>
              </w:rPr>
              <w:t>粉尘</w:t>
            </w:r>
          </w:p>
          <w:p w14:paraId="2CA1F7F1">
            <w:pPr>
              <w:widowControl/>
              <w:ind w:firstLine="480" w:firstLineChars="200"/>
              <w:jc w:val="both"/>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根</w:t>
            </w:r>
            <w:r>
              <w:rPr>
                <w:rFonts w:hint="eastAsia" w:asciiTheme="minorEastAsia" w:hAnsiTheme="minorEastAsia" w:eastAsiaTheme="minorEastAsia" w:cstheme="minorEastAsia"/>
                <w:color w:val="000000" w:themeColor="text1"/>
                <w14:textFill>
                  <w14:solidFill>
                    <w14:schemeClr w14:val="tx1"/>
                  </w14:solidFill>
                </w14:textFill>
              </w:rPr>
              <w:t>据《第二次全国污染源普查工业污染源普查产排污系数手册——3021 水泥制品制造（含 3022 砼结构构件制造、3029 其他水泥类似制品制造）行业系数手册》，水泥制品制造物料混合、搅拌工段颗粒物产污系数按0.13千克/吨-产品计算，建设单位设置喷淋装置以减少粉尘散逸量，类比同类型企业生产经验，采用边生产边降尘（水喷淋湿式降尘）的方式其降尘率可达到90%</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本项目水泥管年产5000根；</w:t>
            </w:r>
            <w:r>
              <w:rPr>
                <w:rFonts w:hint="eastAsia" w:asciiTheme="minorEastAsia" w:hAnsiTheme="minorEastAsia" w:eastAsiaTheme="minorEastAsia" w:cstheme="minorEastAsia"/>
                <w:color w:val="000000" w:themeColor="text1"/>
                <w:lang w:eastAsia="zh-CN"/>
                <w14:textFill>
                  <w14:solidFill>
                    <w14:schemeClr w14:val="tx1"/>
                  </w14:solidFill>
                </w14:textFill>
              </w:rPr>
              <w:t>彩砖、植草砖分别年产</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20万块；</w:t>
            </w:r>
            <w:r>
              <w:rPr>
                <w:rFonts w:hint="eastAsia" w:asciiTheme="minorEastAsia" w:hAnsiTheme="minorEastAsia" w:eastAsiaTheme="minorEastAsia" w:cstheme="minorEastAsia"/>
                <w:color w:val="000000" w:themeColor="text1"/>
                <w14:textFill>
                  <w14:solidFill>
                    <w14:schemeClr w14:val="tx1"/>
                  </w14:solidFill>
                </w14:textFill>
              </w:rPr>
              <w:t>检查井年产800座；井盖年产1万块</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涵管年产</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5000</w:t>
            </w:r>
            <w:r>
              <w:rPr>
                <w:rFonts w:hint="eastAsia" w:asciiTheme="minorEastAsia" w:hAnsiTheme="minorEastAsia" w:eastAsiaTheme="minorEastAsia" w:cstheme="minorEastAsia"/>
                <w:color w:val="000000" w:themeColor="text1"/>
                <w14:textFill>
                  <w14:solidFill>
                    <w14:schemeClr w14:val="tx1"/>
                  </w14:solidFill>
                </w14:textFill>
              </w:rPr>
              <w:t>根</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预制板年产1万块。</w:t>
            </w:r>
            <w:r>
              <w:rPr>
                <w:rFonts w:hint="eastAsia" w:asciiTheme="minorEastAsia" w:hAnsiTheme="minorEastAsia" w:eastAsiaTheme="minorEastAsia" w:cstheme="minorEastAsia"/>
                <w:color w:val="000000" w:themeColor="text1"/>
                <w:lang w:eastAsia="zh-CN"/>
                <w14:textFill>
                  <w14:solidFill>
                    <w14:schemeClr w14:val="tx1"/>
                  </w14:solidFill>
                </w14:textFill>
              </w:rPr>
              <w:t>产品重量约为</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10.67342万t，项目年生产约200d，</w:t>
            </w:r>
            <w:r>
              <w:rPr>
                <w:rFonts w:hint="eastAsia" w:asciiTheme="minorEastAsia" w:hAnsiTheme="minorEastAsia" w:eastAsiaTheme="minorEastAsia" w:cstheme="minorEastAsia"/>
                <w:color w:val="000000" w:themeColor="text1"/>
                <w14:textFill>
                  <w14:solidFill>
                    <w14:schemeClr w14:val="tx1"/>
                  </w14:solidFill>
                </w14:textFill>
              </w:rPr>
              <w:t>因此本项目物料输送、储存工序粉尘产生量为</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13.87</w:t>
            </w:r>
            <w:r>
              <w:rPr>
                <w:rFonts w:hint="eastAsia" w:asciiTheme="minorEastAsia" w:hAnsiTheme="minorEastAsia" w:eastAsiaTheme="minorEastAsia" w:cstheme="minorEastAsia"/>
                <w:color w:val="000000" w:themeColor="text1"/>
                <w14:textFill>
                  <w14:solidFill>
                    <w14:schemeClr w14:val="tx1"/>
                  </w14:solidFill>
                </w14:textFill>
              </w:rPr>
              <w:t>t/a，经水喷淋降尘后粉尘无组织排放量为</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1.387</w:t>
            </w:r>
            <w:r>
              <w:rPr>
                <w:rFonts w:hint="eastAsia" w:asciiTheme="minorEastAsia" w:hAnsiTheme="minorEastAsia" w:eastAsiaTheme="minorEastAsia" w:cstheme="minorEastAsia"/>
                <w:color w:val="000000" w:themeColor="text1"/>
                <w14:textFill>
                  <w14:solidFill>
                    <w14:schemeClr w14:val="tx1"/>
                  </w14:solidFill>
                </w14:textFill>
              </w:rPr>
              <w:t>t/a。</w:t>
            </w:r>
          </w:p>
          <w:p w14:paraId="5A5FFAA0">
            <w:pPr>
              <w:widowControl/>
              <w:ind w:firstLine="241" w:firstLineChars="100"/>
              <w:jc w:val="left"/>
              <w:rPr>
                <w:rFonts w:hint="eastAsia" w:asciiTheme="majorEastAsia" w:hAnsiTheme="majorEastAsia" w:eastAsiaTheme="majorEastAsia" w:cstheme="majorEastAsia"/>
                <w:b/>
                <w:bCs/>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lang w:val="en-US" w:eastAsia="zh-CN"/>
                <w14:textFill>
                  <w14:solidFill>
                    <w14:schemeClr w14:val="tx1"/>
                  </w14:solidFill>
                </w14:textFill>
              </w:rPr>
              <w:t>③物料输送、储存粉尘</w:t>
            </w:r>
          </w:p>
          <w:p w14:paraId="520C4915">
            <w:pPr>
              <w:widowControl/>
              <w:ind w:firstLine="480" w:firstLineChars="200"/>
              <w:jc w:val="both"/>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根据《第二次全国污染源普查工业污染源普查产排污系数手册——3021 水泥制品制造（含 3022 砼结构构件制造、3029 其他水泥类似制品制造）行业系数手册》，水泥制品制造物料输送、储存工段颗粒物产污系数按0.12千克/吨-产品计算，对储存场所定期洒水抑尘，使堆体表面含水率达到10%以上，以减少粉尘的产生量。类比同类型企业生产经验，采取上述措施降尘率可达到90%</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本项目水泥管年产5000根；</w:t>
            </w:r>
            <w:r>
              <w:rPr>
                <w:rFonts w:hint="eastAsia" w:asciiTheme="minorEastAsia" w:hAnsiTheme="minorEastAsia" w:eastAsiaTheme="minorEastAsia" w:cstheme="minorEastAsia"/>
                <w:color w:val="000000" w:themeColor="text1"/>
                <w:lang w:eastAsia="zh-CN"/>
                <w14:textFill>
                  <w14:solidFill>
                    <w14:schemeClr w14:val="tx1"/>
                  </w14:solidFill>
                </w14:textFill>
              </w:rPr>
              <w:t>彩砖、植草砖分别年产</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20万块；</w:t>
            </w:r>
            <w:r>
              <w:rPr>
                <w:rFonts w:hint="eastAsia" w:asciiTheme="minorEastAsia" w:hAnsiTheme="minorEastAsia" w:eastAsiaTheme="minorEastAsia" w:cstheme="minorEastAsia"/>
                <w:color w:val="000000" w:themeColor="text1"/>
                <w14:textFill>
                  <w14:solidFill>
                    <w14:schemeClr w14:val="tx1"/>
                  </w14:solidFill>
                </w14:textFill>
              </w:rPr>
              <w:t>检查井年产800座；井盖年产1万块</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涵管年产</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5000</w:t>
            </w:r>
            <w:r>
              <w:rPr>
                <w:rFonts w:hint="eastAsia" w:asciiTheme="minorEastAsia" w:hAnsiTheme="minorEastAsia" w:eastAsiaTheme="minorEastAsia" w:cstheme="minorEastAsia"/>
                <w:color w:val="000000" w:themeColor="text1"/>
                <w14:textFill>
                  <w14:solidFill>
                    <w14:schemeClr w14:val="tx1"/>
                  </w14:solidFill>
                </w14:textFill>
              </w:rPr>
              <w:t>根</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预制板年产1万块。</w:t>
            </w:r>
            <w:r>
              <w:rPr>
                <w:rFonts w:hint="eastAsia" w:asciiTheme="minorEastAsia" w:hAnsiTheme="minorEastAsia" w:eastAsiaTheme="minorEastAsia" w:cstheme="minorEastAsia"/>
                <w:color w:val="000000" w:themeColor="text1"/>
                <w:lang w:eastAsia="zh-CN"/>
                <w14:textFill>
                  <w14:solidFill>
                    <w14:schemeClr w14:val="tx1"/>
                  </w14:solidFill>
                </w14:textFill>
              </w:rPr>
              <w:t>产品重量约为</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10.67342万t，项目年生产约200d，</w:t>
            </w:r>
            <w:r>
              <w:rPr>
                <w:rFonts w:hint="eastAsia" w:asciiTheme="minorEastAsia" w:hAnsiTheme="minorEastAsia" w:eastAsiaTheme="minorEastAsia" w:cstheme="minorEastAsia"/>
                <w:color w:val="000000" w:themeColor="text1"/>
                <w14:textFill>
                  <w14:solidFill>
                    <w14:schemeClr w14:val="tx1"/>
                  </w14:solidFill>
                </w14:textFill>
              </w:rPr>
              <w:t>因此</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本项目物料输送、储存工序粉尘产生量为</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12.81</w:t>
            </w:r>
            <w:r>
              <w:rPr>
                <w:rFonts w:hint="eastAsia" w:asciiTheme="minorEastAsia" w:hAnsiTheme="minorEastAsia" w:eastAsiaTheme="minorEastAsia" w:cstheme="minorEastAsia"/>
                <w:color w:val="000000" w:themeColor="text1"/>
                <w14:textFill>
                  <w14:solidFill>
                    <w14:schemeClr w14:val="tx1"/>
                  </w14:solidFill>
                </w14:textFill>
              </w:rPr>
              <w:t>t/a，经水喷淋降尘后粉尘无组织排放量为</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1.281</w:t>
            </w:r>
            <w:r>
              <w:rPr>
                <w:rFonts w:hint="eastAsia" w:asciiTheme="minorEastAsia" w:hAnsiTheme="minorEastAsia" w:eastAsiaTheme="minorEastAsia" w:cstheme="minorEastAsia"/>
                <w:color w:val="000000" w:themeColor="text1"/>
                <w14:textFill>
                  <w14:solidFill>
                    <w14:schemeClr w14:val="tx1"/>
                  </w14:solidFill>
                </w14:textFill>
              </w:rPr>
              <w:t>t/a。</w:t>
            </w:r>
          </w:p>
          <w:p w14:paraId="367EBE37">
            <w:pPr>
              <w:widowControl/>
              <w:ind w:firstLine="482" w:firstLineChars="200"/>
              <w:jc w:val="left"/>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④水泥储罐粉尘</w:t>
            </w:r>
          </w:p>
          <w:p w14:paraId="29DB3462">
            <w:pPr>
              <w:widowControl/>
              <w:ind w:firstLine="480" w:firstLineChars="200"/>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z w:val="24"/>
              </w:rPr>
              <w:t>本项目水泥由水泥罐车运送后</w:t>
            </w:r>
            <w:r>
              <w:rPr>
                <w:rFonts w:hint="eastAsia" w:asciiTheme="minorEastAsia" w:hAnsiTheme="minorEastAsia" w:eastAsiaTheme="minorEastAsia" w:cstheme="minorEastAsia"/>
                <w:color w:val="auto"/>
                <w:sz w:val="24"/>
                <w:lang w:eastAsia="zh-CN"/>
              </w:rPr>
              <w:t>通过传送带</w:t>
            </w:r>
            <w:r>
              <w:rPr>
                <w:rFonts w:hint="eastAsia" w:asciiTheme="minorEastAsia" w:hAnsiTheme="minorEastAsia" w:eastAsiaTheme="minorEastAsia" w:cstheme="minorEastAsia"/>
                <w:color w:val="auto"/>
                <w:sz w:val="24"/>
              </w:rPr>
              <w:t>注入水泥储罐中，</w:t>
            </w:r>
            <w:r>
              <w:rPr>
                <w:rFonts w:hint="eastAsia" w:asciiTheme="minorEastAsia" w:hAnsiTheme="minorEastAsia" w:eastAsiaTheme="minorEastAsia" w:cstheme="minorEastAsia"/>
                <w:color w:val="auto"/>
                <w:sz w:val="24"/>
                <w:lang w:eastAsia="zh-CN"/>
              </w:rPr>
              <w:t>环评要求</w:t>
            </w:r>
            <w:r>
              <w:rPr>
                <w:rFonts w:hint="eastAsia" w:asciiTheme="minorEastAsia" w:hAnsiTheme="minorEastAsia" w:eastAsiaTheme="minorEastAsia" w:cstheme="minorEastAsia"/>
                <w:color w:val="auto"/>
                <w:sz w:val="24"/>
              </w:rPr>
              <w:t>该过程为密闭</w:t>
            </w:r>
            <w:r>
              <w:rPr>
                <w:rFonts w:hint="eastAsia" w:asciiTheme="minorEastAsia" w:hAnsiTheme="minorEastAsia" w:eastAsiaTheme="minorEastAsia" w:cstheme="minorEastAsia"/>
                <w:color w:val="auto"/>
                <w:sz w:val="24"/>
                <w:lang w:eastAsia="zh-CN"/>
              </w:rPr>
              <w:t>输送</w:t>
            </w:r>
            <w:r>
              <w:rPr>
                <w:rFonts w:hint="eastAsia" w:asciiTheme="minorEastAsia" w:hAnsiTheme="minorEastAsia" w:eastAsiaTheme="minorEastAsia" w:cstheme="minorEastAsia"/>
                <w:color w:val="auto"/>
                <w:sz w:val="24"/>
              </w:rPr>
              <w:t>，产尘量少</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rPr>
              <w:t>项目设置有</w:t>
            </w: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rPr>
              <w:t>个水泥储罐，水泥储罐顶部密封，正常运营过程中，水泥储罐上端向混凝土搅拌器进料斗投料时会有少量水泥粉尘产生</w:t>
            </w:r>
            <w:r>
              <w:rPr>
                <w:rFonts w:hint="eastAsia" w:asciiTheme="minorEastAsia" w:hAnsiTheme="minorEastAsia" w:eastAsiaTheme="minorEastAsia" w:cstheme="minorEastAsia"/>
                <w:color w:val="auto"/>
                <w:lang w:eastAsia="zh-CN"/>
              </w:rPr>
              <w:t>。</w:t>
            </w:r>
          </w:p>
          <w:p w14:paraId="7A949BF8">
            <w:pPr>
              <w:widowControl/>
              <w:ind w:firstLine="476" w:firstLineChars="200"/>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1"/>
                <w:sz w:val="24"/>
              </w:rPr>
              <w:t>根据《空气污染排放和控制手册》（美国环境保护局编著，张良璧等译，中国环境科学出版社）中的</w:t>
            </w:r>
            <w:r>
              <w:rPr>
                <w:rFonts w:hint="eastAsia" w:asciiTheme="minorEastAsia" w:hAnsiTheme="minorEastAsia" w:eastAsiaTheme="minorEastAsia" w:cstheme="minorEastAsia"/>
                <w:color w:val="auto"/>
                <w:spacing w:val="-1"/>
                <w:sz w:val="24"/>
                <w:lang w:eastAsia="zh-CN"/>
              </w:rPr>
              <w:t>“</w:t>
            </w:r>
            <w:r>
              <w:rPr>
                <w:rFonts w:hint="eastAsia" w:asciiTheme="minorEastAsia" w:hAnsiTheme="minorEastAsia" w:eastAsiaTheme="minorEastAsia" w:cstheme="minorEastAsia"/>
                <w:color w:val="auto"/>
                <w:spacing w:val="-1"/>
                <w:sz w:val="24"/>
              </w:rPr>
              <w:t>十 混凝土配料</w:t>
            </w:r>
            <w:r>
              <w:rPr>
                <w:rFonts w:hint="eastAsia" w:asciiTheme="minorEastAsia" w:hAnsiTheme="minorEastAsia" w:eastAsiaTheme="minorEastAsia" w:cstheme="minorEastAsia"/>
                <w:color w:val="auto"/>
                <w:spacing w:val="-1"/>
                <w:sz w:val="24"/>
                <w:lang w:eastAsia="zh-CN"/>
              </w:rPr>
              <w:t>”</w:t>
            </w:r>
            <w:r>
              <w:rPr>
                <w:rFonts w:hint="eastAsia" w:asciiTheme="minorEastAsia" w:hAnsiTheme="minorEastAsia" w:eastAsiaTheme="minorEastAsia" w:cstheme="minorEastAsia"/>
                <w:color w:val="auto"/>
                <w:spacing w:val="-1"/>
                <w:sz w:val="24"/>
              </w:rPr>
              <w:t>推荐的混凝土配料工艺潜在的逸散排放因子的排放等级，并出于保守考虑，选取0.12kg/t物料核算水泥筒仓粉尘。项</w:t>
            </w:r>
            <w:r>
              <w:rPr>
                <w:rFonts w:hint="eastAsia" w:asciiTheme="minorEastAsia" w:hAnsiTheme="minorEastAsia" w:eastAsiaTheme="minorEastAsia" w:cstheme="minorEastAsia"/>
                <w:color w:val="000000" w:themeColor="text1"/>
                <w:spacing w:val="-1"/>
                <w:sz w:val="24"/>
                <w14:textFill>
                  <w14:solidFill>
                    <w14:schemeClr w14:val="tx1"/>
                  </w14:solidFill>
                </w14:textFill>
              </w:rPr>
              <w:t>目水泥用量为</w:t>
            </w:r>
            <w:r>
              <w:rPr>
                <w:rFonts w:hint="eastAsia" w:asciiTheme="minorEastAsia" w:hAnsiTheme="minorEastAsia" w:eastAsiaTheme="minorEastAsia" w:cstheme="minorEastAsia"/>
                <w:color w:val="000000" w:themeColor="text1"/>
                <w:spacing w:val="-1"/>
                <w:sz w:val="24"/>
                <w:lang w:val="en-US" w:eastAsia="zh-CN"/>
                <w14:textFill>
                  <w14:solidFill>
                    <w14:schemeClr w14:val="tx1"/>
                  </w14:solidFill>
                </w14:textFill>
              </w:rPr>
              <w:t>8600</w:t>
            </w:r>
            <w:r>
              <w:rPr>
                <w:rFonts w:hint="eastAsia" w:asciiTheme="minorEastAsia" w:hAnsiTheme="minorEastAsia" w:eastAsiaTheme="minorEastAsia" w:cstheme="minorEastAsia"/>
                <w:color w:val="000000" w:themeColor="text1"/>
                <w:spacing w:val="-1"/>
                <w:sz w:val="24"/>
                <w14:textFill>
                  <w14:solidFill>
                    <w14:schemeClr w14:val="tx1"/>
                  </w14:solidFill>
                </w14:textFill>
              </w:rPr>
              <w:t>t/a</w:t>
            </w:r>
            <w:r>
              <w:rPr>
                <w:rFonts w:hint="eastAsia" w:asciiTheme="minorEastAsia" w:hAnsiTheme="minorEastAsia" w:eastAsiaTheme="minorEastAsia" w:cstheme="minorEastAsia"/>
                <w:color w:val="auto"/>
                <w:spacing w:val="-1"/>
                <w:sz w:val="24"/>
              </w:rPr>
              <w:t>，</w:t>
            </w:r>
            <w:r>
              <w:rPr>
                <w:rFonts w:hint="eastAsia" w:asciiTheme="minorEastAsia" w:hAnsiTheme="minorEastAsia" w:eastAsiaTheme="minorEastAsia" w:cstheme="minorEastAsia"/>
                <w:color w:val="auto"/>
              </w:rPr>
              <w:t>根据业主提供数据</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水泥储罐每天约运行</w:t>
            </w: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rPr>
              <w:t>小时，年生产约200d，</w:t>
            </w:r>
            <w:r>
              <w:rPr>
                <w:rFonts w:hint="eastAsia" w:asciiTheme="minorEastAsia" w:hAnsiTheme="minorEastAsia" w:eastAsiaTheme="minorEastAsia" w:cstheme="minorEastAsia"/>
                <w:color w:val="auto"/>
                <w:spacing w:val="-1"/>
                <w:sz w:val="24"/>
              </w:rPr>
              <w:t>水泥筒仓上自带布袋除尘器，除尘效率为9</w:t>
            </w:r>
            <w:r>
              <w:rPr>
                <w:rFonts w:hint="eastAsia" w:asciiTheme="minorEastAsia" w:hAnsiTheme="minorEastAsia" w:eastAsiaTheme="minorEastAsia" w:cstheme="minorEastAsia"/>
                <w:color w:val="auto"/>
                <w:spacing w:val="-1"/>
                <w:sz w:val="24"/>
                <w:lang w:val="en-US" w:eastAsia="zh-CN"/>
              </w:rPr>
              <w:t>5</w:t>
            </w:r>
            <w:r>
              <w:rPr>
                <w:rFonts w:hint="eastAsia" w:asciiTheme="minorEastAsia" w:hAnsiTheme="minorEastAsia" w:eastAsiaTheme="minorEastAsia" w:cstheme="minorEastAsia"/>
                <w:color w:val="auto"/>
                <w:spacing w:val="-1"/>
                <w:sz w:val="24"/>
              </w:rPr>
              <w:t>%，则水泥储罐粉尘产生量为</w:t>
            </w:r>
            <w:r>
              <w:rPr>
                <w:rFonts w:hint="eastAsia" w:asciiTheme="minorEastAsia" w:hAnsiTheme="minorEastAsia" w:eastAsiaTheme="minorEastAsia" w:cstheme="minorEastAsia"/>
                <w:color w:val="auto"/>
                <w:spacing w:val="-1"/>
                <w:sz w:val="24"/>
                <w:lang w:val="en-US" w:eastAsia="zh-CN"/>
              </w:rPr>
              <w:t>1.032</w:t>
            </w:r>
            <w:r>
              <w:rPr>
                <w:rFonts w:hint="eastAsia" w:asciiTheme="minorEastAsia" w:hAnsiTheme="minorEastAsia" w:eastAsiaTheme="minorEastAsia" w:cstheme="minorEastAsia"/>
                <w:color w:val="auto"/>
                <w:spacing w:val="-1"/>
                <w:sz w:val="24"/>
              </w:rPr>
              <w:t>t/a，产生速率为</w:t>
            </w:r>
            <w:r>
              <w:rPr>
                <w:rFonts w:hint="eastAsia" w:asciiTheme="minorEastAsia" w:hAnsiTheme="minorEastAsia" w:eastAsiaTheme="minorEastAsia" w:cstheme="minorEastAsia"/>
                <w:color w:val="auto"/>
                <w:spacing w:val="-1"/>
                <w:sz w:val="24"/>
                <w:lang w:val="en-US" w:eastAsia="zh-CN"/>
              </w:rPr>
              <w:t>0.86</w:t>
            </w:r>
            <w:r>
              <w:rPr>
                <w:rFonts w:hint="eastAsia" w:asciiTheme="minorEastAsia" w:hAnsiTheme="minorEastAsia" w:eastAsiaTheme="minorEastAsia" w:cstheme="minorEastAsia"/>
                <w:color w:val="auto"/>
                <w:spacing w:val="-1"/>
                <w:sz w:val="24"/>
              </w:rPr>
              <w:t>kg/h；经布袋除尘器处理后（除尘效率为9</w:t>
            </w:r>
            <w:r>
              <w:rPr>
                <w:rFonts w:hint="eastAsia" w:asciiTheme="minorEastAsia" w:hAnsiTheme="minorEastAsia" w:eastAsiaTheme="minorEastAsia" w:cstheme="minorEastAsia"/>
                <w:color w:val="auto"/>
                <w:spacing w:val="-1"/>
                <w:sz w:val="24"/>
                <w:lang w:val="en-US" w:eastAsia="zh-CN"/>
              </w:rPr>
              <w:t>5</w:t>
            </w:r>
            <w:r>
              <w:rPr>
                <w:rFonts w:hint="eastAsia" w:asciiTheme="minorEastAsia" w:hAnsiTheme="minorEastAsia" w:eastAsiaTheme="minorEastAsia" w:cstheme="minorEastAsia"/>
                <w:color w:val="auto"/>
                <w:spacing w:val="-1"/>
                <w:sz w:val="24"/>
              </w:rPr>
              <w:t>%）排放量为</w:t>
            </w:r>
            <w:r>
              <w:rPr>
                <w:rFonts w:hint="eastAsia" w:asciiTheme="minorEastAsia" w:hAnsiTheme="minorEastAsia" w:eastAsiaTheme="minorEastAsia" w:cstheme="minorEastAsia"/>
                <w:color w:val="auto"/>
                <w:spacing w:val="-1"/>
                <w:sz w:val="24"/>
                <w:lang w:val="en-US" w:eastAsia="zh-CN"/>
              </w:rPr>
              <w:t>0.0516</w:t>
            </w:r>
            <w:r>
              <w:rPr>
                <w:rFonts w:hint="eastAsia" w:asciiTheme="minorEastAsia" w:hAnsiTheme="minorEastAsia" w:eastAsiaTheme="minorEastAsia" w:cstheme="minorEastAsia"/>
                <w:color w:val="auto"/>
                <w:spacing w:val="-1"/>
                <w:sz w:val="24"/>
              </w:rPr>
              <w:t>t/a，排放速率为</w:t>
            </w:r>
            <w:r>
              <w:rPr>
                <w:rFonts w:hint="eastAsia" w:asciiTheme="minorEastAsia" w:hAnsiTheme="minorEastAsia" w:eastAsiaTheme="minorEastAsia" w:cstheme="minorEastAsia"/>
                <w:color w:val="auto"/>
                <w:spacing w:val="-1"/>
                <w:sz w:val="24"/>
                <w:lang w:val="en-US" w:eastAsia="zh-CN"/>
              </w:rPr>
              <w:t>0.043</w:t>
            </w:r>
            <w:r>
              <w:rPr>
                <w:rFonts w:hint="eastAsia" w:asciiTheme="minorEastAsia" w:hAnsiTheme="minorEastAsia" w:eastAsiaTheme="minorEastAsia" w:cstheme="minorEastAsia"/>
                <w:color w:val="auto"/>
                <w:spacing w:val="-1"/>
                <w:sz w:val="24"/>
              </w:rPr>
              <w:t>kg/h，呈无组织排放，布袋除尘器收集后的粉尘（</w:t>
            </w:r>
            <w:r>
              <w:rPr>
                <w:rFonts w:hint="eastAsia" w:asciiTheme="minorEastAsia" w:hAnsiTheme="minorEastAsia" w:eastAsiaTheme="minorEastAsia" w:cstheme="minorEastAsia"/>
                <w:color w:val="auto"/>
                <w:spacing w:val="-1"/>
                <w:sz w:val="24"/>
                <w:lang w:val="en-US" w:eastAsia="zh-CN"/>
              </w:rPr>
              <w:t>0.9804</w:t>
            </w:r>
            <w:r>
              <w:rPr>
                <w:rFonts w:hint="eastAsia" w:asciiTheme="minorEastAsia" w:hAnsiTheme="minorEastAsia" w:eastAsiaTheme="minorEastAsia" w:cstheme="minorEastAsia"/>
                <w:color w:val="auto"/>
                <w:spacing w:val="-1"/>
                <w:sz w:val="24"/>
              </w:rPr>
              <w:t>t/a）回用于生产</w:t>
            </w:r>
            <w:r>
              <w:rPr>
                <w:rFonts w:hint="eastAsia" w:asciiTheme="minorEastAsia" w:hAnsiTheme="minorEastAsia" w:eastAsiaTheme="minorEastAsia" w:cstheme="minorEastAsia"/>
                <w:color w:val="auto"/>
                <w:spacing w:val="-1"/>
                <w:sz w:val="24"/>
                <w:lang w:eastAsia="zh-CN"/>
              </w:rPr>
              <w:t>。</w:t>
            </w:r>
          </w:p>
          <w:p w14:paraId="40843DD7">
            <w:pPr>
              <w:widowControl/>
              <w:ind w:firstLine="482" w:firstLineChars="200"/>
              <w:jc w:val="left"/>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⑤焊接废气</w:t>
            </w:r>
          </w:p>
          <w:p w14:paraId="6A9CC182">
            <w:pPr>
              <w:widowControl/>
              <w:ind w:firstLine="480" w:firstLineChars="200"/>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本项目在实际生产过程中主要采用的电焊方法为人工电弧焊，在</w:t>
            </w:r>
            <w:r>
              <w:rPr>
                <w:rFonts w:hint="eastAsia" w:asciiTheme="minorEastAsia" w:hAnsiTheme="minorEastAsia" w:eastAsiaTheme="minorEastAsia" w:cstheme="minorEastAsia"/>
                <w:color w:val="auto"/>
                <w:lang w:eastAsia="zh-CN"/>
              </w:rPr>
              <w:t>检查井、井盖</w:t>
            </w:r>
            <w:r>
              <w:rPr>
                <w:rFonts w:hint="eastAsia" w:asciiTheme="minorEastAsia" w:hAnsiTheme="minorEastAsia" w:eastAsiaTheme="minorEastAsia" w:cstheme="minorEastAsia"/>
                <w:color w:val="auto"/>
              </w:rPr>
              <w:t>骨架成型时需要使用电焊机对钢筋进行简单焊接，本项目年产</w:t>
            </w:r>
            <w:r>
              <w:rPr>
                <w:rFonts w:hint="eastAsia" w:asciiTheme="minorEastAsia" w:hAnsiTheme="minorEastAsia" w:eastAsiaTheme="minorEastAsia" w:cstheme="minorEastAsia"/>
                <w:color w:val="auto"/>
                <w:lang w:eastAsia="zh-CN"/>
              </w:rPr>
              <w:t>水泥管</w:t>
            </w:r>
            <w:r>
              <w:rPr>
                <w:rFonts w:hint="eastAsia" w:asciiTheme="minorEastAsia" w:hAnsiTheme="minorEastAsia" w:eastAsiaTheme="minorEastAsia" w:cstheme="minorEastAsia"/>
                <w:color w:val="auto"/>
                <w:lang w:val="en-US" w:eastAsia="zh-CN"/>
              </w:rPr>
              <w:t>5000根，</w:t>
            </w:r>
            <w:r>
              <w:rPr>
                <w:rFonts w:hint="eastAsia" w:asciiTheme="minorEastAsia" w:hAnsiTheme="minorEastAsia" w:eastAsiaTheme="minorEastAsia" w:cstheme="minorEastAsia"/>
                <w:color w:val="auto"/>
              </w:rPr>
              <w:t>检查井年产800座；井盖</w:t>
            </w:r>
            <w:r>
              <w:rPr>
                <w:rFonts w:hint="eastAsia" w:asciiTheme="minorEastAsia" w:hAnsiTheme="minorEastAsia" w:eastAsiaTheme="minorEastAsia" w:cstheme="minorEastAsia"/>
                <w:color w:val="auto"/>
                <w:lang w:eastAsia="zh-CN"/>
              </w:rPr>
              <w:t>年产</w:t>
            </w:r>
            <w:r>
              <w:rPr>
                <w:rFonts w:hint="eastAsia" w:asciiTheme="minorEastAsia" w:hAnsiTheme="minorEastAsia" w:eastAsiaTheme="minorEastAsia" w:cstheme="minorEastAsia"/>
                <w:color w:val="auto"/>
                <w:lang w:val="en-US" w:eastAsia="zh-CN"/>
              </w:rPr>
              <w:t>1万</w:t>
            </w:r>
            <w:r>
              <w:rPr>
                <w:rFonts w:hint="eastAsia" w:asciiTheme="minorEastAsia" w:hAnsiTheme="minorEastAsia" w:eastAsiaTheme="minorEastAsia" w:cstheme="minorEastAsia"/>
                <w:color w:val="auto"/>
              </w:rPr>
              <w:t>套，年焊接原料为0.</w:t>
            </w:r>
            <w:r>
              <w:rPr>
                <w:rFonts w:hint="eastAsia" w:asciiTheme="minorEastAsia" w:hAnsiTheme="minorEastAsia" w:eastAsiaTheme="minorEastAsia" w:cstheme="minorEastAsia"/>
                <w:color w:val="auto"/>
                <w:lang w:val="en-US" w:eastAsia="zh-CN"/>
              </w:rPr>
              <w:t>4</w:t>
            </w:r>
            <w:r>
              <w:rPr>
                <w:rFonts w:hint="eastAsia" w:asciiTheme="minorEastAsia" w:hAnsiTheme="minorEastAsia" w:eastAsiaTheme="minorEastAsia" w:cstheme="minorEastAsia"/>
                <w:color w:val="auto"/>
              </w:rPr>
              <w:t>t/a。根据《焊接技术手册》</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王文翰主编，河南科技技术出版社</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介绍，人工电弧焊的焊接发尘量见下表</w:t>
            </w:r>
            <w:r>
              <w:rPr>
                <w:rFonts w:hint="eastAsia" w:asciiTheme="minorEastAsia" w:hAnsiTheme="minorEastAsia" w:eastAsiaTheme="minorEastAsia" w:cstheme="minorEastAsia"/>
                <w:color w:val="auto"/>
                <w:lang w:eastAsia="zh-CN"/>
              </w:rPr>
              <w:t>。</w:t>
            </w:r>
          </w:p>
          <w:p w14:paraId="3776D38B">
            <w:pPr>
              <w:widowControl/>
              <w:ind w:firstLine="482" w:firstLineChars="200"/>
              <w:jc w:val="center"/>
              <w:rPr>
                <w:rFonts w:hint="default" w:ascii="Times New Roman" w:hAnsi="Times New Roman" w:eastAsia="宋体"/>
                <w:b/>
                <w:bCs/>
                <w:color w:val="auto"/>
                <w:lang w:val="en-US" w:eastAsia="zh-CN"/>
              </w:rPr>
            </w:pPr>
            <w:r>
              <w:rPr>
                <w:rFonts w:hint="eastAsia" w:ascii="Times New Roman" w:hAnsi="Times New Roman"/>
                <w:b/>
                <w:bCs/>
                <w:color w:val="auto"/>
                <w:lang w:eastAsia="zh-CN"/>
              </w:rPr>
              <w:t>表</w:t>
            </w:r>
            <w:r>
              <w:rPr>
                <w:rFonts w:hint="eastAsia" w:ascii="Times New Roman" w:hAnsi="Times New Roman"/>
                <w:b/>
                <w:bCs/>
                <w:color w:val="auto"/>
                <w:lang w:val="en-US" w:eastAsia="zh-CN"/>
              </w:rPr>
              <w:t>4-6 人工电弧焊发尘量</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954"/>
              <w:gridCol w:w="3187"/>
              <w:gridCol w:w="2315"/>
            </w:tblGrid>
            <w:tr w14:paraId="2ED2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027" w:type="pct"/>
                  <w:gridSpan w:val="2"/>
                  <w:vAlign w:val="center"/>
                </w:tcPr>
                <w:p w14:paraId="5EF51687">
                  <w:pPr>
                    <w:widowControl/>
                    <w:spacing w:line="240" w:lineRule="auto"/>
                    <w:jc w:val="center"/>
                    <w:rPr>
                      <w:rFonts w:hint="eastAsia" w:asciiTheme="minorEastAsia" w:hAnsiTheme="minorEastAsia" w:eastAsiaTheme="minorEastAsia" w:cstheme="minorEastAsia"/>
                      <w:b/>
                      <w:bCs/>
                      <w:color w:val="auto"/>
                      <w:sz w:val="21"/>
                      <w:szCs w:val="21"/>
                      <w:vertAlign w:val="baseline"/>
                      <w:lang w:eastAsia="zh-CN"/>
                    </w:rPr>
                  </w:pPr>
                  <w:r>
                    <w:rPr>
                      <w:rFonts w:hint="eastAsia" w:asciiTheme="minorEastAsia" w:hAnsiTheme="minorEastAsia" w:eastAsiaTheme="minorEastAsia" w:cstheme="minorEastAsia"/>
                      <w:b/>
                      <w:bCs/>
                      <w:color w:val="auto"/>
                      <w:sz w:val="21"/>
                      <w:szCs w:val="21"/>
                      <w:vertAlign w:val="baseline"/>
                      <w:lang w:eastAsia="zh-CN"/>
                    </w:rPr>
                    <w:t>焊接方法</w:t>
                  </w:r>
                </w:p>
              </w:tc>
              <w:tc>
                <w:tcPr>
                  <w:tcW w:w="1721" w:type="pct"/>
                  <w:vAlign w:val="center"/>
                </w:tcPr>
                <w:p w14:paraId="67BCA552">
                  <w:pPr>
                    <w:widowControl/>
                    <w:spacing w:line="240" w:lineRule="auto"/>
                    <w:jc w:val="center"/>
                    <w:rPr>
                      <w:rFonts w:hint="eastAsia" w:asciiTheme="minorEastAsia" w:hAnsiTheme="minorEastAsia" w:eastAsiaTheme="minorEastAsia" w:cstheme="minorEastAsia"/>
                      <w:b/>
                      <w:bCs/>
                      <w:color w:val="auto"/>
                      <w:kern w:val="2"/>
                      <w:sz w:val="21"/>
                      <w:szCs w:val="21"/>
                      <w:vertAlign w:val="baseline"/>
                      <w:lang w:val="en-US" w:eastAsia="zh-CN" w:bidi="ar-SA"/>
                    </w:rPr>
                  </w:pPr>
                  <w:r>
                    <w:rPr>
                      <w:rFonts w:hint="eastAsia" w:asciiTheme="minorEastAsia" w:hAnsiTheme="minorEastAsia" w:eastAsiaTheme="minorEastAsia" w:cstheme="minorEastAsia"/>
                      <w:b/>
                      <w:bCs/>
                      <w:color w:val="auto"/>
                      <w:sz w:val="21"/>
                      <w:szCs w:val="21"/>
                      <w:vertAlign w:val="baseline"/>
                      <w:lang w:eastAsia="zh-CN"/>
                    </w:rPr>
                    <w:t>施焊时每分钟发尘量（</w:t>
                  </w:r>
                  <w:r>
                    <w:rPr>
                      <w:rFonts w:hint="eastAsia" w:asciiTheme="minorEastAsia" w:hAnsiTheme="minorEastAsia" w:eastAsiaTheme="minorEastAsia" w:cstheme="minorEastAsia"/>
                      <w:b/>
                      <w:bCs/>
                      <w:color w:val="auto"/>
                      <w:sz w:val="21"/>
                      <w:szCs w:val="21"/>
                      <w:vertAlign w:val="baseline"/>
                      <w:lang w:val="en-US" w:eastAsia="zh-CN"/>
                    </w:rPr>
                    <w:t>mg/min</w:t>
                  </w:r>
                  <w:r>
                    <w:rPr>
                      <w:rFonts w:hint="eastAsia" w:asciiTheme="minorEastAsia" w:hAnsiTheme="minorEastAsia" w:eastAsiaTheme="minorEastAsia" w:cstheme="minorEastAsia"/>
                      <w:b/>
                      <w:bCs/>
                      <w:color w:val="auto"/>
                      <w:sz w:val="21"/>
                      <w:szCs w:val="21"/>
                      <w:vertAlign w:val="baseline"/>
                      <w:lang w:eastAsia="zh-CN"/>
                    </w:rPr>
                    <w:t>）</w:t>
                  </w:r>
                </w:p>
              </w:tc>
              <w:tc>
                <w:tcPr>
                  <w:tcW w:w="1250" w:type="pct"/>
                  <w:vAlign w:val="center"/>
                </w:tcPr>
                <w:p w14:paraId="206D50AB">
                  <w:pPr>
                    <w:widowControl/>
                    <w:spacing w:line="240" w:lineRule="auto"/>
                    <w:jc w:val="center"/>
                    <w:rPr>
                      <w:rFonts w:hint="eastAsia" w:asciiTheme="minorEastAsia" w:hAnsiTheme="minorEastAsia" w:eastAsiaTheme="minorEastAsia" w:cstheme="minorEastAsia"/>
                      <w:b/>
                      <w:bCs/>
                      <w:color w:val="auto"/>
                      <w:kern w:val="2"/>
                      <w:sz w:val="21"/>
                      <w:szCs w:val="21"/>
                      <w:vertAlign w:val="baseline"/>
                      <w:lang w:val="en-US" w:eastAsia="zh-CN" w:bidi="ar-SA"/>
                    </w:rPr>
                  </w:pPr>
                  <w:r>
                    <w:rPr>
                      <w:rFonts w:hint="eastAsia" w:asciiTheme="minorEastAsia" w:hAnsiTheme="minorEastAsia" w:eastAsiaTheme="minorEastAsia" w:cstheme="minorEastAsia"/>
                      <w:b/>
                      <w:bCs/>
                      <w:color w:val="auto"/>
                      <w:sz w:val="21"/>
                      <w:szCs w:val="21"/>
                      <w:vertAlign w:val="baseline"/>
                      <w:lang w:eastAsia="zh-CN"/>
                    </w:rPr>
                    <w:t>每公斤焊接材料发尘量（</w:t>
                  </w:r>
                  <w:r>
                    <w:rPr>
                      <w:rFonts w:hint="eastAsia" w:asciiTheme="minorEastAsia" w:hAnsiTheme="minorEastAsia" w:eastAsiaTheme="minorEastAsia" w:cstheme="minorEastAsia"/>
                      <w:b/>
                      <w:bCs/>
                      <w:color w:val="auto"/>
                      <w:sz w:val="21"/>
                      <w:szCs w:val="21"/>
                      <w:vertAlign w:val="baseline"/>
                      <w:lang w:val="en-US" w:eastAsia="zh-CN"/>
                    </w:rPr>
                    <w:t>g/kg</w:t>
                  </w:r>
                  <w:r>
                    <w:rPr>
                      <w:rFonts w:hint="eastAsia" w:asciiTheme="minorEastAsia" w:hAnsiTheme="minorEastAsia" w:eastAsiaTheme="minorEastAsia" w:cstheme="minorEastAsia"/>
                      <w:b/>
                      <w:bCs/>
                      <w:color w:val="auto"/>
                      <w:sz w:val="21"/>
                      <w:szCs w:val="21"/>
                      <w:vertAlign w:val="baseline"/>
                      <w:lang w:eastAsia="zh-CN"/>
                    </w:rPr>
                    <w:t>）</w:t>
                  </w:r>
                </w:p>
              </w:tc>
            </w:tr>
            <w:tr w14:paraId="03FF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972" w:type="pct"/>
                  <w:vAlign w:val="center"/>
                </w:tcPr>
                <w:p w14:paraId="213EBDB5">
                  <w:pPr>
                    <w:widowControl/>
                    <w:spacing w:line="240" w:lineRule="auto"/>
                    <w:jc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手工电弧焊</w:t>
                  </w:r>
                </w:p>
              </w:tc>
              <w:tc>
                <w:tcPr>
                  <w:tcW w:w="1055" w:type="pct"/>
                  <w:vAlign w:val="center"/>
                </w:tcPr>
                <w:p w14:paraId="11CCDAB3">
                  <w:pPr>
                    <w:widowControl/>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JIS Z3211焊条</w:t>
                  </w:r>
                </w:p>
              </w:tc>
              <w:tc>
                <w:tcPr>
                  <w:tcW w:w="1721" w:type="pct"/>
                  <w:vAlign w:val="center"/>
                </w:tcPr>
                <w:p w14:paraId="026D7EB5">
                  <w:pPr>
                    <w:widowControl/>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200-280</w:t>
                  </w:r>
                </w:p>
              </w:tc>
              <w:tc>
                <w:tcPr>
                  <w:tcW w:w="1250" w:type="pct"/>
                  <w:vAlign w:val="center"/>
                </w:tcPr>
                <w:p w14:paraId="133CF0F5">
                  <w:pPr>
                    <w:widowControl/>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6-8</w:t>
                  </w:r>
                </w:p>
              </w:tc>
            </w:tr>
          </w:tbl>
          <w:p w14:paraId="62077DEA">
            <w:pPr>
              <w:widowControl/>
              <w:ind w:firstLine="480" w:firstLineChars="200"/>
              <w:jc w:val="both"/>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根据《焊接技术手册》</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王文翰主编，河南科技技术出版社</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介绍，焊接烟气中的烟尘含量最多的为Fe0</w:t>
            </w:r>
            <w:r>
              <w:rPr>
                <w:rFonts w:hint="eastAsia" w:asciiTheme="minorEastAsia" w:hAnsiTheme="minorEastAsia" w:eastAsiaTheme="minorEastAsia" w:cstheme="minorEastAsia"/>
                <w:color w:val="000000" w:themeColor="text1"/>
                <w:vertAlign w:val="subscript"/>
                <w14:textFill>
                  <w14:solidFill>
                    <w14:schemeClr w14:val="tx1"/>
                  </w14:solidFill>
                </w14:textFill>
              </w:rPr>
              <w:t>3</w:t>
            </w:r>
            <w:r>
              <w:rPr>
                <w:rFonts w:hint="eastAsia" w:asciiTheme="minorEastAsia" w:hAnsiTheme="minorEastAsia" w:eastAsiaTheme="minorEastAsia" w:cstheme="minorEastAsia"/>
                <w:color w:val="000000" w:themeColor="text1"/>
                <w14:textFill>
                  <w14:solidFill>
                    <w14:schemeClr w14:val="tx1"/>
                  </w14:solidFill>
                </w14:textFill>
              </w:rPr>
              <w:t>，一般占烟尘总量的35.56%，其次是SiO</w:t>
            </w:r>
            <w:r>
              <w:rPr>
                <w:rFonts w:hint="eastAsia" w:asciiTheme="minorEastAsia" w:hAnsiTheme="minorEastAsia" w:eastAsiaTheme="minorEastAsia" w:cstheme="minorEastAsia"/>
                <w:color w:val="000000" w:themeColor="text1"/>
                <w:vertAlign w:val="subscript"/>
                <w14:textFill>
                  <w14:solidFill>
                    <w14:schemeClr w14:val="tx1"/>
                  </w14:solidFill>
                </w14:textFill>
              </w:rPr>
              <w:t>2</w:t>
            </w:r>
            <w:r>
              <w:rPr>
                <w:rFonts w:hint="eastAsia" w:asciiTheme="minorEastAsia" w:hAnsiTheme="minorEastAsia" w:eastAsiaTheme="minorEastAsia" w:cstheme="minorEastAsia"/>
                <w:color w:val="000000" w:themeColor="text1"/>
                <w14:textFill>
                  <w14:solidFill>
                    <w14:schemeClr w14:val="tx1"/>
                  </w14:solidFill>
                </w14:textFill>
              </w:rPr>
              <w:t>，其含量占10%</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20%</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本环评按最不利原则计算取20%</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，MnO占5</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20%左右</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本环评按最不利原则计算取20%</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，本项目焊条用量为0.</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14:textFill>
                  <w14:solidFill>
                    <w14:schemeClr w14:val="tx1"/>
                  </w14:solidFill>
                </w14:textFill>
              </w:rPr>
              <w:t>t/a，则项目烟尘产量为</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3.2</w:t>
            </w:r>
            <w:r>
              <w:rPr>
                <w:rFonts w:hint="eastAsia" w:asciiTheme="minorEastAsia" w:hAnsiTheme="minorEastAsia" w:eastAsiaTheme="minorEastAsia" w:cstheme="minorEastAsia"/>
                <w:color w:val="000000" w:themeColor="text1"/>
                <w14:textFill>
                  <w14:solidFill>
                    <w14:schemeClr w14:val="tx1"/>
                  </w14:solidFill>
                </w14:textFill>
              </w:rPr>
              <w:t>kg/a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14:textFill>
                  <w14:solidFill>
                    <w14:schemeClr w14:val="tx1"/>
                  </w14:solidFill>
                </w14:textFill>
              </w:rPr>
              <w:t>g/d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，其中 Fe0</w:t>
            </w:r>
            <w:r>
              <w:rPr>
                <w:rFonts w:hint="eastAsia" w:asciiTheme="minorEastAsia" w:hAnsiTheme="minorEastAsia" w:eastAsiaTheme="minorEastAsia" w:cstheme="minorEastAsia"/>
                <w:color w:val="000000" w:themeColor="text1"/>
                <w:vertAlign w:val="subscript"/>
                <w14:textFill>
                  <w14:solidFill>
                    <w14:schemeClr w14:val="tx1"/>
                  </w14:solidFill>
                </w14:textFill>
              </w:rPr>
              <w:t>3</w:t>
            </w:r>
            <w:r>
              <w:rPr>
                <w:rFonts w:hint="eastAsia" w:asciiTheme="minorEastAsia" w:hAnsiTheme="minorEastAsia" w:eastAsiaTheme="minorEastAsia" w:cstheme="minorEastAsia"/>
                <w:color w:val="000000" w:themeColor="text1"/>
                <w14:textFill>
                  <w14:solidFill>
                    <w14:schemeClr w14:val="tx1"/>
                  </w14:solidFill>
                </w14:textFill>
              </w:rPr>
              <w:t>为</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1.138</w:t>
            </w:r>
            <w:r>
              <w:rPr>
                <w:rFonts w:hint="eastAsia" w:asciiTheme="minorEastAsia" w:hAnsiTheme="minorEastAsia" w:eastAsiaTheme="minorEastAsia" w:cstheme="minorEastAsia"/>
                <w:color w:val="000000" w:themeColor="text1"/>
                <w14:textFill>
                  <w14:solidFill>
                    <w14:schemeClr w14:val="tx1"/>
                  </w14:solidFill>
                </w14:textFill>
              </w:rPr>
              <w:t>kg/a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5.69</w:t>
            </w:r>
            <w:r>
              <w:rPr>
                <w:rFonts w:hint="eastAsia" w:asciiTheme="minorEastAsia" w:hAnsiTheme="minorEastAsia" w:eastAsiaTheme="minorEastAsia" w:cstheme="minorEastAsia"/>
                <w:color w:val="000000" w:themeColor="text1"/>
                <w14:textFill>
                  <w14:solidFill>
                    <w14:schemeClr w14:val="tx1"/>
                  </w14:solidFill>
                </w14:textFill>
              </w:rPr>
              <w:t>g/d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、SiO</w:t>
            </w:r>
            <w:r>
              <w:rPr>
                <w:rFonts w:hint="eastAsia" w:asciiTheme="minorEastAsia" w:hAnsiTheme="minorEastAsia" w:eastAsiaTheme="minorEastAsia" w:cstheme="minorEastAsia"/>
                <w:color w:val="000000" w:themeColor="text1"/>
                <w:vertAlign w:val="subscript"/>
                <w14:textFill>
                  <w14:solidFill>
                    <w14:schemeClr w14:val="tx1"/>
                  </w14:solidFill>
                </w14:textFill>
              </w:rPr>
              <w:t>2</w:t>
            </w:r>
            <w:r>
              <w:rPr>
                <w:rFonts w:hint="eastAsia" w:asciiTheme="minorEastAsia" w:hAnsiTheme="minorEastAsia" w:eastAsiaTheme="minorEastAsia" w:cstheme="minorEastAsia"/>
                <w:color w:val="000000" w:themeColor="text1"/>
                <w14:textFill>
                  <w14:solidFill>
                    <w14:schemeClr w14:val="tx1"/>
                  </w14:solidFill>
                </w14:textFill>
              </w:rPr>
              <w:t>为</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0.64</w:t>
            </w:r>
            <w:r>
              <w:rPr>
                <w:rFonts w:hint="eastAsia" w:asciiTheme="minorEastAsia" w:hAnsiTheme="minorEastAsia" w:eastAsiaTheme="minorEastAsia" w:cstheme="minorEastAsia"/>
                <w:color w:val="000000" w:themeColor="text1"/>
                <w14:textFill>
                  <w14:solidFill>
                    <w14:schemeClr w14:val="tx1"/>
                  </w14:solidFill>
                </w14:textFill>
              </w:rPr>
              <w:t>kg/a</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0.0034</w:t>
            </w:r>
            <w:r>
              <w:rPr>
                <w:rFonts w:hint="eastAsia" w:asciiTheme="minorEastAsia" w:hAnsiTheme="minorEastAsia" w:eastAsiaTheme="minorEastAsia" w:cstheme="minorEastAsia"/>
                <w:color w:val="000000" w:themeColor="text1"/>
                <w14:textFill>
                  <w14:solidFill>
                    <w14:schemeClr w14:val="tx1"/>
                  </w14:solidFill>
                </w14:textFill>
              </w:rPr>
              <w:t>g/d</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、MnO 为0.64kg/a（0.0034g/d）。</w:t>
            </w:r>
          </w:p>
          <w:p w14:paraId="17065AF7">
            <w:pPr>
              <w:widowControl/>
              <w:ind w:firstLine="480" w:firstLineChars="200"/>
              <w:jc w:val="both"/>
              <w:rPr>
                <w:rFonts w:hint="eastAsia" w:ascii="Times New Roman" w:hAnsi="Times New Roman"/>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本项目焊接工序</w:t>
            </w:r>
            <w:r>
              <w:rPr>
                <w:rFonts w:hint="eastAsia" w:asciiTheme="minorEastAsia" w:hAnsiTheme="minorEastAsia" w:eastAsiaTheme="minorEastAsia" w:cstheme="minorEastAsia"/>
                <w:color w:val="000000" w:themeColor="text1"/>
                <w:lang w:eastAsia="zh-CN"/>
                <w14:textFill>
                  <w14:solidFill>
                    <w14:schemeClr w14:val="tx1"/>
                  </w14:solidFill>
                </w14:textFill>
              </w:rPr>
              <w:t>烟尘产生量很少，可</w:t>
            </w:r>
            <w:r>
              <w:rPr>
                <w:rFonts w:hint="eastAsia" w:asciiTheme="minorEastAsia" w:hAnsiTheme="minorEastAsia" w:eastAsiaTheme="minorEastAsia" w:cstheme="minorEastAsia"/>
                <w:color w:val="000000" w:themeColor="text1"/>
                <w14:textFill>
                  <w14:solidFill>
                    <w14:schemeClr w14:val="tx1"/>
                  </w14:solidFill>
                </w14:textFill>
              </w:rPr>
              <w:t>不设置电焊烟</w:t>
            </w:r>
            <w:r>
              <w:rPr>
                <w:rFonts w:hint="eastAsia" w:asciiTheme="minorEastAsia" w:hAnsiTheme="minorEastAsia" w:eastAsiaTheme="minorEastAsia" w:cstheme="minorEastAsia"/>
                <w:color w:val="000000" w:themeColor="text1"/>
                <w:lang w:eastAsia="zh-CN"/>
                <w14:textFill>
                  <w14:solidFill>
                    <w14:schemeClr w14:val="tx1"/>
                  </w14:solidFill>
                </w14:textFill>
              </w:rPr>
              <w:t>尘</w:t>
            </w:r>
            <w:r>
              <w:rPr>
                <w:rFonts w:hint="eastAsia" w:asciiTheme="minorEastAsia" w:hAnsiTheme="minorEastAsia" w:eastAsiaTheme="minorEastAsia" w:cstheme="minorEastAsia"/>
                <w:color w:val="000000" w:themeColor="text1"/>
                <w14:textFill>
                  <w14:solidFill>
                    <w14:schemeClr w14:val="tx1"/>
                  </w14:solidFill>
                </w14:textFill>
              </w:rPr>
              <w:t>控制措施，</w:t>
            </w:r>
            <w:r>
              <w:rPr>
                <w:rFonts w:hint="eastAsia" w:asciiTheme="minorEastAsia" w:hAnsiTheme="minorEastAsia" w:eastAsiaTheme="minorEastAsia" w:cstheme="minorEastAsia"/>
                <w:color w:val="000000" w:themeColor="text1"/>
                <w:lang w:eastAsia="zh-CN"/>
                <w14:textFill>
                  <w14:solidFill>
                    <w14:schemeClr w14:val="tx1"/>
                  </w14:solidFill>
                </w14:textFill>
              </w:rPr>
              <w:t>烟尘</w:t>
            </w:r>
            <w:r>
              <w:rPr>
                <w:rFonts w:hint="eastAsia" w:asciiTheme="minorEastAsia" w:hAnsiTheme="minorEastAsia" w:eastAsiaTheme="minorEastAsia" w:cstheme="minorEastAsia"/>
                <w:color w:val="000000" w:themeColor="text1"/>
                <w14:textFill>
                  <w14:solidFill>
                    <w14:schemeClr w14:val="tx1"/>
                  </w14:solidFill>
                </w14:textFill>
              </w:rPr>
              <w:t>在厂</w:t>
            </w:r>
            <w:r>
              <w:rPr>
                <w:rFonts w:hint="eastAsia" w:asciiTheme="minorEastAsia" w:hAnsiTheme="minorEastAsia" w:eastAsiaTheme="minorEastAsia" w:cstheme="minorEastAsia"/>
                <w:color w:val="000000" w:themeColor="text1"/>
                <w:lang w:eastAsia="zh-CN"/>
                <w14:textFill>
                  <w14:solidFill>
                    <w14:schemeClr w14:val="tx1"/>
                  </w14:solidFill>
                </w14:textFill>
              </w:rPr>
              <w:t>区</w:t>
            </w:r>
            <w:r>
              <w:rPr>
                <w:rFonts w:hint="eastAsia" w:asciiTheme="minorEastAsia" w:hAnsiTheme="minorEastAsia" w:eastAsiaTheme="minorEastAsia" w:cstheme="minorEastAsia"/>
                <w:color w:val="000000" w:themeColor="text1"/>
                <w14:textFill>
                  <w14:solidFill>
                    <w14:schemeClr w14:val="tx1"/>
                  </w14:solidFill>
                </w14:textFill>
              </w:rPr>
              <w:t>内自由扩散，以无组织形式排放。根据《第二次全国污染源普查工业污染源普查产排污系数手册——145 机械行业系数手册》，焊接核算环节（产品为焊接件，主要工艺为手工电弧焊） 工业废气量产污系数为2130193，则项目工业废气量为</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852077.2</w:t>
            </w:r>
            <w:r>
              <w:rPr>
                <w:rFonts w:hint="eastAsia" w:asciiTheme="minorEastAsia" w:hAnsiTheme="minorEastAsia" w:eastAsiaTheme="minorEastAsia" w:cstheme="minorEastAsia"/>
                <w:color w:val="000000" w:themeColor="text1"/>
                <w14:textFill>
                  <w14:solidFill>
                    <w14:schemeClr w14:val="tx1"/>
                  </w14:solidFill>
                </w14:textFill>
              </w:rPr>
              <w:t>m</w:t>
            </w:r>
            <w:r>
              <w:rPr>
                <w:rFonts w:hint="eastAsia" w:asciiTheme="minorEastAsia" w:hAnsiTheme="minorEastAsia" w:eastAsiaTheme="minorEastAsia" w:cstheme="minorEastAsia"/>
                <w:color w:val="000000" w:themeColor="text1"/>
                <w:vertAlign w:val="superscript"/>
                <w14:textFill>
                  <w14:solidFill>
                    <w14:schemeClr w14:val="tx1"/>
                  </w14:solidFill>
                </w14:textFill>
              </w:rPr>
              <w:t>3</w:t>
            </w:r>
            <w:r>
              <w:rPr>
                <w:rFonts w:hint="eastAsia" w:asciiTheme="minorEastAsia" w:hAnsiTheme="minorEastAsia" w:eastAsiaTheme="minorEastAsia" w:cstheme="minorEastAsia"/>
                <w:color w:val="000000" w:themeColor="text1"/>
                <w14:textFill>
                  <w14:solidFill>
                    <w14:schemeClr w14:val="tx1"/>
                  </w14:solidFill>
                </w14:textFill>
              </w:rPr>
              <w:t>/a，电焊烟尘产生量为：</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33.2</w:t>
            </w:r>
            <w:r>
              <w:rPr>
                <w:rFonts w:hint="eastAsia" w:asciiTheme="minorEastAsia" w:hAnsiTheme="minorEastAsia" w:eastAsiaTheme="minorEastAsia" w:cstheme="minorEastAsia"/>
                <w:color w:val="000000" w:themeColor="text1"/>
                <w14:textFill>
                  <w14:solidFill>
                    <w14:schemeClr w14:val="tx1"/>
                  </w14:solidFill>
                </w14:textFill>
              </w:rPr>
              <w:t>kg/a，产生浓度为</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3.755</w:t>
            </w:r>
            <w:r>
              <w:rPr>
                <w:rFonts w:hint="eastAsia" w:asciiTheme="minorEastAsia" w:hAnsiTheme="minorEastAsia" w:eastAsiaTheme="minorEastAsia" w:cstheme="minorEastAsia"/>
                <w:color w:val="000000" w:themeColor="text1"/>
                <w14:textFill>
                  <w14:solidFill>
                    <w14:schemeClr w14:val="tx1"/>
                  </w14:solidFill>
                </w14:textFill>
              </w:rPr>
              <w:t>mg/m</w:t>
            </w:r>
            <w:r>
              <w:rPr>
                <w:rFonts w:hint="eastAsia" w:asciiTheme="minorEastAsia" w:hAnsiTheme="minorEastAsia" w:eastAsiaTheme="minorEastAsia" w:cstheme="minorEastAsia"/>
                <w:color w:val="000000" w:themeColor="text1"/>
                <w:vertAlign w:val="superscript"/>
                <w14:textFill>
                  <w14:solidFill>
                    <w14:schemeClr w14:val="tx1"/>
                  </w14:solidFill>
                </w14:textFill>
              </w:rPr>
              <w:t>3</w:t>
            </w:r>
            <w:r>
              <w:rPr>
                <w:rFonts w:hint="eastAsia" w:asciiTheme="minorEastAsia" w:hAnsiTheme="minorEastAsia" w:eastAsiaTheme="minorEastAsia" w:cstheme="minorEastAsia"/>
                <w:color w:val="000000" w:themeColor="text1"/>
                <w14:textFill>
                  <w14:solidFill>
                    <w14:schemeClr w14:val="tx1"/>
                  </w14:solidFill>
                </w14:textFill>
              </w:rPr>
              <w:t>，达到《车间空气中电焊烟尘卫生标准》</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GB 16194-1996</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规定车间空气中最高容许浓度6mg/m</w:t>
            </w:r>
            <w:r>
              <w:rPr>
                <w:rFonts w:hint="eastAsia" w:asciiTheme="minorEastAsia" w:hAnsiTheme="minorEastAsia" w:eastAsiaTheme="minorEastAsia" w:cstheme="minorEastAsia"/>
                <w:color w:val="000000" w:themeColor="text1"/>
                <w:vertAlign w:val="superscript"/>
                <w14:textFill>
                  <w14:solidFill>
                    <w14:schemeClr w14:val="tx1"/>
                  </w14:solidFill>
                </w14:textFill>
              </w:rPr>
              <w:t>3</w:t>
            </w:r>
            <w:r>
              <w:rPr>
                <w:rFonts w:hint="eastAsia" w:asciiTheme="minorEastAsia" w:hAnsiTheme="minorEastAsia" w:eastAsiaTheme="minorEastAsia" w:cstheme="minorEastAsia"/>
                <w:color w:val="000000" w:themeColor="text1"/>
                <w14:textFill>
                  <w14:solidFill>
                    <w14:schemeClr w14:val="tx1"/>
                  </w14:solidFill>
                </w14:textFill>
              </w:rPr>
              <w:t>，可达标排放</w:t>
            </w:r>
            <w:r>
              <w:rPr>
                <w:rFonts w:hint="eastAsia" w:asciiTheme="minorEastAsia" w:hAnsiTheme="minorEastAsia" w:eastAsiaTheme="minorEastAsia" w:cstheme="minorEastAsia"/>
                <w:color w:val="000000" w:themeColor="text1"/>
                <w:lang w:eastAsia="zh-CN"/>
                <w14:textFill>
                  <w14:solidFill>
                    <w14:schemeClr w14:val="tx1"/>
                  </w14:solidFill>
                </w14:textFill>
              </w:rPr>
              <w:t>，对周围大气环境饿影响较小</w:t>
            </w:r>
            <w:r>
              <w:rPr>
                <w:rFonts w:hint="eastAsia" w:asciiTheme="minorEastAsia" w:hAnsiTheme="minorEastAsia" w:eastAsiaTheme="minorEastAsia" w:cstheme="minorEastAsia"/>
                <w:color w:val="000000" w:themeColor="text1"/>
                <w14:textFill>
                  <w14:solidFill>
                    <w14:schemeClr w14:val="tx1"/>
                  </w14:solidFill>
                </w14:textFill>
              </w:rPr>
              <w:t>。</w:t>
            </w:r>
          </w:p>
          <w:p w14:paraId="0F6CED57">
            <w:pPr>
              <w:pStyle w:val="36"/>
              <w:ind w:firstLine="482"/>
              <w:rPr>
                <w:rFonts w:hint="default" w:ascii="Times New Roman" w:hAnsi="Times New Roman" w:eastAsia="宋体"/>
                <w:b/>
                <w:bCs/>
                <w:color w:val="auto"/>
                <w:lang w:val="en-US" w:eastAsia="zh-CN"/>
              </w:rPr>
            </w:pPr>
            <w:r>
              <w:rPr>
                <w:rFonts w:hint="eastAsia" w:ascii="Times New Roman" w:hAnsi="Times New Roman"/>
                <w:b/>
                <w:bCs/>
                <w:color w:val="auto"/>
              </w:rPr>
              <w:t>（2）</w:t>
            </w:r>
            <w:r>
              <w:rPr>
                <w:rFonts w:hint="eastAsia" w:ascii="Times New Roman" w:hAnsi="Times New Roman"/>
                <w:b/>
                <w:color w:val="auto"/>
                <w:lang w:val="en-US" w:eastAsia="zh-CN"/>
              </w:rPr>
              <w:t>运输车辆产生的粉尘</w:t>
            </w:r>
          </w:p>
          <w:p w14:paraId="763919DA">
            <w:pPr>
              <w:pStyle w:val="36"/>
              <w:ind w:firstLine="480"/>
              <w:rPr>
                <w:rFonts w:hint="eastAsia" w:ascii="Times New Roman" w:hAnsi="Times New Roman"/>
                <w:color w:val="auto"/>
                <w:lang w:eastAsia="zh-CN"/>
              </w:rPr>
            </w:pPr>
            <w:r>
              <w:rPr>
                <w:rFonts w:hint="eastAsia" w:ascii="Times New Roman" w:hAnsi="Times New Roman"/>
                <w:b w:val="0"/>
                <w:bCs/>
                <w:color w:val="auto"/>
                <w:lang w:val="en-US" w:eastAsia="zh-CN"/>
              </w:rPr>
              <w:t>运输车辆产生的粉尘</w:t>
            </w:r>
            <w:r>
              <w:rPr>
                <w:rFonts w:ascii="Times New Roman" w:hAnsi="Times New Roman"/>
                <w:color w:val="auto"/>
              </w:rPr>
              <w:t>主要来自于车辆驶入、驶出时</w:t>
            </w:r>
            <w:r>
              <w:rPr>
                <w:rFonts w:hint="eastAsia" w:ascii="Times New Roman" w:hAnsi="Times New Roman"/>
                <w:color w:val="auto"/>
                <w:lang w:val="en-US" w:eastAsia="zh-CN"/>
              </w:rPr>
              <w:t>产生的少量粉尘，此类粉尘</w:t>
            </w:r>
            <w:r>
              <w:rPr>
                <w:rFonts w:ascii="Times New Roman" w:hAnsi="Times New Roman"/>
                <w:color w:val="auto"/>
              </w:rPr>
              <w:t>排放量不仅与车型、车速、怠速时间、单位时间排放量有关，还与排气温度有关</w:t>
            </w:r>
            <w:r>
              <w:rPr>
                <w:rFonts w:hint="eastAsia" w:ascii="Times New Roman" w:hAnsi="Times New Roman"/>
                <w:color w:val="auto"/>
                <w:lang w:eastAsia="zh-CN"/>
              </w:rPr>
              <w:t>，</w:t>
            </w:r>
            <w:r>
              <w:rPr>
                <w:rFonts w:hint="eastAsia" w:ascii="Times New Roman" w:hAnsi="Times New Roman"/>
                <w:color w:val="auto"/>
                <w:lang w:val="en-US" w:eastAsia="zh-CN"/>
              </w:rPr>
              <w:t>由于车辆行驶频率为间断的，车辆行驶产生的粉尘也为间断</w:t>
            </w:r>
            <w:r>
              <w:rPr>
                <w:rFonts w:ascii="Times New Roman" w:hAnsi="Times New Roman"/>
                <w:color w:val="auto"/>
              </w:rPr>
              <w:t>不连续产生</w:t>
            </w:r>
            <w:r>
              <w:rPr>
                <w:rFonts w:hint="eastAsia" w:ascii="Times New Roman" w:hAnsi="Times New Roman"/>
                <w:color w:val="auto"/>
                <w:lang w:eastAsia="zh-CN"/>
              </w:rPr>
              <w:t>，</w:t>
            </w:r>
            <w:r>
              <w:rPr>
                <w:rFonts w:ascii="Times New Roman" w:hAnsi="Times New Roman"/>
                <w:color w:val="auto"/>
              </w:rPr>
              <w:t>呈无组织排放</w:t>
            </w:r>
            <w:r>
              <w:rPr>
                <w:rFonts w:hint="eastAsia" w:ascii="Times New Roman" w:hAnsi="Times New Roman"/>
                <w:color w:val="auto"/>
              </w:rPr>
              <w:t>，</w:t>
            </w:r>
            <w:r>
              <w:rPr>
                <w:rFonts w:hint="eastAsia" w:ascii="Times New Roman" w:hAnsi="Times New Roman"/>
                <w:color w:val="auto"/>
                <w:lang w:val="en-US" w:eastAsia="zh-CN"/>
              </w:rPr>
              <w:t>经大气稀释扩散后</w:t>
            </w:r>
            <w:r>
              <w:rPr>
                <w:rFonts w:hint="eastAsia" w:ascii="Times New Roman" w:hAnsi="Times New Roman"/>
                <w:color w:val="auto"/>
              </w:rPr>
              <w:t>对周围大气环境的影响较小</w:t>
            </w:r>
            <w:r>
              <w:rPr>
                <w:rFonts w:hint="eastAsia" w:ascii="Times New Roman" w:hAnsi="Times New Roman"/>
                <w:color w:val="auto"/>
                <w:lang w:eastAsia="zh-CN"/>
              </w:rPr>
              <w:t>。</w:t>
            </w:r>
          </w:p>
          <w:p w14:paraId="43C33C01">
            <w:pPr>
              <w:pStyle w:val="36"/>
              <w:ind w:firstLine="480"/>
              <w:rPr>
                <w:rFonts w:hint="eastAsia" w:ascii="Times New Roman" w:hAnsi="Times New Roman"/>
                <w:b/>
                <w:bCs/>
                <w:color w:val="auto"/>
                <w:lang w:eastAsia="zh-CN"/>
              </w:rPr>
            </w:pPr>
            <w:r>
              <w:rPr>
                <w:rFonts w:hint="eastAsia" w:ascii="Times New Roman" w:hAnsi="Times New Roman"/>
                <w:b/>
                <w:bCs/>
                <w:color w:val="auto"/>
                <w:lang w:eastAsia="zh-CN"/>
              </w:rPr>
              <w:t>（</w:t>
            </w:r>
            <w:r>
              <w:rPr>
                <w:rFonts w:hint="eastAsia" w:ascii="Times New Roman" w:hAnsi="Times New Roman"/>
                <w:b/>
                <w:bCs/>
                <w:color w:val="auto"/>
                <w:lang w:val="en-US" w:eastAsia="zh-CN"/>
              </w:rPr>
              <w:t>3</w:t>
            </w:r>
            <w:r>
              <w:rPr>
                <w:rFonts w:hint="eastAsia" w:ascii="Times New Roman" w:hAnsi="Times New Roman"/>
                <w:b/>
                <w:bCs/>
                <w:color w:val="auto"/>
                <w:lang w:eastAsia="zh-CN"/>
              </w:rPr>
              <w:t>）油烟</w:t>
            </w:r>
          </w:p>
          <w:p w14:paraId="07912C71">
            <w:pPr>
              <w:pStyle w:val="36"/>
              <w:ind w:firstLine="480"/>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本项目用餐人数</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lang w:eastAsia="zh-CN"/>
                <w14:textFill>
                  <w14:solidFill>
                    <w14:schemeClr w14:val="tx1"/>
                  </w14:solidFill>
                </w14:textFill>
              </w:rPr>
              <w:t>人。本环评要求采用瓶装液化气、电等清洁能源作为燃料。按平衡膳食推荐，以人均日使用</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lang w:eastAsia="zh-CN"/>
                <w14:textFill>
                  <w14:solidFill>
                    <w14:schemeClr w14:val="tx1"/>
                  </w14:solidFill>
                </w14:textFill>
              </w:rPr>
              <w:t>油用量约10g/人·餐，一般油烟挥发量占耗油量的2-4%，平均为2.83%。项目每天供应三餐，每天耗油0.</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lang w:eastAsia="zh-CN"/>
                <w14:textFill>
                  <w14:solidFill>
                    <w14:schemeClr w14:val="tx1"/>
                  </w14:solidFill>
                </w14:textFill>
              </w:rPr>
              <w:t>kg/d，每年做饭约</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200d,</w:t>
            </w:r>
            <w:r>
              <w:rPr>
                <w:rFonts w:hint="eastAsia" w:asciiTheme="minorEastAsia" w:hAnsiTheme="minorEastAsia" w:eastAsiaTheme="minorEastAsia" w:cstheme="minorEastAsia"/>
                <w:color w:val="000000" w:themeColor="text1"/>
                <w:lang w:eastAsia="zh-CN"/>
                <w14:textFill>
                  <w14:solidFill>
                    <w14:schemeClr w14:val="tx1"/>
                  </w14:solidFill>
                </w14:textFill>
              </w:rPr>
              <w:t>则油烟产生量约为0.</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lang w:eastAsia="zh-CN"/>
                <w14:textFill>
                  <w14:solidFill>
                    <w14:schemeClr w14:val="tx1"/>
                  </w14:solidFill>
                </w14:textFill>
              </w:rPr>
              <w:t>0</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679</w:t>
            </w:r>
            <w:r>
              <w:rPr>
                <w:rFonts w:hint="eastAsia" w:asciiTheme="minorEastAsia" w:hAnsiTheme="minorEastAsia" w:eastAsiaTheme="minorEastAsia" w:cstheme="minorEastAsia"/>
                <w:color w:val="000000" w:themeColor="text1"/>
                <w:lang w:eastAsia="zh-CN"/>
                <w14:textFill>
                  <w14:solidFill>
                    <w14:schemeClr w14:val="tx1"/>
                  </w14:solidFill>
                </w14:textFill>
              </w:rPr>
              <w:t>kg/d，</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1.358</w:t>
            </w:r>
            <w:r>
              <w:rPr>
                <w:rFonts w:hint="eastAsia" w:asciiTheme="minorEastAsia" w:hAnsiTheme="minorEastAsia" w:eastAsiaTheme="minorEastAsia" w:cstheme="minorEastAsia"/>
                <w:color w:val="000000" w:themeColor="text1"/>
                <w:lang w:eastAsia="zh-CN"/>
                <w14:textFill>
                  <w14:solidFill>
                    <w14:schemeClr w14:val="tx1"/>
                  </w14:solidFill>
                </w14:textFill>
              </w:rPr>
              <w:t>kg/a。排风量按2小时计为4000m</w:t>
            </w:r>
            <w:r>
              <w:rPr>
                <w:rFonts w:hint="eastAsia" w:asciiTheme="minorEastAsia" w:hAnsiTheme="minorEastAsia" w:eastAsiaTheme="minorEastAsia" w:cstheme="minorEastAsia"/>
                <w:color w:val="000000" w:themeColor="text1"/>
                <w:vertAlign w:val="superscript"/>
                <w:lang w:eastAsia="zh-CN"/>
                <w14:textFill>
                  <w14:solidFill>
                    <w14:schemeClr w14:val="tx1"/>
                  </w14:solidFill>
                </w14:textFill>
              </w:rPr>
              <w:t>3</w:t>
            </w:r>
            <w:r>
              <w:rPr>
                <w:rFonts w:hint="eastAsia" w:asciiTheme="minorEastAsia" w:hAnsiTheme="minorEastAsia" w:eastAsiaTheme="minorEastAsia" w:cstheme="minorEastAsia"/>
                <w:color w:val="000000" w:themeColor="text1"/>
                <w:lang w:eastAsia="zh-CN"/>
                <w14:textFill>
                  <w14:solidFill>
                    <w14:schemeClr w14:val="tx1"/>
                  </w14:solidFill>
                </w14:textFill>
              </w:rPr>
              <w:t>/d，</w:t>
            </w:r>
            <w:r>
              <w:rPr>
                <w:rFonts w:hint="eastAsia" w:asciiTheme="majorEastAsia" w:hAnsiTheme="majorEastAsia" w:eastAsiaTheme="majorEastAsia" w:cstheme="majorEastAsia"/>
                <w:color w:val="auto"/>
                <w:lang w:eastAsia="zh-CN"/>
              </w:rPr>
              <w:t>排放浓度为</w:t>
            </w:r>
            <w:r>
              <w:rPr>
                <w:rFonts w:hint="eastAsia" w:asciiTheme="majorEastAsia" w:hAnsiTheme="majorEastAsia" w:eastAsiaTheme="majorEastAsia" w:cstheme="majorEastAsia"/>
                <w:color w:val="auto"/>
                <w:lang w:val="en-US" w:eastAsia="zh-CN"/>
              </w:rPr>
              <w:t>1.69</w:t>
            </w:r>
            <w:r>
              <w:rPr>
                <w:rFonts w:hint="eastAsia" w:asciiTheme="majorEastAsia" w:hAnsiTheme="majorEastAsia" w:eastAsiaTheme="majorEastAsia" w:cstheme="majorEastAsia"/>
                <w:color w:val="auto"/>
                <w:lang w:eastAsia="zh-CN"/>
              </w:rPr>
              <w:t>mg/m</w:t>
            </w:r>
            <w:r>
              <w:rPr>
                <w:rFonts w:hint="eastAsia" w:asciiTheme="majorEastAsia" w:hAnsiTheme="majorEastAsia" w:eastAsiaTheme="majorEastAsia" w:cstheme="majorEastAsia"/>
                <w:color w:val="auto"/>
                <w:vertAlign w:val="superscript"/>
                <w:lang w:eastAsia="zh-CN"/>
              </w:rPr>
              <w:t>3</w:t>
            </w:r>
            <w:r>
              <w:rPr>
                <w:rFonts w:hint="eastAsia" w:asciiTheme="majorEastAsia" w:hAnsiTheme="majorEastAsia" w:eastAsiaTheme="majorEastAsia" w:cstheme="majorEastAsia"/>
                <w:color w:val="auto"/>
                <w:lang w:eastAsia="zh-CN"/>
              </w:rPr>
              <w:t>，接近排放允许浓度2.0mg/m</w:t>
            </w:r>
            <w:r>
              <w:rPr>
                <w:rFonts w:hint="eastAsia" w:asciiTheme="majorEastAsia" w:hAnsiTheme="majorEastAsia" w:eastAsiaTheme="majorEastAsia" w:cstheme="majorEastAsia"/>
                <w:color w:val="auto"/>
                <w:vertAlign w:val="superscript"/>
                <w:lang w:eastAsia="zh-CN"/>
              </w:rPr>
              <w:t>3</w:t>
            </w:r>
            <w:r>
              <w:rPr>
                <w:rFonts w:hint="eastAsia" w:asciiTheme="majorEastAsia" w:hAnsiTheme="majorEastAsia" w:eastAsiaTheme="majorEastAsia" w:cstheme="majorEastAsia"/>
                <w:color w:val="auto"/>
                <w:lang w:eastAsia="zh-CN"/>
              </w:rPr>
              <w:t>的要求。因此本环评要求建设单位安装</w:t>
            </w:r>
            <w:r>
              <w:rPr>
                <w:rFonts w:hint="eastAsia" w:asciiTheme="majorEastAsia" w:hAnsiTheme="majorEastAsia" w:eastAsiaTheme="majorEastAsia" w:cstheme="majorEastAsia"/>
                <w:color w:val="auto"/>
                <w:lang w:val="en-US" w:eastAsia="zh-CN"/>
              </w:rPr>
              <w:t>1</w:t>
            </w:r>
            <w:r>
              <w:rPr>
                <w:rFonts w:hint="eastAsia" w:asciiTheme="majorEastAsia" w:hAnsiTheme="majorEastAsia" w:eastAsiaTheme="majorEastAsia" w:cstheme="majorEastAsia"/>
                <w:color w:val="auto"/>
                <w:lang w:eastAsia="zh-CN"/>
              </w:rPr>
              <w:t>套合格的油烟净化装置（净化率达60%以上），油烟经过净化后排放，属间歇性排放，油烟排放量为</w:t>
            </w:r>
            <w:r>
              <w:rPr>
                <w:rFonts w:hint="eastAsia" w:asciiTheme="majorEastAsia" w:hAnsiTheme="majorEastAsia" w:eastAsiaTheme="majorEastAsia" w:cstheme="majorEastAsia"/>
                <w:color w:val="auto"/>
                <w:lang w:val="en-US" w:eastAsia="zh-CN"/>
              </w:rPr>
              <w:t>0.54</w:t>
            </w:r>
            <w:r>
              <w:rPr>
                <w:rFonts w:hint="eastAsia" w:asciiTheme="majorEastAsia" w:hAnsiTheme="majorEastAsia" w:eastAsiaTheme="majorEastAsia" w:cstheme="majorEastAsia"/>
                <w:color w:val="auto"/>
                <w:lang w:eastAsia="zh-CN"/>
              </w:rPr>
              <w:t>kg/a，排放浓度降至</w:t>
            </w:r>
            <w:r>
              <w:rPr>
                <w:rFonts w:hint="eastAsia" w:asciiTheme="majorEastAsia" w:hAnsiTheme="majorEastAsia" w:eastAsiaTheme="majorEastAsia" w:cstheme="majorEastAsia"/>
                <w:color w:val="auto"/>
                <w:lang w:val="en-US" w:eastAsia="zh-CN"/>
              </w:rPr>
              <w:t>0.675</w:t>
            </w:r>
            <w:r>
              <w:rPr>
                <w:rFonts w:hint="eastAsia" w:asciiTheme="majorEastAsia" w:hAnsiTheme="majorEastAsia" w:eastAsiaTheme="majorEastAsia" w:cstheme="majorEastAsia"/>
                <w:color w:val="auto"/>
                <w:lang w:eastAsia="zh-CN"/>
              </w:rPr>
              <w:t>mg/m</w:t>
            </w:r>
            <w:r>
              <w:rPr>
                <w:rFonts w:hint="eastAsia" w:asciiTheme="majorEastAsia" w:hAnsiTheme="majorEastAsia" w:eastAsiaTheme="majorEastAsia" w:cstheme="majorEastAsia"/>
                <w:color w:val="auto"/>
                <w:vertAlign w:val="superscript"/>
                <w:lang w:eastAsia="zh-CN"/>
              </w:rPr>
              <w:t>3</w:t>
            </w:r>
            <w:r>
              <w:rPr>
                <w:rFonts w:hint="eastAsia" w:asciiTheme="majorEastAsia" w:hAnsiTheme="majorEastAsia" w:eastAsiaTheme="majorEastAsia" w:cstheme="majorEastAsia"/>
                <w:color w:val="auto"/>
                <w:lang w:eastAsia="zh-CN"/>
              </w:rPr>
              <w:t>，达到《饮食业油烟排放标准（试行）》（GB18483-2001）要求。</w:t>
            </w:r>
          </w:p>
          <w:p w14:paraId="26866631">
            <w:pPr>
              <w:pStyle w:val="36"/>
              <w:ind w:firstLine="482"/>
              <w:rPr>
                <w:rFonts w:ascii="Times New Roman" w:hAnsi="Times New Roman"/>
                <w:b/>
                <w:bCs/>
                <w:color w:val="auto"/>
              </w:rPr>
            </w:pPr>
            <w:r>
              <w:rPr>
                <w:rFonts w:hint="eastAsia" w:ascii="Times New Roman" w:hAnsi="Times New Roman"/>
                <w:b/>
                <w:bCs/>
                <w:color w:val="auto"/>
              </w:rPr>
              <w:t>（</w:t>
            </w:r>
            <w:r>
              <w:rPr>
                <w:rFonts w:hint="eastAsia" w:ascii="Times New Roman" w:hAnsi="Times New Roman"/>
                <w:b/>
                <w:bCs/>
                <w:color w:val="auto"/>
                <w:lang w:val="en-US" w:eastAsia="zh-CN"/>
              </w:rPr>
              <w:t>4</w:t>
            </w:r>
            <w:r>
              <w:rPr>
                <w:rFonts w:hint="eastAsia" w:ascii="Times New Roman" w:hAnsi="Times New Roman"/>
                <w:b/>
                <w:bCs/>
                <w:color w:val="auto"/>
              </w:rPr>
              <w:t>）</w:t>
            </w:r>
            <w:r>
              <w:rPr>
                <w:rFonts w:hint="eastAsia" w:ascii="Times New Roman" w:hAnsi="Times New Roman"/>
                <w:b/>
                <w:color w:val="auto"/>
              </w:rPr>
              <w:t>大气污染源强核算</w:t>
            </w:r>
          </w:p>
          <w:p w14:paraId="15BF10C3">
            <w:pPr>
              <w:pStyle w:val="36"/>
              <w:ind w:firstLine="480"/>
              <w:rPr>
                <w:rFonts w:ascii="Times New Roman" w:hAnsi="Times New Roman"/>
                <w:color w:val="auto"/>
              </w:rPr>
            </w:pPr>
            <w:r>
              <w:rPr>
                <w:rFonts w:ascii="Times New Roman" w:hAnsi="Times New Roman"/>
                <w:color w:val="auto"/>
              </w:rPr>
              <w:t>运营期废气产排情况及治理措施详见</w:t>
            </w:r>
            <w:r>
              <w:rPr>
                <w:rFonts w:hint="eastAsia" w:ascii="Times New Roman" w:hAnsi="Times New Roman"/>
                <w:color w:val="auto"/>
              </w:rPr>
              <w:t>下</w:t>
            </w:r>
            <w:r>
              <w:rPr>
                <w:rFonts w:ascii="Times New Roman" w:hAnsi="Times New Roman"/>
                <w:color w:val="auto"/>
              </w:rPr>
              <w:t>表。</w:t>
            </w:r>
          </w:p>
          <w:p w14:paraId="1D3D316E">
            <w:pPr>
              <w:pStyle w:val="37"/>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表4-</w:t>
            </w:r>
            <w:r>
              <w:rPr>
                <w:rFonts w:hint="eastAsia" w:asciiTheme="minorEastAsia" w:hAnsiTheme="minorEastAsia" w:eastAsiaTheme="minorEastAsia" w:cstheme="minorEastAsia"/>
                <w:color w:val="auto"/>
                <w:lang w:val="en-US" w:eastAsia="zh-CN"/>
              </w:rPr>
              <w:t>7</w:t>
            </w:r>
            <w:r>
              <w:rPr>
                <w:rFonts w:hint="eastAsia" w:asciiTheme="minorEastAsia" w:hAnsiTheme="minorEastAsia" w:eastAsiaTheme="minorEastAsia" w:cstheme="minorEastAsia"/>
                <w:color w:val="auto"/>
              </w:rPr>
              <w:t xml:space="preserve"> 项目区废气产排情况汇总表</w:t>
            </w:r>
          </w:p>
          <w:tbl>
            <w:tblPr>
              <w:tblStyle w:val="2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
              <w:gridCol w:w="2215"/>
              <w:gridCol w:w="1172"/>
              <w:gridCol w:w="1422"/>
              <w:gridCol w:w="2617"/>
              <w:gridCol w:w="1441"/>
            </w:tblGrid>
            <w:tr w14:paraId="1969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406" w:type="pct"/>
                  <w:gridSpan w:val="2"/>
                  <w:vMerge w:val="restart"/>
                  <w:vAlign w:val="center"/>
                </w:tcPr>
                <w:p w14:paraId="1FF68705">
                  <w:pPr>
                    <w:pStyle w:val="38"/>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污染源</w:t>
                  </w:r>
                </w:p>
              </w:tc>
              <w:tc>
                <w:tcPr>
                  <w:tcW w:w="633" w:type="pct"/>
                  <w:vMerge w:val="restart"/>
                  <w:vAlign w:val="center"/>
                </w:tcPr>
                <w:p w14:paraId="79376E09">
                  <w:pPr>
                    <w:pStyle w:val="38"/>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污染物</w:t>
                  </w:r>
                </w:p>
              </w:tc>
              <w:tc>
                <w:tcPr>
                  <w:tcW w:w="768" w:type="pct"/>
                  <w:vAlign w:val="center"/>
                </w:tcPr>
                <w:p w14:paraId="43E24BF2">
                  <w:pPr>
                    <w:pStyle w:val="38"/>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治理前</w:t>
                  </w:r>
                </w:p>
              </w:tc>
              <w:tc>
                <w:tcPr>
                  <w:tcW w:w="1413" w:type="pct"/>
                  <w:vMerge w:val="restart"/>
                  <w:vAlign w:val="center"/>
                </w:tcPr>
                <w:p w14:paraId="34A39B89">
                  <w:pPr>
                    <w:pStyle w:val="38"/>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治理措施</w:t>
                  </w:r>
                </w:p>
              </w:tc>
              <w:tc>
                <w:tcPr>
                  <w:tcW w:w="778" w:type="pct"/>
                  <w:vAlign w:val="center"/>
                </w:tcPr>
                <w:p w14:paraId="3432EE83">
                  <w:pPr>
                    <w:pStyle w:val="3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治理后</w:t>
                  </w:r>
                </w:p>
              </w:tc>
            </w:tr>
            <w:tr w14:paraId="0F51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406" w:type="pct"/>
                  <w:gridSpan w:val="2"/>
                  <w:vMerge w:val="continue"/>
                  <w:vAlign w:val="center"/>
                </w:tcPr>
                <w:p w14:paraId="2BF433AE">
                  <w:pPr>
                    <w:pStyle w:val="38"/>
                    <w:rPr>
                      <w:rFonts w:hint="eastAsia" w:asciiTheme="minorEastAsia" w:hAnsiTheme="minorEastAsia" w:eastAsiaTheme="minorEastAsia" w:cstheme="minorEastAsia"/>
                      <w:color w:val="auto"/>
                    </w:rPr>
                  </w:pPr>
                </w:p>
              </w:tc>
              <w:tc>
                <w:tcPr>
                  <w:tcW w:w="633" w:type="pct"/>
                  <w:vMerge w:val="continue"/>
                  <w:vAlign w:val="center"/>
                </w:tcPr>
                <w:p w14:paraId="79B39FA7">
                  <w:pPr>
                    <w:pStyle w:val="38"/>
                    <w:rPr>
                      <w:rFonts w:hint="eastAsia" w:asciiTheme="minorEastAsia" w:hAnsiTheme="minorEastAsia" w:eastAsiaTheme="minorEastAsia" w:cstheme="minorEastAsia"/>
                      <w:color w:val="auto"/>
                    </w:rPr>
                  </w:pPr>
                </w:p>
              </w:tc>
              <w:tc>
                <w:tcPr>
                  <w:tcW w:w="768" w:type="pct"/>
                  <w:vAlign w:val="center"/>
                </w:tcPr>
                <w:p w14:paraId="5E1A6244">
                  <w:pPr>
                    <w:pStyle w:val="38"/>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产生量</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t/a</w:t>
                  </w:r>
                  <w:r>
                    <w:rPr>
                      <w:rFonts w:hint="eastAsia" w:asciiTheme="minorEastAsia" w:hAnsiTheme="minorEastAsia" w:eastAsiaTheme="minorEastAsia" w:cstheme="minorEastAsia"/>
                      <w:color w:val="auto"/>
                      <w:lang w:eastAsia="zh-CN"/>
                    </w:rPr>
                    <w:t>）</w:t>
                  </w:r>
                </w:p>
              </w:tc>
              <w:tc>
                <w:tcPr>
                  <w:tcW w:w="1413" w:type="pct"/>
                  <w:vMerge w:val="continue"/>
                  <w:vAlign w:val="center"/>
                </w:tcPr>
                <w:p w14:paraId="284285C7">
                  <w:pPr>
                    <w:pStyle w:val="38"/>
                    <w:rPr>
                      <w:rFonts w:hint="eastAsia" w:asciiTheme="minorEastAsia" w:hAnsiTheme="minorEastAsia" w:eastAsiaTheme="minorEastAsia" w:cstheme="minorEastAsia"/>
                      <w:color w:val="auto"/>
                    </w:rPr>
                  </w:pPr>
                </w:p>
              </w:tc>
              <w:tc>
                <w:tcPr>
                  <w:tcW w:w="778" w:type="pct"/>
                  <w:vAlign w:val="center"/>
                </w:tcPr>
                <w:p w14:paraId="3DAA124A">
                  <w:pPr>
                    <w:pStyle w:val="38"/>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排放量</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t/a</w:t>
                  </w:r>
                  <w:r>
                    <w:rPr>
                      <w:rFonts w:hint="eastAsia" w:asciiTheme="minorEastAsia" w:hAnsiTheme="minorEastAsia" w:eastAsiaTheme="minorEastAsia" w:cstheme="minorEastAsia"/>
                      <w:color w:val="auto"/>
                      <w:lang w:eastAsia="zh-CN"/>
                    </w:rPr>
                    <w:t>）</w:t>
                  </w:r>
                </w:p>
              </w:tc>
            </w:tr>
            <w:tr w14:paraId="5B56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10" w:type="pct"/>
                  <w:vAlign w:val="center"/>
                </w:tcPr>
                <w:p w14:paraId="74499159">
                  <w:pPr>
                    <w:pStyle w:val="3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p w14:paraId="64909BFF">
                  <w:pPr>
                    <w:pStyle w:val="38"/>
                    <w:rPr>
                      <w:rFonts w:hint="eastAsia" w:asciiTheme="minorEastAsia" w:hAnsiTheme="minorEastAsia" w:eastAsiaTheme="minorEastAsia" w:cstheme="minorEastAsia"/>
                      <w:color w:val="auto"/>
                    </w:rPr>
                  </w:pPr>
                </w:p>
              </w:tc>
              <w:tc>
                <w:tcPr>
                  <w:tcW w:w="1196" w:type="pct"/>
                  <w:vAlign w:val="center"/>
                </w:tcPr>
                <w:p w14:paraId="3ADB91D8">
                  <w:pPr>
                    <w:pStyle w:val="38"/>
                    <w:spacing w:line="24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物料混合及搅拌</w:t>
                  </w:r>
                  <w:r>
                    <w:rPr>
                      <w:rFonts w:hint="eastAsia" w:asciiTheme="minorEastAsia" w:hAnsiTheme="minorEastAsia" w:eastAsiaTheme="minorEastAsia" w:cstheme="minorEastAsia"/>
                      <w:color w:val="auto"/>
                    </w:rPr>
                    <w:t>粉尘</w:t>
                  </w:r>
                </w:p>
              </w:tc>
              <w:tc>
                <w:tcPr>
                  <w:tcW w:w="633" w:type="pct"/>
                  <w:vMerge w:val="restart"/>
                  <w:vAlign w:val="center"/>
                </w:tcPr>
                <w:p w14:paraId="02EB34A1">
                  <w:pPr>
                    <w:pStyle w:val="38"/>
                    <w:spacing w:line="24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无组织粉尘</w:t>
                  </w:r>
                </w:p>
              </w:tc>
              <w:tc>
                <w:tcPr>
                  <w:tcW w:w="768" w:type="pct"/>
                  <w:vAlign w:val="center"/>
                </w:tcPr>
                <w:p w14:paraId="0C68B196">
                  <w:pPr>
                    <w:pStyle w:val="38"/>
                    <w:spacing w:line="240" w:lineRule="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13.87</w:t>
                  </w:r>
                </w:p>
              </w:tc>
              <w:tc>
                <w:tcPr>
                  <w:tcW w:w="1413" w:type="pct"/>
                  <w:vAlign w:val="center"/>
                </w:tcPr>
                <w:p w14:paraId="6BBC5DC7">
                  <w:pPr>
                    <w:pStyle w:val="38"/>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设置</w:t>
                  </w:r>
                  <w:r>
                    <w:rPr>
                      <w:rFonts w:hint="eastAsia" w:asciiTheme="minorEastAsia" w:hAnsiTheme="minorEastAsia" w:eastAsiaTheme="minorEastAsia" w:cstheme="minorEastAsia"/>
                      <w:color w:val="auto"/>
                      <w:lang w:eastAsia="zh-CN"/>
                    </w:rPr>
                    <w:t>喷淋装置</w:t>
                  </w:r>
                </w:p>
              </w:tc>
              <w:tc>
                <w:tcPr>
                  <w:tcW w:w="778" w:type="pct"/>
                  <w:vAlign w:val="center"/>
                </w:tcPr>
                <w:p w14:paraId="48281D9C">
                  <w:pPr>
                    <w:pStyle w:val="38"/>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1.387</w:t>
                  </w:r>
                </w:p>
              </w:tc>
            </w:tr>
            <w:tr w14:paraId="683C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0" w:type="pct"/>
                  <w:vAlign w:val="center"/>
                </w:tcPr>
                <w:p w14:paraId="2AC05403">
                  <w:pPr>
                    <w:pStyle w:val="38"/>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2</w:t>
                  </w:r>
                </w:p>
              </w:tc>
              <w:tc>
                <w:tcPr>
                  <w:tcW w:w="1196" w:type="pct"/>
                  <w:vAlign w:val="center"/>
                </w:tcPr>
                <w:p w14:paraId="717D2A05">
                  <w:pPr>
                    <w:pStyle w:val="38"/>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物料输送、储存粉尘</w:t>
                  </w:r>
                </w:p>
              </w:tc>
              <w:tc>
                <w:tcPr>
                  <w:tcW w:w="633" w:type="pct"/>
                  <w:vMerge w:val="continue"/>
                  <w:vAlign w:val="center"/>
                </w:tcPr>
                <w:p w14:paraId="44E99744">
                  <w:pPr>
                    <w:pStyle w:val="38"/>
                    <w:rPr>
                      <w:rFonts w:hint="eastAsia" w:asciiTheme="minorEastAsia" w:hAnsiTheme="minorEastAsia" w:eastAsiaTheme="minorEastAsia" w:cstheme="minorEastAsia"/>
                      <w:color w:val="auto"/>
                    </w:rPr>
                  </w:pPr>
                </w:p>
              </w:tc>
              <w:tc>
                <w:tcPr>
                  <w:tcW w:w="768" w:type="pct"/>
                  <w:vAlign w:val="center"/>
                </w:tcPr>
                <w:p w14:paraId="0E952B32">
                  <w:pPr>
                    <w:pStyle w:val="38"/>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12.81</w:t>
                  </w:r>
                </w:p>
              </w:tc>
              <w:tc>
                <w:tcPr>
                  <w:tcW w:w="1413" w:type="pct"/>
                  <w:vAlign w:val="center"/>
                </w:tcPr>
                <w:p w14:paraId="6197BEAE">
                  <w:pPr>
                    <w:pStyle w:val="38"/>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设置</w:t>
                  </w:r>
                  <w:r>
                    <w:rPr>
                      <w:rFonts w:hint="eastAsia" w:asciiTheme="minorEastAsia" w:hAnsiTheme="minorEastAsia" w:eastAsiaTheme="minorEastAsia" w:cstheme="minorEastAsia"/>
                      <w:color w:val="auto"/>
                      <w:lang w:eastAsia="zh-CN"/>
                    </w:rPr>
                    <w:t>喷淋装置</w:t>
                  </w:r>
                </w:p>
              </w:tc>
              <w:tc>
                <w:tcPr>
                  <w:tcW w:w="778" w:type="pct"/>
                  <w:vAlign w:val="center"/>
                </w:tcPr>
                <w:p w14:paraId="716FA8C5">
                  <w:pPr>
                    <w:pStyle w:val="38"/>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1.281</w:t>
                  </w:r>
                </w:p>
              </w:tc>
            </w:tr>
            <w:tr w14:paraId="2100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0" w:type="pct"/>
                  <w:vAlign w:val="center"/>
                </w:tcPr>
                <w:p w14:paraId="0AE5F39B">
                  <w:pPr>
                    <w:pStyle w:val="38"/>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w:t>
                  </w:r>
                </w:p>
              </w:tc>
              <w:tc>
                <w:tcPr>
                  <w:tcW w:w="1196" w:type="pct"/>
                  <w:vAlign w:val="center"/>
                </w:tcPr>
                <w:p w14:paraId="37E9FA83">
                  <w:pPr>
                    <w:pStyle w:val="38"/>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水泥储罐粉尘</w:t>
                  </w:r>
                </w:p>
              </w:tc>
              <w:tc>
                <w:tcPr>
                  <w:tcW w:w="633" w:type="pct"/>
                  <w:vMerge w:val="continue"/>
                  <w:vAlign w:val="center"/>
                </w:tcPr>
                <w:p w14:paraId="0C420967">
                  <w:pPr>
                    <w:pStyle w:val="38"/>
                    <w:rPr>
                      <w:rFonts w:hint="eastAsia" w:asciiTheme="minorEastAsia" w:hAnsiTheme="minorEastAsia" w:eastAsiaTheme="minorEastAsia" w:cstheme="minorEastAsia"/>
                      <w:color w:val="auto"/>
                    </w:rPr>
                  </w:pPr>
                </w:p>
              </w:tc>
              <w:tc>
                <w:tcPr>
                  <w:tcW w:w="768" w:type="pct"/>
                  <w:vAlign w:val="center"/>
                </w:tcPr>
                <w:p w14:paraId="23565605">
                  <w:pPr>
                    <w:pStyle w:val="38"/>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1.032</w:t>
                  </w:r>
                </w:p>
              </w:tc>
              <w:tc>
                <w:tcPr>
                  <w:tcW w:w="1413" w:type="pct"/>
                  <w:vAlign w:val="center"/>
                </w:tcPr>
                <w:p w14:paraId="7C6E1C3F">
                  <w:pPr>
                    <w:pStyle w:val="38"/>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水泥传送带密闭输送；水泥储罐自带的布袋除尘器</w:t>
                  </w:r>
                </w:p>
              </w:tc>
              <w:tc>
                <w:tcPr>
                  <w:tcW w:w="778" w:type="pct"/>
                  <w:vAlign w:val="center"/>
                </w:tcPr>
                <w:p w14:paraId="64750CEB">
                  <w:pPr>
                    <w:pStyle w:val="38"/>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0.0516</w:t>
                  </w:r>
                </w:p>
              </w:tc>
            </w:tr>
            <w:tr w14:paraId="6D20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10" w:type="pct"/>
                  <w:vAlign w:val="center"/>
                </w:tcPr>
                <w:p w14:paraId="14F9C8A7">
                  <w:pPr>
                    <w:pStyle w:val="38"/>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4</w:t>
                  </w:r>
                </w:p>
              </w:tc>
              <w:tc>
                <w:tcPr>
                  <w:tcW w:w="1196" w:type="pct"/>
                  <w:vAlign w:val="center"/>
                </w:tcPr>
                <w:p w14:paraId="775A6795">
                  <w:pPr>
                    <w:pStyle w:val="38"/>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焊接废气</w:t>
                  </w:r>
                </w:p>
              </w:tc>
              <w:tc>
                <w:tcPr>
                  <w:tcW w:w="633" w:type="pct"/>
                  <w:vMerge w:val="continue"/>
                  <w:vAlign w:val="center"/>
                </w:tcPr>
                <w:p w14:paraId="32D6A36B">
                  <w:pPr>
                    <w:pStyle w:val="38"/>
                    <w:rPr>
                      <w:rFonts w:hint="eastAsia" w:asciiTheme="minorEastAsia" w:hAnsiTheme="minorEastAsia" w:eastAsiaTheme="minorEastAsia" w:cstheme="minorEastAsia"/>
                      <w:color w:val="000000" w:themeColor="text1"/>
                      <w14:textFill>
                        <w14:solidFill>
                          <w14:schemeClr w14:val="tx1"/>
                        </w14:solidFill>
                      </w14:textFill>
                    </w:rPr>
                  </w:pPr>
                </w:p>
              </w:tc>
              <w:tc>
                <w:tcPr>
                  <w:tcW w:w="768" w:type="pct"/>
                  <w:vAlign w:val="center"/>
                </w:tcPr>
                <w:p w14:paraId="17661EB3">
                  <w:pPr>
                    <w:pStyle w:val="38"/>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0.0032</w:t>
                  </w:r>
                </w:p>
              </w:tc>
              <w:tc>
                <w:tcPr>
                  <w:tcW w:w="1413" w:type="pct"/>
                  <w:vAlign w:val="center"/>
                </w:tcPr>
                <w:p w14:paraId="5229AA15">
                  <w:pPr>
                    <w:pStyle w:val="38"/>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空气扩散</w:t>
                  </w:r>
                </w:p>
              </w:tc>
              <w:tc>
                <w:tcPr>
                  <w:tcW w:w="778" w:type="pct"/>
                  <w:vAlign w:val="center"/>
                </w:tcPr>
                <w:p w14:paraId="39FA62B7">
                  <w:pPr>
                    <w:pStyle w:val="38"/>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0.0032</w:t>
                  </w:r>
                </w:p>
              </w:tc>
            </w:tr>
            <w:tr w14:paraId="5711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39" w:type="pct"/>
                  <w:gridSpan w:val="3"/>
                  <w:vAlign w:val="center"/>
                </w:tcPr>
                <w:p w14:paraId="28BC04E7">
                  <w:pPr>
                    <w:pStyle w:val="3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合计</w:t>
                  </w:r>
                </w:p>
              </w:tc>
              <w:tc>
                <w:tcPr>
                  <w:tcW w:w="768" w:type="pct"/>
                  <w:vAlign w:val="center"/>
                </w:tcPr>
                <w:p w14:paraId="362D9099">
                  <w:pPr>
                    <w:pStyle w:val="38"/>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27.7152</w:t>
                  </w:r>
                </w:p>
              </w:tc>
              <w:tc>
                <w:tcPr>
                  <w:tcW w:w="1413" w:type="pct"/>
                  <w:vAlign w:val="center"/>
                </w:tcPr>
                <w:p w14:paraId="26AC46EA">
                  <w:pPr>
                    <w:pStyle w:val="3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tc>
              <w:tc>
                <w:tcPr>
                  <w:tcW w:w="778" w:type="pct"/>
                  <w:vAlign w:val="center"/>
                </w:tcPr>
                <w:p w14:paraId="270CF16F">
                  <w:pPr>
                    <w:pStyle w:val="38"/>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2.7228</w:t>
                  </w:r>
                </w:p>
              </w:tc>
            </w:tr>
            <w:tr w14:paraId="08FA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0" w:type="pct"/>
                  <w:vAlign w:val="center"/>
                </w:tcPr>
                <w:p w14:paraId="2AAD924C">
                  <w:pPr>
                    <w:pStyle w:val="38"/>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5</w:t>
                  </w:r>
                </w:p>
              </w:tc>
              <w:tc>
                <w:tcPr>
                  <w:tcW w:w="1196" w:type="pct"/>
                  <w:vAlign w:val="center"/>
                </w:tcPr>
                <w:p w14:paraId="6CD12C0D">
                  <w:pPr>
                    <w:pStyle w:val="38"/>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运输车辆产生的粉尘</w:t>
                  </w:r>
                </w:p>
              </w:tc>
              <w:tc>
                <w:tcPr>
                  <w:tcW w:w="633" w:type="pct"/>
                  <w:vAlign w:val="center"/>
                </w:tcPr>
                <w:p w14:paraId="659995F5">
                  <w:pPr>
                    <w:pStyle w:val="38"/>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粉尘</w:t>
                  </w:r>
                </w:p>
              </w:tc>
              <w:tc>
                <w:tcPr>
                  <w:tcW w:w="768" w:type="pct"/>
                  <w:vAlign w:val="center"/>
                </w:tcPr>
                <w:p w14:paraId="17392A39">
                  <w:pPr>
                    <w:pStyle w:val="3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少量</w:t>
                  </w:r>
                </w:p>
              </w:tc>
              <w:tc>
                <w:tcPr>
                  <w:tcW w:w="1413" w:type="pct"/>
                  <w:vAlign w:val="center"/>
                </w:tcPr>
                <w:p w14:paraId="7F94BA52">
                  <w:pPr>
                    <w:pStyle w:val="3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稀释、扩散</w:t>
                  </w:r>
                </w:p>
              </w:tc>
              <w:tc>
                <w:tcPr>
                  <w:tcW w:w="778" w:type="pct"/>
                  <w:vAlign w:val="center"/>
                </w:tcPr>
                <w:p w14:paraId="7E67FDFB">
                  <w:pPr>
                    <w:pStyle w:val="3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少量</w:t>
                  </w:r>
                </w:p>
              </w:tc>
            </w:tr>
            <w:tr w14:paraId="34E9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0" w:type="pct"/>
                  <w:vAlign w:val="center"/>
                </w:tcPr>
                <w:p w14:paraId="246E887B">
                  <w:pPr>
                    <w:pStyle w:val="38"/>
                    <w:rPr>
                      <w:rFonts w:hint="default" w:ascii="Times New Roman" w:hAnsi="Times New Roman"/>
                      <w:color w:val="auto"/>
                      <w:lang w:val="en-US" w:eastAsia="zh-CN"/>
                    </w:rPr>
                  </w:pPr>
                  <w:r>
                    <w:rPr>
                      <w:rFonts w:hint="eastAsia" w:ascii="Times New Roman" w:hAnsi="Times New Roman"/>
                      <w:color w:val="auto"/>
                      <w:lang w:val="en-US" w:eastAsia="zh-CN"/>
                    </w:rPr>
                    <w:t>6</w:t>
                  </w:r>
                </w:p>
              </w:tc>
              <w:tc>
                <w:tcPr>
                  <w:tcW w:w="1196" w:type="pct"/>
                  <w:vAlign w:val="center"/>
                </w:tcPr>
                <w:p w14:paraId="39033371">
                  <w:pPr>
                    <w:pStyle w:val="38"/>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厨房油烟</w:t>
                  </w:r>
                </w:p>
              </w:tc>
              <w:tc>
                <w:tcPr>
                  <w:tcW w:w="633" w:type="pct"/>
                  <w:vAlign w:val="center"/>
                </w:tcPr>
                <w:p w14:paraId="7576E51C">
                  <w:pPr>
                    <w:pStyle w:val="38"/>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油烟</w:t>
                  </w:r>
                </w:p>
              </w:tc>
              <w:tc>
                <w:tcPr>
                  <w:tcW w:w="768" w:type="pct"/>
                  <w:vAlign w:val="center"/>
                </w:tcPr>
                <w:p w14:paraId="66E3B268">
                  <w:pPr>
                    <w:pStyle w:val="38"/>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0.001358</w:t>
                  </w:r>
                </w:p>
              </w:tc>
              <w:tc>
                <w:tcPr>
                  <w:tcW w:w="1413" w:type="pct"/>
                  <w:vAlign w:val="center"/>
                </w:tcPr>
                <w:p w14:paraId="7F36C0DA">
                  <w:pPr>
                    <w:pStyle w:val="38"/>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净化率达60%以上的油烟净化装置</w:t>
                  </w:r>
                </w:p>
              </w:tc>
              <w:tc>
                <w:tcPr>
                  <w:tcW w:w="778" w:type="pct"/>
                  <w:vAlign w:val="center"/>
                </w:tcPr>
                <w:p w14:paraId="0B90ED73">
                  <w:pPr>
                    <w:pStyle w:val="38"/>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0.00054</w:t>
                  </w:r>
                </w:p>
              </w:tc>
            </w:tr>
          </w:tbl>
          <w:p w14:paraId="78F27D2F">
            <w:pPr>
              <w:widowControl/>
              <w:numPr>
                <w:ilvl w:val="0"/>
                <w:numId w:val="0"/>
              </w:numPr>
              <w:ind w:firstLine="241" w:firstLineChars="100"/>
              <w:jc w:val="left"/>
              <w:rPr>
                <w:rFonts w:hint="eastAsia" w:asciiTheme="minorEastAsia" w:hAnsiTheme="minorEastAsia" w:eastAsiaTheme="minorEastAsia" w:cstheme="minorEastAsia"/>
                <w:b/>
                <w:bCs/>
                <w:color w:val="auto"/>
                <w:kern w:val="0"/>
                <w:lang w:bidi="ar"/>
              </w:rPr>
            </w:pPr>
            <w:r>
              <w:rPr>
                <w:rFonts w:hint="eastAsia" w:asciiTheme="minorEastAsia" w:hAnsiTheme="minorEastAsia" w:eastAsiaTheme="minorEastAsia" w:cstheme="minorEastAsia"/>
                <w:b/>
                <w:bCs/>
                <w:color w:val="auto"/>
                <w:kern w:val="0"/>
                <w:lang w:val="en-US" w:eastAsia="zh-CN" w:bidi="ar"/>
              </w:rPr>
              <w:t>2、</w:t>
            </w:r>
            <w:r>
              <w:rPr>
                <w:rFonts w:hint="eastAsia" w:asciiTheme="minorEastAsia" w:hAnsiTheme="minorEastAsia" w:eastAsiaTheme="minorEastAsia" w:cstheme="minorEastAsia"/>
                <w:b/>
                <w:bCs/>
                <w:color w:val="auto"/>
                <w:kern w:val="0"/>
                <w:lang w:bidi="ar"/>
              </w:rPr>
              <w:t>大气污染物监测计划表</w:t>
            </w:r>
          </w:p>
          <w:p w14:paraId="3F4B1FD0">
            <w:pPr>
              <w:widowControl/>
              <w:spacing w:line="360" w:lineRule="auto"/>
              <w:ind w:firstLine="480" w:firstLineChars="200"/>
              <w:jc w:val="both"/>
              <w:rPr>
                <w:rFonts w:hint="eastAsia" w:asciiTheme="minorEastAsia" w:hAnsiTheme="minorEastAsia" w:eastAsiaTheme="minorEastAsia" w:cstheme="minorEastAsia"/>
                <w:b/>
                <w:bCs/>
                <w:color w:val="auto"/>
                <w:kern w:val="0"/>
                <w:sz w:val="24"/>
                <w:szCs w:val="24"/>
                <w:lang w:bidi="ar"/>
              </w:rPr>
            </w:pPr>
            <w:r>
              <w:rPr>
                <w:rFonts w:hint="eastAsia" w:asciiTheme="minorEastAsia" w:hAnsiTheme="minorEastAsia" w:eastAsiaTheme="minorEastAsia" w:cstheme="minorEastAsia"/>
                <w:b w:val="0"/>
                <w:bCs w:val="0"/>
                <w:color w:val="auto"/>
                <w:kern w:val="0"/>
                <w:sz w:val="24"/>
                <w:szCs w:val="24"/>
                <w:lang w:eastAsia="zh-CN" w:bidi="ar"/>
              </w:rPr>
              <w:t>根</w:t>
            </w:r>
            <w:r>
              <w:rPr>
                <w:rFonts w:hint="eastAsia" w:asciiTheme="minorEastAsia" w:hAnsiTheme="minorEastAsia" w:eastAsiaTheme="minorEastAsia" w:cstheme="minorEastAsia"/>
                <w:b w:val="0"/>
                <w:bCs w:val="0"/>
                <w:color w:val="auto"/>
                <w:kern w:val="0"/>
                <w:sz w:val="24"/>
                <w:szCs w:val="24"/>
                <w:lang w:bidi="ar"/>
              </w:rPr>
              <w:t>据《排污许可证申请与核发技术规范总则》（ HJ 819-2017）、《排污单位自行监测技术指南 总则》（HJ819-2017），结合本项目的自身特点，确定</w:t>
            </w:r>
            <w:r>
              <w:rPr>
                <w:rFonts w:hint="eastAsia" w:asciiTheme="minorEastAsia" w:hAnsiTheme="minorEastAsia" w:eastAsiaTheme="minorEastAsia" w:cstheme="minorEastAsia"/>
                <w:b w:val="0"/>
                <w:bCs w:val="0"/>
                <w:color w:val="auto"/>
                <w:kern w:val="0"/>
                <w:sz w:val="24"/>
                <w:szCs w:val="24"/>
                <w:lang w:eastAsia="zh-CN" w:bidi="ar"/>
              </w:rPr>
              <w:t>废气</w:t>
            </w:r>
            <w:r>
              <w:rPr>
                <w:rFonts w:hint="eastAsia" w:asciiTheme="minorEastAsia" w:hAnsiTheme="minorEastAsia" w:eastAsiaTheme="minorEastAsia" w:cstheme="minorEastAsia"/>
                <w:b w:val="0"/>
                <w:bCs w:val="0"/>
                <w:color w:val="auto"/>
                <w:kern w:val="0"/>
                <w:sz w:val="24"/>
                <w:szCs w:val="24"/>
                <w:lang w:bidi="ar"/>
              </w:rPr>
              <w:t>监测的主要工作内容如下</w:t>
            </w:r>
            <w:r>
              <w:rPr>
                <w:rFonts w:hint="eastAsia" w:asciiTheme="minorEastAsia" w:hAnsiTheme="minorEastAsia" w:eastAsiaTheme="minorEastAsia" w:cstheme="minorEastAsia"/>
                <w:b w:val="0"/>
                <w:bCs w:val="0"/>
                <w:color w:val="auto"/>
                <w:kern w:val="0"/>
                <w:sz w:val="24"/>
                <w:szCs w:val="24"/>
                <w:lang w:eastAsia="zh-CN" w:bidi="ar"/>
              </w:rPr>
              <w:t>表。</w:t>
            </w:r>
          </w:p>
          <w:p w14:paraId="02F861F1">
            <w:pPr>
              <w:widowControl/>
              <w:ind w:left="480" w:leftChars="200"/>
              <w:jc w:val="center"/>
              <w:rPr>
                <w:rFonts w:hint="eastAsia" w:asciiTheme="minorEastAsia" w:hAnsiTheme="minorEastAsia" w:eastAsiaTheme="minorEastAsia" w:cstheme="minorEastAsia"/>
                <w:b/>
                <w:bCs/>
                <w:color w:val="auto"/>
                <w:kern w:val="0"/>
                <w:lang w:bidi="ar"/>
              </w:rPr>
            </w:pPr>
            <w:r>
              <w:rPr>
                <w:rFonts w:hint="eastAsia" w:asciiTheme="minorEastAsia" w:hAnsiTheme="minorEastAsia" w:eastAsiaTheme="minorEastAsia" w:cstheme="minorEastAsia"/>
                <w:b/>
                <w:bCs/>
                <w:color w:val="auto"/>
                <w:kern w:val="0"/>
                <w:lang w:bidi="ar"/>
              </w:rPr>
              <w:t>表4-</w:t>
            </w:r>
            <w:r>
              <w:rPr>
                <w:rFonts w:hint="eastAsia" w:asciiTheme="minorEastAsia" w:hAnsiTheme="minorEastAsia" w:eastAsiaTheme="minorEastAsia" w:cstheme="minorEastAsia"/>
                <w:b/>
                <w:bCs/>
                <w:color w:val="auto"/>
                <w:kern w:val="0"/>
                <w:lang w:val="en-US" w:eastAsia="zh-CN" w:bidi="ar"/>
              </w:rPr>
              <w:t xml:space="preserve">8 </w:t>
            </w:r>
            <w:r>
              <w:rPr>
                <w:rFonts w:hint="eastAsia" w:asciiTheme="minorEastAsia" w:hAnsiTheme="minorEastAsia" w:eastAsiaTheme="minorEastAsia" w:cstheme="minorEastAsia"/>
                <w:b/>
                <w:bCs/>
                <w:color w:val="auto"/>
                <w:kern w:val="0"/>
                <w:lang w:bidi="ar"/>
              </w:rPr>
              <w:t>项目废气监测计划一览表</w:t>
            </w: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530"/>
              <w:gridCol w:w="2012"/>
              <w:gridCol w:w="1150"/>
              <w:gridCol w:w="1964"/>
              <w:gridCol w:w="2827"/>
            </w:tblGrid>
            <w:tr w14:paraId="4FA1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704" w:type="pct"/>
                  <w:gridSpan w:val="2"/>
                  <w:vAlign w:val="center"/>
                </w:tcPr>
                <w:p w14:paraId="1940F9C4">
                  <w:pPr>
                    <w:spacing w:line="240" w:lineRule="auto"/>
                    <w:jc w:val="center"/>
                    <w:rPr>
                      <w:rFonts w:hint="eastAsia" w:asciiTheme="minorEastAsia" w:hAnsiTheme="minorEastAsia" w:eastAsiaTheme="minorEastAsia" w:cstheme="minorEastAsia"/>
                      <w:b/>
                      <w:bCs/>
                      <w:color w:val="auto"/>
                      <w:kern w:val="0"/>
                      <w:sz w:val="21"/>
                      <w:szCs w:val="21"/>
                      <w:lang w:bidi="ar"/>
                    </w:rPr>
                  </w:pPr>
                  <w:r>
                    <w:rPr>
                      <w:rFonts w:hint="eastAsia" w:asciiTheme="minorEastAsia" w:hAnsiTheme="minorEastAsia" w:eastAsiaTheme="minorEastAsia" w:cstheme="minorEastAsia"/>
                      <w:b/>
                      <w:bCs/>
                      <w:color w:val="auto"/>
                      <w:kern w:val="0"/>
                      <w:sz w:val="21"/>
                      <w:szCs w:val="21"/>
                      <w:lang w:eastAsia="zh-CN" w:bidi="ar"/>
                    </w:rPr>
                    <w:t>分类</w:t>
                  </w:r>
                </w:p>
              </w:tc>
              <w:tc>
                <w:tcPr>
                  <w:tcW w:w="1086" w:type="pct"/>
                  <w:vAlign w:val="center"/>
                </w:tcPr>
                <w:p w14:paraId="0F460314">
                  <w:pPr>
                    <w:spacing w:line="240" w:lineRule="auto"/>
                    <w:jc w:val="center"/>
                    <w:rPr>
                      <w:rFonts w:hint="eastAsia" w:asciiTheme="minorEastAsia" w:hAnsiTheme="minorEastAsia" w:eastAsiaTheme="minorEastAsia" w:cstheme="minorEastAsia"/>
                      <w:b/>
                      <w:bCs/>
                      <w:color w:val="auto"/>
                      <w:kern w:val="0"/>
                      <w:sz w:val="21"/>
                      <w:szCs w:val="21"/>
                      <w:lang w:eastAsia="zh-CN" w:bidi="ar"/>
                    </w:rPr>
                  </w:pPr>
                  <w:r>
                    <w:rPr>
                      <w:rFonts w:hint="eastAsia" w:asciiTheme="minorEastAsia" w:hAnsiTheme="minorEastAsia" w:eastAsiaTheme="minorEastAsia" w:cstheme="minorEastAsia"/>
                      <w:b/>
                      <w:bCs/>
                      <w:color w:val="auto"/>
                      <w:kern w:val="0"/>
                      <w:sz w:val="21"/>
                      <w:szCs w:val="21"/>
                      <w:lang w:eastAsia="zh-CN" w:bidi="ar"/>
                    </w:rPr>
                    <w:t>采样点</w:t>
                  </w:r>
                </w:p>
              </w:tc>
              <w:tc>
                <w:tcPr>
                  <w:tcW w:w="621" w:type="pct"/>
                  <w:vAlign w:val="center"/>
                </w:tcPr>
                <w:p w14:paraId="040E6F0E">
                  <w:pPr>
                    <w:spacing w:line="240" w:lineRule="auto"/>
                    <w:jc w:val="center"/>
                    <w:rPr>
                      <w:rFonts w:hint="eastAsia" w:asciiTheme="minorEastAsia" w:hAnsiTheme="minorEastAsia" w:eastAsiaTheme="minorEastAsia" w:cstheme="minorEastAsia"/>
                      <w:b/>
                      <w:bCs/>
                      <w:color w:val="auto"/>
                      <w:kern w:val="0"/>
                      <w:sz w:val="21"/>
                      <w:szCs w:val="21"/>
                      <w:lang w:eastAsia="zh-CN" w:bidi="ar"/>
                    </w:rPr>
                  </w:pPr>
                  <w:r>
                    <w:rPr>
                      <w:rFonts w:hint="eastAsia" w:asciiTheme="minorEastAsia" w:hAnsiTheme="minorEastAsia" w:eastAsiaTheme="minorEastAsia" w:cstheme="minorEastAsia"/>
                      <w:b/>
                      <w:bCs/>
                      <w:color w:val="auto"/>
                      <w:kern w:val="0"/>
                      <w:sz w:val="21"/>
                      <w:szCs w:val="21"/>
                      <w:lang w:eastAsia="zh-CN" w:bidi="ar"/>
                    </w:rPr>
                    <w:t>监测指标</w:t>
                  </w:r>
                </w:p>
              </w:tc>
              <w:tc>
                <w:tcPr>
                  <w:tcW w:w="1060" w:type="pct"/>
                  <w:vAlign w:val="center"/>
                </w:tcPr>
                <w:p w14:paraId="0D59B7DE">
                  <w:pPr>
                    <w:spacing w:line="240" w:lineRule="auto"/>
                    <w:jc w:val="center"/>
                    <w:rPr>
                      <w:rFonts w:hint="eastAsia" w:asciiTheme="minorEastAsia" w:hAnsiTheme="minorEastAsia" w:eastAsiaTheme="minorEastAsia" w:cstheme="minorEastAsia"/>
                      <w:b/>
                      <w:bCs/>
                      <w:color w:val="auto"/>
                      <w:kern w:val="0"/>
                      <w:sz w:val="21"/>
                      <w:szCs w:val="21"/>
                      <w:lang w:eastAsia="zh-CN" w:bidi="ar"/>
                    </w:rPr>
                  </w:pPr>
                  <w:r>
                    <w:rPr>
                      <w:rFonts w:hint="eastAsia" w:asciiTheme="minorEastAsia" w:hAnsiTheme="minorEastAsia" w:eastAsiaTheme="minorEastAsia" w:cstheme="minorEastAsia"/>
                      <w:b/>
                      <w:bCs/>
                      <w:color w:val="auto"/>
                      <w:kern w:val="0"/>
                      <w:sz w:val="21"/>
                      <w:szCs w:val="21"/>
                      <w:lang w:eastAsia="zh-CN" w:bidi="ar"/>
                    </w:rPr>
                    <w:t>监测频次</w:t>
                  </w:r>
                </w:p>
              </w:tc>
              <w:tc>
                <w:tcPr>
                  <w:tcW w:w="1526" w:type="pct"/>
                  <w:vAlign w:val="center"/>
                </w:tcPr>
                <w:p w14:paraId="1CDBC9BE">
                  <w:pPr>
                    <w:spacing w:line="240" w:lineRule="auto"/>
                    <w:jc w:val="center"/>
                    <w:rPr>
                      <w:rFonts w:hint="eastAsia" w:asciiTheme="minorEastAsia" w:hAnsiTheme="minorEastAsia" w:eastAsiaTheme="minorEastAsia" w:cstheme="minorEastAsia"/>
                      <w:b/>
                      <w:bCs/>
                      <w:color w:val="auto"/>
                      <w:kern w:val="0"/>
                      <w:sz w:val="21"/>
                      <w:szCs w:val="21"/>
                      <w:lang w:eastAsia="zh-CN" w:bidi="ar"/>
                    </w:rPr>
                  </w:pPr>
                  <w:r>
                    <w:rPr>
                      <w:rFonts w:hint="eastAsia" w:asciiTheme="minorEastAsia" w:hAnsiTheme="minorEastAsia" w:eastAsiaTheme="minorEastAsia" w:cstheme="minorEastAsia"/>
                      <w:b/>
                      <w:bCs/>
                      <w:color w:val="auto"/>
                      <w:kern w:val="0"/>
                      <w:sz w:val="21"/>
                      <w:szCs w:val="21"/>
                      <w:lang w:eastAsia="zh-CN" w:bidi="ar"/>
                    </w:rPr>
                    <w:t>执行标准</w:t>
                  </w:r>
                </w:p>
              </w:tc>
            </w:tr>
            <w:tr w14:paraId="51100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18" w:type="pct"/>
                  <w:vAlign w:val="center"/>
                </w:tcPr>
                <w:p w14:paraId="37E44A52">
                  <w:pPr>
                    <w:widowControl/>
                    <w:spacing w:line="240" w:lineRule="auto"/>
                    <w:jc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eastAsia="zh-CN" w:bidi="ar"/>
                    </w:rPr>
                    <w:t>竣工验收</w:t>
                  </w:r>
                </w:p>
              </w:tc>
              <w:tc>
                <w:tcPr>
                  <w:tcW w:w="285" w:type="pct"/>
                  <w:vAlign w:val="center"/>
                </w:tcPr>
                <w:p w14:paraId="457B8852">
                  <w:pPr>
                    <w:widowControl/>
                    <w:spacing w:line="240" w:lineRule="auto"/>
                    <w:jc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eastAsia="zh-CN" w:bidi="ar"/>
                    </w:rPr>
                    <w:t>废气</w:t>
                  </w:r>
                </w:p>
              </w:tc>
              <w:tc>
                <w:tcPr>
                  <w:tcW w:w="1086" w:type="pct"/>
                  <w:vAlign w:val="center"/>
                </w:tcPr>
                <w:p w14:paraId="78B7AEF9">
                  <w:pPr>
                    <w:widowControl/>
                    <w:spacing w:line="240" w:lineRule="auto"/>
                    <w:jc w:val="both"/>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eastAsia="zh-CN" w:bidi="ar"/>
                    </w:rPr>
                    <w:t>厂界上风向</w:t>
                  </w:r>
                  <w:r>
                    <w:rPr>
                      <w:rFonts w:hint="eastAsia" w:asciiTheme="minorEastAsia" w:hAnsiTheme="minorEastAsia" w:eastAsiaTheme="minorEastAsia" w:cstheme="minorEastAsia"/>
                      <w:color w:val="auto"/>
                      <w:kern w:val="0"/>
                      <w:sz w:val="21"/>
                      <w:szCs w:val="21"/>
                      <w:lang w:val="en-US" w:eastAsia="zh-CN" w:bidi="ar"/>
                    </w:rPr>
                    <w:t>1个点、下风向2个点</w:t>
                  </w:r>
                </w:p>
              </w:tc>
              <w:tc>
                <w:tcPr>
                  <w:tcW w:w="621" w:type="pct"/>
                  <w:vAlign w:val="center"/>
                </w:tcPr>
                <w:p w14:paraId="65D7E151">
                  <w:pPr>
                    <w:widowControl/>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颗粒物</w:t>
                  </w:r>
                </w:p>
              </w:tc>
              <w:tc>
                <w:tcPr>
                  <w:tcW w:w="1060" w:type="pct"/>
                  <w:vAlign w:val="center"/>
                </w:tcPr>
                <w:p w14:paraId="099A20B3">
                  <w:pPr>
                    <w:pStyle w:val="11"/>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竣工验收时连续监测</w:t>
                  </w:r>
                  <w:r>
                    <w:rPr>
                      <w:rFonts w:hint="eastAsia" w:asciiTheme="minorEastAsia" w:hAnsiTheme="minorEastAsia" w:eastAsiaTheme="minorEastAsia" w:cstheme="minorEastAsia"/>
                      <w:color w:val="auto"/>
                      <w:sz w:val="21"/>
                      <w:szCs w:val="21"/>
                      <w:lang w:val="en-US" w:eastAsia="zh-CN"/>
                    </w:rPr>
                    <w:t>2天，每天3次</w:t>
                  </w:r>
                </w:p>
              </w:tc>
              <w:tc>
                <w:tcPr>
                  <w:tcW w:w="1526" w:type="pct"/>
                  <w:vAlign w:val="center"/>
                </w:tcPr>
                <w:p w14:paraId="5F2B8CAB">
                  <w:pPr>
                    <w:widowControl/>
                    <w:spacing w:line="240" w:lineRule="auto"/>
                    <w:jc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《水泥工业大气污染物排放标准》（GB4915-2013）</w:t>
                  </w:r>
                </w:p>
              </w:tc>
            </w:tr>
          </w:tbl>
          <w:p w14:paraId="13E35A50">
            <w:pPr>
              <w:widowControl/>
              <w:numPr>
                <w:ilvl w:val="0"/>
                <w:numId w:val="0"/>
              </w:numPr>
              <w:ind w:firstLine="482" w:firstLineChars="200"/>
              <w:jc w:val="left"/>
              <w:rPr>
                <w:rFonts w:hint="eastAsia" w:ascii="Times New Roman" w:hAnsi="Times New Roman"/>
                <w:b/>
                <w:bCs/>
                <w:color w:val="auto"/>
                <w:kern w:val="0"/>
                <w:lang w:val="en-US" w:eastAsia="zh-CN" w:bidi="ar"/>
              </w:rPr>
            </w:pPr>
            <w:r>
              <w:rPr>
                <w:rFonts w:hint="eastAsia" w:ascii="Times New Roman" w:hAnsi="Times New Roman"/>
                <w:b/>
                <w:bCs/>
                <w:color w:val="auto"/>
                <w:kern w:val="0"/>
                <w:lang w:val="en-US" w:eastAsia="zh-CN" w:bidi="ar"/>
              </w:rPr>
              <w:t>3、废气排放可达性分析</w:t>
            </w:r>
          </w:p>
          <w:p w14:paraId="2151EAFF">
            <w:pPr>
              <w:widowControl/>
              <w:numPr>
                <w:ilvl w:val="0"/>
                <w:numId w:val="0"/>
              </w:numPr>
              <w:ind w:firstLine="480" w:firstLineChars="200"/>
              <w:jc w:val="left"/>
              <w:rPr>
                <w:rFonts w:hint="eastAsia" w:ascii="Times New Roman" w:hAnsi="Times New Roman"/>
                <w:b w:val="0"/>
                <w:bCs w:val="0"/>
                <w:color w:val="auto"/>
                <w:kern w:val="0"/>
                <w:lang w:val="en-US" w:eastAsia="zh-CN" w:bidi="ar"/>
              </w:rPr>
            </w:pPr>
            <w:r>
              <w:rPr>
                <w:rFonts w:hint="eastAsia" w:ascii="Times New Roman" w:hAnsi="Times New Roman"/>
                <w:b w:val="0"/>
                <w:bCs w:val="0"/>
                <w:color w:val="auto"/>
                <w:kern w:val="0"/>
                <w:lang w:val="en-US" w:eastAsia="zh-CN" w:bidi="ar"/>
              </w:rPr>
              <w:t>本项目废气主要污染物为颗粒物，为无组织排放，项目废气排放达标情况分析见下表。</w:t>
            </w:r>
          </w:p>
          <w:p w14:paraId="6CE75447">
            <w:pPr>
              <w:widowControl/>
              <w:numPr>
                <w:ilvl w:val="0"/>
                <w:numId w:val="0"/>
              </w:numPr>
              <w:ind w:firstLine="482" w:firstLineChars="200"/>
              <w:jc w:val="center"/>
              <w:rPr>
                <w:rFonts w:hint="eastAsia" w:asciiTheme="minorEastAsia" w:hAnsiTheme="minorEastAsia" w:eastAsiaTheme="minorEastAsia" w:cstheme="minorEastAsia"/>
                <w:b/>
                <w:bCs/>
                <w:color w:val="auto"/>
                <w:kern w:val="0"/>
                <w:lang w:val="en-US" w:eastAsia="zh-CN" w:bidi="ar"/>
              </w:rPr>
            </w:pPr>
            <w:r>
              <w:rPr>
                <w:rFonts w:hint="eastAsia" w:asciiTheme="minorEastAsia" w:hAnsiTheme="minorEastAsia" w:eastAsiaTheme="minorEastAsia" w:cstheme="minorEastAsia"/>
                <w:b/>
                <w:bCs/>
                <w:color w:val="auto"/>
                <w:kern w:val="0"/>
                <w:lang w:val="en-US" w:eastAsia="zh-CN" w:bidi="ar"/>
              </w:rPr>
              <w:t>表4-9 项目废气排放达标情况分析</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532"/>
              <w:gridCol w:w="1204"/>
              <w:gridCol w:w="1100"/>
              <w:gridCol w:w="2139"/>
              <w:gridCol w:w="2285"/>
            </w:tblGrid>
            <w:tr w14:paraId="7FA5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39" w:type="pct"/>
                  <w:vAlign w:val="center"/>
                </w:tcPr>
                <w:p w14:paraId="2D885734">
                  <w:pPr>
                    <w:widowControl/>
                    <w:numPr>
                      <w:ilvl w:val="0"/>
                      <w:numId w:val="0"/>
                    </w:numPr>
                    <w:spacing w:line="240" w:lineRule="auto"/>
                    <w:jc w:val="center"/>
                    <w:rPr>
                      <w:rFonts w:hint="eastAsia" w:asciiTheme="minorEastAsia" w:hAnsiTheme="minorEastAsia" w:eastAsiaTheme="minorEastAsia" w:cstheme="minorEastAsia"/>
                      <w:b/>
                      <w:bCs/>
                      <w:color w:val="auto"/>
                      <w:kern w:val="0"/>
                      <w:sz w:val="21"/>
                      <w:szCs w:val="21"/>
                      <w:vertAlign w:val="baseline"/>
                      <w:lang w:val="en-US" w:eastAsia="zh-CN" w:bidi="ar"/>
                    </w:rPr>
                  </w:pPr>
                  <w:r>
                    <w:rPr>
                      <w:rFonts w:hint="eastAsia" w:asciiTheme="minorEastAsia" w:hAnsiTheme="minorEastAsia" w:eastAsiaTheme="minorEastAsia" w:cstheme="minorEastAsia"/>
                      <w:b/>
                      <w:bCs/>
                      <w:color w:val="auto"/>
                      <w:kern w:val="0"/>
                      <w:sz w:val="21"/>
                      <w:szCs w:val="21"/>
                      <w:vertAlign w:val="baseline"/>
                      <w:lang w:val="en-US" w:eastAsia="zh-CN" w:bidi="ar"/>
                    </w:rPr>
                    <w:t>源强</w:t>
                  </w:r>
                </w:p>
              </w:tc>
              <w:tc>
                <w:tcPr>
                  <w:tcW w:w="827" w:type="pct"/>
                  <w:vAlign w:val="center"/>
                </w:tcPr>
                <w:p w14:paraId="1B6B4A3A">
                  <w:pPr>
                    <w:widowControl/>
                    <w:numPr>
                      <w:ilvl w:val="0"/>
                      <w:numId w:val="0"/>
                    </w:numPr>
                    <w:spacing w:line="240" w:lineRule="auto"/>
                    <w:jc w:val="center"/>
                    <w:rPr>
                      <w:rFonts w:hint="eastAsia" w:asciiTheme="minorEastAsia" w:hAnsiTheme="minorEastAsia" w:eastAsiaTheme="minorEastAsia" w:cstheme="minorEastAsia"/>
                      <w:b/>
                      <w:bCs/>
                      <w:color w:val="auto"/>
                      <w:kern w:val="0"/>
                      <w:sz w:val="21"/>
                      <w:szCs w:val="21"/>
                      <w:vertAlign w:val="baseline"/>
                      <w:lang w:val="en-US" w:eastAsia="zh-CN" w:bidi="ar"/>
                    </w:rPr>
                  </w:pPr>
                  <w:r>
                    <w:rPr>
                      <w:rFonts w:hint="eastAsia" w:asciiTheme="minorEastAsia" w:hAnsiTheme="minorEastAsia" w:eastAsiaTheme="minorEastAsia" w:cstheme="minorEastAsia"/>
                      <w:b/>
                      <w:bCs/>
                      <w:color w:val="auto"/>
                      <w:kern w:val="0"/>
                      <w:sz w:val="21"/>
                      <w:szCs w:val="21"/>
                      <w:vertAlign w:val="baseline"/>
                      <w:lang w:val="en-US" w:eastAsia="zh-CN" w:bidi="ar"/>
                    </w:rPr>
                    <w:t>排放标准</w:t>
                  </w:r>
                </w:p>
              </w:tc>
              <w:tc>
                <w:tcPr>
                  <w:tcW w:w="650" w:type="pct"/>
                  <w:vAlign w:val="center"/>
                </w:tcPr>
                <w:p w14:paraId="6DEA5CBC">
                  <w:pPr>
                    <w:widowControl/>
                    <w:numPr>
                      <w:ilvl w:val="0"/>
                      <w:numId w:val="0"/>
                    </w:numPr>
                    <w:spacing w:line="240" w:lineRule="auto"/>
                    <w:jc w:val="center"/>
                    <w:rPr>
                      <w:rFonts w:hint="eastAsia" w:asciiTheme="minorEastAsia" w:hAnsiTheme="minorEastAsia" w:eastAsiaTheme="minorEastAsia" w:cstheme="minorEastAsia"/>
                      <w:b/>
                      <w:bCs/>
                      <w:color w:val="auto"/>
                      <w:kern w:val="0"/>
                      <w:sz w:val="21"/>
                      <w:szCs w:val="21"/>
                      <w:vertAlign w:val="baseline"/>
                      <w:lang w:val="en-US" w:eastAsia="zh-CN" w:bidi="ar"/>
                    </w:rPr>
                  </w:pPr>
                  <w:r>
                    <w:rPr>
                      <w:rFonts w:hint="eastAsia" w:asciiTheme="minorEastAsia" w:hAnsiTheme="minorEastAsia" w:eastAsiaTheme="minorEastAsia" w:cstheme="minorEastAsia"/>
                      <w:b/>
                      <w:bCs/>
                      <w:color w:val="auto"/>
                      <w:kern w:val="0"/>
                      <w:sz w:val="21"/>
                      <w:szCs w:val="21"/>
                      <w:vertAlign w:val="baseline"/>
                      <w:lang w:val="en-US" w:eastAsia="zh-CN" w:bidi="ar"/>
                    </w:rPr>
                    <w:t>污染治理措施</w:t>
                  </w:r>
                </w:p>
              </w:tc>
              <w:tc>
                <w:tcPr>
                  <w:tcW w:w="594" w:type="pct"/>
                  <w:vAlign w:val="center"/>
                </w:tcPr>
                <w:p w14:paraId="241A6B8A">
                  <w:pPr>
                    <w:widowControl/>
                    <w:numPr>
                      <w:ilvl w:val="0"/>
                      <w:numId w:val="0"/>
                    </w:numPr>
                    <w:spacing w:line="240" w:lineRule="auto"/>
                    <w:jc w:val="center"/>
                    <w:rPr>
                      <w:rFonts w:hint="eastAsia" w:asciiTheme="minorEastAsia" w:hAnsiTheme="minorEastAsia" w:eastAsiaTheme="minorEastAsia" w:cstheme="minorEastAsia"/>
                      <w:b/>
                      <w:bCs/>
                      <w:color w:val="auto"/>
                      <w:kern w:val="0"/>
                      <w:sz w:val="21"/>
                      <w:szCs w:val="21"/>
                      <w:vertAlign w:val="baseline"/>
                      <w:lang w:val="en-US" w:eastAsia="zh-CN" w:bidi="ar"/>
                    </w:rPr>
                  </w:pPr>
                  <w:r>
                    <w:rPr>
                      <w:rFonts w:hint="eastAsia" w:asciiTheme="minorEastAsia" w:hAnsiTheme="minorEastAsia" w:eastAsiaTheme="minorEastAsia" w:cstheme="minorEastAsia"/>
                      <w:b/>
                      <w:bCs/>
                      <w:color w:val="auto"/>
                      <w:kern w:val="0"/>
                      <w:sz w:val="21"/>
                      <w:szCs w:val="21"/>
                      <w:vertAlign w:val="baseline"/>
                      <w:lang w:val="en-US" w:eastAsia="zh-CN" w:bidi="ar"/>
                    </w:rPr>
                    <w:t>污染物排放量t/a</w:t>
                  </w:r>
                </w:p>
              </w:tc>
              <w:tc>
                <w:tcPr>
                  <w:tcW w:w="1155" w:type="pct"/>
                  <w:vAlign w:val="center"/>
                </w:tcPr>
                <w:p w14:paraId="7C8B34CA">
                  <w:pPr>
                    <w:widowControl/>
                    <w:numPr>
                      <w:ilvl w:val="0"/>
                      <w:numId w:val="0"/>
                    </w:numPr>
                    <w:spacing w:line="240" w:lineRule="auto"/>
                    <w:jc w:val="center"/>
                    <w:rPr>
                      <w:rFonts w:hint="eastAsia" w:asciiTheme="minorEastAsia" w:hAnsiTheme="minorEastAsia" w:eastAsiaTheme="minorEastAsia" w:cstheme="minorEastAsia"/>
                      <w:b/>
                      <w:bCs/>
                      <w:color w:val="auto"/>
                      <w:kern w:val="0"/>
                      <w:sz w:val="21"/>
                      <w:szCs w:val="21"/>
                      <w:vertAlign w:val="baseline"/>
                      <w:lang w:val="en-US" w:eastAsia="zh-CN" w:bidi="ar"/>
                    </w:rPr>
                  </w:pPr>
                  <w:r>
                    <w:rPr>
                      <w:rFonts w:hint="eastAsia" w:asciiTheme="minorEastAsia" w:hAnsiTheme="minorEastAsia" w:eastAsiaTheme="minorEastAsia" w:cstheme="minorEastAsia"/>
                      <w:b/>
                      <w:bCs/>
                      <w:color w:val="auto"/>
                      <w:kern w:val="0"/>
                      <w:sz w:val="21"/>
                      <w:szCs w:val="21"/>
                      <w:vertAlign w:val="baseline"/>
                      <w:lang w:val="en-US" w:eastAsia="zh-CN" w:bidi="ar"/>
                    </w:rPr>
                    <w:t>是否为可行性技术</w:t>
                  </w:r>
                </w:p>
              </w:tc>
              <w:tc>
                <w:tcPr>
                  <w:tcW w:w="1233" w:type="pct"/>
                  <w:vAlign w:val="center"/>
                </w:tcPr>
                <w:p w14:paraId="2E70E4F9">
                  <w:pPr>
                    <w:widowControl/>
                    <w:numPr>
                      <w:ilvl w:val="0"/>
                      <w:numId w:val="0"/>
                    </w:numPr>
                    <w:spacing w:line="240" w:lineRule="auto"/>
                    <w:jc w:val="center"/>
                    <w:rPr>
                      <w:rFonts w:hint="eastAsia" w:asciiTheme="minorEastAsia" w:hAnsiTheme="minorEastAsia" w:eastAsiaTheme="minorEastAsia" w:cstheme="minorEastAsia"/>
                      <w:b/>
                      <w:bCs/>
                      <w:color w:val="auto"/>
                      <w:kern w:val="0"/>
                      <w:sz w:val="21"/>
                      <w:szCs w:val="21"/>
                      <w:vertAlign w:val="baseline"/>
                      <w:lang w:val="en-US" w:eastAsia="zh-CN" w:bidi="ar"/>
                    </w:rPr>
                  </w:pPr>
                  <w:r>
                    <w:rPr>
                      <w:rFonts w:hint="eastAsia" w:asciiTheme="minorEastAsia" w:hAnsiTheme="minorEastAsia" w:eastAsiaTheme="minorEastAsia" w:cstheme="minorEastAsia"/>
                      <w:b/>
                      <w:bCs/>
                      <w:color w:val="auto"/>
                      <w:kern w:val="0"/>
                      <w:sz w:val="21"/>
                      <w:szCs w:val="21"/>
                      <w:vertAlign w:val="baseline"/>
                      <w:lang w:val="en-US" w:eastAsia="zh-CN" w:bidi="ar"/>
                    </w:rPr>
                    <w:t>达标情况</w:t>
                  </w:r>
                </w:p>
              </w:tc>
            </w:tr>
            <w:tr w14:paraId="6FEB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39" w:type="pct"/>
                  <w:vAlign w:val="center"/>
                </w:tcPr>
                <w:p w14:paraId="44C685A6">
                  <w:pPr>
                    <w:widowControl/>
                    <w:numPr>
                      <w:ilvl w:val="0"/>
                      <w:numId w:val="0"/>
                    </w:numPr>
                    <w:spacing w:line="240" w:lineRule="auto"/>
                    <w:jc w:val="both"/>
                    <w:rPr>
                      <w:rFonts w:hint="eastAsia" w:asciiTheme="minorEastAsia" w:hAnsiTheme="minorEastAsia" w:eastAsiaTheme="minorEastAsia" w:cstheme="minorEastAsia"/>
                      <w:b w:val="0"/>
                      <w:bCs w:val="0"/>
                      <w:color w:val="auto"/>
                      <w:kern w:val="0"/>
                      <w:sz w:val="21"/>
                      <w:szCs w:val="21"/>
                      <w:vertAlign w:val="baseline"/>
                      <w:lang w:val="en-US" w:eastAsia="zh-CN" w:bidi="ar"/>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物料混合、搅拌粉尘</w:t>
                  </w:r>
                </w:p>
              </w:tc>
              <w:tc>
                <w:tcPr>
                  <w:tcW w:w="827" w:type="pct"/>
                  <w:vMerge w:val="restart"/>
                  <w:vAlign w:val="center"/>
                </w:tcPr>
                <w:p w14:paraId="1C938F1C">
                  <w:pPr>
                    <w:widowControl/>
                    <w:numPr>
                      <w:ilvl w:val="0"/>
                      <w:numId w:val="0"/>
                    </w:numPr>
                    <w:spacing w:line="240" w:lineRule="auto"/>
                    <w:jc w:val="both"/>
                    <w:rPr>
                      <w:rFonts w:hint="eastAsia" w:asciiTheme="minorEastAsia" w:hAnsiTheme="minorEastAsia" w:eastAsiaTheme="minorEastAsia" w:cstheme="minorEastAsia"/>
                      <w:b w:val="0"/>
                      <w:bCs w:val="0"/>
                      <w:color w:val="auto"/>
                      <w:kern w:val="0"/>
                      <w:sz w:val="21"/>
                      <w:szCs w:val="21"/>
                      <w:vertAlign w:val="baseline"/>
                      <w:lang w:val="en-US" w:eastAsia="zh-CN" w:bidi="ar"/>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运营期无组织颗粒物执行《水泥工业大气污染物排 放 标 准 》（GB4915-2013）中无组织排放监 控 点 浓 度 限值：≤0.5mg/m</w:t>
                  </w:r>
                  <w:r>
                    <w:rPr>
                      <w:rFonts w:hint="eastAsia" w:asciiTheme="minorEastAsia" w:hAnsiTheme="minorEastAsia" w:eastAsiaTheme="minorEastAsia" w:cstheme="minorEastAsia"/>
                      <w:b w:val="0"/>
                      <w:bCs w:val="0"/>
                      <w:color w:val="auto"/>
                      <w:kern w:val="0"/>
                      <w:sz w:val="21"/>
                      <w:szCs w:val="21"/>
                      <w:vertAlign w:val="superscript"/>
                      <w:lang w:val="en-US" w:eastAsia="zh-CN" w:bidi="ar"/>
                    </w:rPr>
                    <w:t>3</w:t>
                  </w:r>
                </w:p>
              </w:tc>
              <w:tc>
                <w:tcPr>
                  <w:tcW w:w="650" w:type="pct"/>
                  <w:vMerge w:val="restart"/>
                  <w:vAlign w:val="center"/>
                </w:tcPr>
                <w:p w14:paraId="5F1034E0">
                  <w:pPr>
                    <w:widowControl/>
                    <w:numPr>
                      <w:ilvl w:val="0"/>
                      <w:numId w:val="0"/>
                    </w:numPr>
                    <w:spacing w:line="240" w:lineRule="auto"/>
                    <w:jc w:val="center"/>
                    <w:rPr>
                      <w:rFonts w:hint="eastAsia" w:asciiTheme="minorEastAsia" w:hAnsiTheme="minorEastAsia" w:eastAsiaTheme="minorEastAsia" w:cstheme="minorEastAsia"/>
                      <w:b w:val="0"/>
                      <w:bCs w:val="0"/>
                      <w:color w:val="auto"/>
                      <w:kern w:val="0"/>
                      <w:sz w:val="21"/>
                      <w:szCs w:val="21"/>
                      <w:vertAlign w:val="baseline"/>
                      <w:lang w:val="en-US" w:eastAsia="zh-CN" w:bidi="ar"/>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采用水喷淋降尘，湿法降尘效率可</w:t>
                  </w:r>
                </w:p>
                <w:p w14:paraId="1D5FF241">
                  <w:pPr>
                    <w:widowControl/>
                    <w:numPr>
                      <w:ilvl w:val="0"/>
                      <w:numId w:val="0"/>
                    </w:numPr>
                    <w:spacing w:line="240" w:lineRule="auto"/>
                    <w:jc w:val="center"/>
                    <w:rPr>
                      <w:rFonts w:hint="eastAsia" w:asciiTheme="minorEastAsia" w:hAnsiTheme="minorEastAsia" w:eastAsiaTheme="minorEastAsia" w:cstheme="minorEastAsia"/>
                      <w:b w:val="0"/>
                      <w:bCs w:val="0"/>
                      <w:color w:val="auto"/>
                      <w:kern w:val="0"/>
                      <w:sz w:val="21"/>
                      <w:szCs w:val="21"/>
                      <w:vertAlign w:val="baseline"/>
                      <w:lang w:val="en-US" w:eastAsia="zh-CN" w:bidi="ar"/>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达 90%</w:t>
                  </w:r>
                </w:p>
              </w:tc>
              <w:tc>
                <w:tcPr>
                  <w:tcW w:w="594" w:type="pct"/>
                  <w:vAlign w:val="center"/>
                </w:tcPr>
                <w:p w14:paraId="3EFEBD6E">
                  <w:pPr>
                    <w:pStyle w:val="38"/>
                    <w:rPr>
                      <w:rFonts w:hint="eastAsia" w:ascii="宋体" w:hAnsi="宋体" w:eastAsia="宋体" w:cs="宋体"/>
                      <w:b w:val="0"/>
                      <w:bCs w:val="0"/>
                      <w:color w:val="auto"/>
                      <w:kern w:val="0"/>
                      <w:sz w:val="21"/>
                      <w:szCs w:val="21"/>
                      <w:vertAlign w:val="baseline"/>
                      <w:lang w:val="en-US" w:eastAsia="zh-CN" w:bidi="ar"/>
                    </w:rPr>
                  </w:pPr>
                  <w:r>
                    <w:rPr>
                      <w:rFonts w:hint="eastAsia" w:ascii="宋体" w:hAnsi="宋体" w:eastAsia="宋体" w:cs="宋体"/>
                      <w:color w:val="auto"/>
                      <w:lang w:val="en-US" w:eastAsia="zh-CN"/>
                    </w:rPr>
                    <w:t>1.387</w:t>
                  </w:r>
                </w:p>
              </w:tc>
              <w:tc>
                <w:tcPr>
                  <w:tcW w:w="1155" w:type="pct"/>
                  <w:vMerge w:val="restart"/>
                  <w:vAlign w:val="center"/>
                </w:tcPr>
                <w:p w14:paraId="3BFFA480">
                  <w:pPr>
                    <w:widowControl/>
                    <w:numPr>
                      <w:ilvl w:val="0"/>
                      <w:numId w:val="0"/>
                    </w:numPr>
                    <w:spacing w:line="240" w:lineRule="auto"/>
                    <w:jc w:val="center"/>
                    <w:rPr>
                      <w:rFonts w:hint="eastAsia" w:asciiTheme="minorEastAsia" w:hAnsiTheme="minorEastAsia" w:eastAsiaTheme="minorEastAsia" w:cstheme="minorEastAsia"/>
                      <w:b w:val="0"/>
                      <w:bCs w:val="0"/>
                      <w:color w:val="auto"/>
                      <w:kern w:val="0"/>
                      <w:sz w:val="21"/>
                      <w:szCs w:val="21"/>
                      <w:vertAlign w:val="baseline"/>
                      <w:lang w:val="en-US" w:eastAsia="zh-CN" w:bidi="ar"/>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属于《排污许可证申请与核发技术规范陶瓷砖瓦工业》（HJ954-2018）中表22、表33无组织排放控制要求推荐的可行技术</w:t>
                  </w:r>
                </w:p>
              </w:tc>
              <w:tc>
                <w:tcPr>
                  <w:tcW w:w="1233" w:type="pct"/>
                  <w:vMerge w:val="restart"/>
                  <w:vAlign w:val="center"/>
                </w:tcPr>
                <w:p w14:paraId="47B357AF">
                  <w:pPr>
                    <w:widowControl/>
                    <w:numPr>
                      <w:ilvl w:val="0"/>
                      <w:numId w:val="0"/>
                    </w:numPr>
                    <w:spacing w:line="240" w:lineRule="auto"/>
                    <w:jc w:val="both"/>
                    <w:rPr>
                      <w:rFonts w:hint="eastAsia" w:asciiTheme="minorEastAsia" w:hAnsiTheme="minorEastAsia" w:eastAsiaTheme="minorEastAsia" w:cstheme="minorEastAsia"/>
                      <w:b w:val="0"/>
                      <w:bCs w:val="0"/>
                      <w:color w:val="auto"/>
                      <w:kern w:val="0"/>
                      <w:sz w:val="21"/>
                      <w:szCs w:val="21"/>
                      <w:vertAlign w:val="baseline"/>
                      <w:lang w:val="en-US" w:eastAsia="zh-CN" w:bidi="ar"/>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在严格落实环评提出措施后，项目 无组织废气可达《水泥工业大气污染物排放标准》（GB4915-2013）中无组织排放监控点浓度限值：≤0.5mg/m</w:t>
                  </w:r>
                  <w:r>
                    <w:rPr>
                      <w:rFonts w:hint="eastAsia" w:asciiTheme="minorEastAsia" w:hAnsiTheme="minorEastAsia" w:eastAsiaTheme="minorEastAsia" w:cstheme="minorEastAsia"/>
                      <w:b w:val="0"/>
                      <w:bCs w:val="0"/>
                      <w:color w:val="auto"/>
                      <w:kern w:val="0"/>
                      <w:sz w:val="21"/>
                      <w:szCs w:val="21"/>
                      <w:vertAlign w:val="superscript"/>
                      <w:lang w:val="en-US" w:eastAsia="zh-CN" w:bidi="ar"/>
                    </w:rPr>
                    <w:t>3</w:t>
                  </w:r>
                </w:p>
              </w:tc>
            </w:tr>
            <w:tr w14:paraId="322C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39" w:type="pct"/>
                  <w:vAlign w:val="center"/>
                </w:tcPr>
                <w:p w14:paraId="36C2FC29">
                  <w:pPr>
                    <w:pStyle w:val="38"/>
                    <w:jc w:val="both"/>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lang w:val="en-US" w:eastAsia="zh-CN"/>
                    </w:rPr>
                    <w:t>物料输送、储存粉尘</w:t>
                  </w:r>
                </w:p>
              </w:tc>
              <w:tc>
                <w:tcPr>
                  <w:tcW w:w="827" w:type="pct"/>
                  <w:vMerge w:val="continue"/>
                  <w:vAlign w:val="center"/>
                </w:tcPr>
                <w:p w14:paraId="635FFFEE">
                  <w:pPr>
                    <w:widowControl/>
                    <w:numPr>
                      <w:ilvl w:val="0"/>
                      <w:numId w:val="0"/>
                    </w:numPr>
                    <w:spacing w:line="240" w:lineRule="auto"/>
                    <w:jc w:val="center"/>
                    <w:rPr>
                      <w:rFonts w:hint="eastAsia" w:asciiTheme="minorEastAsia" w:hAnsiTheme="minorEastAsia" w:eastAsiaTheme="minorEastAsia" w:cstheme="minorEastAsia"/>
                      <w:b w:val="0"/>
                      <w:bCs w:val="0"/>
                      <w:color w:val="auto"/>
                      <w:kern w:val="0"/>
                      <w:sz w:val="21"/>
                      <w:szCs w:val="21"/>
                      <w:vertAlign w:val="baseline"/>
                      <w:lang w:val="en-US" w:eastAsia="zh-CN" w:bidi="ar"/>
                    </w:rPr>
                  </w:pPr>
                </w:p>
              </w:tc>
              <w:tc>
                <w:tcPr>
                  <w:tcW w:w="650" w:type="pct"/>
                  <w:vMerge w:val="continue"/>
                  <w:vAlign w:val="center"/>
                </w:tcPr>
                <w:p w14:paraId="07CA4027">
                  <w:pPr>
                    <w:widowControl/>
                    <w:numPr>
                      <w:ilvl w:val="0"/>
                      <w:numId w:val="0"/>
                    </w:numPr>
                    <w:spacing w:line="240" w:lineRule="auto"/>
                    <w:jc w:val="center"/>
                    <w:rPr>
                      <w:rFonts w:hint="eastAsia" w:asciiTheme="minorEastAsia" w:hAnsiTheme="minorEastAsia" w:eastAsiaTheme="minorEastAsia" w:cstheme="minorEastAsia"/>
                      <w:b w:val="0"/>
                      <w:bCs w:val="0"/>
                      <w:color w:val="auto"/>
                      <w:kern w:val="0"/>
                      <w:sz w:val="21"/>
                      <w:szCs w:val="21"/>
                      <w:vertAlign w:val="baseline"/>
                      <w:lang w:val="en-US" w:eastAsia="zh-CN" w:bidi="ar"/>
                    </w:rPr>
                  </w:pPr>
                </w:p>
              </w:tc>
              <w:tc>
                <w:tcPr>
                  <w:tcW w:w="594" w:type="pct"/>
                  <w:vAlign w:val="center"/>
                </w:tcPr>
                <w:p w14:paraId="331F76B3">
                  <w:pPr>
                    <w:pStyle w:val="38"/>
                    <w:rPr>
                      <w:rFonts w:hint="eastAsia" w:ascii="宋体" w:hAnsi="宋体" w:eastAsia="宋体" w:cs="宋体"/>
                      <w:b w:val="0"/>
                      <w:bCs w:val="0"/>
                      <w:color w:val="auto"/>
                      <w:kern w:val="0"/>
                      <w:sz w:val="21"/>
                      <w:szCs w:val="21"/>
                      <w:vertAlign w:val="baseline"/>
                      <w:lang w:val="en-US" w:eastAsia="zh-CN" w:bidi="ar"/>
                    </w:rPr>
                  </w:pPr>
                  <w:r>
                    <w:rPr>
                      <w:rFonts w:hint="eastAsia" w:ascii="宋体" w:hAnsi="宋体" w:eastAsia="宋体" w:cs="宋体"/>
                      <w:color w:val="auto"/>
                      <w:lang w:val="en-US" w:eastAsia="zh-CN"/>
                    </w:rPr>
                    <w:t>1.281</w:t>
                  </w:r>
                </w:p>
              </w:tc>
              <w:tc>
                <w:tcPr>
                  <w:tcW w:w="1155" w:type="pct"/>
                  <w:vMerge w:val="continue"/>
                  <w:vAlign w:val="center"/>
                </w:tcPr>
                <w:p w14:paraId="24E08689">
                  <w:pPr>
                    <w:widowControl/>
                    <w:numPr>
                      <w:ilvl w:val="0"/>
                      <w:numId w:val="0"/>
                    </w:numPr>
                    <w:spacing w:line="240" w:lineRule="auto"/>
                    <w:jc w:val="center"/>
                    <w:rPr>
                      <w:rFonts w:hint="eastAsia" w:asciiTheme="minorEastAsia" w:hAnsiTheme="minorEastAsia" w:eastAsiaTheme="minorEastAsia" w:cstheme="minorEastAsia"/>
                      <w:b w:val="0"/>
                      <w:bCs w:val="0"/>
                      <w:color w:val="auto"/>
                      <w:kern w:val="0"/>
                      <w:sz w:val="21"/>
                      <w:szCs w:val="21"/>
                      <w:vertAlign w:val="baseline"/>
                      <w:lang w:val="en-US" w:eastAsia="zh-CN" w:bidi="ar"/>
                    </w:rPr>
                  </w:pPr>
                </w:p>
              </w:tc>
              <w:tc>
                <w:tcPr>
                  <w:tcW w:w="1233" w:type="pct"/>
                  <w:vMerge w:val="continue"/>
                  <w:vAlign w:val="center"/>
                </w:tcPr>
                <w:p w14:paraId="54E3ADD2">
                  <w:pPr>
                    <w:widowControl/>
                    <w:numPr>
                      <w:ilvl w:val="0"/>
                      <w:numId w:val="0"/>
                    </w:numPr>
                    <w:spacing w:line="240" w:lineRule="auto"/>
                    <w:jc w:val="center"/>
                    <w:rPr>
                      <w:rFonts w:hint="eastAsia" w:asciiTheme="minorEastAsia" w:hAnsiTheme="minorEastAsia" w:eastAsiaTheme="minorEastAsia" w:cstheme="minorEastAsia"/>
                      <w:b w:val="0"/>
                      <w:bCs w:val="0"/>
                      <w:color w:val="auto"/>
                      <w:kern w:val="0"/>
                      <w:sz w:val="21"/>
                      <w:szCs w:val="21"/>
                      <w:vertAlign w:val="baseline"/>
                      <w:lang w:val="en-US" w:eastAsia="zh-CN" w:bidi="ar"/>
                    </w:rPr>
                  </w:pPr>
                </w:p>
              </w:tc>
            </w:tr>
            <w:tr w14:paraId="25B6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jc w:val="center"/>
              </w:trPr>
              <w:tc>
                <w:tcPr>
                  <w:tcW w:w="539" w:type="pct"/>
                  <w:vAlign w:val="center"/>
                </w:tcPr>
                <w:p w14:paraId="438D0EE9">
                  <w:pPr>
                    <w:pStyle w:val="38"/>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水泥储罐粉尘</w:t>
                  </w:r>
                </w:p>
              </w:tc>
              <w:tc>
                <w:tcPr>
                  <w:tcW w:w="827" w:type="pct"/>
                  <w:vMerge w:val="continue"/>
                  <w:vAlign w:val="center"/>
                </w:tcPr>
                <w:p w14:paraId="3EFA82B7">
                  <w:pPr>
                    <w:widowControl/>
                    <w:numPr>
                      <w:ilvl w:val="0"/>
                      <w:numId w:val="0"/>
                    </w:numPr>
                    <w:spacing w:line="240" w:lineRule="auto"/>
                    <w:jc w:val="center"/>
                    <w:rPr>
                      <w:rFonts w:hint="eastAsia" w:asciiTheme="minorEastAsia" w:hAnsiTheme="minorEastAsia" w:eastAsiaTheme="minorEastAsia" w:cstheme="minorEastAsia"/>
                      <w:b w:val="0"/>
                      <w:bCs w:val="0"/>
                      <w:color w:val="auto"/>
                      <w:kern w:val="0"/>
                      <w:sz w:val="21"/>
                      <w:szCs w:val="21"/>
                      <w:vertAlign w:val="baseline"/>
                      <w:lang w:val="en-US" w:eastAsia="zh-CN" w:bidi="ar"/>
                    </w:rPr>
                  </w:pPr>
                </w:p>
              </w:tc>
              <w:tc>
                <w:tcPr>
                  <w:tcW w:w="650" w:type="pct"/>
                  <w:vAlign w:val="center"/>
                </w:tcPr>
                <w:p w14:paraId="101F368E">
                  <w:pPr>
                    <w:widowControl/>
                    <w:numPr>
                      <w:ilvl w:val="0"/>
                      <w:numId w:val="0"/>
                    </w:numPr>
                    <w:spacing w:line="240" w:lineRule="auto"/>
                    <w:jc w:val="center"/>
                    <w:rPr>
                      <w:rFonts w:hint="eastAsia" w:asciiTheme="minorEastAsia" w:hAnsiTheme="minorEastAsia" w:eastAsiaTheme="minorEastAsia" w:cstheme="minorEastAsia"/>
                      <w:b w:val="0"/>
                      <w:bCs w:val="0"/>
                      <w:color w:val="auto"/>
                      <w:kern w:val="0"/>
                      <w:sz w:val="21"/>
                      <w:szCs w:val="21"/>
                      <w:vertAlign w:val="baseline"/>
                      <w:lang w:val="en-US" w:eastAsia="zh-CN" w:bidi="ar"/>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 xml:space="preserve">水泥传送带密闭输送；自带布袋除 </w:t>
                  </w:r>
                </w:p>
                <w:p w14:paraId="188EA626">
                  <w:pPr>
                    <w:widowControl/>
                    <w:numPr>
                      <w:ilvl w:val="0"/>
                      <w:numId w:val="0"/>
                    </w:numPr>
                    <w:spacing w:line="240" w:lineRule="auto"/>
                    <w:jc w:val="center"/>
                    <w:rPr>
                      <w:rFonts w:hint="eastAsia" w:asciiTheme="minorEastAsia" w:hAnsiTheme="minorEastAsia" w:eastAsiaTheme="minorEastAsia" w:cstheme="minorEastAsia"/>
                      <w:b w:val="0"/>
                      <w:bCs w:val="0"/>
                      <w:color w:val="auto"/>
                      <w:kern w:val="0"/>
                      <w:sz w:val="21"/>
                      <w:szCs w:val="21"/>
                      <w:vertAlign w:val="baseline"/>
                      <w:lang w:val="en-US" w:eastAsia="zh-CN" w:bidi="ar"/>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尘器，其除尘效率（95%）</w:t>
                  </w:r>
                </w:p>
              </w:tc>
              <w:tc>
                <w:tcPr>
                  <w:tcW w:w="594" w:type="pct"/>
                  <w:vAlign w:val="center"/>
                </w:tcPr>
                <w:p w14:paraId="75A0AA97">
                  <w:pPr>
                    <w:pStyle w:val="38"/>
                    <w:rPr>
                      <w:rFonts w:hint="eastAsia" w:ascii="宋体" w:hAnsi="宋体" w:eastAsia="宋体" w:cs="宋体"/>
                      <w:b w:val="0"/>
                      <w:bCs w:val="0"/>
                      <w:color w:val="auto"/>
                      <w:kern w:val="0"/>
                      <w:sz w:val="21"/>
                      <w:szCs w:val="21"/>
                      <w:vertAlign w:val="baseline"/>
                      <w:lang w:val="en-US" w:eastAsia="zh-CN" w:bidi="ar"/>
                    </w:rPr>
                  </w:pPr>
                  <w:r>
                    <w:rPr>
                      <w:rFonts w:hint="eastAsia" w:ascii="宋体" w:hAnsi="宋体" w:eastAsia="宋体" w:cs="宋体"/>
                      <w:color w:val="auto"/>
                      <w:lang w:val="en-US" w:eastAsia="zh-CN"/>
                    </w:rPr>
                    <w:t>0.0516</w:t>
                  </w:r>
                </w:p>
              </w:tc>
              <w:tc>
                <w:tcPr>
                  <w:tcW w:w="1155" w:type="pct"/>
                  <w:vAlign w:val="center"/>
                </w:tcPr>
                <w:p w14:paraId="1A69F456">
                  <w:pPr>
                    <w:widowControl/>
                    <w:numPr>
                      <w:ilvl w:val="0"/>
                      <w:numId w:val="0"/>
                    </w:numPr>
                    <w:spacing w:line="240" w:lineRule="auto"/>
                    <w:jc w:val="center"/>
                    <w:rPr>
                      <w:rFonts w:hint="eastAsia" w:asciiTheme="minorEastAsia" w:hAnsiTheme="minorEastAsia" w:eastAsiaTheme="minorEastAsia" w:cstheme="minorEastAsia"/>
                      <w:b w:val="0"/>
                      <w:bCs w:val="0"/>
                      <w:color w:val="auto"/>
                      <w:kern w:val="0"/>
                      <w:sz w:val="21"/>
                      <w:szCs w:val="21"/>
                      <w:vertAlign w:val="baseline"/>
                      <w:lang w:val="en-US" w:eastAsia="zh-CN" w:bidi="ar"/>
                    </w:rPr>
                  </w:pPr>
                  <w:r>
                    <w:rPr>
                      <w:rFonts w:hint="eastAsia" w:asciiTheme="minorEastAsia" w:hAnsiTheme="minorEastAsia" w:eastAsiaTheme="minorEastAsia" w:cstheme="minorEastAsia"/>
                      <w:b w:val="0"/>
                      <w:bCs w:val="0"/>
                      <w:color w:val="auto"/>
                      <w:kern w:val="0"/>
                      <w:sz w:val="21"/>
                      <w:szCs w:val="21"/>
                      <w:vertAlign w:val="baseline"/>
                      <w:lang w:val="en-US" w:eastAsia="zh-CN" w:bidi="ar"/>
                    </w:rPr>
                    <w:t>水泥传送带密闭输送；设备自带布除尘器，处理技术可行</w:t>
                  </w:r>
                </w:p>
              </w:tc>
              <w:tc>
                <w:tcPr>
                  <w:tcW w:w="1233" w:type="pct"/>
                  <w:vMerge w:val="continue"/>
                  <w:vAlign w:val="center"/>
                </w:tcPr>
                <w:p w14:paraId="01D16B94">
                  <w:pPr>
                    <w:widowControl/>
                    <w:numPr>
                      <w:ilvl w:val="0"/>
                      <w:numId w:val="0"/>
                    </w:numPr>
                    <w:spacing w:line="240" w:lineRule="auto"/>
                    <w:jc w:val="center"/>
                    <w:rPr>
                      <w:rFonts w:hint="eastAsia" w:asciiTheme="minorEastAsia" w:hAnsiTheme="minorEastAsia" w:eastAsiaTheme="minorEastAsia" w:cstheme="minorEastAsia"/>
                      <w:b w:val="0"/>
                      <w:bCs w:val="0"/>
                      <w:color w:val="auto"/>
                      <w:kern w:val="0"/>
                      <w:sz w:val="21"/>
                      <w:szCs w:val="21"/>
                      <w:vertAlign w:val="baseline"/>
                      <w:lang w:val="en-US" w:eastAsia="zh-CN" w:bidi="ar"/>
                    </w:rPr>
                  </w:pPr>
                </w:p>
              </w:tc>
            </w:tr>
            <w:tr w14:paraId="101D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4" w:hRule="atLeast"/>
                <w:jc w:val="center"/>
              </w:trPr>
              <w:tc>
                <w:tcPr>
                  <w:tcW w:w="539" w:type="pct"/>
                  <w:vAlign w:val="center"/>
                </w:tcPr>
                <w:p w14:paraId="67621246">
                  <w:pPr>
                    <w:pStyle w:val="38"/>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焊接废气</w:t>
                  </w:r>
                </w:p>
              </w:tc>
              <w:tc>
                <w:tcPr>
                  <w:tcW w:w="827" w:type="pct"/>
                  <w:vAlign w:val="center"/>
                </w:tcPr>
                <w:p w14:paraId="3B374995">
                  <w:pPr>
                    <w:widowControl/>
                    <w:numPr>
                      <w:ilvl w:val="0"/>
                      <w:numId w:val="0"/>
                    </w:numPr>
                    <w:spacing w:line="240" w:lineRule="auto"/>
                    <w:jc w:val="center"/>
                    <w:rPr>
                      <w:rFonts w:hint="eastAsia" w:asciiTheme="minorEastAsia" w:hAnsiTheme="minorEastAsia" w:eastAsiaTheme="minorEastAsia" w:cstheme="minorEastAsia"/>
                      <w:b w:val="0"/>
                      <w:bCs w:val="0"/>
                      <w:color w:val="000000" w:themeColor="text1"/>
                      <w:kern w:val="0"/>
                      <w:sz w:val="21"/>
                      <w:szCs w:val="21"/>
                      <w:vertAlign w:val="baseli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vertAlign w:val="baseline"/>
                      <w:lang w:val="en-US" w:eastAsia="zh-CN" w:bidi="ar"/>
                      <w14:textFill>
                        <w14:solidFill>
                          <w14:schemeClr w14:val="tx1"/>
                        </w14:solidFill>
                      </w14:textFill>
                    </w:rPr>
                    <w:t xml:space="preserve">焊接车间执行《车间空气中电焊烟尘卫生标准》（GB </w:t>
                  </w:r>
                </w:p>
                <w:p w14:paraId="1A4F330C">
                  <w:pPr>
                    <w:widowControl/>
                    <w:numPr>
                      <w:ilvl w:val="0"/>
                      <w:numId w:val="0"/>
                    </w:numPr>
                    <w:spacing w:line="240" w:lineRule="auto"/>
                    <w:jc w:val="center"/>
                    <w:rPr>
                      <w:rFonts w:hint="eastAsia" w:asciiTheme="minorEastAsia" w:hAnsiTheme="minorEastAsia" w:eastAsiaTheme="minorEastAsia" w:cstheme="minorEastAsia"/>
                      <w:b w:val="0"/>
                      <w:bCs w:val="0"/>
                      <w:color w:val="000000" w:themeColor="text1"/>
                      <w:kern w:val="0"/>
                      <w:sz w:val="21"/>
                      <w:szCs w:val="21"/>
                      <w:vertAlign w:val="baseli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vertAlign w:val="baseline"/>
                      <w:lang w:val="en-US" w:eastAsia="zh-CN" w:bidi="ar"/>
                      <w14:textFill>
                        <w14:solidFill>
                          <w14:schemeClr w14:val="tx1"/>
                        </w14:solidFill>
                      </w14:textFill>
                    </w:rPr>
                    <w:t>16194-1996）规定车间空气中最高容许浓度6mg/m</w:t>
                  </w:r>
                  <w:r>
                    <w:rPr>
                      <w:rFonts w:hint="eastAsia" w:asciiTheme="minorEastAsia" w:hAnsiTheme="minorEastAsia" w:eastAsiaTheme="minorEastAsia" w:cstheme="minorEastAsia"/>
                      <w:b w:val="0"/>
                      <w:bCs w:val="0"/>
                      <w:color w:val="000000" w:themeColor="text1"/>
                      <w:kern w:val="0"/>
                      <w:sz w:val="21"/>
                      <w:szCs w:val="21"/>
                      <w:vertAlign w:val="superscript"/>
                      <w:lang w:val="en-US" w:eastAsia="zh-CN" w:bidi="ar"/>
                      <w14:textFill>
                        <w14:solidFill>
                          <w14:schemeClr w14:val="tx1"/>
                        </w14:solidFill>
                      </w14:textFill>
                    </w:rPr>
                    <w:t>3</w:t>
                  </w:r>
                </w:p>
              </w:tc>
              <w:tc>
                <w:tcPr>
                  <w:tcW w:w="650" w:type="pct"/>
                  <w:vAlign w:val="center"/>
                </w:tcPr>
                <w:p w14:paraId="05360E37">
                  <w:pPr>
                    <w:widowControl/>
                    <w:numPr>
                      <w:ilvl w:val="0"/>
                      <w:numId w:val="0"/>
                    </w:numPr>
                    <w:spacing w:line="240" w:lineRule="auto"/>
                    <w:jc w:val="center"/>
                    <w:rPr>
                      <w:rFonts w:hint="default" w:asciiTheme="minorEastAsia" w:hAnsiTheme="minorEastAsia" w:eastAsiaTheme="minorEastAsia" w:cstheme="minorEastAsia"/>
                      <w:b w:val="0"/>
                      <w:bCs w:val="0"/>
                      <w:color w:val="000000" w:themeColor="text1"/>
                      <w:kern w:val="0"/>
                      <w:sz w:val="21"/>
                      <w:szCs w:val="21"/>
                      <w:vertAlign w:val="baseli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vertAlign w:val="baseline"/>
                      <w:lang w:val="en-US" w:eastAsia="zh-CN" w:bidi="ar"/>
                      <w14:textFill>
                        <w14:solidFill>
                          <w14:schemeClr w14:val="tx1"/>
                        </w14:solidFill>
                      </w14:textFill>
                    </w:rPr>
                    <w:t>自然扩散、空气稀释</w:t>
                  </w:r>
                </w:p>
                <w:p w14:paraId="23707E60">
                  <w:pPr>
                    <w:widowControl/>
                    <w:numPr>
                      <w:ilvl w:val="0"/>
                      <w:numId w:val="0"/>
                    </w:numPr>
                    <w:spacing w:line="240" w:lineRule="auto"/>
                    <w:jc w:val="both"/>
                    <w:rPr>
                      <w:rFonts w:hint="eastAsia" w:asciiTheme="minorEastAsia" w:hAnsiTheme="minorEastAsia" w:eastAsiaTheme="minorEastAsia" w:cstheme="minorEastAsia"/>
                      <w:b w:val="0"/>
                      <w:bCs w:val="0"/>
                      <w:color w:val="000000" w:themeColor="text1"/>
                      <w:kern w:val="0"/>
                      <w:sz w:val="21"/>
                      <w:szCs w:val="21"/>
                      <w:vertAlign w:val="baseline"/>
                      <w:lang w:val="en-US" w:eastAsia="zh-CN" w:bidi="ar"/>
                      <w14:textFill>
                        <w14:solidFill>
                          <w14:schemeClr w14:val="tx1"/>
                        </w14:solidFill>
                      </w14:textFill>
                    </w:rPr>
                  </w:pPr>
                </w:p>
                <w:p w14:paraId="0F10DD17">
                  <w:pPr>
                    <w:widowControl/>
                    <w:numPr>
                      <w:ilvl w:val="0"/>
                      <w:numId w:val="0"/>
                    </w:numPr>
                    <w:spacing w:line="240" w:lineRule="auto"/>
                    <w:jc w:val="center"/>
                    <w:rPr>
                      <w:rFonts w:hint="eastAsia" w:asciiTheme="minorEastAsia" w:hAnsiTheme="minorEastAsia" w:eastAsiaTheme="minorEastAsia" w:cstheme="minorEastAsia"/>
                      <w:b w:val="0"/>
                      <w:bCs w:val="0"/>
                      <w:color w:val="000000" w:themeColor="text1"/>
                      <w:kern w:val="0"/>
                      <w:sz w:val="21"/>
                      <w:szCs w:val="21"/>
                      <w:vertAlign w:val="baseline"/>
                      <w:lang w:val="en-US" w:eastAsia="zh-CN" w:bidi="ar"/>
                      <w14:textFill>
                        <w14:solidFill>
                          <w14:schemeClr w14:val="tx1"/>
                        </w14:solidFill>
                      </w14:textFill>
                    </w:rPr>
                  </w:pPr>
                </w:p>
              </w:tc>
              <w:tc>
                <w:tcPr>
                  <w:tcW w:w="594" w:type="pct"/>
                  <w:vAlign w:val="center"/>
                </w:tcPr>
                <w:p w14:paraId="72C87D66">
                  <w:pPr>
                    <w:widowControl/>
                    <w:numPr>
                      <w:ilvl w:val="0"/>
                      <w:numId w:val="0"/>
                    </w:numPr>
                    <w:spacing w:line="240" w:lineRule="auto"/>
                    <w:jc w:val="center"/>
                    <w:rPr>
                      <w:rFonts w:hint="default" w:asciiTheme="minorEastAsia" w:hAnsiTheme="minorEastAsia" w:eastAsiaTheme="minorEastAsia" w:cstheme="minorEastAsia"/>
                      <w:b w:val="0"/>
                      <w:bCs w:val="0"/>
                      <w:color w:val="000000" w:themeColor="text1"/>
                      <w:kern w:val="0"/>
                      <w:sz w:val="21"/>
                      <w:szCs w:val="21"/>
                      <w:vertAlign w:val="baseli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vertAlign w:val="baseline"/>
                      <w:lang w:val="en-US" w:eastAsia="zh-CN" w:bidi="ar"/>
                      <w14:textFill>
                        <w14:solidFill>
                          <w14:schemeClr w14:val="tx1"/>
                        </w14:solidFill>
                      </w14:textFill>
                    </w:rPr>
                    <w:t>0.0032</w:t>
                  </w:r>
                </w:p>
              </w:tc>
              <w:tc>
                <w:tcPr>
                  <w:tcW w:w="1155" w:type="pct"/>
                  <w:vAlign w:val="center"/>
                </w:tcPr>
                <w:p w14:paraId="0199E2F1">
                  <w:pPr>
                    <w:widowControl/>
                    <w:numPr>
                      <w:ilvl w:val="0"/>
                      <w:numId w:val="0"/>
                    </w:numPr>
                    <w:spacing w:line="240" w:lineRule="auto"/>
                    <w:jc w:val="center"/>
                    <w:rPr>
                      <w:rFonts w:hint="eastAsia" w:asciiTheme="minorEastAsia" w:hAnsiTheme="minorEastAsia" w:eastAsiaTheme="minorEastAsia" w:cstheme="minorEastAsia"/>
                      <w:b w:val="0"/>
                      <w:bCs w:val="0"/>
                      <w:color w:val="000000" w:themeColor="text1"/>
                      <w:kern w:val="0"/>
                      <w:sz w:val="21"/>
                      <w:szCs w:val="21"/>
                      <w:vertAlign w:val="baseli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vertAlign w:val="baseline"/>
                      <w:lang w:val="en-US" w:eastAsia="zh-CN" w:bidi="ar"/>
                      <w14:textFill>
                        <w14:solidFill>
                          <w14:schemeClr w14:val="tx1"/>
                        </w14:solidFill>
                      </w14:textFill>
                    </w:rPr>
                    <w:t xml:space="preserve">属于《第二次全国污染源普查工业污染源普查产排污系 </w:t>
                  </w:r>
                </w:p>
                <w:p w14:paraId="11DD43BD">
                  <w:pPr>
                    <w:widowControl/>
                    <w:numPr>
                      <w:ilvl w:val="0"/>
                      <w:numId w:val="0"/>
                    </w:numPr>
                    <w:spacing w:line="240" w:lineRule="auto"/>
                    <w:jc w:val="center"/>
                    <w:rPr>
                      <w:rFonts w:hint="eastAsia" w:asciiTheme="minorEastAsia" w:hAnsiTheme="minorEastAsia" w:eastAsiaTheme="minorEastAsia" w:cstheme="minorEastAsia"/>
                      <w:b w:val="0"/>
                      <w:bCs w:val="0"/>
                      <w:color w:val="000000" w:themeColor="text1"/>
                      <w:kern w:val="0"/>
                      <w:sz w:val="21"/>
                      <w:szCs w:val="21"/>
                      <w:vertAlign w:val="baseli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vertAlign w:val="baseline"/>
                      <w:lang w:val="en-US" w:eastAsia="zh-CN" w:bidi="ar"/>
                      <w14:textFill>
                        <w14:solidFill>
                          <w14:schemeClr w14:val="tx1"/>
                        </w14:solidFill>
                      </w14:textFill>
                    </w:rPr>
                    <w:t>数手册-145 机械行业系数手册》焊接工段颗粒物浓度达标可直接排放</w:t>
                  </w:r>
                </w:p>
                <w:p w14:paraId="4BD8243B">
                  <w:pPr>
                    <w:widowControl/>
                    <w:numPr>
                      <w:ilvl w:val="0"/>
                      <w:numId w:val="0"/>
                    </w:numPr>
                    <w:spacing w:line="240" w:lineRule="auto"/>
                    <w:jc w:val="center"/>
                    <w:rPr>
                      <w:rFonts w:hint="eastAsia" w:asciiTheme="minorEastAsia" w:hAnsiTheme="minorEastAsia" w:eastAsiaTheme="minorEastAsia" w:cstheme="minorEastAsia"/>
                      <w:b w:val="0"/>
                      <w:bCs w:val="0"/>
                      <w:color w:val="000000" w:themeColor="text1"/>
                      <w:kern w:val="0"/>
                      <w:sz w:val="21"/>
                      <w:szCs w:val="21"/>
                      <w:vertAlign w:val="baseline"/>
                      <w:lang w:val="en-US" w:eastAsia="zh-CN" w:bidi="ar"/>
                      <w14:textFill>
                        <w14:solidFill>
                          <w14:schemeClr w14:val="tx1"/>
                        </w14:solidFill>
                      </w14:textFill>
                    </w:rPr>
                  </w:pPr>
                </w:p>
              </w:tc>
              <w:tc>
                <w:tcPr>
                  <w:tcW w:w="1233" w:type="pct"/>
                  <w:vAlign w:val="center"/>
                </w:tcPr>
                <w:p w14:paraId="287999A0">
                  <w:pPr>
                    <w:widowControl/>
                    <w:numPr>
                      <w:ilvl w:val="0"/>
                      <w:numId w:val="0"/>
                    </w:numPr>
                    <w:spacing w:line="240" w:lineRule="auto"/>
                    <w:jc w:val="both"/>
                    <w:rPr>
                      <w:rFonts w:hint="eastAsia" w:asciiTheme="minorEastAsia" w:hAnsiTheme="minorEastAsia" w:eastAsiaTheme="minorEastAsia" w:cstheme="minorEastAsia"/>
                      <w:b w:val="0"/>
                      <w:bCs w:val="0"/>
                      <w:color w:val="000000" w:themeColor="text1"/>
                      <w:kern w:val="0"/>
                      <w:sz w:val="21"/>
                      <w:szCs w:val="21"/>
                      <w:vertAlign w:val="baseli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vertAlign w:val="baseline"/>
                      <w:lang w:val="en-US" w:eastAsia="zh-CN" w:bidi="ar"/>
                      <w14:textFill>
                        <w14:solidFill>
                          <w14:schemeClr w14:val="tx1"/>
                        </w14:solidFill>
                      </w14:textFill>
                    </w:rPr>
                    <w:t>在严格落实环评提出措施后，项目 无组织废气可达《车间空气中电焊烟尘卫生标准》（GB 16194-1996）中焊接废气排放浓度限值：3.755mg/m</w:t>
                  </w:r>
                  <w:r>
                    <w:rPr>
                      <w:rFonts w:hint="eastAsia" w:asciiTheme="minorEastAsia" w:hAnsiTheme="minorEastAsia" w:eastAsiaTheme="minorEastAsia" w:cstheme="minorEastAsia"/>
                      <w:b w:val="0"/>
                      <w:bCs w:val="0"/>
                      <w:color w:val="000000" w:themeColor="text1"/>
                      <w:kern w:val="0"/>
                      <w:sz w:val="21"/>
                      <w:szCs w:val="21"/>
                      <w:vertAlign w:val="superscript"/>
                      <w:lang w:val="en-US" w:eastAsia="zh-CN" w:bidi="ar"/>
                      <w14:textFill>
                        <w14:solidFill>
                          <w14:schemeClr w14:val="tx1"/>
                        </w14:solidFill>
                      </w14:textFill>
                    </w:rPr>
                    <w:t>3</w:t>
                  </w:r>
                  <w:r>
                    <w:rPr>
                      <w:rFonts w:hint="eastAsia" w:asciiTheme="minorEastAsia" w:hAnsiTheme="minorEastAsia" w:eastAsiaTheme="minorEastAsia" w:cstheme="minorEastAsia"/>
                      <w:b w:val="0"/>
                      <w:bCs w:val="0"/>
                      <w:color w:val="000000" w:themeColor="text1"/>
                      <w:kern w:val="0"/>
                      <w:sz w:val="21"/>
                      <w:szCs w:val="21"/>
                      <w:vertAlign w:val="baseline"/>
                      <w:lang w:val="en-US" w:eastAsia="zh-CN" w:bidi="ar"/>
                      <w14:textFill>
                        <w14:solidFill>
                          <w14:schemeClr w14:val="tx1"/>
                        </w14:solidFill>
                      </w14:textFill>
                    </w:rPr>
                    <w:t>≤6mg/m</w:t>
                  </w:r>
                  <w:r>
                    <w:rPr>
                      <w:rFonts w:hint="eastAsia" w:asciiTheme="minorEastAsia" w:hAnsiTheme="minorEastAsia" w:eastAsiaTheme="minorEastAsia" w:cstheme="minorEastAsia"/>
                      <w:b w:val="0"/>
                      <w:bCs w:val="0"/>
                      <w:color w:val="000000" w:themeColor="text1"/>
                      <w:kern w:val="0"/>
                      <w:sz w:val="21"/>
                      <w:szCs w:val="21"/>
                      <w:vertAlign w:val="superscript"/>
                      <w:lang w:val="en-US" w:eastAsia="zh-CN" w:bidi="ar"/>
                      <w14:textFill>
                        <w14:solidFill>
                          <w14:schemeClr w14:val="tx1"/>
                        </w14:solidFill>
                      </w14:textFill>
                    </w:rPr>
                    <w:t>3</w:t>
                  </w:r>
                </w:p>
              </w:tc>
            </w:tr>
          </w:tbl>
          <w:p w14:paraId="4F46A601">
            <w:pPr>
              <w:widowControl/>
              <w:numPr>
                <w:ilvl w:val="0"/>
                <w:numId w:val="0"/>
              </w:numPr>
              <w:ind w:firstLine="480" w:firstLineChars="200"/>
              <w:jc w:val="left"/>
              <w:rPr>
                <w:rFonts w:hint="eastAsia" w:ascii="Times New Roman" w:hAnsi="Times New Roman" w:eastAsia="宋体"/>
                <w:b w:val="0"/>
                <w:bCs w:val="0"/>
                <w:color w:val="000000" w:themeColor="text1"/>
                <w:kern w:val="0"/>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lang w:val="en-US" w:eastAsia="zh-CN" w:bidi="ar"/>
                <w14:textFill>
                  <w14:solidFill>
                    <w14:schemeClr w14:val="tx1"/>
                  </w14:solidFill>
                </w14:textFill>
              </w:rPr>
              <w:t>根据上表可知，本项目无组织废气均能够达到《水泥工业大气污染物排放标准》（GB4915-2013）中无组织排放监控点浓度限值：≤0.5mg/m</w:t>
            </w:r>
            <w:r>
              <w:rPr>
                <w:rFonts w:hint="eastAsia" w:asciiTheme="minorEastAsia" w:hAnsiTheme="minorEastAsia" w:eastAsiaTheme="minorEastAsia" w:cstheme="minorEastAsia"/>
                <w:b w:val="0"/>
                <w:bCs w:val="0"/>
                <w:color w:val="000000" w:themeColor="text1"/>
                <w:kern w:val="0"/>
                <w:vertAlign w:val="superscript"/>
                <w:lang w:val="en-US" w:eastAsia="zh-CN" w:bidi="ar"/>
                <w14:textFill>
                  <w14:solidFill>
                    <w14:schemeClr w14:val="tx1"/>
                  </w14:solidFill>
                </w14:textFill>
              </w:rPr>
              <w:t>3</w:t>
            </w:r>
            <w:r>
              <w:rPr>
                <w:rFonts w:hint="eastAsia" w:asciiTheme="minorEastAsia" w:hAnsiTheme="minorEastAsia" w:eastAsiaTheme="minorEastAsia" w:cstheme="minorEastAsia"/>
                <w:b w:val="0"/>
                <w:bCs w:val="0"/>
                <w:color w:val="000000" w:themeColor="text1"/>
                <w:kern w:val="0"/>
                <w:lang w:val="en-US" w:eastAsia="zh-CN" w:bidi="ar"/>
                <w14:textFill>
                  <w14:solidFill>
                    <w14:schemeClr w14:val="tx1"/>
                  </w14:solidFill>
                </w14:textFill>
              </w:rPr>
              <w:t>，焊接废气能够达到《车间空气中电焊烟尘卫生标准》（GB 16194-1996）中焊接废气排放浓度限值：3.755mg/m</w:t>
            </w:r>
            <w:r>
              <w:rPr>
                <w:rFonts w:hint="eastAsia" w:asciiTheme="minorEastAsia" w:hAnsiTheme="minorEastAsia" w:eastAsiaTheme="minorEastAsia" w:cstheme="minorEastAsia"/>
                <w:b w:val="0"/>
                <w:bCs w:val="0"/>
                <w:color w:val="000000" w:themeColor="text1"/>
                <w:kern w:val="0"/>
                <w:vertAlign w:val="superscript"/>
                <w:lang w:val="en-US" w:eastAsia="zh-CN" w:bidi="ar"/>
                <w14:textFill>
                  <w14:solidFill>
                    <w14:schemeClr w14:val="tx1"/>
                  </w14:solidFill>
                </w14:textFill>
              </w:rPr>
              <w:t>3</w:t>
            </w:r>
            <w:r>
              <w:rPr>
                <w:rFonts w:hint="eastAsia" w:asciiTheme="minorEastAsia" w:hAnsiTheme="minorEastAsia" w:eastAsiaTheme="minorEastAsia" w:cstheme="minorEastAsia"/>
                <w:b w:val="0"/>
                <w:bCs w:val="0"/>
                <w:color w:val="000000" w:themeColor="text1"/>
                <w:kern w:val="0"/>
                <w:lang w:val="en-US" w:eastAsia="zh-CN" w:bidi="ar"/>
                <w14:textFill>
                  <w14:solidFill>
                    <w14:schemeClr w14:val="tx1"/>
                  </w14:solidFill>
                </w14:textFill>
              </w:rPr>
              <w:t>≤6mg/m</w:t>
            </w:r>
            <w:r>
              <w:rPr>
                <w:rFonts w:hint="eastAsia" w:asciiTheme="minorEastAsia" w:hAnsiTheme="minorEastAsia" w:eastAsiaTheme="minorEastAsia" w:cstheme="minorEastAsia"/>
                <w:b w:val="0"/>
                <w:bCs w:val="0"/>
                <w:color w:val="000000" w:themeColor="text1"/>
                <w:kern w:val="0"/>
                <w:vertAlign w:val="superscript"/>
                <w:lang w:val="en-US" w:eastAsia="zh-CN" w:bidi="ar"/>
                <w14:textFill>
                  <w14:solidFill>
                    <w14:schemeClr w14:val="tx1"/>
                  </w14:solidFill>
                </w14:textFill>
              </w:rPr>
              <w:t>3</w:t>
            </w:r>
            <w:r>
              <w:rPr>
                <w:rFonts w:hint="eastAsia" w:asciiTheme="minorEastAsia" w:hAnsiTheme="minorEastAsia" w:eastAsiaTheme="minorEastAsia" w:cstheme="minorEastAsia"/>
                <w:b w:val="0"/>
                <w:bCs w:val="0"/>
                <w:color w:val="000000" w:themeColor="text1"/>
                <w:kern w:val="0"/>
                <w:lang w:val="en-US" w:eastAsia="zh-CN" w:bidi="ar"/>
                <w14:textFill>
                  <w14:solidFill>
                    <w14:schemeClr w14:val="tx1"/>
                  </w14:solidFill>
                </w14:textFill>
              </w:rPr>
              <w:t>，对环境影响较小</w:t>
            </w:r>
            <w:r>
              <w:rPr>
                <w:rFonts w:hint="eastAsia" w:ascii="Times New Roman" w:hAnsi="Times New Roman"/>
                <w:b w:val="0"/>
                <w:bCs w:val="0"/>
                <w:color w:val="000000" w:themeColor="text1"/>
                <w:kern w:val="0"/>
                <w:lang w:val="en-US" w:eastAsia="zh-CN" w:bidi="ar"/>
                <w14:textFill>
                  <w14:solidFill>
                    <w14:schemeClr w14:val="tx1"/>
                  </w14:solidFill>
                </w14:textFill>
              </w:rPr>
              <w:t>。</w:t>
            </w:r>
          </w:p>
          <w:p w14:paraId="343376EE">
            <w:pPr>
              <w:widowControl/>
              <w:numPr>
                <w:ilvl w:val="0"/>
                <w:numId w:val="0"/>
              </w:numPr>
              <w:ind w:firstLine="482" w:firstLineChars="200"/>
              <w:jc w:val="left"/>
              <w:rPr>
                <w:rFonts w:hint="eastAsia" w:asciiTheme="minorEastAsia" w:hAnsiTheme="minorEastAsia" w:eastAsiaTheme="minorEastAsia" w:cstheme="minorEastAsia"/>
                <w:b/>
                <w:bCs/>
                <w:color w:val="auto"/>
                <w:kern w:val="0"/>
                <w:lang w:val="en-US" w:eastAsia="zh-CN" w:bidi="ar"/>
              </w:rPr>
            </w:pPr>
            <w:r>
              <w:rPr>
                <w:rFonts w:hint="eastAsia" w:asciiTheme="minorEastAsia" w:hAnsiTheme="minorEastAsia" w:eastAsiaTheme="minorEastAsia" w:cstheme="minorEastAsia"/>
                <w:b/>
                <w:bCs/>
                <w:color w:val="auto"/>
                <w:kern w:val="0"/>
                <w:lang w:val="en-US" w:eastAsia="zh-CN" w:bidi="ar"/>
              </w:rPr>
              <w:t>4、非正常情况下源强</w:t>
            </w:r>
          </w:p>
          <w:p w14:paraId="5F61B4DC">
            <w:pPr>
              <w:widowControl/>
              <w:numPr>
                <w:ilvl w:val="0"/>
                <w:numId w:val="0"/>
              </w:numPr>
              <w:ind w:firstLine="480" w:firstLineChars="200"/>
              <w:jc w:val="left"/>
              <w:rPr>
                <w:rFonts w:hint="eastAsia" w:asciiTheme="minorEastAsia" w:hAnsiTheme="minorEastAsia" w:eastAsiaTheme="minorEastAsia" w:cstheme="minorEastAsia"/>
                <w:b w:val="0"/>
                <w:bCs w:val="0"/>
                <w:color w:val="auto"/>
                <w:kern w:val="0"/>
                <w:lang w:val="en-US" w:eastAsia="zh-CN" w:bidi="ar"/>
              </w:rPr>
            </w:pPr>
            <w:r>
              <w:rPr>
                <w:rFonts w:hint="eastAsia" w:asciiTheme="minorEastAsia" w:hAnsiTheme="minorEastAsia" w:eastAsiaTheme="minorEastAsia" w:cstheme="minorEastAsia"/>
                <w:b w:val="0"/>
                <w:bCs w:val="0"/>
                <w:color w:val="auto"/>
                <w:kern w:val="0"/>
                <w:lang w:val="en-US" w:eastAsia="zh-CN" w:bidi="ar"/>
              </w:rPr>
              <w:t>据项目生产工艺可知，项目出现非正常排放的情况为搅拌、混合以及原材料堆场水喷淋设备故障，水</w:t>
            </w:r>
            <w:r>
              <w:rPr>
                <w:rFonts w:hint="eastAsia" w:asciiTheme="minorEastAsia" w:hAnsiTheme="minorEastAsia" w:eastAsiaTheme="minorEastAsia" w:cstheme="minorEastAsia"/>
                <w:b w:val="0"/>
                <w:bCs w:val="0"/>
                <w:color w:val="000000" w:themeColor="text1"/>
                <w:kern w:val="0"/>
                <w:lang w:val="en-US" w:eastAsia="zh-CN" w:bidi="ar"/>
                <w14:textFill>
                  <w14:solidFill>
                    <w14:schemeClr w14:val="tx1"/>
                  </w14:solidFill>
                </w14:textFill>
              </w:rPr>
              <w:t>泥储罐布袋除尘器故障。当水喷淋设备、水泥储罐布袋除尘器故障时除尘效率将降为0，则非正常情况本项目无组织粉尘排放量为27.7152t/a，水泥</w:t>
            </w:r>
            <w:r>
              <w:rPr>
                <w:rFonts w:hint="eastAsia" w:asciiTheme="minorEastAsia" w:hAnsiTheme="minorEastAsia" w:eastAsiaTheme="minorEastAsia" w:cstheme="minorEastAsia"/>
                <w:b w:val="0"/>
                <w:bCs w:val="0"/>
                <w:color w:val="auto"/>
                <w:kern w:val="0"/>
                <w:lang w:val="en-US" w:eastAsia="zh-CN" w:bidi="ar"/>
              </w:rPr>
              <w:t>储罐无组织粉尘排放量为0.86kg/h。非正常情况一般不超过60分钟，结合停电频次、设备维修等因素，本项目水喷淋设备、布袋除尘设备一年出现故障频次约为1-2次，因此，本环评要求建设单位日常加强对除尘设备的维护保养，当故障发生时建设单位立即停产检修，待除尘设施正常运行后方可投入生产。</w:t>
            </w:r>
          </w:p>
          <w:p w14:paraId="6755FBD5">
            <w:pPr>
              <w:widowControl/>
              <w:numPr>
                <w:ilvl w:val="0"/>
                <w:numId w:val="0"/>
              </w:numPr>
              <w:ind w:firstLine="482" w:firstLineChars="200"/>
              <w:jc w:val="left"/>
              <w:rPr>
                <w:rFonts w:hint="eastAsia" w:ascii="Times New Roman" w:hAnsi="Times New Roman"/>
                <w:b/>
                <w:bCs/>
                <w:color w:val="auto"/>
                <w:kern w:val="0"/>
                <w:lang w:val="en-US" w:eastAsia="zh-CN" w:bidi="ar"/>
              </w:rPr>
            </w:pPr>
            <w:r>
              <w:rPr>
                <w:rFonts w:hint="eastAsia" w:ascii="Times New Roman" w:hAnsi="Times New Roman"/>
                <w:b/>
                <w:bCs/>
                <w:color w:val="auto"/>
                <w:kern w:val="0"/>
                <w:lang w:val="en-US" w:eastAsia="zh-CN" w:bidi="ar"/>
              </w:rPr>
              <w:t>5、大气环境影响结论</w:t>
            </w:r>
          </w:p>
          <w:p w14:paraId="5A9EBEE7">
            <w:pPr>
              <w:widowControl/>
              <w:numPr>
                <w:ilvl w:val="0"/>
                <w:numId w:val="0"/>
              </w:numPr>
              <w:ind w:firstLine="480" w:firstLineChars="200"/>
              <w:jc w:val="left"/>
              <w:rPr>
                <w:rFonts w:hint="eastAsia" w:asciiTheme="minorEastAsia" w:hAnsiTheme="minorEastAsia" w:eastAsiaTheme="minorEastAsia" w:cstheme="minorEastAsia"/>
                <w:b w:val="0"/>
                <w:bCs w:val="0"/>
                <w:color w:val="000000" w:themeColor="text1"/>
                <w:kern w:val="0"/>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auto"/>
                <w:kern w:val="0"/>
                <w:lang w:val="en-US" w:eastAsia="zh-CN" w:bidi="ar"/>
              </w:rPr>
              <w:t>根据《</w:t>
            </w:r>
            <w:r>
              <w:rPr>
                <w:rFonts w:hint="eastAsia" w:asciiTheme="minorEastAsia" w:hAnsiTheme="minorEastAsia" w:eastAsiaTheme="minorEastAsia" w:cstheme="minorEastAsia"/>
                <w:color w:val="auto"/>
                <w:sz w:val="24"/>
                <w:szCs w:val="24"/>
                <w:lang w:val="en-US" w:eastAsia="zh-CN"/>
              </w:rPr>
              <w:t>2022年德宏州生态环境状况公报</w:t>
            </w:r>
            <w:r>
              <w:rPr>
                <w:rFonts w:hint="eastAsia" w:asciiTheme="minorEastAsia" w:hAnsiTheme="minorEastAsia" w:eastAsiaTheme="minorEastAsia" w:cstheme="minorEastAsia"/>
                <w:b w:val="0"/>
                <w:bCs w:val="0"/>
                <w:color w:val="auto"/>
                <w:kern w:val="0"/>
                <w:lang w:val="en-US" w:eastAsia="zh-CN" w:bidi="ar"/>
              </w:rPr>
              <w:t>》，项目所在区域为大气环境质量达标区域。</w:t>
            </w:r>
            <w:r>
              <w:rPr>
                <w:rFonts w:hint="eastAsia" w:asciiTheme="minorEastAsia" w:hAnsiTheme="minorEastAsia" w:eastAsiaTheme="minorEastAsia" w:cstheme="minorEastAsia"/>
                <w:b w:val="0"/>
                <w:bCs w:val="0"/>
                <w:color w:val="000000" w:themeColor="text1"/>
                <w:kern w:val="0"/>
                <w:lang w:val="en-US" w:eastAsia="zh-CN" w:bidi="ar"/>
                <w14:textFill>
                  <w14:solidFill>
                    <w14:schemeClr w14:val="tx1"/>
                  </w14:solidFill>
                </w14:textFill>
              </w:rPr>
              <w:t>项目主要污染物为颗粒物，均为无组织排放，以及食堂油烟、运输车辆尾气等。其中搅拌、混合粉尘及物料输送、储存粉尘产生量较大，本环评要求对搅拌、混合粉尘及物料输送、储存粉尘采用水喷淋降尘的方式进行降尘。运营期项目生产加工产生的无组织粉尘排放浓度可以达到《水泥工业大气污染物排放标准》（GB4915-2013）表3中污染物排放标准≤0.5mg/m</w:t>
            </w:r>
            <w:r>
              <w:rPr>
                <w:rFonts w:hint="eastAsia" w:asciiTheme="minorEastAsia" w:hAnsiTheme="minorEastAsia" w:eastAsiaTheme="minorEastAsia" w:cstheme="minorEastAsia"/>
                <w:b w:val="0"/>
                <w:bCs w:val="0"/>
                <w:color w:val="000000" w:themeColor="text1"/>
                <w:kern w:val="0"/>
                <w:vertAlign w:val="superscript"/>
                <w:lang w:val="en-US" w:eastAsia="zh-CN" w:bidi="ar"/>
                <w14:textFill>
                  <w14:solidFill>
                    <w14:schemeClr w14:val="tx1"/>
                  </w14:solidFill>
                </w14:textFill>
              </w:rPr>
              <w:t>3</w:t>
            </w:r>
            <w:r>
              <w:rPr>
                <w:rFonts w:hint="eastAsia" w:asciiTheme="minorEastAsia" w:hAnsiTheme="minorEastAsia" w:eastAsiaTheme="minorEastAsia" w:cstheme="minorEastAsia"/>
                <w:b w:val="0"/>
                <w:bCs w:val="0"/>
                <w:color w:val="000000" w:themeColor="text1"/>
                <w:kern w:val="0"/>
                <w:lang w:val="en-US" w:eastAsia="zh-CN" w:bidi="ar"/>
                <w14:textFill>
                  <w14:solidFill>
                    <w14:schemeClr w14:val="tx1"/>
                  </w14:solidFill>
                </w14:textFill>
              </w:rPr>
              <w:t>；项目食堂油烟设置抽油烟机后，油烟排放浓度能够满足《饮食业油烟排放标准》（GB18483-2001）小型规模排放限值的要求；焊接工段焊接废气经自然扩散，可达到《车间空气中电焊烟尘卫生标准》（GB 16194-1996）规定车间空气中最高容许浓度6mg/m</w:t>
            </w:r>
            <w:r>
              <w:rPr>
                <w:rFonts w:hint="eastAsia" w:asciiTheme="minorEastAsia" w:hAnsiTheme="minorEastAsia" w:eastAsiaTheme="minorEastAsia" w:cstheme="minorEastAsia"/>
                <w:b w:val="0"/>
                <w:bCs w:val="0"/>
                <w:color w:val="000000" w:themeColor="text1"/>
                <w:kern w:val="0"/>
                <w:vertAlign w:val="superscript"/>
                <w:lang w:val="en-US" w:eastAsia="zh-CN" w:bidi="ar"/>
                <w14:textFill>
                  <w14:solidFill>
                    <w14:schemeClr w14:val="tx1"/>
                  </w14:solidFill>
                </w14:textFill>
              </w:rPr>
              <w:t>3</w:t>
            </w:r>
            <w:r>
              <w:rPr>
                <w:rFonts w:hint="eastAsia" w:asciiTheme="minorEastAsia" w:hAnsiTheme="minorEastAsia" w:eastAsiaTheme="minorEastAsia" w:cstheme="minorEastAsia"/>
                <w:b w:val="0"/>
                <w:bCs w:val="0"/>
                <w:color w:val="000000" w:themeColor="text1"/>
                <w:kern w:val="0"/>
                <w:lang w:val="en-US" w:eastAsia="zh-CN" w:bidi="ar"/>
                <w14:textFill>
                  <w14:solidFill>
                    <w14:schemeClr w14:val="tx1"/>
                  </w14:solidFill>
                </w14:textFill>
              </w:rPr>
              <w:t xml:space="preserve">的要求，项目区汽车尾气经自然扩散，绿化吸收。 </w:t>
            </w:r>
          </w:p>
          <w:p w14:paraId="7BB66575">
            <w:pPr>
              <w:widowControl/>
              <w:numPr>
                <w:ilvl w:val="0"/>
                <w:numId w:val="0"/>
              </w:numPr>
              <w:ind w:firstLine="480" w:firstLineChars="200"/>
              <w:jc w:val="left"/>
              <w:rPr>
                <w:rFonts w:hint="eastAsia" w:ascii="Times New Roman" w:hAnsi="Times New Roman"/>
                <w:b w:val="0"/>
                <w:bCs w:val="0"/>
                <w:color w:val="auto"/>
                <w:kern w:val="0"/>
                <w:lang w:val="en-US" w:eastAsia="zh-CN" w:bidi="ar"/>
              </w:rPr>
            </w:pPr>
            <w:r>
              <w:rPr>
                <w:rFonts w:hint="eastAsia" w:ascii="Times New Roman" w:hAnsi="Times New Roman"/>
                <w:b w:val="0"/>
                <w:bCs w:val="0"/>
                <w:color w:val="auto"/>
                <w:kern w:val="0"/>
                <w:lang w:val="en-US" w:eastAsia="zh-CN" w:bidi="ar"/>
              </w:rPr>
              <w:t>综上所述，项目运营期的废气经过除尘、净化措施后，均能做到达标排放，不会改变项目区周边环境空气质量现状，对周围环境影响较小。</w:t>
            </w:r>
          </w:p>
          <w:p w14:paraId="39348196">
            <w:pPr>
              <w:widowControl/>
              <w:numPr>
                <w:ilvl w:val="0"/>
                <w:numId w:val="0"/>
              </w:numPr>
              <w:jc w:val="left"/>
              <w:rPr>
                <w:rFonts w:ascii="Times New Roman" w:hAnsi="Times New Roman"/>
                <w:b/>
                <w:bCs/>
                <w:color w:val="auto"/>
                <w:kern w:val="0"/>
                <w:lang w:bidi="ar"/>
              </w:rPr>
            </w:pPr>
            <w:r>
              <w:rPr>
                <w:rFonts w:hint="eastAsia" w:ascii="Times New Roman" w:hAnsi="Times New Roman"/>
                <w:b/>
                <w:bCs/>
                <w:color w:val="auto"/>
                <w:kern w:val="0"/>
                <w:lang w:eastAsia="zh-CN" w:bidi="ar"/>
              </w:rPr>
              <w:t>二、</w:t>
            </w:r>
            <w:r>
              <w:rPr>
                <w:rFonts w:hint="eastAsia" w:ascii="Times New Roman" w:hAnsi="Times New Roman"/>
                <w:b/>
                <w:bCs/>
                <w:color w:val="auto"/>
                <w:kern w:val="0"/>
                <w:lang w:bidi="ar"/>
              </w:rPr>
              <w:t>水环境影响分析</w:t>
            </w:r>
          </w:p>
          <w:p w14:paraId="7E1107D3">
            <w:pPr>
              <w:numPr>
                <w:ilvl w:val="0"/>
                <w:numId w:val="12"/>
              </w:numPr>
              <w:spacing w:line="360" w:lineRule="auto"/>
              <w:ind w:left="480" w:leftChars="200"/>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废水产排情况</w:t>
            </w:r>
          </w:p>
          <w:p w14:paraId="4E89AD65">
            <w:pPr>
              <w:spacing w:line="360" w:lineRule="auto"/>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本项目用水主要为生产用水和生活用水。</w:t>
            </w:r>
          </w:p>
          <w:p w14:paraId="4A6F178C">
            <w:pPr>
              <w:numPr>
                <w:ilvl w:val="0"/>
                <w:numId w:val="13"/>
              </w:numPr>
              <w:adjustRightInd w:val="0"/>
              <w:snapToGrid w:val="0"/>
              <w:spacing w:line="360" w:lineRule="auto"/>
              <w:ind w:firstLine="482" w:firstLineChars="200"/>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生产用水</w:t>
            </w:r>
          </w:p>
          <w:p w14:paraId="5AB39D48">
            <w:pPr>
              <w:pStyle w:val="36"/>
              <w:spacing w:line="360" w:lineRule="auto"/>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项目</w:t>
            </w:r>
            <w:r>
              <w:rPr>
                <w:rFonts w:hint="eastAsia" w:asciiTheme="minorEastAsia" w:hAnsiTheme="minorEastAsia" w:eastAsiaTheme="minorEastAsia" w:cstheme="minorEastAsia"/>
                <w:color w:val="auto"/>
              </w:rPr>
              <w:t>生产用水为产品加工过程用水、</w:t>
            </w:r>
            <w:r>
              <w:rPr>
                <w:rFonts w:hint="eastAsia" w:asciiTheme="minorEastAsia" w:hAnsiTheme="minorEastAsia" w:eastAsiaTheme="minorEastAsia" w:cstheme="minorEastAsia"/>
                <w:color w:val="auto"/>
                <w:lang w:eastAsia="zh-CN"/>
              </w:rPr>
              <w:t>搅拌机清洗用水、产品</w:t>
            </w:r>
            <w:r>
              <w:rPr>
                <w:rFonts w:hint="eastAsia" w:asciiTheme="minorEastAsia" w:hAnsiTheme="minorEastAsia" w:eastAsiaTheme="minorEastAsia" w:cstheme="minorEastAsia"/>
                <w:color w:val="auto"/>
              </w:rPr>
              <w:t>养护用水、水喷淋降尘用水。</w:t>
            </w:r>
          </w:p>
          <w:p w14:paraId="0ACF6A3F">
            <w:pPr>
              <w:pStyle w:val="36"/>
              <w:spacing w:line="360" w:lineRule="auto"/>
              <w:ind w:firstLine="482"/>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①</w:t>
            </w:r>
            <w:r>
              <w:rPr>
                <w:rFonts w:hint="eastAsia" w:asciiTheme="minorEastAsia" w:hAnsiTheme="minorEastAsia" w:eastAsiaTheme="minorEastAsia" w:cstheme="minorEastAsia"/>
                <w:b/>
                <w:bCs/>
                <w:color w:val="auto"/>
                <w:lang w:eastAsia="zh-CN"/>
              </w:rPr>
              <w:t>产品加工过程</w:t>
            </w:r>
            <w:r>
              <w:rPr>
                <w:rFonts w:hint="eastAsia" w:asciiTheme="minorEastAsia" w:hAnsiTheme="minorEastAsia" w:eastAsiaTheme="minorEastAsia" w:cstheme="minorEastAsia"/>
                <w:b/>
                <w:bCs/>
                <w:color w:val="auto"/>
              </w:rPr>
              <w:t>用水</w:t>
            </w:r>
          </w:p>
          <w:p w14:paraId="7AF89807">
            <w:pPr>
              <w:widowControl/>
              <w:spacing w:line="360" w:lineRule="auto"/>
              <w:ind w:firstLine="480" w:firstLineChars="200"/>
              <w:jc w:val="both"/>
              <w:rPr>
                <w:rFonts w:hint="eastAsia" w:asciiTheme="minorEastAsia" w:hAnsiTheme="minorEastAsia" w:eastAsiaTheme="minorEastAsia" w:cstheme="minorEastAsia"/>
                <w:color w:val="auto"/>
                <w:kern w:val="0"/>
                <w:lang w:bidi="ar"/>
              </w:rPr>
            </w:pPr>
            <w:r>
              <w:rPr>
                <w:rFonts w:hint="eastAsia" w:asciiTheme="minorEastAsia" w:hAnsiTheme="minorEastAsia" w:eastAsiaTheme="minorEastAsia" w:cstheme="minorEastAsia"/>
                <w:color w:val="auto"/>
                <w:kern w:val="0"/>
                <w:lang w:bidi="ar"/>
              </w:rPr>
              <w:t>根据《云南省地方用水定额标准》（DB53/T168-2019）中石膏、水泥制品及类似制品制造中商品混凝土用水量0.35m</w:t>
            </w:r>
            <w:r>
              <w:rPr>
                <w:rFonts w:hint="eastAsia" w:asciiTheme="minorEastAsia" w:hAnsiTheme="minorEastAsia" w:eastAsiaTheme="minorEastAsia" w:cstheme="minorEastAsia"/>
                <w:color w:val="auto"/>
                <w:kern w:val="0"/>
                <w:vertAlign w:val="superscript"/>
                <w:lang w:bidi="ar"/>
              </w:rPr>
              <w:t>3</w:t>
            </w:r>
            <w:r>
              <w:rPr>
                <w:rFonts w:hint="eastAsia" w:asciiTheme="minorEastAsia" w:hAnsiTheme="minorEastAsia" w:eastAsiaTheme="minorEastAsia" w:cstheme="minorEastAsia"/>
                <w:color w:val="auto"/>
                <w:kern w:val="0"/>
                <w:lang w:bidi="ar"/>
              </w:rPr>
              <w:t>/m</w:t>
            </w:r>
            <w:r>
              <w:rPr>
                <w:rFonts w:hint="eastAsia" w:asciiTheme="minorEastAsia" w:hAnsiTheme="minorEastAsia" w:eastAsiaTheme="minorEastAsia" w:cstheme="minorEastAsia"/>
                <w:color w:val="auto"/>
                <w:kern w:val="0"/>
                <w:vertAlign w:val="superscript"/>
                <w:lang w:bidi="ar"/>
              </w:rPr>
              <w:t>3</w:t>
            </w:r>
            <w:r>
              <w:rPr>
                <w:rFonts w:hint="eastAsia" w:asciiTheme="minorEastAsia" w:hAnsiTheme="minorEastAsia" w:eastAsiaTheme="minorEastAsia" w:cstheme="minorEastAsia"/>
                <w:color w:val="auto"/>
                <w:kern w:val="0"/>
                <w:lang w:bidi="ar"/>
              </w:rPr>
              <w:t>-产品 ，本评价取0.2m</w:t>
            </w:r>
            <w:r>
              <w:rPr>
                <w:rFonts w:hint="eastAsia" w:asciiTheme="minorEastAsia" w:hAnsiTheme="minorEastAsia" w:eastAsiaTheme="minorEastAsia" w:cstheme="minorEastAsia"/>
                <w:color w:val="auto"/>
                <w:kern w:val="0"/>
                <w:vertAlign w:val="superscript"/>
                <w:lang w:bidi="ar"/>
              </w:rPr>
              <w:t>3</w:t>
            </w:r>
            <w:r>
              <w:rPr>
                <w:rFonts w:hint="eastAsia" w:asciiTheme="minorEastAsia" w:hAnsiTheme="minorEastAsia" w:eastAsiaTheme="minorEastAsia" w:cstheme="minorEastAsia"/>
                <w:color w:val="auto"/>
                <w:kern w:val="0"/>
                <w:lang w:bidi="ar"/>
              </w:rPr>
              <w:t>/m</w:t>
            </w:r>
            <w:r>
              <w:rPr>
                <w:rFonts w:hint="eastAsia" w:asciiTheme="minorEastAsia" w:hAnsiTheme="minorEastAsia" w:eastAsiaTheme="minorEastAsia" w:cstheme="minorEastAsia"/>
                <w:color w:val="auto"/>
                <w:kern w:val="0"/>
                <w:vertAlign w:val="superscript"/>
                <w:lang w:bidi="ar"/>
              </w:rPr>
              <w:t>3</w:t>
            </w:r>
            <w:r>
              <w:rPr>
                <w:rFonts w:hint="eastAsia" w:asciiTheme="minorEastAsia" w:hAnsiTheme="minorEastAsia" w:eastAsiaTheme="minorEastAsia" w:cstheme="minorEastAsia"/>
                <w:color w:val="auto"/>
                <w:kern w:val="0"/>
                <w:lang w:bidi="ar"/>
              </w:rPr>
              <w:t>-产品，</w:t>
            </w:r>
            <w:r>
              <w:rPr>
                <w:rFonts w:hint="eastAsia" w:asciiTheme="minorEastAsia" w:hAnsiTheme="minorEastAsia" w:eastAsiaTheme="minorEastAsia" w:cstheme="minorEastAsia"/>
                <w:color w:val="000000" w:themeColor="text1"/>
                <w14:textFill>
                  <w14:solidFill>
                    <w14:schemeClr w14:val="tx1"/>
                  </w14:solidFill>
                </w14:textFill>
              </w:rPr>
              <w:t>本项目水泥管年产5000根；</w:t>
            </w:r>
            <w:r>
              <w:rPr>
                <w:rFonts w:hint="eastAsia" w:asciiTheme="minorEastAsia" w:hAnsiTheme="minorEastAsia" w:eastAsiaTheme="minorEastAsia" w:cstheme="minorEastAsia"/>
                <w:color w:val="000000" w:themeColor="text1"/>
                <w:lang w:eastAsia="zh-CN"/>
                <w14:textFill>
                  <w14:solidFill>
                    <w14:schemeClr w14:val="tx1"/>
                  </w14:solidFill>
                </w14:textFill>
              </w:rPr>
              <w:t>彩砖、植草砖分别年产</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20万块；</w:t>
            </w:r>
            <w:r>
              <w:rPr>
                <w:rFonts w:hint="eastAsia" w:asciiTheme="minorEastAsia" w:hAnsiTheme="minorEastAsia" w:eastAsiaTheme="minorEastAsia" w:cstheme="minorEastAsia"/>
                <w:color w:val="000000" w:themeColor="text1"/>
                <w14:textFill>
                  <w14:solidFill>
                    <w14:schemeClr w14:val="tx1"/>
                  </w14:solidFill>
                </w14:textFill>
              </w:rPr>
              <w:t>检查井年产800座；井盖年产1万块</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涵管年产</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5000</w:t>
            </w:r>
            <w:r>
              <w:rPr>
                <w:rFonts w:hint="eastAsia" w:asciiTheme="minorEastAsia" w:hAnsiTheme="minorEastAsia" w:eastAsiaTheme="minorEastAsia" w:cstheme="minorEastAsia"/>
                <w:color w:val="000000" w:themeColor="text1"/>
                <w14:textFill>
                  <w14:solidFill>
                    <w14:schemeClr w14:val="tx1"/>
                  </w14:solidFill>
                </w14:textFill>
              </w:rPr>
              <w:t>根</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预制板年产1万块。</w:t>
            </w:r>
            <w:r>
              <w:rPr>
                <w:rFonts w:hint="eastAsia" w:asciiTheme="minorEastAsia" w:hAnsiTheme="minorEastAsia" w:eastAsiaTheme="minorEastAsia" w:cstheme="minorEastAsia"/>
                <w:color w:val="auto"/>
                <w:lang w:eastAsia="zh-CN"/>
              </w:rPr>
              <w:t>根据表</w:t>
            </w:r>
            <w:r>
              <w:rPr>
                <w:rFonts w:hint="eastAsia" w:asciiTheme="minorEastAsia" w:hAnsiTheme="minorEastAsia" w:eastAsiaTheme="minorEastAsia" w:cstheme="minorEastAsia"/>
                <w:color w:val="auto"/>
                <w:lang w:val="en-US" w:eastAsia="zh-CN"/>
              </w:rPr>
              <w:t>2-3，</w:t>
            </w:r>
            <w:r>
              <w:rPr>
                <w:rFonts w:hint="eastAsia" w:asciiTheme="minorEastAsia" w:hAnsiTheme="minorEastAsia" w:eastAsiaTheme="minorEastAsia" w:cstheme="minorEastAsia"/>
                <w:color w:val="auto"/>
                <w:lang w:eastAsia="zh-CN"/>
              </w:rPr>
              <w:t>产品重量为</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10.67342万t，约</w:t>
            </w:r>
            <w:r>
              <w:rPr>
                <w:rFonts w:hint="eastAsia" w:asciiTheme="minorEastAsia" w:hAnsiTheme="minorEastAsia" w:eastAsiaTheme="minorEastAsia" w:cstheme="minorEastAsia"/>
                <w:color w:val="auto"/>
                <w:kern w:val="0"/>
                <w:lang w:bidi="ar"/>
              </w:rPr>
              <w:t>等于</w:t>
            </w:r>
            <w:r>
              <w:rPr>
                <w:rFonts w:hint="eastAsia" w:asciiTheme="minorEastAsia" w:hAnsiTheme="minorEastAsia" w:eastAsiaTheme="minorEastAsia" w:cstheme="minorEastAsia"/>
                <w:color w:val="auto"/>
                <w:kern w:val="0"/>
                <w:lang w:val="en-US" w:eastAsia="zh-CN" w:bidi="ar"/>
              </w:rPr>
              <w:t>4.2668</w:t>
            </w:r>
            <w:r>
              <w:rPr>
                <w:rFonts w:hint="eastAsia" w:asciiTheme="minorEastAsia" w:hAnsiTheme="minorEastAsia" w:eastAsiaTheme="minorEastAsia" w:cstheme="minorEastAsia"/>
                <w:color w:val="auto"/>
                <w:kern w:val="0"/>
                <w:lang w:bidi="ar"/>
              </w:rPr>
              <w:t>万m</w:t>
            </w:r>
            <w:r>
              <w:rPr>
                <w:rFonts w:hint="eastAsia" w:asciiTheme="minorEastAsia" w:hAnsiTheme="minorEastAsia" w:eastAsiaTheme="minorEastAsia" w:cstheme="minorEastAsia"/>
                <w:color w:val="auto"/>
                <w:kern w:val="0"/>
                <w:vertAlign w:val="superscript"/>
                <w:lang w:bidi="ar"/>
              </w:rPr>
              <w:t>3</w:t>
            </w:r>
            <w:r>
              <w:rPr>
                <w:rFonts w:hint="eastAsia" w:asciiTheme="minorEastAsia" w:hAnsiTheme="minorEastAsia" w:eastAsiaTheme="minorEastAsia" w:cstheme="minorEastAsia"/>
                <w:color w:val="auto"/>
                <w:kern w:val="0"/>
                <w:lang w:bidi="ar"/>
              </w:rPr>
              <w:t>；则项目产品加工过程用水量约为</w:t>
            </w:r>
            <w:r>
              <w:rPr>
                <w:rFonts w:hint="eastAsia" w:asciiTheme="minorEastAsia" w:hAnsiTheme="minorEastAsia" w:eastAsiaTheme="minorEastAsia" w:cstheme="minorEastAsia"/>
                <w:color w:val="auto"/>
                <w:kern w:val="0"/>
                <w:lang w:val="en-US" w:eastAsia="zh-CN" w:bidi="ar"/>
              </w:rPr>
              <w:t>8426.3</w:t>
            </w:r>
            <w:r>
              <w:rPr>
                <w:rFonts w:hint="eastAsia" w:asciiTheme="minorEastAsia" w:hAnsiTheme="minorEastAsia" w:eastAsiaTheme="minorEastAsia" w:cstheme="minorEastAsia"/>
                <w:color w:val="auto"/>
                <w:kern w:val="0"/>
                <w:lang w:bidi="ar"/>
              </w:rPr>
              <w:t>m</w:t>
            </w:r>
            <w:r>
              <w:rPr>
                <w:rFonts w:hint="eastAsia" w:asciiTheme="minorEastAsia" w:hAnsiTheme="minorEastAsia" w:eastAsiaTheme="minorEastAsia" w:cstheme="minorEastAsia"/>
                <w:color w:val="auto"/>
                <w:kern w:val="0"/>
                <w:vertAlign w:val="superscript"/>
                <w:lang w:bidi="ar"/>
              </w:rPr>
              <w:t>3</w:t>
            </w:r>
            <w:r>
              <w:rPr>
                <w:rFonts w:hint="eastAsia" w:asciiTheme="minorEastAsia" w:hAnsiTheme="minorEastAsia" w:eastAsiaTheme="minorEastAsia" w:cstheme="minorEastAsia"/>
                <w:color w:val="auto"/>
                <w:kern w:val="0"/>
                <w:lang w:bidi="ar"/>
              </w:rPr>
              <w:t>/a，</w:t>
            </w:r>
            <w:r>
              <w:rPr>
                <w:rFonts w:hint="eastAsia" w:asciiTheme="minorEastAsia" w:hAnsiTheme="minorEastAsia" w:eastAsiaTheme="minorEastAsia" w:cstheme="minorEastAsia"/>
                <w:color w:val="auto"/>
                <w:kern w:val="0"/>
                <w:lang w:val="en-US" w:eastAsia="zh-CN" w:bidi="ar"/>
              </w:rPr>
              <w:t>42.131</w:t>
            </w:r>
            <w:r>
              <w:rPr>
                <w:rFonts w:hint="eastAsia" w:asciiTheme="minorEastAsia" w:hAnsiTheme="minorEastAsia" w:eastAsiaTheme="minorEastAsia" w:cstheme="minorEastAsia"/>
                <w:color w:val="auto"/>
                <w:kern w:val="0"/>
                <w:lang w:bidi="ar"/>
              </w:rPr>
              <w:t>m</w:t>
            </w:r>
            <w:r>
              <w:rPr>
                <w:rFonts w:hint="eastAsia" w:asciiTheme="minorEastAsia" w:hAnsiTheme="minorEastAsia" w:eastAsiaTheme="minorEastAsia" w:cstheme="minorEastAsia"/>
                <w:color w:val="auto"/>
                <w:kern w:val="0"/>
                <w:vertAlign w:val="superscript"/>
                <w:lang w:bidi="ar"/>
              </w:rPr>
              <w:t>3</w:t>
            </w:r>
            <w:r>
              <w:rPr>
                <w:rFonts w:hint="eastAsia" w:asciiTheme="minorEastAsia" w:hAnsiTheme="minorEastAsia" w:eastAsiaTheme="minorEastAsia" w:cstheme="minorEastAsia"/>
                <w:color w:val="auto"/>
                <w:kern w:val="0"/>
                <w:lang w:bidi="ar"/>
              </w:rPr>
              <w:t>/d，主要在</w:t>
            </w:r>
            <w:r>
              <w:rPr>
                <w:rFonts w:hint="eastAsia" w:asciiTheme="minorEastAsia" w:hAnsiTheme="minorEastAsia" w:eastAsiaTheme="minorEastAsia" w:cstheme="minorEastAsia"/>
                <w:color w:val="auto"/>
                <w:kern w:val="0"/>
                <w:lang w:eastAsia="zh-CN" w:bidi="ar"/>
              </w:rPr>
              <w:t>产品</w:t>
            </w:r>
            <w:r>
              <w:rPr>
                <w:rFonts w:hint="eastAsia" w:asciiTheme="minorEastAsia" w:hAnsiTheme="minorEastAsia" w:eastAsiaTheme="minorEastAsia" w:cstheme="minorEastAsia"/>
                <w:color w:val="auto"/>
                <w:kern w:val="0"/>
                <w:lang w:bidi="ar"/>
              </w:rPr>
              <w:t>加工过程中消耗蒸发，无废水产生。</w:t>
            </w:r>
          </w:p>
          <w:p w14:paraId="2302FC9C">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textAlignment w:val="auto"/>
              <w:outlineLvl w:val="9"/>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bCs/>
                <w:color w:val="auto"/>
                <w:kern w:val="0"/>
                <w:lang w:bidi="ar"/>
              </w:rPr>
              <w:t>②</w:t>
            </w:r>
            <w:r>
              <w:rPr>
                <w:rFonts w:hint="eastAsia" w:asciiTheme="minorEastAsia" w:hAnsiTheme="minorEastAsia" w:eastAsiaTheme="minorEastAsia" w:cstheme="minorEastAsia"/>
                <w:b/>
                <w:color w:val="auto"/>
                <w:sz w:val="24"/>
                <w:szCs w:val="24"/>
                <w:lang w:val="en-US" w:eastAsia="zh-CN"/>
              </w:rPr>
              <w:t>搅拌机清洗用水</w:t>
            </w:r>
          </w:p>
          <w:p w14:paraId="5AB579ED">
            <w:pPr>
              <w:pStyle w:val="36"/>
              <w:spacing w:line="360" w:lineRule="auto"/>
              <w:ind w:firstLine="482"/>
              <w:rPr>
                <w:rFonts w:hint="eastAsia" w:asciiTheme="minorEastAsia" w:hAnsiTheme="minorEastAsia" w:eastAsiaTheme="minorEastAsia" w:cstheme="minorEastAsia"/>
                <w:b/>
                <w:bCs/>
                <w:color w:val="auto"/>
                <w:kern w:val="0"/>
                <w:lang w:bidi="ar"/>
              </w:rPr>
            </w:pPr>
            <w:r>
              <w:rPr>
                <w:rFonts w:hint="eastAsia" w:asciiTheme="minorEastAsia" w:hAnsiTheme="minorEastAsia" w:eastAsiaTheme="minorEastAsia" w:cstheme="minorEastAsia"/>
                <w:color w:val="auto"/>
                <w:sz w:val="24"/>
                <w:szCs w:val="24"/>
              </w:rPr>
              <w:t>搅拌机为本项目主要生产设备，搅拌机</w:t>
            </w:r>
            <w:r>
              <w:rPr>
                <w:rFonts w:hint="eastAsia" w:asciiTheme="minorEastAsia" w:hAnsiTheme="minorEastAsia" w:eastAsiaTheme="minorEastAsia" w:cstheme="minorEastAsia"/>
                <w:color w:val="auto"/>
                <w:lang w:val="en-US" w:eastAsia="zh-CN"/>
              </w:rPr>
              <w:t>每天停工后对搅拌机内壁粘附的少量混凝土进行清理，清理方式是用锤子将混凝土块敲落</w:t>
            </w:r>
            <w:r>
              <w:rPr>
                <w:rFonts w:hint="eastAsia" w:asciiTheme="minorEastAsia" w:hAnsiTheme="minorEastAsia" w:eastAsiaTheme="minorEastAsia" w:cstheme="minorEastAsia"/>
                <w:color w:val="auto"/>
                <w:sz w:val="24"/>
                <w:szCs w:val="24"/>
                <w:lang w:eastAsia="zh-CN"/>
              </w:rPr>
              <w:t>，大块的混凝土敲落后再对搅拌机进行清洗</w:t>
            </w:r>
            <w:r>
              <w:rPr>
                <w:rFonts w:hint="eastAsia" w:asciiTheme="minorEastAsia" w:hAnsiTheme="minorEastAsia" w:eastAsiaTheme="minorEastAsia" w:cstheme="minorEastAsia"/>
                <w:color w:val="auto"/>
                <w:sz w:val="24"/>
                <w:szCs w:val="24"/>
              </w:rPr>
              <w:t>。按搅拌机平均每天冲洗1次，冲洗水2</w:t>
            </w:r>
            <w:r>
              <w:rPr>
                <w:rFonts w:hint="eastAsia" w:asciiTheme="minorEastAsia" w:hAnsiTheme="minorEastAsia" w:eastAsiaTheme="minorEastAsia" w:cstheme="minorEastAsia"/>
                <w:color w:val="auto"/>
                <w:kern w:val="0"/>
                <w:lang w:bidi="ar"/>
              </w:rPr>
              <w:t>m</w:t>
            </w:r>
            <w:r>
              <w:rPr>
                <w:rFonts w:hint="eastAsia" w:asciiTheme="minorEastAsia" w:hAnsiTheme="minorEastAsia" w:eastAsiaTheme="minorEastAsia" w:cstheme="minorEastAsia"/>
                <w:color w:val="auto"/>
                <w:kern w:val="0"/>
                <w:vertAlign w:val="superscript"/>
                <w:lang w:bidi="ar"/>
              </w:rPr>
              <w:t>3</w:t>
            </w:r>
            <w:r>
              <w:rPr>
                <w:rFonts w:hint="eastAsia" w:asciiTheme="minorEastAsia" w:hAnsiTheme="minorEastAsia" w:eastAsiaTheme="minorEastAsia" w:cstheme="minorEastAsia"/>
                <w:color w:val="auto"/>
                <w:sz w:val="24"/>
                <w:szCs w:val="24"/>
              </w:rPr>
              <w:t>/台·次计，本项目搅拌</w:t>
            </w:r>
            <w:r>
              <w:rPr>
                <w:rFonts w:hint="eastAsia" w:asciiTheme="minorEastAsia" w:hAnsiTheme="minorEastAsia" w:eastAsiaTheme="minorEastAsia" w:cstheme="minorEastAsia"/>
                <w:color w:val="auto"/>
                <w:sz w:val="24"/>
                <w:szCs w:val="24"/>
                <w:lang w:eastAsia="zh-CN"/>
              </w:rPr>
              <w:t>机共2台</w:t>
            </w:r>
            <w:r>
              <w:rPr>
                <w:rFonts w:hint="eastAsia" w:asciiTheme="minorEastAsia" w:hAnsiTheme="minorEastAsia" w:eastAsiaTheme="minorEastAsia" w:cstheme="minorEastAsia"/>
                <w:color w:val="auto"/>
                <w:sz w:val="24"/>
                <w:szCs w:val="24"/>
              </w:rPr>
              <w:t>，则本项目搅拌机冲洗用水量为</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kern w:val="0"/>
                <w:lang w:bidi="ar"/>
              </w:rPr>
              <w:t>m</w:t>
            </w:r>
            <w:r>
              <w:rPr>
                <w:rFonts w:hint="eastAsia" w:asciiTheme="minorEastAsia" w:hAnsiTheme="minorEastAsia" w:eastAsiaTheme="minorEastAsia" w:cstheme="minorEastAsia"/>
                <w:color w:val="auto"/>
                <w:kern w:val="0"/>
                <w:vertAlign w:val="superscript"/>
                <w:lang w:bidi="ar"/>
              </w:rPr>
              <w:t>3</w:t>
            </w:r>
            <w:r>
              <w:rPr>
                <w:rFonts w:hint="eastAsia" w:asciiTheme="minorEastAsia" w:hAnsiTheme="minorEastAsia" w:eastAsiaTheme="minorEastAsia" w:cstheme="minorEastAsia"/>
                <w:color w:val="auto"/>
                <w:sz w:val="24"/>
                <w:szCs w:val="24"/>
              </w:rPr>
              <w:t xml:space="preserve">/d， </w:t>
            </w:r>
            <w:r>
              <w:rPr>
                <w:rFonts w:hint="eastAsia" w:asciiTheme="minorEastAsia" w:hAnsiTheme="minorEastAsia" w:eastAsiaTheme="minorEastAsia" w:cstheme="minorEastAsia"/>
                <w:color w:val="auto"/>
                <w:sz w:val="24"/>
                <w:szCs w:val="24"/>
                <w:lang w:val="en-US" w:eastAsia="zh-CN"/>
              </w:rPr>
              <w:t>80</w:t>
            </w: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kern w:val="0"/>
                <w:lang w:bidi="ar"/>
              </w:rPr>
              <w:t>m</w:t>
            </w:r>
            <w:r>
              <w:rPr>
                <w:rFonts w:hint="eastAsia" w:asciiTheme="minorEastAsia" w:hAnsiTheme="minorEastAsia" w:eastAsiaTheme="minorEastAsia" w:cstheme="minorEastAsia"/>
                <w:color w:val="auto"/>
                <w:kern w:val="0"/>
                <w:vertAlign w:val="superscript"/>
                <w:lang w:bidi="ar"/>
              </w:rPr>
              <w:t>3</w:t>
            </w:r>
            <w:r>
              <w:rPr>
                <w:rFonts w:hint="eastAsia" w:asciiTheme="minorEastAsia" w:hAnsiTheme="minorEastAsia" w:eastAsiaTheme="minorEastAsia" w:cstheme="minorEastAsia"/>
                <w:color w:val="auto"/>
                <w:sz w:val="24"/>
                <w:szCs w:val="24"/>
              </w:rPr>
              <w:t>/a。</w:t>
            </w:r>
            <w:r>
              <w:rPr>
                <w:rFonts w:hint="eastAsia" w:asciiTheme="minorEastAsia" w:hAnsiTheme="minorEastAsia" w:eastAsiaTheme="minorEastAsia" w:cstheme="minorEastAsia"/>
                <w:color w:val="auto"/>
                <w:sz w:val="24"/>
                <w:szCs w:val="24"/>
                <w:lang w:eastAsia="zh-CN"/>
              </w:rPr>
              <w:t>搅拌机清洗废水</w:t>
            </w:r>
            <w:r>
              <w:rPr>
                <w:rFonts w:hint="eastAsia" w:asciiTheme="minorEastAsia" w:hAnsiTheme="minorEastAsia" w:eastAsiaTheme="minorEastAsia" w:cstheme="minorEastAsia"/>
                <w:color w:val="auto"/>
                <w:sz w:val="24"/>
                <w:szCs w:val="24"/>
              </w:rPr>
              <w:t>产生量按用水量的85%计，则搅拌机清洗废水产生量为</w:t>
            </w:r>
            <w:r>
              <w:rPr>
                <w:rFonts w:hint="eastAsia" w:asciiTheme="minorEastAsia" w:hAnsiTheme="minorEastAsia" w:eastAsiaTheme="minorEastAsia" w:cstheme="minorEastAsia"/>
                <w:color w:val="auto"/>
                <w:sz w:val="24"/>
                <w:szCs w:val="24"/>
                <w:lang w:val="en-US" w:eastAsia="zh-CN"/>
              </w:rPr>
              <w:t>3.4</w:t>
            </w:r>
            <w:r>
              <w:rPr>
                <w:rFonts w:hint="eastAsia" w:asciiTheme="minorEastAsia" w:hAnsiTheme="minorEastAsia" w:eastAsiaTheme="minorEastAsia" w:cstheme="minorEastAsia"/>
                <w:color w:val="auto"/>
                <w:kern w:val="0"/>
                <w:lang w:bidi="ar"/>
              </w:rPr>
              <w:t>m</w:t>
            </w:r>
            <w:r>
              <w:rPr>
                <w:rFonts w:hint="eastAsia" w:asciiTheme="minorEastAsia" w:hAnsiTheme="minorEastAsia" w:eastAsiaTheme="minorEastAsia" w:cstheme="minorEastAsia"/>
                <w:color w:val="auto"/>
                <w:kern w:val="0"/>
                <w:vertAlign w:val="superscript"/>
                <w:lang w:bidi="ar"/>
              </w:rPr>
              <w:t>3</w:t>
            </w:r>
            <w:r>
              <w:rPr>
                <w:rFonts w:hint="eastAsia" w:asciiTheme="minorEastAsia" w:hAnsiTheme="minorEastAsia" w:eastAsiaTheme="minorEastAsia" w:cstheme="minorEastAsia"/>
                <w:color w:val="auto"/>
                <w:sz w:val="24"/>
                <w:szCs w:val="24"/>
              </w:rPr>
              <w:t>/d</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680</w:t>
            </w:r>
            <w:r>
              <w:rPr>
                <w:rFonts w:hint="eastAsia" w:asciiTheme="minorEastAsia" w:hAnsiTheme="minorEastAsia" w:eastAsiaTheme="minorEastAsia" w:cstheme="minorEastAsia"/>
                <w:color w:val="auto"/>
                <w:kern w:val="0"/>
                <w:lang w:bidi="ar"/>
              </w:rPr>
              <w:t>m</w:t>
            </w:r>
            <w:r>
              <w:rPr>
                <w:rFonts w:hint="eastAsia" w:asciiTheme="minorEastAsia" w:hAnsiTheme="minorEastAsia" w:eastAsiaTheme="minorEastAsia" w:cstheme="minorEastAsia"/>
                <w:color w:val="auto"/>
                <w:kern w:val="0"/>
                <w:vertAlign w:val="superscript"/>
                <w:lang w:bidi="ar"/>
              </w:rPr>
              <w:t>3</w:t>
            </w:r>
            <w:r>
              <w:rPr>
                <w:rFonts w:hint="eastAsia" w:asciiTheme="minorEastAsia" w:hAnsiTheme="minorEastAsia" w:eastAsiaTheme="minorEastAsia" w:cstheme="minorEastAsia"/>
                <w:color w:val="auto"/>
                <w:sz w:val="24"/>
                <w:szCs w:val="24"/>
              </w:rPr>
              <w:t>/a。</w:t>
            </w:r>
            <w:r>
              <w:rPr>
                <w:rFonts w:hint="eastAsia" w:asciiTheme="minorEastAsia" w:hAnsiTheme="minorEastAsia" w:eastAsiaTheme="minorEastAsia" w:cstheme="minorEastAsia"/>
                <w:b w:val="0"/>
                <w:bCs/>
                <w:color w:val="auto"/>
                <w:sz w:val="24"/>
                <w:szCs w:val="24"/>
                <w:lang w:val="en-US" w:eastAsia="zh-CN"/>
              </w:rPr>
              <w:t>环评要求在搅拌机底部建设1个5</w:t>
            </w:r>
            <w:r>
              <w:rPr>
                <w:rFonts w:hint="eastAsia" w:asciiTheme="minorEastAsia" w:hAnsiTheme="minorEastAsia" w:eastAsiaTheme="minorEastAsia" w:cstheme="minorEastAsia"/>
                <w:color w:val="auto"/>
                <w:kern w:val="0"/>
                <w:lang w:bidi="ar"/>
              </w:rPr>
              <w:t>m</w:t>
            </w:r>
            <w:r>
              <w:rPr>
                <w:rFonts w:hint="eastAsia" w:asciiTheme="minorEastAsia" w:hAnsiTheme="minorEastAsia" w:eastAsiaTheme="minorEastAsia" w:cstheme="minorEastAsia"/>
                <w:color w:val="auto"/>
                <w:kern w:val="0"/>
                <w:vertAlign w:val="superscript"/>
                <w:lang w:bidi="ar"/>
              </w:rPr>
              <w:t>3</w:t>
            </w:r>
            <w:r>
              <w:rPr>
                <w:rFonts w:hint="eastAsia" w:asciiTheme="minorEastAsia" w:hAnsiTheme="minorEastAsia" w:eastAsiaTheme="minorEastAsia" w:cstheme="minorEastAsia"/>
                <w:b w:val="0"/>
                <w:bCs/>
                <w:color w:val="auto"/>
                <w:sz w:val="24"/>
                <w:szCs w:val="24"/>
                <w:lang w:val="en-US" w:eastAsia="zh-CN"/>
              </w:rPr>
              <w:t>防渗沉淀池（渗透系数s10</w:t>
            </w:r>
            <w:r>
              <w:rPr>
                <w:rFonts w:hint="eastAsia" w:asciiTheme="minorEastAsia" w:hAnsiTheme="minorEastAsia" w:eastAsiaTheme="minorEastAsia" w:cstheme="minorEastAsia"/>
                <w:b w:val="0"/>
                <w:bCs/>
                <w:color w:val="auto"/>
                <w:sz w:val="24"/>
                <w:szCs w:val="24"/>
                <w:vertAlign w:val="superscript"/>
                <w:lang w:val="en-US" w:eastAsia="zh-CN"/>
              </w:rPr>
              <w:t>-7</w:t>
            </w:r>
            <w:r>
              <w:rPr>
                <w:rFonts w:hint="eastAsia" w:asciiTheme="minorEastAsia" w:hAnsiTheme="minorEastAsia" w:eastAsiaTheme="minorEastAsia" w:cstheme="minorEastAsia"/>
                <w:b w:val="0"/>
                <w:bCs/>
                <w:color w:val="auto"/>
                <w:sz w:val="24"/>
                <w:szCs w:val="24"/>
                <w:lang w:val="en-US" w:eastAsia="zh-CN"/>
              </w:rPr>
              <w:t>cm/s），搅拌机清洗废水排入防渗沉淀池内沉淀后上清液全部回用于生产工序的搅拌机内，不外排。</w:t>
            </w:r>
          </w:p>
          <w:p w14:paraId="4823F2DC">
            <w:pPr>
              <w:pStyle w:val="36"/>
              <w:spacing w:line="360" w:lineRule="auto"/>
              <w:ind w:firstLine="482"/>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kern w:val="0"/>
                <w:lang w:bidi="ar"/>
              </w:rPr>
              <w:t>③</w:t>
            </w:r>
            <w:r>
              <w:rPr>
                <w:rFonts w:hint="eastAsia" w:asciiTheme="minorEastAsia" w:hAnsiTheme="minorEastAsia" w:eastAsiaTheme="minorEastAsia" w:cstheme="minorEastAsia"/>
                <w:b/>
                <w:bCs/>
                <w:color w:val="auto"/>
                <w:kern w:val="0"/>
                <w:lang w:eastAsia="zh-CN" w:bidi="ar"/>
              </w:rPr>
              <w:t>养</w:t>
            </w:r>
            <w:r>
              <w:rPr>
                <w:rFonts w:hint="eastAsia" w:asciiTheme="minorEastAsia" w:hAnsiTheme="minorEastAsia" w:eastAsiaTheme="minorEastAsia" w:cstheme="minorEastAsia"/>
                <w:b/>
                <w:bCs/>
                <w:color w:val="auto"/>
              </w:rPr>
              <w:t>护用水</w:t>
            </w:r>
          </w:p>
          <w:p w14:paraId="4F1CDE81">
            <w:pPr>
              <w:widowControl/>
              <w:spacing w:line="360" w:lineRule="auto"/>
              <w:ind w:firstLine="480" w:firstLineChars="200"/>
              <w:rPr>
                <w:rFonts w:hint="eastAsia" w:asciiTheme="minorEastAsia" w:hAnsiTheme="minorEastAsia" w:eastAsiaTheme="minorEastAsia" w:cstheme="minorEastAsia"/>
                <w:color w:val="auto"/>
                <w:kern w:val="0"/>
                <w:lang w:bidi="ar"/>
              </w:rPr>
            </w:pPr>
            <w:r>
              <w:rPr>
                <w:rFonts w:hint="eastAsia" w:asciiTheme="minorEastAsia" w:hAnsiTheme="minorEastAsia" w:eastAsiaTheme="minorEastAsia" w:cstheme="minorEastAsia"/>
                <w:color w:val="auto"/>
                <w:kern w:val="0"/>
                <w:lang w:bidi="ar"/>
              </w:rPr>
              <w:t>成型后的</w:t>
            </w:r>
            <w:r>
              <w:rPr>
                <w:rFonts w:hint="eastAsia" w:asciiTheme="minorEastAsia" w:hAnsiTheme="minorEastAsia" w:eastAsiaTheme="minorEastAsia" w:cstheme="minorEastAsia"/>
                <w:color w:val="auto"/>
                <w:kern w:val="0"/>
                <w:lang w:eastAsia="zh-CN" w:bidi="ar"/>
              </w:rPr>
              <w:t>产品</w:t>
            </w:r>
            <w:r>
              <w:rPr>
                <w:rFonts w:hint="eastAsia" w:asciiTheme="minorEastAsia" w:hAnsiTheme="minorEastAsia" w:eastAsiaTheme="minorEastAsia" w:cstheme="minorEastAsia"/>
                <w:color w:val="auto"/>
                <w:kern w:val="0"/>
                <w:lang w:bidi="ar"/>
              </w:rPr>
              <w:t>为保持强度，一般会自然养护一段时间，养护期间需定期洒水，</w:t>
            </w:r>
            <w:r>
              <w:rPr>
                <w:rFonts w:hint="eastAsia" w:asciiTheme="minorEastAsia" w:hAnsiTheme="minorEastAsia" w:eastAsiaTheme="minorEastAsia" w:cstheme="minorEastAsia"/>
                <w:color w:val="auto"/>
                <w:kern w:val="0"/>
                <w:lang w:eastAsia="zh-CN" w:bidi="ar"/>
              </w:rPr>
              <w:t>根据建设单位提供的调研资料，</w:t>
            </w:r>
            <w:r>
              <w:rPr>
                <w:rFonts w:hint="eastAsia" w:asciiTheme="minorEastAsia" w:hAnsiTheme="minorEastAsia" w:eastAsiaTheme="minorEastAsia" w:cstheme="minorEastAsia"/>
                <w:color w:val="auto"/>
                <w:kern w:val="0"/>
                <w:lang w:val="en-US" w:eastAsia="zh-CN" w:bidi="ar"/>
              </w:rPr>
              <w:t>项目养护用水约为6m</w:t>
            </w:r>
            <w:r>
              <w:rPr>
                <w:rFonts w:hint="eastAsia" w:asciiTheme="minorEastAsia" w:hAnsiTheme="minorEastAsia" w:eastAsiaTheme="minorEastAsia" w:cstheme="minorEastAsia"/>
                <w:color w:val="auto"/>
                <w:kern w:val="0"/>
                <w:vertAlign w:val="superscript"/>
                <w:lang w:val="en-US" w:eastAsia="zh-CN" w:bidi="ar"/>
              </w:rPr>
              <w:t>3</w:t>
            </w:r>
            <w:r>
              <w:rPr>
                <w:rFonts w:hint="eastAsia" w:asciiTheme="minorEastAsia" w:hAnsiTheme="minorEastAsia" w:eastAsiaTheme="minorEastAsia" w:cstheme="minorEastAsia"/>
                <w:color w:val="auto"/>
                <w:kern w:val="0"/>
                <w:lang w:val="en-US" w:eastAsia="zh-CN" w:bidi="ar"/>
              </w:rPr>
              <w:t xml:space="preserve"> /d。根据芒市气象数据，芒市</w:t>
            </w:r>
            <w:r>
              <w:rPr>
                <w:rFonts w:hint="eastAsia" w:asciiTheme="minorEastAsia" w:hAnsiTheme="minorEastAsia" w:eastAsiaTheme="minorEastAsia" w:cstheme="minorEastAsia"/>
                <w:color w:val="auto"/>
                <w:sz w:val="24"/>
              </w:rPr>
              <w:t>年平均降雨日数170天，</w:t>
            </w:r>
            <w:r>
              <w:rPr>
                <w:rFonts w:hint="eastAsia" w:asciiTheme="minorEastAsia" w:hAnsiTheme="minorEastAsia" w:eastAsiaTheme="minorEastAsia" w:cstheme="minorEastAsia"/>
                <w:color w:val="auto"/>
                <w:kern w:val="0"/>
                <w:lang w:val="en-US" w:eastAsia="zh-CN" w:bidi="ar"/>
              </w:rPr>
              <w:t>195天为旱季，本项目年工作200天，取旱季150天进行核算，则本项目养护用水为900m</w:t>
            </w:r>
            <w:r>
              <w:rPr>
                <w:rFonts w:hint="eastAsia" w:asciiTheme="minorEastAsia" w:hAnsiTheme="minorEastAsia" w:eastAsiaTheme="minorEastAsia" w:cstheme="minorEastAsia"/>
                <w:color w:val="auto"/>
                <w:kern w:val="0"/>
                <w:vertAlign w:val="superscript"/>
                <w:lang w:val="en-US" w:eastAsia="zh-CN" w:bidi="ar"/>
              </w:rPr>
              <w:t>3</w:t>
            </w:r>
            <w:r>
              <w:rPr>
                <w:rFonts w:hint="eastAsia" w:asciiTheme="minorEastAsia" w:hAnsiTheme="minorEastAsia" w:eastAsiaTheme="minorEastAsia" w:cstheme="minorEastAsia"/>
                <w:color w:val="auto"/>
                <w:kern w:val="0"/>
                <w:lang w:val="en-US" w:eastAsia="zh-CN" w:bidi="ar"/>
              </w:rPr>
              <w:t xml:space="preserve"> /a，该养护用水</w:t>
            </w:r>
            <w:r>
              <w:rPr>
                <w:rFonts w:hint="eastAsia" w:asciiTheme="minorEastAsia" w:hAnsiTheme="minorEastAsia" w:eastAsiaTheme="minorEastAsia" w:cstheme="minorEastAsia"/>
                <w:color w:val="auto"/>
                <w:kern w:val="0"/>
                <w:lang w:bidi="ar"/>
              </w:rPr>
              <w:t>全部自然蒸发，不外排</w:t>
            </w:r>
            <w:r>
              <w:rPr>
                <w:rFonts w:hint="eastAsia" w:asciiTheme="minorEastAsia" w:hAnsiTheme="minorEastAsia" w:eastAsiaTheme="minorEastAsia" w:cstheme="minorEastAsia"/>
                <w:color w:val="auto"/>
                <w:kern w:val="0"/>
                <w:lang w:val="en-US" w:eastAsia="zh-CN" w:bidi="ar"/>
              </w:rPr>
              <w:t>。</w:t>
            </w:r>
          </w:p>
          <w:p w14:paraId="41172280">
            <w:pPr>
              <w:widowControl/>
              <w:spacing w:line="360" w:lineRule="auto"/>
              <w:ind w:firstLine="482" w:firstLineChars="200"/>
              <w:jc w:val="left"/>
              <w:rPr>
                <w:rFonts w:hint="eastAsia" w:asciiTheme="minorEastAsia" w:hAnsiTheme="minorEastAsia" w:eastAsiaTheme="minorEastAsia" w:cstheme="minorEastAsia"/>
                <w:b/>
                <w:bCs/>
                <w:color w:val="auto"/>
                <w:kern w:val="0"/>
                <w:lang w:bidi="ar"/>
              </w:rPr>
            </w:pPr>
            <w:r>
              <w:rPr>
                <w:rFonts w:hint="eastAsia" w:asciiTheme="minorEastAsia" w:hAnsiTheme="minorEastAsia" w:eastAsiaTheme="minorEastAsia" w:cstheme="minorEastAsia"/>
                <w:b/>
                <w:bCs/>
                <w:color w:val="auto"/>
                <w:kern w:val="0"/>
                <w:lang w:eastAsia="zh-CN" w:bidi="ar"/>
              </w:rPr>
              <w:t>④降尘</w:t>
            </w:r>
            <w:r>
              <w:rPr>
                <w:rFonts w:hint="eastAsia" w:asciiTheme="minorEastAsia" w:hAnsiTheme="minorEastAsia" w:eastAsiaTheme="minorEastAsia" w:cstheme="minorEastAsia"/>
                <w:b/>
                <w:bCs/>
                <w:color w:val="auto"/>
                <w:kern w:val="0"/>
                <w:lang w:bidi="ar"/>
              </w:rPr>
              <w:t>用水</w:t>
            </w:r>
          </w:p>
          <w:p w14:paraId="5099694F">
            <w:pPr>
              <w:widowControl/>
              <w:spacing w:line="360" w:lineRule="auto"/>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项</w:t>
            </w:r>
            <w:r>
              <w:rPr>
                <w:rFonts w:hint="eastAsia" w:asciiTheme="minorEastAsia" w:hAnsiTheme="minorEastAsia" w:eastAsiaTheme="minorEastAsia" w:cstheme="minorEastAsia"/>
                <w:color w:val="auto"/>
                <w:kern w:val="0"/>
                <w:lang w:eastAsia="zh-CN" w:bidi="ar"/>
              </w:rPr>
              <w:t>目原料堆场、物料混合、搅拌均采用高压喷雾的洒水除尘方式，</w:t>
            </w:r>
            <w:r>
              <w:rPr>
                <w:rFonts w:hint="eastAsia" w:asciiTheme="minorEastAsia" w:hAnsiTheme="minorEastAsia" w:eastAsiaTheme="minorEastAsia" w:cstheme="minorEastAsia"/>
                <w:color w:val="auto"/>
                <w:kern w:val="0"/>
                <w:lang w:val="en-US" w:eastAsia="zh-CN" w:bidi="ar"/>
              </w:rPr>
              <w:t>以降低粉尘周边环境的影响。项目</w:t>
            </w:r>
            <w:r>
              <w:rPr>
                <w:rFonts w:hint="eastAsia" w:asciiTheme="minorEastAsia" w:hAnsiTheme="minorEastAsia" w:eastAsiaTheme="minorEastAsia" w:cstheme="minorEastAsia"/>
                <w:color w:val="auto"/>
                <w:kern w:val="0"/>
                <w:lang w:bidi="ar"/>
              </w:rPr>
              <w:t>拟设置的高压喷雾机的洒水速</w:t>
            </w:r>
            <w:r>
              <w:rPr>
                <w:rFonts w:hint="eastAsia" w:asciiTheme="minorEastAsia" w:hAnsiTheme="minorEastAsia" w:eastAsiaTheme="minorEastAsia" w:cstheme="minorEastAsia"/>
                <w:color w:val="auto"/>
              </w:rPr>
              <w:t>率为0.</w:t>
            </w:r>
            <w:r>
              <w:rPr>
                <w:rFonts w:hint="eastAsia" w:asciiTheme="minorEastAsia" w:hAnsiTheme="minorEastAsia" w:eastAsiaTheme="minorEastAsia" w:cstheme="minorEastAsia"/>
                <w:color w:val="auto"/>
                <w:lang w:val="en-US" w:eastAsia="zh-CN"/>
              </w:rPr>
              <w:t>1</w:t>
            </w:r>
            <w:r>
              <w:rPr>
                <w:rFonts w:hint="eastAsia" w:asciiTheme="minorEastAsia" w:hAnsiTheme="minorEastAsia" w:eastAsiaTheme="minorEastAsia" w:cstheme="minorEastAsia"/>
                <w:color w:val="auto"/>
              </w:rPr>
              <w:t>m</w:t>
            </w:r>
            <w:r>
              <w:rPr>
                <w:rFonts w:hint="eastAsia" w:asciiTheme="minorEastAsia" w:hAnsiTheme="minorEastAsia" w:eastAsiaTheme="minorEastAsia" w:cstheme="minorEastAsia"/>
                <w:color w:val="auto"/>
                <w:vertAlign w:val="superscript"/>
              </w:rPr>
              <w:t>3</w:t>
            </w:r>
            <w:r>
              <w:rPr>
                <w:rFonts w:hint="eastAsia" w:asciiTheme="minorEastAsia" w:hAnsiTheme="minorEastAsia" w:eastAsiaTheme="minorEastAsia" w:cstheme="minorEastAsia"/>
                <w:color w:val="auto"/>
              </w:rPr>
              <w:t>/h，</w:t>
            </w:r>
            <w:r>
              <w:rPr>
                <w:rFonts w:hint="eastAsia" w:asciiTheme="minorEastAsia" w:hAnsiTheme="minorEastAsia" w:eastAsiaTheme="minorEastAsia" w:cstheme="minorEastAsia"/>
                <w:color w:val="auto"/>
                <w:lang w:val="en-US" w:eastAsia="zh-CN"/>
              </w:rPr>
              <w:t>8h</w:t>
            </w:r>
            <w:r>
              <w:rPr>
                <w:rFonts w:hint="eastAsia" w:asciiTheme="minorEastAsia" w:hAnsiTheme="minorEastAsia" w:eastAsiaTheme="minorEastAsia" w:cstheme="minorEastAsia"/>
                <w:color w:val="auto"/>
                <w:lang w:eastAsia="zh-CN"/>
              </w:rPr>
              <w:t>工作期间</w:t>
            </w:r>
            <w:r>
              <w:rPr>
                <w:rFonts w:hint="eastAsia" w:asciiTheme="minorEastAsia" w:hAnsiTheme="minorEastAsia" w:eastAsiaTheme="minorEastAsia" w:cstheme="minorEastAsia"/>
                <w:color w:val="auto"/>
              </w:rPr>
              <w:t>不间断喷洒，则</w:t>
            </w:r>
            <w:r>
              <w:rPr>
                <w:rFonts w:hint="eastAsia" w:asciiTheme="minorEastAsia" w:hAnsiTheme="minorEastAsia" w:eastAsiaTheme="minorEastAsia" w:cstheme="minorEastAsia"/>
                <w:color w:val="auto"/>
                <w:kern w:val="0"/>
                <w:lang w:bidi="ar"/>
              </w:rPr>
              <w:t>洒水量为0.</w:t>
            </w:r>
            <w:r>
              <w:rPr>
                <w:rFonts w:hint="eastAsia" w:asciiTheme="minorEastAsia" w:hAnsiTheme="minorEastAsia" w:eastAsiaTheme="minorEastAsia" w:cstheme="minorEastAsia"/>
                <w:color w:val="auto"/>
                <w:kern w:val="0"/>
                <w:lang w:val="en-US" w:eastAsia="zh-CN" w:bidi="ar"/>
              </w:rPr>
              <w:t>8</w:t>
            </w:r>
            <w:r>
              <w:rPr>
                <w:rFonts w:hint="eastAsia" w:asciiTheme="minorEastAsia" w:hAnsiTheme="minorEastAsia" w:eastAsiaTheme="minorEastAsia" w:cstheme="minorEastAsia"/>
                <w:color w:val="auto"/>
              </w:rPr>
              <w:t>m</w:t>
            </w:r>
            <w:r>
              <w:rPr>
                <w:rFonts w:hint="eastAsia" w:asciiTheme="minorEastAsia" w:hAnsiTheme="minorEastAsia" w:eastAsiaTheme="minorEastAsia" w:cstheme="minorEastAsia"/>
                <w:color w:val="auto"/>
                <w:vertAlign w:val="superscript"/>
              </w:rPr>
              <w:t>3</w:t>
            </w:r>
            <w:r>
              <w:rPr>
                <w:rFonts w:hint="eastAsia" w:asciiTheme="minorEastAsia" w:hAnsiTheme="minorEastAsia" w:eastAsiaTheme="minorEastAsia" w:cstheme="minorEastAsia"/>
                <w:color w:val="auto"/>
              </w:rPr>
              <w:t>/d，</w:t>
            </w:r>
            <w:r>
              <w:rPr>
                <w:rFonts w:hint="eastAsia" w:asciiTheme="minorEastAsia" w:hAnsiTheme="minorEastAsia" w:eastAsiaTheme="minorEastAsia" w:cstheme="minorEastAsia"/>
                <w:color w:val="auto"/>
                <w:kern w:val="0"/>
                <w:lang w:bidi="ar"/>
              </w:rPr>
              <w:t>由</w:t>
            </w:r>
            <w:r>
              <w:rPr>
                <w:rFonts w:hint="eastAsia" w:asciiTheme="minorEastAsia" w:hAnsiTheme="minorEastAsia" w:eastAsiaTheme="minorEastAsia" w:cstheme="minorEastAsia"/>
                <w:color w:val="auto"/>
                <w:kern w:val="0"/>
                <w:lang w:eastAsia="zh-CN" w:bidi="ar"/>
              </w:rPr>
              <w:t>物料、</w:t>
            </w:r>
            <w:r>
              <w:rPr>
                <w:rFonts w:hint="eastAsia" w:asciiTheme="minorEastAsia" w:hAnsiTheme="minorEastAsia" w:eastAsiaTheme="minorEastAsia" w:cstheme="minorEastAsia"/>
                <w:color w:val="auto"/>
                <w:kern w:val="0"/>
                <w:lang w:bidi="ar"/>
              </w:rPr>
              <w:t>产品少量带走，其余全部挥发</w:t>
            </w:r>
            <w:r>
              <w:rPr>
                <w:rFonts w:hint="eastAsia" w:asciiTheme="minorEastAsia" w:hAnsiTheme="minorEastAsia" w:eastAsiaTheme="minorEastAsia" w:cstheme="minorEastAsia"/>
                <w:color w:val="auto"/>
                <w:kern w:val="0"/>
                <w:lang w:eastAsia="zh-CN" w:bidi="ar"/>
              </w:rPr>
              <w:t>，</w:t>
            </w:r>
            <w:r>
              <w:rPr>
                <w:rFonts w:hint="eastAsia" w:asciiTheme="minorEastAsia" w:hAnsiTheme="minorEastAsia" w:eastAsiaTheme="minorEastAsia" w:cstheme="minorEastAsia"/>
                <w:color w:val="auto"/>
                <w:kern w:val="0"/>
                <w:lang w:bidi="ar"/>
              </w:rPr>
              <w:t>无废水产生</w:t>
            </w:r>
            <w:r>
              <w:rPr>
                <w:rFonts w:hint="eastAsia" w:asciiTheme="minorEastAsia" w:hAnsiTheme="minorEastAsia" w:eastAsiaTheme="minorEastAsia" w:cstheme="minorEastAsia"/>
                <w:color w:val="auto"/>
              </w:rPr>
              <w:t>。</w:t>
            </w:r>
          </w:p>
          <w:p w14:paraId="50D01018">
            <w:pPr>
              <w:pStyle w:val="36"/>
              <w:spacing w:line="360" w:lineRule="auto"/>
              <w:ind w:firstLine="482"/>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（2）生活用水</w:t>
            </w:r>
          </w:p>
          <w:p w14:paraId="11C33598">
            <w:pPr>
              <w:pStyle w:val="11"/>
              <w:spacing w:line="360" w:lineRule="auto"/>
              <w:ind w:firstLine="480" w:firstLineChars="200"/>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Cs w:val="24"/>
              </w:rPr>
              <w:t>本项目劳动定员人数</w:t>
            </w:r>
            <w:r>
              <w:rPr>
                <w:rFonts w:hint="eastAsia" w:asciiTheme="minorEastAsia" w:hAnsiTheme="minorEastAsia" w:eastAsiaTheme="minorEastAsia" w:cstheme="minorEastAsia"/>
                <w:color w:val="auto"/>
                <w:szCs w:val="24"/>
                <w:lang w:val="en-US" w:eastAsia="zh-CN"/>
              </w:rPr>
              <w:t>8</w:t>
            </w:r>
            <w:r>
              <w:rPr>
                <w:rFonts w:hint="eastAsia" w:asciiTheme="minorEastAsia" w:hAnsiTheme="minorEastAsia" w:eastAsiaTheme="minorEastAsia" w:cstheme="minorEastAsia"/>
                <w:color w:val="auto"/>
                <w:szCs w:val="24"/>
              </w:rPr>
              <w:t>人</w:t>
            </w:r>
            <w:r>
              <w:rPr>
                <w:rFonts w:hint="eastAsia" w:asciiTheme="minorEastAsia" w:hAnsiTheme="minorEastAsia" w:eastAsiaTheme="minorEastAsia" w:cstheme="minorEastAsia"/>
                <w:color w:val="auto"/>
                <w:szCs w:val="24"/>
                <w:lang w:val="zh-CN"/>
              </w:rPr>
              <w:t>。项目设置厨房，项目管理人员、</w:t>
            </w:r>
            <w:r>
              <w:rPr>
                <w:rFonts w:hint="eastAsia" w:asciiTheme="minorEastAsia" w:hAnsiTheme="minorEastAsia" w:eastAsiaTheme="minorEastAsia" w:cstheme="minorEastAsia"/>
                <w:color w:val="auto"/>
                <w:szCs w:val="24"/>
              </w:rPr>
              <w:t>生产</w:t>
            </w:r>
            <w:r>
              <w:rPr>
                <w:rFonts w:hint="eastAsia" w:asciiTheme="minorEastAsia" w:hAnsiTheme="minorEastAsia" w:eastAsiaTheme="minorEastAsia" w:cstheme="minorEastAsia"/>
                <w:color w:val="auto"/>
                <w:szCs w:val="24"/>
                <w:lang w:val="zh-CN"/>
              </w:rPr>
              <w:t>人员</w:t>
            </w:r>
            <w:r>
              <w:rPr>
                <w:rFonts w:hint="eastAsia" w:asciiTheme="minorEastAsia" w:hAnsiTheme="minorEastAsia" w:eastAsiaTheme="minorEastAsia" w:cstheme="minorEastAsia"/>
                <w:color w:val="auto"/>
                <w:szCs w:val="24"/>
              </w:rPr>
              <w:t>均</w:t>
            </w:r>
            <w:r>
              <w:rPr>
                <w:rFonts w:hint="eastAsia" w:asciiTheme="minorEastAsia" w:hAnsiTheme="minorEastAsia" w:eastAsiaTheme="minorEastAsia" w:cstheme="minorEastAsia"/>
                <w:color w:val="auto"/>
                <w:szCs w:val="24"/>
                <w:lang w:val="zh-CN"/>
              </w:rPr>
              <w:t>在厂区内用餐和住宿。</w:t>
            </w:r>
            <w:r>
              <w:rPr>
                <w:rFonts w:hint="eastAsia" w:ascii="宋体" w:hAnsi="宋体" w:eastAsia="宋体" w:cs="宋体"/>
                <w:b w:val="0"/>
                <w:bCs/>
                <w:color w:val="auto"/>
                <w:sz w:val="24"/>
                <w:szCs w:val="24"/>
              </w:rPr>
              <w:t>根据DB53/T 168-2019《云南省地方标准</w:t>
            </w: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b w:val="0"/>
                <w:bCs/>
                <w:color w:val="auto"/>
                <w:sz w:val="24"/>
                <w:szCs w:val="24"/>
              </w:rPr>
              <w:t>用水定额》，用水定额按</w:t>
            </w:r>
            <w:r>
              <w:rPr>
                <w:rFonts w:hint="eastAsia" w:ascii="宋体" w:hAnsi="宋体" w:eastAsia="宋体" w:cs="宋体"/>
                <w:b w:val="0"/>
                <w:bCs/>
                <w:color w:val="auto"/>
                <w:sz w:val="24"/>
                <w:szCs w:val="24"/>
                <w:lang w:val="en-US" w:eastAsia="zh-CN"/>
              </w:rPr>
              <w:t>11</w:t>
            </w:r>
            <w:r>
              <w:rPr>
                <w:rFonts w:hint="eastAsia" w:ascii="宋体" w:hAnsi="宋体" w:eastAsia="宋体" w:cs="宋体"/>
                <w:b w:val="0"/>
                <w:bCs/>
                <w:color w:val="auto"/>
                <w:sz w:val="24"/>
                <w:szCs w:val="24"/>
              </w:rPr>
              <w:t>0L/(人·d)</w:t>
            </w:r>
            <w:r>
              <w:rPr>
                <w:rFonts w:hint="eastAsia" w:ascii="宋体" w:hAnsi="宋体" w:eastAsia="宋体" w:cs="宋体"/>
                <w:color w:val="auto"/>
                <w:sz w:val="24"/>
                <w:szCs w:val="24"/>
              </w:rPr>
              <w:t>计算（其中生活用水</w:t>
            </w:r>
            <w:r>
              <w:rPr>
                <w:rFonts w:hint="eastAsia" w:ascii="宋体" w:hAnsi="宋体" w:eastAsia="宋体" w:cs="宋体"/>
                <w:color w:val="auto"/>
                <w:sz w:val="24"/>
                <w:szCs w:val="24"/>
                <w:lang w:eastAsia="zh-CN"/>
              </w:rPr>
              <w:t>约</w:t>
            </w:r>
            <w:r>
              <w:rPr>
                <w:rFonts w:hint="eastAsia" w:ascii="宋体" w:hAnsi="宋体" w:eastAsia="宋体" w:cs="宋体"/>
                <w:color w:val="auto"/>
                <w:sz w:val="24"/>
                <w:szCs w:val="24"/>
              </w:rPr>
              <w:t xml:space="preserve"> 90</w:t>
            </w:r>
            <w:r>
              <w:rPr>
                <w:rFonts w:hint="eastAsia" w:ascii="宋体" w:hAnsi="宋体" w:eastAsia="宋体" w:cs="宋体"/>
                <w:b w:val="0"/>
                <w:bCs/>
                <w:color w:val="auto"/>
                <w:sz w:val="24"/>
                <w:szCs w:val="24"/>
              </w:rPr>
              <w:t>L/(人·d)</w:t>
            </w:r>
            <w:r>
              <w:rPr>
                <w:rFonts w:hint="eastAsia" w:ascii="宋体" w:hAnsi="宋体" w:eastAsia="宋体" w:cs="宋体"/>
                <w:color w:val="auto"/>
                <w:sz w:val="24"/>
                <w:szCs w:val="24"/>
              </w:rPr>
              <w:t>，食堂用水</w:t>
            </w:r>
            <w:r>
              <w:rPr>
                <w:rFonts w:hint="eastAsia" w:ascii="宋体" w:hAnsi="宋体" w:eastAsia="宋体" w:cs="宋体"/>
                <w:color w:val="auto"/>
                <w:sz w:val="24"/>
                <w:szCs w:val="24"/>
                <w:lang w:eastAsia="zh-CN"/>
              </w:rPr>
              <w:t>约</w:t>
            </w:r>
            <w:r>
              <w:rPr>
                <w:rFonts w:hint="eastAsia" w:ascii="宋体" w:hAnsi="宋体" w:eastAsia="宋体" w:cs="宋体"/>
                <w:color w:val="auto"/>
                <w:sz w:val="24"/>
                <w:szCs w:val="24"/>
                <w:lang w:val="en-US" w:eastAsia="zh-CN"/>
              </w:rPr>
              <w:t>20</w:t>
            </w:r>
            <w:r>
              <w:rPr>
                <w:rFonts w:hint="eastAsia" w:ascii="宋体" w:hAnsi="宋体" w:eastAsia="宋体" w:cs="宋体"/>
                <w:b w:val="0"/>
                <w:bCs/>
                <w:color w:val="auto"/>
                <w:sz w:val="24"/>
                <w:szCs w:val="24"/>
              </w:rPr>
              <w:t>L/(人·d)</w:t>
            </w:r>
            <w:r>
              <w:rPr>
                <w:rFonts w:hint="eastAsia" w:ascii="宋体" w:hAnsi="宋体" w:eastAsia="宋体" w:cs="宋体"/>
                <w:color w:val="auto"/>
                <w:sz w:val="24"/>
                <w:szCs w:val="24"/>
              </w:rPr>
              <w:t>）</w:t>
            </w:r>
            <w:r>
              <w:rPr>
                <w:rFonts w:hint="eastAsia" w:ascii="宋体" w:hAnsi="宋体" w:eastAsia="宋体" w:cs="宋体"/>
                <w:bCs/>
                <w:color w:val="auto"/>
                <w:sz w:val="24"/>
                <w:szCs w:val="24"/>
                <w:highlight w:val="none"/>
                <w:lang w:val="en-US" w:eastAsia="zh-CN"/>
              </w:rPr>
              <w:t>。</w:t>
            </w:r>
            <w:r>
              <w:rPr>
                <w:rFonts w:hint="eastAsia" w:ascii="宋体" w:hAnsi="宋体" w:eastAsia="宋体" w:cs="宋体"/>
                <w:color w:val="auto"/>
                <w:sz w:val="24"/>
                <w:szCs w:val="24"/>
                <w:highlight w:val="none"/>
                <w:lang w:eastAsia="zh-CN"/>
              </w:rPr>
              <w:t>年工作</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 xml:space="preserve">0天，则员工生活用水量和食堂用水量分别为（ </w:t>
            </w:r>
            <w:r>
              <w:rPr>
                <w:rFonts w:hint="eastAsia" w:ascii="宋体" w:hAnsi="宋体" w:eastAsia="宋体" w:cs="宋体"/>
                <w:color w:val="auto"/>
                <w:sz w:val="24"/>
                <w:szCs w:val="24"/>
                <w:highlight w:val="none"/>
                <w:lang w:val="en-US" w:eastAsia="zh-CN"/>
              </w:rPr>
              <w:t>0.72</w:t>
            </w:r>
            <w:r>
              <w:rPr>
                <w:rFonts w:hint="eastAsia" w:ascii="宋体" w:hAnsi="宋体" w:eastAsia="宋体" w:cs="宋体"/>
                <w:color w:val="auto"/>
                <w:sz w:val="24"/>
                <w:szCs w:val="24"/>
                <w:highlight w:val="none"/>
                <w:lang w:eastAsia="zh-CN"/>
              </w:rPr>
              <w:t>m</w:t>
            </w:r>
            <w:r>
              <w:rPr>
                <w:rFonts w:hint="eastAsia" w:ascii="宋体" w:hAnsi="宋体" w:eastAsia="宋体" w:cs="宋体"/>
                <w:color w:val="auto"/>
                <w:sz w:val="24"/>
                <w:szCs w:val="24"/>
                <w:highlight w:val="none"/>
                <w:vertAlign w:val="superscript"/>
                <w:lang w:eastAsia="zh-CN"/>
              </w:rPr>
              <w:t>3</w:t>
            </w:r>
            <w:r>
              <w:rPr>
                <w:rFonts w:hint="eastAsia" w:ascii="宋体" w:hAnsi="宋体" w:eastAsia="宋体" w:cs="宋体"/>
                <w:color w:val="auto"/>
                <w:sz w:val="24"/>
                <w:szCs w:val="24"/>
                <w:highlight w:val="none"/>
                <w:lang w:eastAsia="zh-CN"/>
              </w:rPr>
              <w:t>/d，0.</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m</w:t>
            </w:r>
            <w:r>
              <w:rPr>
                <w:rFonts w:hint="eastAsia" w:ascii="宋体" w:hAnsi="宋体" w:eastAsia="宋体" w:cs="宋体"/>
                <w:color w:val="auto"/>
                <w:sz w:val="24"/>
                <w:szCs w:val="24"/>
                <w:highlight w:val="none"/>
                <w:vertAlign w:val="superscript"/>
                <w:lang w:eastAsia="zh-CN"/>
              </w:rPr>
              <w:t>3</w:t>
            </w:r>
            <w:r>
              <w:rPr>
                <w:rFonts w:hint="eastAsia" w:ascii="宋体" w:hAnsi="宋体" w:eastAsia="宋体" w:cs="宋体"/>
                <w:color w:val="auto"/>
                <w:sz w:val="24"/>
                <w:szCs w:val="24"/>
                <w:highlight w:val="none"/>
                <w:lang w:eastAsia="zh-CN"/>
              </w:rPr>
              <w:t>/d）。</w:t>
            </w:r>
            <w:r>
              <w:rPr>
                <w:rFonts w:hint="eastAsia" w:ascii="宋体" w:hAnsi="宋体" w:eastAsia="宋体" w:cs="宋体"/>
                <w:color w:val="auto"/>
                <w:sz w:val="24"/>
                <w:szCs w:val="24"/>
                <w:highlight w:val="none"/>
              </w:rPr>
              <w:t>排</w:t>
            </w:r>
            <w:r>
              <w:rPr>
                <w:rFonts w:hint="eastAsia" w:ascii="宋体" w:hAnsi="宋体" w:eastAsia="宋体" w:cs="宋体"/>
                <w:color w:val="auto"/>
                <w:sz w:val="24"/>
                <w:szCs w:val="24"/>
                <w:highlight w:val="none"/>
                <w:lang w:val="en-US" w:eastAsia="zh-CN"/>
              </w:rPr>
              <w:t>污</w:t>
            </w:r>
            <w:r>
              <w:rPr>
                <w:rFonts w:hint="eastAsia" w:ascii="宋体" w:hAnsi="宋体" w:eastAsia="宋体" w:cs="宋体"/>
                <w:color w:val="auto"/>
                <w:sz w:val="24"/>
                <w:szCs w:val="24"/>
                <w:highlight w:val="none"/>
              </w:rPr>
              <w:t>系数取0.8，</w:t>
            </w:r>
            <w:r>
              <w:rPr>
                <w:rFonts w:hint="eastAsia" w:ascii="宋体" w:hAnsi="宋体" w:eastAsia="宋体" w:cs="宋体"/>
                <w:color w:val="auto"/>
                <w:sz w:val="24"/>
                <w:szCs w:val="24"/>
                <w:highlight w:val="none"/>
                <w:lang w:eastAsia="zh-CN"/>
              </w:rPr>
              <w:t>则员工生活</w:t>
            </w:r>
            <w:r>
              <w:rPr>
                <w:rFonts w:hint="eastAsia" w:ascii="宋体" w:hAnsi="宋体" w:eastAsia="宋体" w:cs="宋体"/>
                <w:color w:val="auto"/>
                <w:sz w:val="24"/>
                <w:szCs w:val="24"/>
                <w:highlight w:val="none"/>
              </w:rPr>
              <w:t>污水产生量</w:t>
            </w:r>
            <w:r>
              <w:rPr>
                <w:rFonts w:hint="eastAsia" w:ascii="宋体" w:hAnsi="宋体" w:eastAsia="宋体" w:cs="宋体"/>
                <w:color w:val="auto"/>
                <w:sz w:val="24"/>
                <w:szCs w:val="24"/>
                <w:highlight w:val="none"/>
                <w:lang w:eastAsia="zh-CN"/>
              </w:rPr>
              <w:t>和食堂</w:t>
            </w:r>
            <w:r>
              <w:rPr>
                <w:rFonts w:hint="eastAsia" w:ascii="宋体" w:hAnsi="宋体" w:eastAsia="宋体" w:cs="宋体"/>
                <w:color w:val="auto"/>
                <w:sz w:val="24"/>
                <w:szCs w:val="24"/>
                <w:highlight w:val="none"/>
              </w:rPr>
              <w:t>污水产生量</w:t>
            </w:r>
            <w:r>
              <w:rPr>
                <w:rFonts w:hint="eastAsia" w:ascii="宋体" w:hAnsi="宋体" w:eastAsia="宋体" w:cs="宋体"/>
                <w:color w:val="auto"/>
                <w:sz w:val="24"/>
                <w:szCs w:val="24"/>
                <w:highlight w:val="none"/>
                <w:lang w:eastAsia="zh-CN"/>
              </w:rPr>
              <w:t>分别</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0.576</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/d</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115.2</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0.128</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/d</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25.6</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eastAsia="zh-CN"/>
              </w:rPr>
              <w:t>，生活污水中厨房污水先经油水分离器处理后与其他污水一起排入化粪池处理后委托周边村民进行清掏用作农肥</w:t>
            </w:r>
            <w:r>
              <w:rPr>
                <w:rFonts w:hint="eastAsia" w:ascii="宋体" w:hAnsi="宋体" w:eastAsia="宋体" w:cs="宋体"/>
                <w:color w:val="auto"/>
                <w:sz w:val="24"/>
                <w:szCs w:val="24"/>
                <w:highlight w:val="none"/>
              </w:rPr>
              <w:t>。</w:t>
            </w:r>
          </w:p>
          <w:p w14:paraId="401851BB">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textAlignment w:val="auto"/>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初期雨水</w:t>
            </w:r>
          </w:p>
          <w:p w14:paraId="76E01E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000000"/>
                <w:sz w:val="24"/>
                <w:szCs w:val="24"/>
              </w:rPr>
            </w:pPr>
            <w:r>
              <w:rPr>
                <w:rFonts w:hint="eastAsia" w:ascii="宋体" w:hAnsi="宋体" w:eastAsia="宋体" w:cs="宋体"/>
                <w:color w:val="000000"/>
                <w:sz w:val="24"/>
                <w:szCs w:val="24"/>
              </w:rPr>
              <w:t>厂区周围设置雨水沟，在降雨初期项目区内地面冲刷会带走地面及厂房顶部粉尘</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初期雨水不得直接进入地表水体。</w:t>
            </w:r>
            <w:r>
              <w:rPr>
                <w:rFonts w:hint="eastAsia" w:ascii="宋体" w:hAnsi="宋体" w:eastAsia="宋体" w:cs="宋体"/>
                <w:color w:val="000000"/>
                <w:sz w:val="24"/>
                <w:szCs w:val="24"/>
                <w:shd w:val="clear" w:color="auto" w:fill="auto"/>
                <w:lang w:val="en-US" w:eastAsia="zh-CN"/>
              </w:rPr>
              <w:t>本次汇水面积考虑项目原料堆场、生产</w:t>
            </w:r>
            <w:r>
              <w:rPr>
                <w:rFonts w:hint="eastAsia" w:ascii="宋体" w:hAnsi="宋体" w:eastAsia="宋体" w:cs="宋体"/>
                <w:color w:val="000000"/>
                <w:sz w:val="24"/>
                <w:szCs w:val="24"/>
                <w:shd w:val="clear" w:color="auto" w:fill="auto"/>
              </w:rPr>
              <w:t>厂房顶部</w:t>
            </w:r>
            <w:r>
              <w:rPr>
                <w:rFonts w:hint="eastAsia" w:ascii="宋体" w:hAnsi="宋体" w:eastAsia="宋体" w:cs="宋体"/>
                <w:color w:val="000000"/>
                <w:sz w:val="24"/>
                <w:szCs w:val="24"/>
                <w:shd w:val="clear" w:color="auto" w:fill="auto"/>
                <w:lang w:val="en-US" w:eastAsia="zh-CN"/>
              </w:rPr>
              <w:t>及周边区域，项目生产厂房共计1010</w:t>
            </w:r>
            <w:r>
              <w:rPr>
                <w:rFonts w:hint="eastAsia" w:ascii="宋体" w:hAnsi="宋体" w:eastAsia="宋体" w:cs="宋体"/>
                <w:color w:val="000000"/>
                <w:sz w:val="24"/>
                <w:szCs w:val="24"/>
                <w:shd w:val="clear" w:color="auto" w:fill="auto"/>
              </w:rPr>
              <w:t>m</w:t>
            </w:r>
            <w:r>
              <w:rPr>
                <w:rFonts w:hint="eastAsia" w:ascii="宋体" w:hAnsi="宋体" w:eastAsia="宋体" w:cs="宋体"/>
                <w:color w:val="000000"/>
                <w:sz w:val="24"/>
                <w:szCs w:val="24"/>
                <w:shd w:val="clear" w:color="auto" w:fill="auto"/>
                <w:vertAlign w:val="superscript"/>
              </w:rPr>
              <w:t>2</w:t>
            </w:r>
            <w:r>
              <w:rPr>
                <w:rFonts w:hint="eastAsia" w:ascii="宋体" w:hAnsi="宋体" w:eastAsia="宋体" w:cs="宋体"/>
                <w:color w:val="000000"/>
                <w:sz w:val="24"/>
                <w:szCs w:val="24"/>
                <w:shd w:val="clear" w:color="auto" w:fill="auto"/>
                <w:lang w:eastAsia="zh-CN"/>
              </w:rPr>
              <w:t>，</w:t>
            </w:r>
            <w:r>
              <w:rPr>
                <w:rFonts w:hint="eastAsia" w:ascii="宋体" w:hAnsi="宋体" w:eastAsia="宋体" w:cs="宋体"/>
                <w:color w:val="000000"/>
                <w:sz w:val="24"/>
                <w:szCs w:val="24"/>
                <w:shd w:val="clear" w:color="auto" w:fill="auto"/>
                <w:lang w:val="en-US" w:eastAsia="zh-CN"/>
              </w:rPr>
              <w:t>原料堆场120</w:t>
            </w:r>
            <w:r>
              <w:rPr>
                <w:rFonts w:hint="eastAsia" w:ascii="宋体" w:hAnsi="宋体" w:eastAsia="宋体" w:cs="宋体"/>
                <w:color w:val="000000"/>
                <w:sz w:val="24"/>
                <w:szCs w:val="24"/>
                <w:shd w:val="clear" w:color="auto" w:fill="auto"/>
              </w:rPr>
              <w:t>m</w:t>
            </w:r>
            <w:r>
              <w:rPr>
                <w:rFonts w:hint="eastAsia" w:ascii="宋体" w:hAnsi="宋体" w:eastAsia="宋体" w:cs="宋体"/>
                <w:color w:val="000000"/>
                <w:sz w:val="24"/>
                <w:szCs w:val="24"/>
                <w:shd w:val="clear" w:color="auto" w:fill="auto"/>
                <w:vertAlign w:val="superscript"/>
              </w:rPr>
              <w:t>2</w:t>
            </w:r>
            <w:r>
              <w:rPr>
                <w:rFonts w:hint="eastAsia" w:ascii="宋体" w:hAnsi="宋体" w:eastAsia="宋体" w:cs="宋体"/>
                <w:color w:val="000000"/>
                <w:sz w:val="24"/>
                <w:szCs w:val="24"/>
                <w:shd w:val="clear" w:color="auto" w:fill="auto"/>
                <w:lang w:eastAsia="zh-CN"/>
              </w:rPr>
              <w:t>，</w:t>
            </w:r>
            <w:r>
              <w:rPr>
                <w:rFonts w:hint="eastAsia" w:ascii="宋体" w:hAnsi="宋体" w:eastAsia="宋体" w:cs="宋体"/>
                <w:color w:val="000000"/>
                <w:sz w:val="24"/>
                <w:szCs w:val="24"/>
                <w:shd w:val="clear" w:color="auto" w:fill="auto"/>
                <w:lang w:val="en-US" w:eastAsia="zh-CN"/>
              </w:rPr>
              <w:t>再加上生产区及堆场周边部分空地，本次以5000</w:t>
            </w:r>
            <w:r>
              <w:rPr>
                <w:rFonts w:hint="eastAsia" w:ascii="宋体" w:hAnsi="宋体" w:eastAsia="宋体" w:cs="宋体"/>
                <w:color w:val="000000"/>
                <w:sz w:val="24"/>
                <w:szCs w:val="24"/>
                <w:shd w:val="clear" w:color="auto" w:fill="auto"/>
              </w:rPr>
              <w:t>m</w:t>
            </w:r>
            <w:r>
              <w:rPr>
                <w:rFonts w:hint="eastAsia" w:ascii="宋体" w:hAnsi="宋体" w:eastAsia="宋体" w:cs="宋体"/>
                <w:color w:val="000000"/>
                <w:sz w:val="24"/>
                <w:szCs w:val="24"/>
                <w:shd w:val="clear" w:color="auto" w:fill="auto"/>
                <w:vertAlign w:val="superscript"/>
              </w:rPr>
              <w:t>2</w:t>
            </w:r>
            <w:r>
              <w:rPr>
                <w:rFonts w:hint="eastAsia" w:ascii="宋体" w:hAnsi="宋体" w:eastAsia="宋体" w:cs="宋体"/>
                <w:color w:val="000000"/>
                <w:sz w:val="24"/>
                <w:szCs w:val="24"/>
                <w:shd w:val="clear" w:color="auto" w:fill="auto"/>
                <w:vertAlign w:val="baseline"/>
                <w:lang w:val="en-US" w:eastAsia="zh-CN"/>
              </w:rPr>
              <w:t>计</w:t>
            </w:r>
            <w:r>
              <w:rPr>
                <w:rFonts w:hint="eastAsia" w:ascii="宋体" w:hAnsi="宋体" w:eastAsia="宋体" w:cs="宋体"/>
                <w:color w:val="000000"/>
                <w:sz w:val="24"/>
                <w:szCs w:val="24"/>
                <w:shd w:val="clear" w:color="auto" w:fill="auto"/>
                <w:lang w:eastAsia="zh-CN"/>
              </w:rPr>
              <w:t>。</w:t>
            </w:r>
          </w:p>
          <w:p w14:paraId="0F0C40B8">
            <w:pPr>
              <w:pStyle w:val="36"/>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项目场地雨天地表径流量按下式进行计算：</w:t>
            </w:r>
          </w:p>
          <w:p w14:paraId="08998356">
            <w:pPr>
              <w:pStyle w:val="36"/>
              <w:spacing w:line="360" w:lineRule="auto"/>
              <w:ind w:firstLine="1920" w:firstLineChars="800"/>
              <w:jc w:val="both"/>
              <w:rPr>
                <w:rFonts w:hint="eastAsia" w:ascii="宋体" w:hAnsi="宋体" w:eastAsia="宋体" w:cs="宋体"/>
                <w:color w:val="000000"/>
                <w:sz w:val="24"/>
                <w:szCs w:val="24"/>
              </w:rPr>
            </w:pPr>
            <w:r>
              <w:rPr>
                <w:rFonts w:hint="eastAsia" w:ascii="宋体" w:hAnsi="宋体" w:eastAsia="宋体" w:cs="宋体"/>
                <w:color w:val="000000"/>
                <w:sz w:val="24"/>
                <w:szCs w:val="24"/>
              </w:rPr>
              <w:t>Q=α×q×F</w:t>
            </w:r>
          </w:p>
          <w:p w14:paraId="2A1AF298">
            <w:pPr>
              <w:pStyle w:val="36"/>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式中：Q─雨水流量，m</w:t>
            </w:r>
            <w:r>
              <w:rPr>
                <w:rFonts w:hint="eastAsia" w:ascii="宋体" w:hAnsi="宋体" w:eastAsia="宋体" w:cs="宋体"/>
                <w:color w:val="000000"/>
                <w:sz w:val="24"/>
                <w:szCs w:val="24"/>
                <w:vertAlign w:val="superscript"/>
              </w:rPr>
              <w:t>3</w:t>
            </w:r>
            <w:r>
              <w:rPr>
                <w:rFonts w:hint="eastAsia" w:ascii="宋体" w:hAnsi="宋体" w:eastAsia="宋体" w:cs="宋体"/>
                <w:color w:val="000000"/>
                <w:sz w:val="24"/>
                <w:szCs w:val="24"/>
              </w:rPr>
              <w:t>/d；</w:t>
            </w:r>
          </w:p>
          <w:p w14:paraId="2F05D0B5">
            <w:pPr>
              <w:pStyle w:val="36"/>
              <w:spacing w:line="360" w:lineRule="auto"/>
              <w:ind w:firstLine="1034" w:firstLineChars="431"/>
              <w:rPr>
                <w:rFonts w:hint="eastAsia" w:ascii="宋体" w:hAnsi="宋体" w:eastAsia="宋体" w:cs="宋体"/>
                <w:color w:val="000000"/>
                <w:sz w:val="24"/>
                <w:szCs w:val="24"/>
              </w:rPr>
            </w:pPr>
            <w:r>
              <w:rPr>
                <w:rFonts w:hint="eastAsia" w:ascii="宋体" w:hAnsi="宋体" w:eastAsia="宋体" w:cs="宋体"/>
                <w:color w:val="000000"/>
                <w:sz w:val="24"/>
                <w:szCs w:val="24"/>
              </w:rPr>
              <w:t>α─综合径流系数，取α=0.9；</w:t>
            </w:r>
          </w:p>
          <w:p w14:paraId="7342710E">
            <w:pPr>
              <w:keepNext w:val="0"/>
              <w:keepLines w:val="0"/>
              <w:pageBreakBefore w:val="0"/>
              <w:widowControl w:val="0"/>
              <w:kinsoku/>
              <w:wordWrap/>
              <w:overflowPunct/>
              <w:topLinePunct w:val="0"/>
              <w:autoSpaceDE/>
              <w:autoSpaceDN/>
              <w:bidi w:val="0"/>
              <w:adjustRightInd/>
              <w:snapToGrid/>
              <w:spacing w:line="360" w:lineRule="auto"/>
              <w:ind w:right="0" w:rightChars="0" w:firstLine="1200" w:firstLineChars="5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F─汇水面积（m</w:t>
            </w:r>
            <w:r>
              <w:rPr>
                <w:rFonts w:hint="eastAsia" w:ascii="宋体" w:hAnsi="宋体" w:eastAsia="宋体" w:cs="宋体"/>
                <w:color w:val="000000"/>
                <w:sz w:val="24"/>
                <w:szCs w:val="24"/>
                <w:vertAlign w:val="superscript"/>
              </w:rPr>
              <w:t>2</w:t>
            </w:r>
            <w:r>
              <w:rPr>
                <w:rFonts w:hint="eastAsia" w:ascii="宋体" w:hAnsi="宋体" w:eastAsia="宋体" w:cs="宋体"/>
                <w:color w:val="000000"/>
                <w:sz w:val="24"/>
                <w:szCs w:val="24"/>
              </w:rPr>
              <w:t>），</w:t>
            </w:r>
          </w:p>
          <w:p w14:paraId="3921C0C5">
            <w:pPr>
              <w:keepNext w:val="0"/>
              <w:keepLines w:val="0"/>
              <w:pageBreakBefore w:val="0"/>
              <w:widowControl w:val="0"/>
              <w:kinsoku/>
              <w:wordWrap/>
              <w:overflowPunct/>
              <w:topLinePunct w:val="0"/>
              <w:autoSpaceDE/>
              <w:autoSpaceDN/>
              <w:bidi w:val="0"/>
              <w:adjustRightInd/>
              <w:snapToGrid/>
              <w:spacing w:line="360" w:lineRule="auto"/>
              <w:ind w:left="0" w:right="0" w:rightChars="0" w:firstLine="1200" w:firstLineChars="5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q—暴雨强度，m，根据芒市近年的气象数据，最大日降雨量为158.2毫米。</w:t>
            </w:r>
          </w:p>
          <w:p w14:paraId="0BA6E09E">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szCs w:val="24"/>
              </w:rPr>
              <w:t>经计算得雨水流量为</w:t>
            </w:r>
            <w:r>
              <w:rPr>
                <w:rFonts w:hint="eastAsia" w:ascii="宋体" w:hAnsi="宋体" w:eastAsia="宋体" w:cs="宋体"/>
                <w:color w:val="000000"/>
                <w:sz w:val="24"/>
                <w:szCs w:val="24"/>
                <w:lang w:val="en-US" w:eastAsia="zh-CN"/>
              </w:rPr>
              <w:t xml:space="preserve">711.9 </w:t>
            </w:r>
            <w:r>
              <w:rPr>
                <w:rFonts w:hint="eastAsia" w:ascii="宋体" w:hAnsi="宋体" w:eastAsia="宋体" w:cs="宋体"/>
                <w:color w:val="000000"/>
                <w:sz w:val="24"/>
                <w:szCs w:val="24"/>
              </w:rPr>
              <w:t>m</w:t>
            </w:r>
            <w:r>
              <w:rPr>
                <w:rFonts w:hint="eastAsia" w:ascii="宋体" w:hAnsi="宋体" w:eastAsia="宋体" w:cs="宋体"/>
                <w:color w:val="000000"/>
                <w:sz w:val="24"/>
                <w:szCs w:val="24"/>
                <w:vertAlign w:val="superscript"/>
              </w:rPr>
              <w:t>3</w:t>
            </w:r>
            <w:r>
              <w:rPr>
                <w:rFonts w:hint="eastAsia" w:ascii="宋体" w:hAnsi="宋体" w:eastAsia="宋体" w:cs="宋体"/>
                <w:color w:val="000000"/>
                <w:sz w:val="24"/>
                <w:szCs w:val="24"/>
              </w:rPr>
              <w:t>/d，本次评价初期雨水主要考虑</w:t>
            </w:r>
            <w:r>
              <w:rPr>
                <w:rFonts w:hint="eastAsia" w:ascii="宋体" w:hAnsi="宋体" w:eastAsia="宋体" w:cs="宋体"/>
                <w:b w:val="0"/>
                <w:bCs/>
                <w:color w:val="000000"/>
                <w:sz w:val="24"/>
                <w:szCs w:val="24"/>
                <w:lang w:eastAsia="zh-CN"/>
              </w:rPr>
              <w:t>半小时</w:t>
            </w:r>
            <w:r>
              <w:rPr>
                <w:rFonts w:hint="eastAsia" w:ascii="宋体" w:hAnsi="宋体" w:eastAsia="宋体" w:cs="宋体"/>
                <w:color w:val="000000"/>
                <w:sz w:val="24"/>
                <w:szCs w:val="24"/>
              </w:rPr>
              <w:t>降雨量，则半小时的雨天地表径流为</w:t>
            </w:r>
            <w:r>
              <w:rPr>
                <w:rFonts w:hint="eastAsia" w:ascii="宋体" w:hAnsi="宋体" w:eastAsia="宋体" w:cs="宋体"/>
                <w:color w:val="000000"/>
                <w:sz w:val="24"/>
                <w:szCs w:val="24"/>
                <w:lang w:val="en-US" w:eastAsia="zh-CN"/>
              </w:rPr>
              <w:t>14.83</w:t>
            </w:r>
            <w:r>
              <w:rPr>
                <w:rFonts w:hint="eastAsia" w:ascii="宋体" w:hAnsi="宋体" w:eastAsia="宋体" w:cs="宋体"/>
                <w:color w:val="000000"/>
                <w:sz w:val="24"/>
                <w:szCs w:val="24"/>
              </w:rPr>
              <w:t>m</w:t>
            </w:r>
            <w:r>
              <w:rPr>
                <w:rFonts w:hint="eastAsia" w:ascii="宋体" w:hAnsi="宋体" w:eastAsia="宋体" w:cs="宋体"/>
                <w:color w:val="000000"/>
                <w:sz w:val="24"/>
                <w:szCs w:val="24"/>
                <w:vertAlign w:val="superscript"/>
              </w:rPr>
              <w:t>3</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2966</w:t>
            </w:r>
            <w:r>
              <w:rPr>
                <w:rFonts w:hint="eastAsia" w:ascii="宋体" w:hAnsi="宋体" w:eastAsia="宋体" w:cs="宋体"/>
                <w:color w:val="000000"/>
                <w:sz w:val="24"/>
                <w:szCs w:val="24"/>
              </w:rPr>
              <w:t>m</w:t>
            </w:r>
            <w:r>
              <w:rPr>
                <w:rFonts w:hint="eastAsia" w:ascii="宋体" w:hAnsi="宋体" w:eastAsia="宋体" w:cs="宋体"/>
                <w:color w:val="000000"/>
                <w:sz w:val="24"/>
                <w:szCs w:val="24"/>
                <w:vertAlign w:val="superscript"/>
              </w:rPr>
              <w:t>3</w:t>
            </w:r>
            <w:r>
              <w:rPr>
                <w:rFonts w:hint="eastAsia" w:ascii="宋体" w:hAnsi="宋体" w:eastAsia="宋体" w:cs="宋体"/>
                <w:color w:val="000000"/>
                <w:sz w:val="24"/>
                <w:szCs w:val="24"/>
              </w:rPr>
              <w:t>/a（雨天按185天计算），雨水中污染物主要成分为SS，前期含量较高，后期较少，</w:t>
            </w:r>
            <w:r>
              <w:rPr>
                <w:rFonts w:hint="eastAsia" w:ascii="宋体" w:hAnsi="宋体" w:eastAsia="宋体" w:cs="宋体"/>
                <w:b w:val="0"/>
                <w:bCs w:val="0"/>
                <w:color w:val="000000"/>
                <w:sz w:val="24"/>
                <w:szCs w:val="24"/>
                <w:lang w:val="en-US" w:eastAsia="zh-CN"/>
              </w:rPr>
              <w:t>项目</w:t>
            </w:r>
            <w:r>
              <w:rPr>
                <w:rFonts w:hint="eastAsia" w:ascii="宋体" w:hAnsi="宋体" w:eastAsia="宋体" w:cs="宋体"/>
                <w:b w:val="0"/>
                <w:bCs w:val="0"/>
                <w:color w:val="000000"/>
                <w:sz w:val="24"/>
                <w:szCs w:val="24"/>
                <w:highlight w:val="none"/>
                <w:vertAlign w:val="baseline"/>
                <w:lang w:val="en-US" w:eastAsia="zh-CN"/>
              </w:rPr>
              <w:t>场地内统一设置</w:t>
            </w:r>
            <w:r>
              <w:rPr>
                <w:rFonts w:hint="eastAsia" w:ascii="宋体" w:hAnsi="宋体" w:eastAsia="宋体" w:cs="宋体"/>
                <w:color w:val="000000"/>
                <w:sz w:val="24"/>
                <w:szCs w:val="24"/>
                <w:highlight w:val="none"/>
              </w:rPr>
              <w:t>排水沟</w:t>
            </w:r>
            <w:r>
              <w:rPr>
                <w:rFonts w:hint="eastAsia" w:ascii="宋体" w:hAnsi="宋体" w:eastAsia="宋体" w:cs="宋体"/>
                <w:color w:val="000000"/>
                <w:sz w:val="24"/>
                <w:szCs w:val="24"/>
                <w:highlight w:val="none"/>
                <w:lang w:val="en-US" w:eastAsia="zh-CN"/>
              </w:rPr>
              <w:t>及初期雨水池（20</w:t>
            </w:r>
            <w:r>
              <w:rPr>
                <w:rFonts w:hint="eastAsia" w:ascii="宋体" w:hAnsi="宋体" w:eastAsia="宋体" w:cs="宋体"/>
                <w:color w:val="000000"/>
                <w:sz w:val="24"/>
                <w:szCs w:val="24"/>
              </w:rPr>
              <w:t>m</w:t>
            </w:r>
            <w:r>
              <w:rPr>
                <w:rFonts w:hint="eastAsia" w:ascii="宋体" w:hAnsi="宋体" w:eastAsia="宋体" w:cs="宋体"/>
                <w:color w:val="000000"/>
                <w:sz w:val="24"/>
                <w:szCs w:val="24"/>
                <w:vertAlign w:val="superscript"/>
                <w:lang w:val="en-US" w:eastAsia="zh-CN"/>
              </w:rPr>
              <w:t>3</w:t>
            </w:r>
            <w:r>
              <w:rPr>
                <w:rFonts w:hint="eastAsia" w:ascii="宋体" w:hAnsi="宋体" w:eastAsia="宋体" w:cs="宋体"/>
                <w:color w:val="000000"/>
                <w:sz w:val="24"/>
                <w:szCs w:val="24"/>
                <w:highlight w:val="none"/>
                <w:lang w:val="en-US" w:eastAsia="zh-CN"/>
              </w:rPr>
              <w:t>），初期雨水经排水沟统一进行收集，然后由初期雨水收集池进行沉淀处理，处理后回用于</w:t>
            </w:r>
            <w:r>
              <w:rPr>
                <w:rFonts w:hint="eastAsia" w:ascii="宋体" w:hAnsi="宋体" w:eastAsia="宋体" w:cs="宋体"/>
                <w:b w:val="0"/>
                <w:bCs w:val="0"/>
                <w:color w:val="000000"/>
                <w:sz w:val="24"/>
                <w:szCs w:val="24"/>
                <w:highlight w:val="none"/>
                <w:vertAlign w:val="baseline"/>
                <w:lang w:val="en-US" w:eastAsia="zh-CN"/>
              </w:rPr>
              <w:t>厂区</w:t>
            </w:r>
            <w:r>
              <w:rPr>
                <w:rFonts w:hint="eastAsia" w:ascii="宋体" w:hAnsi="宋体" w:eastAsia="宋体" w:cs="宋体"/>
                <w:bCs/>
                <w:color w:val="000000"/>
                <w:sz w:val="24"/>
                <w:szCs w:val="24"/>
                <w:highlight w:val="none"/>
              </w:rPr>
              <w:t>洒水降尘</w:t>
            </w: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color w:val="000000"/>
                <w:sz w:val="24"/>
                <w:szCs w:val="24"/>
                <w:highlight w:val="none"/>
                <w:lang w:val="en-US" w:eastAsia="zh-CN"/>
              </w:rPr>
              <w:t>雨水则</w:t>
            </w:r>
            <w:r>
              <w:rPr>
                <w:rFonts w:hint="eastAsia" w:ascii="宋体" w:hAnsi="宋体" w:eastAsia="宋体" w:cs="宋体"/>
                <w:b w:val="0"/>
                <w:bCs w:val="0"/>
                <w:color w:val="000000"/>
                <w:sz w:val="24"/>
                <w:szCs w:val="24"/>
                <w:highlight w:val="none"/>
              </w:rPr>
              <w:t>外排至周边雨水沟</w:t>
            </w:r>
            <w:r>
              <w:rPr>
                <w:rFonts w:hint="eastAsia" w:ascii="宋体" w:hAnsi="宋体" w:eastAsia="宋体" w:cs="宋体"/>
                <w:b w:val="0"/>
                <w:bCs w:val="0"/>
                <w:color w:val="000000"/>
                <w:sz w:val="24"/>
                <w:szCs w:val="24"/>
                <w:lang w:val="en-US" w:eastAsia="zh-CN"/>
              </w:rPr>
              <w:t>。</w:t>
            </w:r>
          </w:p>
          <w:p w14:paraId="23307FDE">
            <w:pPr>
              <w:spacing w:line="360" w:lineRule="auto"/>
              <w:ind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eastAsia="zh-CN"/>
              </w:rPr>
              <w:t>综上所述，</w:t>
            </w:r>
            <w:r>
              <w:rPr>
                <w:rFonts w:hint="eastAsia" w:asciiTheme="minorEastAsia" w:hAnsiTheme="minorEastAsia" w:eastAsiaTheme="minorEastAsia" w:cstheme="minorEastAsia"/>
                <w:color w:val="auto"/>
              </w:rPr>
              <w:t>项目运营期产生的</w:t>
            </w:r>
            <w:r>
              <w:rPr>
                <w:rFonts w:hint="eastAsia" w:asciiTheme="minorEastAsia" w:hAnsiTheme="minorEastAsia" w:eastAsiaTheme="minorEastAsia" w:cstheme="minorEastAsia"/>
                <w:color w:val="auto"/>
                <w:lang w:eastAsia="zh-CN"/>
              </w:rPr>
              <w:t>搅拌机清洗废水产生量为</w:t>
            </w:r>
            <w:r>
              <w:rPr>
                <w:rFonts w:hint="eastAsia" w:asciiTheme="minorEastAsia" w:hAnsiTheme="minorEastAsia" w:eastAsiaTheme="minorEastAsia" w:cstheme="minorEastAsia"/>
                <w:color w:val="auto"/>
                <w:sz w:val="24"/>
                <w:szCs w:val="24"/>
                <w:lang w:val="en-US" w:eastAsia="zh-CN"/>
              </w:rPr>
              <w:t>3.4</w:t>
            </w:r>
            <w:r>
              <w:rPr>
                <w:rFonts w:hint="eastAsia" w:asciiTheme="minorEastAsia" w:hAnsiTheme="minorEastAsia" w:eastAsiaTheme="minorEastAsia" w:cstheme="minorEastAsia"/>
                <w:color w:val="auto"/>
                <w:kern w:val="0"/>
                <w:lang w:bidi="ar"/>
              </w:rPr>
              <w:t>m</w:t>
            </w:r>
            <w:r>
              <w:rPr>
                <w:rFonts w:hint="eastAsia" w:asciiTheme="minorEastAsia" w:hAnsiTheme="minorEastAsia" w:eastAsiaTheme="minorEastAsia" w:cstheme="minorEastAsia"/>
                <w:color w:val="auto"/>
                <w:kern w:val="0"/>
                <w:vertAlign w:val="superscript"/>
                <w:lang w:bidi="ar"/>
              </w:rPr>
              <w:t>3</w:t>
            </w:r>
            <w:r>
              <w:rPr>
                <w:rFonts w:hint="eastAsia" w:asciiTheme="minorEastAsia" w:hAnsiTheme="minorEastAsia" w:eastAsiaTheme="minorEastAsia" w:cstheme="minorEastAsia"/>
                <w:color w:val="auto"/>
                <w:sz w:val="24"/>
                <w:szCs w:val="24"/>
              </w:rPr>
              <w:t>/d</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680</w:t>
            </w:r>
            <w:r>
              <w:rPr>
                <w:rFonts w:hint="eastAsia" w:asciiTheme="minorEastAsia" w:hAnsiTheme="minorEastAsia" w:eastAsiaTheme="minorEastAsia" w:cstheme="minorEastAsia"/>
                <w:color w:val="auto"/>
                <w:kern w:val="0"/>
                <w:lang w:bidi="ar"/>
              </w:rPr>
              <w:t>m</w:t>
            </w:r>
            <w:r>
              <w:rPr>
                <w:rFonts w:hint="eastAsia" w:asciiTheme="minorEastAsia" w:hAnsiTheme="minorEastAsia" w:eastAsiaTheme="minorEastAsia" w:cstheme="minorEastAsia"/>
                <w:color w:val="auto"/>
                <w:kern w:val="0"/>
                <w:vertAlign w:val="superscript"/>
                <w:lang w:bidi="ar"/>
              </w:rPr>
              <w:t>3</w:t>
            </w:r>
            <w:r>
              <w:rPr>
                <w:rFonts w:hint="eastAsia" w:asciiTheme="minorEastAsia" w:hAnsiTheme="minorEastAsia" w:eastAsiaTheme="minorEastAsia" w:cstheme="minorEastAsia"/>
                <w:color w:val="auto"/>
                <w:sz w:val="24"/>
                <w:szCs w:val="24"/>
              </w:rPr>
              <w:t>/a</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lang w:eastAsia="zh-CN"/>
              </w:rPr>
              <w:t>生活污水</w:t>
            </w:r>
            <w:r>
              <w:rPr>
                <w:rFonts w:hint="eastAsia" w:asciiTheme="minorEastAsia" w:hAnsiTheme="minorEastAsia" w:eastAsiaTheme="minorEastAsia" w:cstheme="minorEastAsia"/>
                <w:color w:val="auto"/>
              </w:rPr>
              <w:t>总量为0.</w:t>
            </w:r>
            <w:r>
              <w:rPr>
                <w:rFonts w:hint="eastAsia" w:asciiTheme="minorEastAsia" w:hAnsiTheme="minorEastAsia" w:eastAsiaTheme="minorEastAsia" w:cstheme="minorEastAsia"/>
                <w:color w:val="auto"/>
                <w:lang w:val="en-US" w:eastAsia="zh-CN"/>
              </w:rPr>
              <w:t>704</w:t>
            </w:r>
            <w:r>
              <w:rPr>
                <w:rFonts w:hint="eastAsia" w:asciiTheme="minorEastAsia" w:hAnsiTheme="minorEastAsia" w:eastAsiaTheme="minorEastAsia" w:cstheme="minorEastAsia"/>
                <w:color w:val="auto"/>
              </w:rPr>
              <w:t>m</w:t>
            </w:r>
            <w:r>
              <w:rPr>
                <w:rFonts w:hint="eastAsia" w:asciiTheme="minorEastAsia" w:hAnsiTheme="minorEastAsia" w:eastAsiaTheme="minorEastAsia" w:cstheme="minorEastAsia"/>
                <w:color w:val="auto"/>
                <w:vertAlign w:val="superscript"/>
              </w:rPr>
              <w:t>3</w:t>
            </w:r>
            <w:r>
              <w:rPr>
                <w:rFonts w:hint="eastAsia" w:asciiTheme="minorEastAsia" w:hAnsiTheme="minorEastAsia" w:eastAsiaTheme="minorEastAsia" w:cstheme="minorEastAsia"/>
                <w:color w:val="auto"/>
              </w:rPr>
              <w:t>/d，</w:t>
            </w:r>
            <w:r>
              <w:rPr>
                <w:rFonts w:hint="eastAsia" w:asciiTheme="minorEastAsia" w:hAnsiTheme="minorEastAsia" w:eastAsiaTheme="minorEastAsia" w:cstheme="minorEastAsia"/>
                <w:color w:val="auto"/>
                <w:lang w:val="en-US" w:eastAsia="zh-CN"/>
              </w:rPr>
              <w:t>140.8</w:t>
            </w:r>
            <w:r>
              <w:rPr>
                <w:rFonts w:hint="eastAsia" w:asciiTheme="minorEastAsia" w:hAnsiTheme="minorEastAsia" w:eastAsiaTheme="minorEastAsia" w:cstheme="minorEastAsia"/>
                <w:color w:val="auto"/>
              </w:rPr>
              <w:t>m</w:t>
            </w:r>
            <w:r>
              <w:rPr>
                <w:rFonts w:hint="eastAsia" w:asciiTheme="minorEastAsia" w:hAnsiTheme="minorEastAsia" w:eastAsiaTheme="minorEastAsia" w:cstheme="minorEastAsia"/>
                <w:color w:val="auto"/>
                <w:vertAlign w:val="superscript"/>
              </w:rPr>
              <w:t>3</w:t>
            </w:r>
            <w:r>
              <w:rPr>
                <w:rFonts w:hint="eastAsia" w:asciiTheme="minorEastAsia" w:hAnsiTheme="minorEastAsia" w:eastAsiaTheme="minorEastAsia" w:cstheme="minorEastAsia"/>
                <w:color w:val="auto"/>
              </w:rPr>
              <w:t>/a</w:t>
            </w:r>
            <w:r>
              <w:rPr>
                <w:rFonts w:hint="eastAsia" w:asciiTheme="minorEastAsia" w:hAnsiTheme="minorEastAsia" w:eastAsiaTheme="minorEastAsia" w:cstheme="minorEastAsia"/>
                <w:color w:val="auto"/>
                <w:lang w:eastAsia="zh-CN"/>
              </w:rPr>
              <w:t>，总用水量及废水产生情况见表</w:t>
            </w:r>
            <w:r>
              <w:rPr>
                <w:rFonts w:hint="eastAsia" w:asciiTheme="minorEastAsia" w:hAnsiTheme="minorEastAsia" w:eastAsiaTheme="minorEastAsia" w:cstheme="minorEastAsia"/>
                <w:color w:val="auto"/>
                <w:lang w:val="en-US" w:eastAsia="zh-CN"/>
              </w:rPr>
              <w:t>4-10；</w:t>
            </w:r>
            <w:r>
              <w:rPr>
                <w:rFonts w:hint="eastAsia" w:asciiTheme="minorEastAsia" w:hAnsiTheme="minorEastAsia" w:eastAsiaTheme="minorEastAsia" w:cstheme="minorEastAsia"/>
                <w:color w:val="auto"/>
                <w:sz w:val="24"/>
                <w:szCs w:val="24"/>
                <w:lang w:val="en-US" w:eastAsia="zh-CN"/>
              </w:rPr>
              <w:t>根据《全国第二次污染源普查生活污染源产排污系数手册》，生活污水产生排放浓度具体情况</w:t>
            </w:r>
            <w:r>
              <w:rPr>
                <w:rFonts w:hint="eastAsia" w:asciiTheme="minorEastAsia" w:hAnsiTheme="minorEastAsia" w:eastAsiaTheme="minorEastAsia" w:cstheme="minorEastAsia"/>
                <w:color w:val="auto"/>
                <w:lang w:val="en-US" w:eastAsia="zh-CN"/>
              </w:rPr>
              <w:t>见表4-11；</w:t>
            </w:r>
            <w:r>
              <w:rPr>
                <w:rFonts w:hint="eastAsia" w:asciiTheme="minorEastAsia" w:hAnsiTheme="minorEastAsia" w:eastAsiaTheme="minorEastAsia" w:cstheme="minorEastAsia"/>
                <w:color w:val="auto"/>
              </w:rPr>
              <w:t>项目区水平衡图</w:t>
            </w:r>
            <w:r>
              <w:rPr>
                <w:rFonts w:hint="eastAsia" w:asciiTheme="minorEastAsia" w:hAnsiTheme="minorEastAsia" w:eastAsiaTheme="minorEastAsia" w:cstheme="minorEastAsia"/>
                <w:color w:val="auto"/>
                <w:lang w:eastAsia="zh-CN"/>
              </w:rPr>
              <w:t>见图</w:t>
            </w:r>
            <w:r>
              <w:rPr>
                <w:rFonts w:hint="eastAsia" w:asciiTheme="minorEastAsia" w:hAnsiTheme="minorEastAsia" w:eastAsiaTheme="minorEastAsia" w:cstheme="minorEastAsia"/>
                <w:color w:val="auto"/>
                <w:lang w:val="en-US" w:eastAsia="zh-CN"/>
              </w:rPr>
              <w:t>4-1。</w:t>
            </w:r>
          </w:p>
          <w:p w14:paraId="0075499C">
            <w:pPr>
              <w:keepNext w:val="0"/>
              <w:keepLines w:val="0"/>
              <w:widowControl/>
              <w:suppressLineNumbers w:val="0"/>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lang w:val="en-US" w:eastAsia="zh-CN"/>
              </w:rPr>
              <w:t xml:space="preserve"> 表4-10 </w:t>
            </w:r>
            <w:r>
              <w:rPr>
                <w:rFonts w:hint="eastAsia" w:asciiTheme="majorEastAsia" w:hAnsiTheme="majorEastAsia" w:eastAsiaTheme="majorEastAsia" w:cstheme="majorEastAsia"/>
                <w:b/>
                <w:bCs/>
                <w:color w:val="auto"/>
                <w:kern w:val="0"/>
                <w:sz w:val="24"/>
                <w:szCs w:val="24"/>
                <w:lang w:val="en-US" w:eastAsia="zh-CN" w:bidi="ar"/>
              </w:rPr>
              <w:t>项目总用水量和废水产生量情况一览表</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128"/>
              <w:gridCol w:w="426"/>
              <w:gridCol w:w="1162"/>
              <w:gridCol w:w="943"/>
              <w:gridCol w:w="1173"/>
              <w:gridCol w:w="900"/>
              <w:gridCol w:w="870"/>
              <w:gridCol w:w="900"/>
              <w:gridCol w:w="1287"/>
            </w:tblGrid>
            <w:tr w14:paraId="5D7B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pct"/>
                  <w:gridSpan w:val="2"/>
                  <w:vAlign w:val="center"/>
                </w:tcPr>
                <w:p w14:paraId="40B23D41">
                  <w:pPr>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用水项目</w:t>
                  </w:r>
                </w:p>
              </w:tc>
              <w:tc>
                <w:tcPr>
                  <w:tcW w:w="230" w:type="pct"/>
                  <w:vAlign w:val="center"/>
                </w:tcPr>
                <w:p w14:paraId="33DC2C6D">
                  <w:pPr>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规模</w:t>
                  </w:r>
                </w:p>
              </w:tc>
              <w:tc>
                <w:tcPr>
                  <w:tcW w:w="627" w:type="pct"/>
                  <w:vAlign w:val="center"/>
                </w:tcPr>
                <w:p w14:paraId="5061D979">
                  <w:pPr>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用水定额</w:t>
                  </w:r>
                </w:p>
              </w:tc>
              <w:tc>
                <w:tcPr>
                  <w:tcW w:w="509" w:type="pct"/>
                  <w:vAlign w:val="center"/>
                </w:tcPr>
                <w:p w14:paraId="5F182AF0">
                  <w:pPr>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用水天数（d）</w:t>
                  </w:r>
                </w:p>
              </w:tc>
              <w:tc>
                <w:tcPr>
                  <w:tcW w:w="633" w:type="pct"/>
                  <w:vAlign w:val="center"/>
                </w:tcPr>
                <w:p w14:paraId="4A3C09F7">
                  <w:pPr>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用水量（</w:t>
                  </w:r>
                  <w:r>
                    <w:rPr>
                      <w:rFonts w:hint="eastAsia" w:asciiTheme="minorEastAsia" w:hAnsiTheme="minorEastAsia" w:eastAsiaTheme="minorEastAsia" w:cstheme="minorEastAsia"/>
                      <w:color w:val="auto"/>
                      <w:sz w:val="21"/>
                      <w:szCs w:val="21"/>
                      <w:vertAlign w:val="baseline"/>
                      <w:lang w:val="en-US" w:eastAsia="zh-CN"/>
                    </w:rPr>
                    <w:t>m</w:t>
                  </w:r>
                  <w:r>
                    <w:rPr>
                      <w:rFonts w:hint="eastAsia" w:asciiTheme="minorEastAsia" w:hAnsiTheme="minorEastAsia" w:eastAsiaTheme="minorEastAsia" w:cstheme="minorEastAsia"/>
                      <w:color w:val="auto"/>
                      <w:sz w:val="21"/>
                      <w:szCs w:val="21"/>
                      <w:vertAlign w:val="superscript"/>
                      <w:lang w:val="en-US" w:eastAsia="zh-CN"/>
                    </w:rPr>
                    <w:t>3</w:t>
                  </w:r>
                  <w:r>
                    <w:rPr>
                      <w:rFonts w:hint="eastAsia" w:asciiTheme="minorEastAsia" w:hAnsiTheme="minorEastAsia" w:eastAsiaTheme="minorEastAsia" w:cstheme="minorEastAsia"/>
                      <w:color w:val="auto"/>
                      <w:sz w:val="21"/>
                      <w:szCs w:val="21"/>
                      <w:vertAlign w:val="baseline"/>
                      <w:lang w:val="en-US" w:eastAsia="zh-CN"/>
                    </w:rPr>
                    <w:t>/d</w:t>
                  </w:r>
                  <w:r>
                    <w:rPr>
                      <w:rFonts w:hint="eastAsia" w:asciiTheme="minorEastAsia" w:hAnsiTheme="minorEastAsia" w:eastAsiaTheme="minorEastAsia" w:cstheme="minorEastAsia"/>
                      <w:b/>
                      <w:bCs/>
                      <w:color w:val="auto"/>
                      <w:sz w:val="21"/>
                      <w:szCs w:val="21"/>
                      <w:vertAlign w:val="baseline"/>
                      <w:lang w:val="en-US" w:eastAsia="zh-CN"/>
                    </w:rPr>
                    <w:t>）</w:t>
                  </w:r>
                </w:p>
              </w:tc>
              <w:tc>
                <w:tcPr>
                  <w:tcW w:w="486" w:type="pct"/>
                  <w:vAlign w:val="center"/>
                </w:tcPr>
                <w:p w14:paraId="449E4230">
                  <w:pPr>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回用水量（</w:t>
                  </w:r>
                  <w:r>
                    <w:rPr>
                      <w:rFonts w:hint="eastAsia" w:asciiTheme="minorEastAsia" w:hAnsiTheme="minorEastAsia" w:eastAsiaTheme="minorEastAsia" w:cstheme="minorEastAsia"/>
                      <w:color w:val="auto"/>
                      <w:sz w:val="21"/>
                      <w:szCs w:val="21"/>
                      <w:vertAlign w:val="baseline"/>
                      <w:lang w:val="en-US" w:eastAsia="zh-CN"/>
                    </w:rPr>
                    <w:t>m</w:t>
                  </w:r>
                  <w:r>
                    <w:rPr>
                      <w:rFonts w:hint="eastAsia" w:asciiTheme="minorEastAsia" w:hAnsiTheme="minorEastAsia" w:eastAsiaTheme="minorEastAsia" w:cstheme="minorEastAsia"/>
                      <w:color w:val="auto"/>
                      <w:sz w:val="21"/>
                      <w:szCs w:val="21"/>
                      <w:vertAlign w:val="superscript"/>
                      <w:lang w:val="en-US" w:eastAsia="zh-CN"/>
                    </w:rPr>
                    <w:t>3</w:t>
                  </w:r>
                  <w:r>
                    <w:rPr>
                      <w:rFonts w:hint="eastAsia" w:asciiTheme="minorEastAsia" w:hAnsiTheme="minorEastAsia" w:eastAsiaTheme="minorEastAsia" w:cstheme="minorEastAsia"/>
                      <w:color w:val="auto"/>
                      <w:sz w:val="21"/>
                      <w:szCs w:val="21"/>
                      <w:vertAlign w:val="baseline"/>
                      <w:lang w:val="en-US" w:eastAsia="zh-CN"/>
                    </w:rPr>
                    <w:t>/d</w:t>
                  </w:r>
                  <w:r>
                    <w:rPr>
                      <w:rFonts w:hint="eastAsia" w:asciiTheme="minorEastAsia" w:hAnsiTheme="minorEastAsia" w:eastAsiaTheme="minorEastAsia" w:cstheme="minorEastAsia"/>
                      <w:b/>
                      <w:bCs/>
                      <w:color w:val="auto"/>
                      <w:sz w:val="21"/>
                      <w:szCs w:val="21"/>
                      <w:vertAlign w:val="baseline"/>
                      <w:lang w:val="en-US" w:eastAsia="zh-CN"/>
                    </w:rPr>
                    <w:t>）</w:t>
                  </w:r>
                </w:p>
              </w:tc>
              <w:tc>
                <w:tcPr>
                  <w:tcW w:w="469" w:type="pct"/>
                  <w:vAlign w:val="center"/>
                </w:tcPr>
                <w:p w14:paraId="6A188F2F">
                  <w:pPr>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产污系数</w:t>
                  </w:r>
                </w:p>
              </w:tc>
              <w:tc>
                <w:tcPr>
                  <w:tcW w:w="486" w:type="pct"/>
                  <w:vAlign w:val="center"/>
                </w:tcPr>
                <w:p w14:paraId="32C6008E">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污水产生量（</w:t>
                  </w:r>
                  <w:r>
                    <w:rPr>
                      <w:rFonts w:hint="eastAsia" w:asciiTheme="minorEastAsia" w:hAnsiTheme="minorEastAsia" w:eastAsiaTheme="minorEastAsia" w:cstheme="minorEastAsia"/>
                      <w:color w:val="auto"/>
                      <w:sz w:val="21"/>
                      <w:szCs w:val="21"/>
                      <w:vertAlign w:val="baseline"/>
                      <w:lang w:val="en-US" w:eastAsia="zh-CN"/>
                    </w:rPr>
                    <w:t>m</w:t>
                  </w:r>
                  <w:r>
                    <w:rPr>
                      <w:rFonts w:hint="eastAsia" w:asciiTheme="minorEastAsia" w:hAnsiTheme="minorEastAsia" w:eastAsiaTheme="minorEastAsia" w:cstheme="minorEastAsia"/>
                      <w:color w:val="auto"/>
                      <w:sz w:val="21"/>
                      <w:szCs w:val="21"/>
                      <w:vertAlign w:val="superscript"/>
                      <w:lang w:val="en-US" w:eastAsia="zh-CN"/>
                    </w:rPr>
                    <w:t>3</w:t>
                  </w:r>
                  <w:r>
                    <w:rPr>
                      <w:rFonts w:hint="eastAsia" w:asciiTheme="minorEastAsia" w:hAnsiTheme="minorEastAsia" w:eastAsiaTheme="minorEastAsia" w:cstheme="minorEastAsia"/>
                      <w:color w:val="auto"/>
                      <w:sz w:val="21"/>
                      <w:szCs w:val="21"/>
                      <w:vertAlign w:val="baseline"/>
                      <w:lang w:val="en-US" w:eastAsia="zh-CN"/>
                    </w:rPr>
                    <w:t>/d</w:t>
                  </w:r>
                  <w:r>
                    <w:rPr>
                      <w:rFonts w:hint="eastAsia" w:asciiTheme="minorEastAsia" w:hAnsiTheme="minorEastAsia" w:eastAsiaTheme="minorEastAsia" w:cstheme="minorEastAsia"/>
                      <w:b/>
                      <w:bCs/>
                      <w:color w:val="auto"/>
                      <w:sz w:val="21"/>
                      <w:szCs w:val="21"/>
                      <w:vertAlign w:val="baseline"/>
                      <w:lang w:val="en-US" w:eastAsia="zh-CN"/>
                    </w:rPr>
                    <w:t>）</w:t>
                  </w:r>
                </w:p>
              </w:tc>
              <w:tc>
                <w:tcPr>
                  <w:tcW w:w="695" w:type="pct"/>
                  <w:vAlign w:val="center"/>
                </w:tcPr>
                <w:p w14:paraId="3880B7F6">
                  <w:pPr>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备注</w:t>
                  </w:r>
                </w:p>
              </w:tc>
            </w:tr>
            <w:tr w14:paraId="2649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52" w:type="pct"/>
                  <w:vMerge w:val="restart"/>
                  <w:vAlign w:val="center"/>
                </w:tcPr>
                <w:p w14:paraId="769D6903">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生产用水</w:t>
                  </w:r>
                </w:p>
              </w:tc>
              <w:tc>
                <w:tcPr>
                  <w:tcW w:w="609" w:type="pct"/>
                  <w:vAlign w:val="center"/>
                </w:tcPr>
                <w:p w14:paraId="01912DA1">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产品加工过程用水</w:t>
                  </w:r>
                </w:p>
              </w:tc>
              <w:tc>
                <w:tcPr>
                  <w:tcW w:w="230" w:type="pct"/>
                  <w:vAlign w:val="center"/>
                </w:tcPr>
                <w:p w14:paraId="4B751365">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w:t>
                  </w:r>
                </w:p>
              </w:tc>
              <w:tc>
                <w:tcPr>
                  <w:tcW w:w="627" w:type="pct"/>
                  <w:vAlign w:val="center"/>
                </w:tcPr>
                <w:p w14:paraId="0B94E149">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kern w:val="0"/>
                      <w:sz w:val="21"/>
                      <w:szCs w:val="21"/>
                      <w:lang w:bidi="ar"/>
                    </w:rPr>
                    <w:t>0.2m</w:t>
                  </w:r>
                  <w:r>
                    <w:rPr>
                      <w:rFonts w:hint="eastAsia" w:asciiTheme="minorEastAsia" w:hAnsiTheme="minorEastAsia" w:eastAsiaTheme="minorEastAsia" w:cstheme="minorEastAsia"/>
                      <w:color w:val="auto"/>
                      <w:kern w:val="0"/>
                      <w:sz w:val="21"/>
                      <w:szCs w:val="21"/>
                      <w:vertAlign w:val="superscript"/>
                      <w:lang w:bidi="ar"/>
                    </w:rPr>
                    <w:t>3</w:t>
                  </w:r>
                  <w:r>
                    <w:rPr>
                      <w:rFonts w:hint="eastAsia" w:asciiTheme="minorEastAsia" w:hAnsiTheme="minorEastAsia" w:eastAsiaTheme="minorEastAsia" w:cstheme="minorEastAsia"/>
                      <w:color w:val="auto"/>
                      <w:kern w:val="0"/>
                      <w:sz w:val="21"/>
                      <w:szCs w:val="21"/>
                      <w:lang w:bidi="ar"/>
                    </w:rPr>
                    <w:t>/m</w:t>
                  </w:r>
                  <w:r>
                    <w:rPr>
                      <w:rFonts w:hint="eastAsia" w:asciiTheme="minorEastAsia" w:hAnsiTheme="minorEastAsia" w:eastAsiaTheme="minorEastAsia" w:cstheme="minorEastAsia"/>
                      <w:color w:val="auto"/>
                      <w:kern w:val="0"/>
                      <w:sz w:val="21"/>
                      <w:szCs w:val="21"/>
                      <w:vertAlign w:val="superscript"/>
                      <w:lang w:bidi="ar"/>
                    </w:rPr>
                    <w:t>3</w:t>
                  </w:r>
                  <w:r>
                    <w:rPr>
                      <w:rFonts w:hint="eastAsia" w:asciiTheme="minorEastAsia" w:hAnsiTheme="minorEastAsia" w:eastAsiaTheme="minorEastAsia" w:cstheme="minorEastAsia"/>
                      <w:color w:val="auto"/>
                      <w:kern w:val="0"/>
                      <w:sz w:val="21"/>
                      <w:szCs w:val="21"/>
                      <w:lang w:bidi="ar"/>
                    </w:rPr>
                    <w:t>-产品</w:t>
                  </w:r>
                </w:p>
              </w:tc>
              <w:tc>
                <w:tcPr>
                  <w:tcW w:w="509" w:type="pct"/>
                  <w:vAlign w:val="center"/>
                </w:tcPr>
                <w:p w14:paraId="3FF33ED4">
                  <w:pPr>
                    <w:spacing w:line="240" w:lineRule="auto"/>
                    <w:jc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200</w:t>
                  </w:r>
                </w:p>
              </w:tc>
              <w:tc>
                <w:tcPr>
                  <w:tcW w:w="633" w:type="pct"/>
                  <w:vAlign w:val="center"/>
                </w:tcPr>
                <w:p w14:paraId="3A8D8BF7">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42.131（其中3.4为回用）</w:t>
                  </w:r>
                </w:p>
              </w:tc>
              <w:tc>
                <w:tcPr>
                  <w:tcW w:w="486" w:type="pct"/>
                  <w:vAlign w:val="center"/>
                </w:tcPr>
                <w:p w14:paraId="2007352F">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3.4</w:t>
                  </w:r>
                </w:p>
              </w:tc>
              <w:tc>
                <w:tcPr>
                  <w:tcW w:w="1651" w:type="pct"/>
                  <w:gridSpan w:val="3"/>
                  <w:vAlign w:val="center"/>
                </w:tcPr>
                <w:p w14:paraId="705BE7D3">
                  <w:pPr>
                    <w:spacing w:line="240" w:lineRule="auto"/>
                    <w:jc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bidi="ar"/>
                    </w:rPr>
                    <w:t>在加工过程中消耗蒸发，无废水产生</w:t>
                  </w:r>
                </w:p>
              </w:tc>
            </w:tr>
            <w:tr w14:paraId="65B7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252" w:type="pct"/>
                  <w:vMerge w:val="continue"/>
                  <w:vAlign w:val="center"/>
                </w:tcPr>
                <w:p w14:paraId="26929889">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p>
              </w:tc>
              <w:tc>
                <w:tcPr>
                  <w:tcW w:w="609" w:type="pct"/>
                  <w:vAlign w:val="center"/>
                </w:tcPr>
                <w:p w14:paraId="0F58B34E">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搅拌机清洗用水</w:t>
                  </w:r>
                </w:p>
              </w:tc>
              <w:tc>
                <w:tcPr>
                  <w:tcW w:w="230" w:type="pct"/>
                  <w:vAlign w:val="center"/>
                </w:tcPr>
                <w:p w14:paraId="05D98DA5">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w:t>
                  </w:r>
                </w:p>
              </w:tc>
              <w:tc>
                <w:tcPr>
                  <w:tcW w:w="627" w:type="pct"/>
                  <w:vAlign w:val="center"/>
                </w:tcPr>
                <w:p w14:paraId="5AF53B38">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kern w:val="0"/>
                      <w:sz w:val="21"/>
                      <w:szCs w:val="21"/>
                      <w:lang w:bidi="ar"/>
                    </w:rPr>
                    <w:t>m</w:t>
                  </w:r>
                  <w:r>
                    <w:rPr>
                      <w:rFonts w:hint="eastAsia" w:asciiTheme="minorEastAsia" w:hAnsiTheme="minorEastAsia" w:eastAsiaTheme="minorEastAsia" w:cstheme="minorEastAsia"/>
                      <w:color w:val="auto"/>
                      <w:kern w:val="0"/>
                      <w:sz w:val="21"/>
                      <w:szCs w:val="21"/>
                      <w:vertAlign w:val="superscript"/>
                      <w:lang w:bidi="ar"/>
                    </w:rPr>
                    <w:t>3</w:t>
                  </w:r>
                  <w:r>
                    <w:rPr>
                      <w:rFonts w:hint="eastAsia" w:asciiTheme="minorEastAsia" w:hAnsiTheme="minorEastAsia" w:eastAsiaTheme="minorEastAsia" w:cstheme="minorEastAsia"/>
                      <w:color w:val="auto"/>
                      <w:sz w:val="21"/>
                      <w:szCs w:val="21"/>
                    </w:rPr>
                    <w:t>/台·次</w:t>
                  </w:r>
                </w:p>
              </w:tc>
              <w:tc>
                <w:tcPr>
                  <w:tcW w:w="509" w:type="pct"/>
                  <w:vAlign w:val="center"/>
                </w:tcPr>
                <w:p w14:paraId="7E638810">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w:t>
                  </w:r>
                </w:p>
              </w:tc>
              <w:tc>
                <w:tcPr>
                  <w:tcW w:w="633" w:type="pct"/>
                  <w:vAlign w:val="center"/>
                </w:tcPr>
                <w:p w14:paraId="62CA2845">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4</w:t>
                  </w:r>
                </w:p>
              </w:tc>
              <w:tc>
                <w:tcPr>
                  <w:tcW w:w="486" w:type="pct"/>
                  <w:vAlign w:val="center"/>
                </w:tcPr>
                <w:p w14:paraId="5DB7C79E">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0</w:t>
                  </w:r>
                </w:p>
              </w:tc>
              <w:tc>
                <w:tcPr>
                  <w:tcW w:w="469" w:type="pct"/>
                  <w:vAlign w:val="center"/>
                </w:tcPr>
                <w:p w14:paraId="6104534F">
                  <w:pPr>
                    <w:spacing w:line="240" w:lineRule="auto"/>
                    <w:jc w:val="center"/>
                    <w:rPr>
                      <w:rFonts w:hint="default"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0.85</w:t>
                  </w:r>
                </w:p>
              </w:tc>
              <w:tc>
                <w:tcPr>
                  <w:tcW w:w="486" w:type="pct"/>
                  <w:vAlign w:val="center"/>
                </w:tcPr>
                <w:p w14:paraId="5B31C5F4">
                  <w:pPr>
                    <w:spacing w:line="240" w:lineRule="auto"/>
                    <w:jc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3.4</w:t>
                  </w:r>
                </w:p>
              </w:tc>
              <w:tc>
                <w:tcPr>
                  <w:tcW w:w="695" w:type="pct"/>
                  <w:vAlign w:val="center"/>
                </w:tcPr>
                <w:p w14:paraId="538EBCB5">
                  <w:pPr>
                    <w:spacing w:line="240" w:lineRule="auto"/>
                    <w:jc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沉淀池处理后回用</w:t>
                  </w:r>
                </w:p>
              </w:tc>
            </w:tr>
            <w:tr w14:paraId="3976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52" w:type="pct"/>
                  <w:vMerge w:val="continue"/>
                  <w:vAlign w:val="center"/>
                </w:tcPr>
                <w:p w14:paraId="6E3D41CD">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p>
              </w:tc>
              <w:tc>
                <w:tcPr>
                  <w:tcW w:w="609" w:type="pct"/>
                  <w:vAlign w:val="center"/>
                </w:tcPr>
                <w:p w14:paraId="0F606422">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养护用水</w:t>
                  </w:r>
                </w:p>
              </w:tc>
              <w:tc>
                <w:tcPr>
                  <w:tcW w:w="230" w:type="pct"/>
                  <w:vAlign w:val="center"/>
                </w:tcPr>
                <w:p w14:paraId="173F8835">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w:t>
                  </w:r>
                </w:p>
              </w:tc>
              <w:tc>
                <w:tcPr>
                  <w:tcW w:w="627" w:type="pct"/>
                  <w:vAlign w:val="center"/>
                </w:tcPr>
                <w:p w14:paraId="3E33C4F7">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w:t>
                  </w:r>
                </w:p>
              </w:tc>
              <w:tc>
                <w:tcPr>
                  <w:tcW w:w="509" w:type="pct"/>
                  <w:vAlign w:val="center"/>
                </w:tcPr>
                <w:p w14:paraId="37F981DE">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150</w:t>
                  </w:r>
                </w:p>
              </w:tc>
              <w:tc>
                <w:tcPr>
                  <w:tcW w:w="633" w:type="pct"/>
                  <w:vAlign w:val="center"/>
                </w:tcPr>
                <w:p w14:paraId="08ED876C">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6</w:t>
                  </w:r>
                </w:p>
              </w:tc>
              <w:tc>
                <w:tcPr>
                  <w:tcW w:w="486" w:type="pct"/>
                  <w:vAlign w:val="center"/>
                </w:tcPr>
                <w:p w14:paraId="20DD4F2C">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0</w:t>
                  </w:r>
                </w:p>
              </w:tc>
              <w:tc>
                <w:tcPr>
                  <w:tcW w:w="1651" w:type="pct"/>
                  <w:gridSpan w:val="3"/>
                  <w:vAlign w:val="center"/>
                </w:tcPr>
                <w:p w14:paraId="41D82EF0">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kern w:val="0"/>
                      <w:sz w:val="21"/>
                      <w:szCs w:val="21"/>
                      <w:lang w:bidi="ar"/>
                    </w:rPr>
                    <w:t>全部自然蒸发，不外排</w:t>
                  </w:r>
                </w:p>
              </w:tc>
            </w:tr>
            <w:tr w14:paraId="7CFF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52" w:type="pct"/>
                  <w:vMerge w:val="continue"/>
                  <w:vAlign w:val="center"/>
                </w:tcPr>
                <w:p w14:paraId="2E1CAF05">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p>
              </w:tc>
              <w:tc>
                <w:tcPr>
                  <w:tcW w:w="609" w:type="pct"/>
                  <w:vAlign w:val="center"/>
                </w:tcPr>
                <w:p w14:paraId="092AF55A">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降尘用水</w:t>
                  </w:r>
                </w:p>
              </w:tc>
              <w:tc>
                <w:tcPr>
                  <w:tcW w:w="230" w:type="pct"/>
                  <w:vAlign w:val="center"/>
                </w:tcPr>
                <w:p w14:paraId="19AA8F4E">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w:t>
                  </w:r>
                </w:p>
              </w:tc>
              <w:tc>
                <w:tcPr>
                  <w:tcW w:w="627" w:type="pct"/>
                  <w:vAlign w:val="center"/>
                </w:tcPr>
                <w:p w14:paraId="68027B32">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w:t>
                  </w:r>
                </w:p>
              </w:tc>
              <w:tc>
                <w:tcPr>
                  <w:tcW w:w="509" w:type="pct"/>
                  <w:vAlign w:val="center"/>
                </w:tcPr>
                <w:p w14:paraId="79AC6EAE">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150</w:t>
                  </w:r>
                </w:p>
              </w:tc>
              <w:tc>
                <w:tcPr>
                  <w:tcW w:w="633" w:type="pct"/>
                  <w:vAlign w:val="center"/>
                </w:tcPr>
                <w:p w14:paraId="6A0612D3">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0.8</w:t>
                  </w:r>
                </w:p>
              </w:tc>
              <w:tc>
                <w:tcPr>
                  <w:tcW w:w="486" w:type="pct"/>
                  <w:vAlign w:val="center"/>
                </w:tcPr>
                <w:p w14:paraId="12C09B06">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0</w:t>
                  </w:r>
                </w:p>
              </w:tc>
              <w:tc>
                <w:tcPr>
                  <w:tcW w:w="1651" w:type="pct"/>
                  <w:gridSpan w:val="3"/>
                  <w:vAlign w:val="center"/>
                </w:tcPr>
                <w:p w14:paraId="62B79B06">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kern w:val="0"/>
                      <w:sz w:val="21"/>
                      <w:szCs w:val="21"/>
                      <w:lang w:bidi="ar"/>
                    </w:rPr>
                    <w:t>由产品少量带走，其余全部挥发</w:t>
                  </w:r>
                  <w:r>
                    <w:rPr>
                      <w:rFonts w:hint="eastAsia" w:asciiTheme="minorEastAsia" w:hAnsiTheme="minorEastAsia" w:eastAsiaTheme="minorEastAsia" w:cstheme="minorEastAsia"/>
                      <w:color w:val="auto"/>
                      <w:kern w:val="0"/>
                      <w:sz w:val="21"/>
                      <w:szCs w:val="21"/>
                      <w:lang w:eastAsia="zh-CN" w:bidi="ar"/>
                    </w:rPr>
                    <w:t>，</w:t>
                  </w:r>
                  <w:r>
                    <w:rPr>
                      <w:rFonts w:hint="eastAsia" w:asciiTheme="minorEastAsia" w:hAnsiTheme="minorEastAsia" w:eastAsiaTheme="minorEastAsia" w:cstheme="minorEastAsia"/>
                      <w:color w:val="auto"/>
                      <w:kern w:val="0"/>
                      <w:sz w:val="21"/>
                      <w:szCs w:val="21"/>
                      <w:lang w:bidi="ar"/>
                    </w:rPr>
                    <w:t>无废水产生</w:t>
                  </w:r>
                </w:p>
              </w:tc>
            </w:tr>
            <w:tr w14:paraId="0660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52" w:type="pct"/>
                  <w:vMerge w:val="restart"/>
                  <w:vAlign w:val="center"/>
                </w:tcPr>
                <w:p w14:paraId="329ADD53">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生活用水</w:t>
                  </w:r>
                </w:p>
              </w:tc>
              <w:tc>
                <w:tcPr>
                  <w:tcW w:w="609" w:type="pct"/>
                  <w:vAlign w:val="center"/>
                </w:tcPr>
                <w:p w14:paraId="42BBC66E">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餐饮用水</w:t>
                  </w:r>
                </w:p>
              </w:tc>
              <w:tc>
                <w:tcPr>
                  <w:tcW w:w="230" w:type="pct"/>
                  <w:vAlign w:val="center"/>
                </w:tcPr>
                <w:p w14:paraId="1501B016">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8人</w:t>
                  </w:r>
                </w:p>
              </w:tc>
              <w:tc>
                <w:tcPr>
                  <w:tcW w:w="627" w:type="pct"/>
                  <w:vAlign w:val="center"/>
                </w:tcPr>
                <w:p w14:paraId="0CE46D26">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L/</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人·d</w:t>
                  </w:r>
                  <w:r>
                    <w:rPr>
                      <w:rFonts w:hint="eastAsia" w:asciiTheme="minorEastAsia" w:hAnsiTheme="minorEastAsia" w:eastAsiaTheme="minorEastAsia" w:cstheme="minorEastAsia"/>
                      <w:color w:val="auto"/>
                      <w:sz w:val="21"/>
                      <w:szCs w:val="21"/>
                      <w:lang w:eastAsia="zh-CN"/>
                    </w:rPr>
                    <w:t>）</w:t>
                  </w:r>
                </w:p>
              </w:tc>
              <w:tc>
                <w:tcPr>
                  <w:tcW w:w="509" w:type="pct"/>
                  <w:vAlign w:val="center"/>
                </w:tcPr>
                <w:p w14:paraId="001A6E10">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200</w:t>
                  </w:r>
                </w:p>
              </w:tc>
              <w:tc>
                <w:tcPr>
                  <w:tcW w:w="633" w:type="pct"/>
                  <w:vAlign w:val="center"/>
                </w:tcPr>
                <w:p w14:paraId="451EE817">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0.16</w:t>
                  </w:r>
                </w:p>
              </w:tc>
              <w:tc>
                <w:tcPr>
                  <w:tcW w:w="486" w:type="pct"/>
                  <w:vAlign w:val="center"/>
                </w:tcPr>
                <w:p w14:paraId="478CBC89">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0</w:t>
                  </w:r>
                </w:p>
              </w:tc>
              <w:tc>
                <w:tcPr>
                  <w:tcW w:w="469" w:type="pct"/>
                  <w:vAlign w:val="center"/>
                </w:tcPr>
                <w:p w14:paraId="44B5C70B">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0.8</w:t>
                  </w:r>
                </w:p>
              </w:tc>
              <w:tc>
                <w:tcPr>
                  <w:tcW w:w="486" w:type="pct"/>
                  <w:vAlign w:val="center"/>
                </w:tcPr>
                <w:p w14:paraId="5C4FC117">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0.128</w:t>
                  </w:r>
                </w:p>
              </w:tc>
              <w:tc>
                <w:tcPr>
                  <w:tcW w:w="695" w:type="pct"/>
                  <w:vAlign w:val="center"/>
                </w:tcPr>
                <w:p w14:paraId="79B96B65">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油水分离器预处理后经化粪池处理</w:t>
                  </w:r>
                </w:p>
              </w:tc>
            </w:tr>
            <w:tr w14:paraId="33B7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52" w:type="pct"/>
                  <w:vMerge w:val="continue"/>
                  <w:vAlign w:val="center"/>
                </w:tcPr>
                <w:p w14:paraId="675CED1B">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p>
              </w:tc>
              <w:tc>
                <w:tcPr>
                  <w:tcW w:w="609" w:type="pct"/>
                  <w:vAlign w:val="center"/>
                </w:tcPr>
                <w:p w14:paraId="26BB8189">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办公、生活用水</w:t>
                  </w:r>
                </w:p>
              </w:tc>
              <w:tc>
                <w:tcPr>
                  <w:tcW w:w="230" w:type="pct"/>
                  <w:vAlign w:val="center"/>
                </w:tcPr>
                <w:p w14:paraId="5DA10EB0">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8人</w:t>
                  </w:r>
                </w:p>
              </w:tc>
              <w:tc>
                <w:tcPr>
                  <w:tcW w:w="627" w:type="pct"/>
                  <w:vAlign w:val="center"/>
                </w:tcPr>
                <w:p w14:paraId="3AF75391">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90</w:t>
                  </w:r>
                  <w:r>
                    <w:rPr>
                      <w:rFonts w:hint="eastAsia" w:asciiTheme="minorEastAsia" w:hAnsiTheme="minorEastAsia" w:eastAsiaTheme="minorEastAsia" w:cstheme="minorEastAsia"/>
                      <w:color w:val="auto"/>
                      <w:sz w:val="21"/>
                      <w:szCs w:val="21"/>
                    </w:rPr>
                    <w:t>L/</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人·d</w:t>
                  </w:r>
                  <w:r>
                    <w:rPr>
                      <w:rFonts w:hint="eastAsia" w:asciiTheme="minorEastAsia" w:hAnsiTheme="minorEastAsia" w:eastAsiaTheme="minorEastAsia" w:cstheme="minorEastAsia"/>
                      <w:color w:val="auto"/>
                      <w:sz w:val="21"/>
                      <w:szCs w:val="21"/>
                      <w:lang w:eastAsia="zh-CN"/>
                    </w:rPr>
                    <w:t>）</w:t>
                  </w:r>
                </w:p>
              </w:tc>
              <w:tc>
                <w:tcPr>
                  <w:tcW w:w="509" w:type="pct"/>
                  <w:vAlign w:val="center"/>
                </w:tcPr>
                <w:p w14:paraId="2CE0854A">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200</w:t>
                  </w:r>
                </w:p>
              </w:tc>
              <w:tc>
                <w:tcPr>
                  <w:tcW w:w="633" w:type="pct"/>
                  <w:vAlign w:val="center"/>
                </w:tcPr>
                <w:p w14:paraId="0AA23FE0">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0.72</w:t>
                  </w:r>
                </w:p>
              </w:tc>
              <w:tc>
                <w:tcPr>
                  <w:tcW w:w="486" w:type="pct"/>
                  <w:vAlign w:val="center"/>
                </w:tcPr>
                <w:p w14:paraId="47F8DA67">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0</w:t>
                  </w:r>
                </w:p>
              </w:tc>
              <w:tc>
                <w:tcPr>
                  <w:tcW w:w="469" w:type="pct"/>
                  <w:vAlign w:val="center"/>
                </w:tcPr>
                <w:p w14:paraId="49E79811">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0.8</w:t>
                  </w:r>
                </w:p>
              </w:tc>
              <w:tc>
                <w:tcPr>
                  <w:tcW w:w="486" w:type="pct"/>
                  <w:vAlign w:val="center"/>
                </w:tcPr>
                <w:p w14:paraId="7AE6953F">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0.576</w:t>
                  </w:r>
                </w:p>
              </w:tc>
              <w:tc>
                <w:tcPr>
                  <w:tcW w:w="695" w:type="pct"/>
                  <w:vAlign w:val="center"/>
                </w:tcPr>
                <w:p w14:paraId="3013B957">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化粪池处理</w:t>
                  </w:r>
                </w:p>
              </w:tc>
            </w:tr>
            <w:tr w14:paraId="2989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61" w:type="pct"/>
                  <w:gridSpan w:val="2"/>
                  <w:vAlign w:val="center"/>
                </w:tcPr>
                <w:p w14:paraId="619360A3">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合计</w:t>
                  </w:r>
                </w:p>
              </w:tc>
              <w:tc>
                <w:tcPr>
                  <w:tcW w:w="230" w:type="pct"/>
                  <w:vAlign w:val="center"/>
                </w:tcPr>
                <w:p w14:paraId="0CE38A6E">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w:t>
                  </w:r>
                </w:p>
              </w:tc>
              <w:tc>
                <w:tcPr>
                  <w:tcW w:w="627" w:type="pct"/>
                  <w:vAlign w:val="center"/>
                </w:tcPr>
                <w:p w14:paraId="5F917EF0">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w:t>
                  </w:r>
                </w:p>
              </w:tc>
              <w:tc>
                <w:tcPr>
                  <w:tcW w:w="509" w:type="pct"/>
                  <w:vAlign w:val="center"/>
                </w:tcPr>
                <w:p w14:paraId="23DC83D1">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w:t>
                  </w:r>
                </w:p>
              </w:tc>
              <w:tc>
                <w:tcPr>
                  <w:tcW w:w="633" w:type="pct"/>
                  <w:vAlign w:val="center"/>
                </w:tcPr>
                <w:p w14:paraId="3C034895">
                  <w:pPr>
                    <w:spacing w:line="240" w:lineRule="auto"/>
                    <w:jc w:val="center"/>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50.411</w:t>
                  </w:r>
                </w:p>
              </w:tc>
              <w:tc>
                <w:tcPr>
                  <w:tcW w:w="486" w:type="pct"/>
                  <w:vAlign w:val="center"/>
                </w:tcPr>
                <w:p w14:paraId="7DAC8215">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0</w:t>
                  </w:r>
                </w:p>
              </w:tc>
              <w:tc>
                <w:tcPr>
                  <w:tcW w:w="469" w:type="pct"/>
                  <w:vAlign w:val="center"/>
                </w:tcPr>
                <w:p w14:paraId="542D8903">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w:t>
                  </w:r>
                </w:p>
              </w:tc>
              <w:tc>
                <w:tcPr>
                  <w:tcW w:w="486" w:type="pct"/>
                  <w:vAlign w:val="center"/>
                </w:tcPr>
                <w:p w14:paraId="6DA86FC3">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0.704</w:t>
                  </w:r>
                </w:p>
              </w:tc>
              <w:tc>
                <w:tcPr>
                  <w:tcW w:w="695" w:type="pct"/>
                  <w:vAlign w:val="center"/>
                </w:tcPr>
                <w:p w14:paraId="4A0777F0">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w:t>
                  </w:r>
                </w:p>
              </w:tc>
            </w:tr>
          </w:tbl>
          <w:p w14:paraId="5C6BF88E">
            <w:pPr>
              <w:keepNext w:val="0"/>
              <w:keepLines w:val="0"/>
              <w:widowControl/>
              <w:suppressLineNumbers w:val="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lang w:val="en-US" w:eastAsia="zh-CN"/>
              </w:rPr>
              <w:t xml:space="preserve"> 表4-11  </w:t>
            </w:r>
            <w:r>
              <w:rPr>
                <w:rFonts w:hint="eastAsia" w:asciiTheme="minorEastAsia" w:hAnsiTheme="minorEastAsia" w:eastAsiaTheme="minorEastAsia" w:cstheme="minorEastAsia"/>
                <w:b/>
                <w:bCs/>
                <w:color w:val="auto"/>
                <w:kern w:val="0"/>
                <w:sz w:val="24"/>
                <w:szCs w:val="24"/>
                <w:lang w:val="en-US" w:eastAsia="zh-CN" w:bidi="ar"/>
              </w:rPr>
              <w:t>项目生活污水污染物排预计产生及排放情况</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859"/>
              <w:gridCol w:w="546"/>
              <w:gridCol w:w="1044"/>
              <w:gridCol w:w="1131"/>
              <w:gridCol w:w="1135"/>
              <w:gridCol w:w="1040"/>
              <w:gridCol w:w="1234"/>
            </w:tblGrid>
            <w:tr w14:paraId="6D1B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85" w:type="pct"/>
                  <w:vAlign w:val="center"/>
                </w:tcPr>
                <w:p w14:paraId="0B116606">
                  <w:pPr>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污水类别</w:t>
                  </w:r>
                </w:p>
              </w:tc>
              <w:tc>
                <w:tcPr>
                  <w:tcW w:w="1004" w:type="pct"/>
                  <w:vAlign w:val="center"/>
                </w:tcPr>
                <w:p w14:paraId="48D27A4D">
                  <w:pPr>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项目</w:t>
                  </w:r>
                </w:p>
              </w:tc>
              <w:tc>
                <w:tcPr>
                  <w:tcW w:w="295" w:type="pct"/>
                  <w:vAlign w:val="center"/>
                </w:tcPr>
                <w:p w14:paraId="2761D240">
                  <w:pPr>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pH</w:t>
                  </w:r>
                </w:p>
              </w:tc>
              <w:tc>
                <w:tcPr>
                  <w:tcW w:w="564" w:type="pct"/>
                  <w:vAlign w:val="center"/>
                </w:tcPr>
                <w:p w14:paraId="4B7DEB2D">
                  <w:pPr>
                    <w:spacing w:line="240" w:lineRule="auto"/>
                    <w:jc w:val="center"/>
                    <w:rPr>
                      <w:rFonts w:hint="eastAsia" w:asciiTheme="minorEastAsia" w:hAnsiTheme="minorEastAsia" w:eastAsiaTheme="minorEastAsia" w:cstheme="minorEastAsia"/>
                      <w:b/>
                      <w:bCs/>
                      <w:color w:val="auto"/>
                      <w:sz w:val="21"/>
                      <w:szCs w:val="21"/>
                      <w:vertAlign w:val="subscript"/>
                      <w:lang w:val="en-US" w:eastAsia="zh-CN"/>
                    </w:rPr>
                  </w:pPr>
                  <w:r>
                    <w:rPr>
                      <w:rFonts w:hint="eastAsia" w:asciiTheme="minorEastAsia" w:hAnsiTheme="minorEastAsia" w:eastAsiaTheme="minorEastAsia" w:cstheme="minorEastAsia"/>
                      <w:b/>
                      <w:bCs/>
                      <w:color w:val="auto"/>
                      <w:sz w:val="21"/>
                      <w:szCs w:val="21"/>
                      <w:vertAlign w:val="baseline"/>
                      <w:lang w:val="en-US" w:eastAsia="zh-CN"/>
                    </w:rPr>
                    <w:t>COD</w:t>
                  </w:r>
                  <w:r>
                    <w:rPr>
                      <w:rFonts w:hint="eastAsia" w:asciiTheme="minorEastAsia" w:hAnsiTheme="minorEastAsia" w:eastAsiaTheme="minorEastAsia" w:cstheme="minorEastAsia"/>
                      <w:b/>
                      <w:bCs/>
                      <w:color w:val="auto"/>
                      <w:sz w:val="21"/>
                      <w:szCs w:val="21"/>
                      <w:vertAlign w:val="subscript"/>
                      <w:lang w:val="en-US" w:eastAsia="zh-CN"/>
                    </w:rPr>
                    <w:t>Cr</w:t>
                  </w:r>
                </w:p>
              </w:tc>
              <w:tc>
                <w:tcPr>
                  <w:tcW w:w="611" w:type="pct"/>
                  <w:vAlign w:val="center"/>
                </w:tcPr>
                <w:p w14:paraId="73C73D3C">
                  <w:pPr>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SS</w:t>
                  </w:r>
                </w:p>
              </w:tc>
              <w:tc>
                <w:tcPr>
                  <w:tcW w:w="613" w:type="pct"/>
                  <w:vAlign w:val="center"/>
                </w:tcPr>
                <w:p w14:paraId="08D24BC9">
                  <w:pPr>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NH</w:t>
                  </w:r>
                  <w:r>
                    <w:rPr>
                      <w:rFonts w:hint="eastAsia" w:asciiTheme="minorEastAsia" w:hAnsiTheme="minorEastAsia" w:eastAsiaTheme="minorEastAsia" w:cstheme="minorEastAsia"/>
                      <w:b/>
                      <w:bCs/>
                      <w:color w:val="auto"/>
                      <w:sz w:val="21"/>
                      <w:szCs w:val="21"/>
                      <w:vertAlign w:val="subscript"/>
                      <w:lang w:val="en-US" w:eastAsia="zh-CN"/>
                    </w:rPr>
                    <w:t>3</w:t>
                  </w:r>
                  <w:r>
                    <w:rPr>
                      <w:rFonts w:hint="eastAsia" w:asciiTheme="minorEastAsia" w:hAnsiTheme="minorEastAsia" w:eastAsiaTheme="minorEastAsia" w:cstheme="minorEastAsia"/>
                      <w:b/>
                      <w:bCs/>
                      <w:color w:val="auto"/>
                      <w:sz w:val="21"/>
                      <w:szCs w:val="21"/>
                      <w:vertAlign w:val="baseline"/>
                      <w:lang w:val="en-US" w:eastAsia="zh-CN"/>
                    </w:rPr>
                    <w:t>-N</w:t>
                  </w:r>
                </w:p>
              </w:tc>
              <w:tc>
                <w:tcPr>
                  <w:tcW w:w="561" w:type="pct"/>
                  <w:vAlign w:val="center"/>
                </w:tcPr>
                <w:p w14:paraId="0DFF55E6">
                  <w:pPr>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TP</w:t>
                  </w:r>
                </w:p>
              </w:tc>
              <w:tc>
                <w:tcPr>
                  <w:tcW w:w="664" w:type="pct"/>
                  <w:vAlign w:val="center"/>
                </w:tcPr>
                <w:p w14:paraId="7B261167">
                  <w:pPr>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动植物油</w:t>
                  </w:r>
                </w:p>
              </w:tc>
            </w:tr>
            <w:tr w14:paraId="44FD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685" w:type="pct"/>
                  <w:vMerge w:val="restart"/>
                  <w:vAlign w:val="center"/>
                </w:tcPr>
                <w:p w14:paraId="6F9A4663">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废水量（</w:t>
                  </w:r>
                  <w:r>
                    <w:rPr>
                      <w:rFonts w:hint="eastAsia" w:asciiTheme="minorEastAsia" w:hAnsiTheme="minorEastAsia" w:eastAsiaTheme="minorEastAsia" w:cstheme="minorEastAsia"/>
                      <w:color w:val="auto"/>
                      <w:sz w:val="21"/>
                      <w:szCs w:val="21"/>
                      <w:lang w:val="en-US" w:eastAsia="zh-CN"/>
                    </w:rPr>
                    <w:t>140.8</w:t>
                  </w:r>
                  <w:r>
                    <w:rPr>
                      <w:rFonts w:hint="eastAsia" w:asciiTheme="minorEastAsia" w:hAnsiTheme="minorEastAsia" w:eastAsiaTheme="minorEastAsia" w:cstheme="minorEastAsia"/>
                      <w:color w:val="auto"/>
                      <w:sz w:val="21"/>
                      <w:szCs w:val="21"/>
                    </w:rPr>
                    <w:t>m</w:t>
                  </w:r>
                  <w:r>
                    <w:rPr>
                      <w:rFonts w:hint="eastAsia" w:asciiTheme="minorEastAsia" w:hAnsiTheme="minorEastAsia" w:eastAsiaTheme="minorEastAsia" w:cstheme="minorEastAsia"/>
                      <w:color w:val="auto"/>
                      <w:sz w:val="21"/>
                      <w:szCs w:val="21"/>
                      <w:vertAlign w:val="superscript"/>
                    </w:rPr>
                    <w:t>3</w:t>
                  </w:r>
                  <w:r>
                    <w:rPr>
                      <w:rFonts w:hint="eastAsia" w:asciiTheme="minorEastAsia" w:hAnsiTheme="minorEastAsia" w:eastAsiaTheme="minorEastAsia" w:cstheme="minorEastAsia"/>
                      <w:color w:val="auto"/>
                      <w:sz w:val="21"/>
                      <w:szCs w:val="21"/>
                    </w:rPr>
                    <w:t>/a</w:t>
                  </w:r>
                  <w:r>
                    <w:rPr>
                      <w:rFonts w:hint="eastAsia" w:asciiTheme="minorEastAsia" w:hAnsiTheme="minorEastAsia" w:eastAsiaTheme="minorEastAsia" w:cstheme="minorEastAsia"/>
                      <w:color w:val="auto"/>
                      <w:sz w:val="21"/>
                      <w:szCs w:val="21"/>
                      <w:vertAlign w:val="baseline"/>
                      <w:lang w:val="en-US" w:eastAsia="zh-CN"/>
                    </w:rPr>
                    <w:t>）</w:t>
                  </w:r>
                </w:p>
              </w:tc>
              <w:tc>
                <w:tcPr>
                  <w:tcW w:w="1004" w:type="pct"/>
                  <w:vAlign w:val="center"/>
                </w:tcPr>
                <w:p w14:paraId="14B25A5C">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产生浓度（mg/L）</w:t>
                  </w:r>
                </w:p>
              </w:tc>
              <w:tc>
                <w:tcPr>
                  <w:tcW w:w="295" w:type="pct"/>
                  <w:vAlign w:val="center"/>
                </w:tcPr>
                <w:p w14:paraId="7D30438C">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6-9</w:t>
                  </w:r>
                </w:p>
              </w:tc>
              <w:tc>
                <w:tcPr>
                  <w:tcW w:w="564" w:type="pct"/>
                  <w:vAlign w:val="center"/>
                </w:tcPr>
                <w:p w14:paraId="67F521E7">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440</w:t>
                  </w:r>
                </w:p>
              </w:tc>
              <w:tc>
                <w:tcPr>
                  <w:tcW w:w="611" w:type="pct"/>
                  <w:vAlign w:val="center"/>
                </w:tcPr>
                <w:p w14:paraId="7012644E">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190</w:t>
                  </w:r>
                </w:p>
              </w:tc>
              <w:tc>
                <w:tcPr>
                  <w:tcW w:w="613" w:type="pct"/>
                  <w:vAlign w:val="center"/>
                </w:tcPr>
                <w:p w14:paraId="6CBAA4FF">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44</w:t>
                  </w:r>
                </w:p>
              </w:tc>
              <w:tc>
                <w:tcPr>
                  <w:tcW w:w="561" w:type="pct"/>
                  <w:vAlign w:val="center"/>
                </w:tcPr>
                <w:p w14:paraId="7B18C59A">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6.06</w:t>
                  </w:r>
                </w:p>
              </w:tc>
              <w:tc>
                <w:tcPr>
                  <w:tcW w:w="664" w:type="pct"/>
                  <w:vAlign w:val="center"/>
                </w:tcPr>
                <w:p w14:paraId="5FCF382B">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9.32</w:t>
                  </w:r>
                </w:p>
              </w:tc>
            </w:tr>
            <w:tr w14:paraId="2432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685" w:type="pct"/>
                  <w:vMerge w:val="continue"/>
                  <w:vAlign w:val="center"/>
                </w:tcPr>
                <w:p w14:paraId="0A1C6BAA">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p>
              </w:tc>
              <w:tc>
                <w:tcPr>
                  <w:tcW w:w="1004" w:type="pct"/>
                  <w:vAlign w:val="center"/>
                </w:tcPr>
                <w:p w14:paraId="6E14E7F3">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产生量（t/a）</w:t>
                  </w:r>
                </w:p>
              </w:tc>
              <w:tc>
                <w:tcPr>
                  <w:tcW w:w="295" w:type="pct"/>
                  <w:vAlign w:val="center"/>
                </w:tcPr>
                <w:p w14:paraId="08EF144E">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w:t>
                  </w:r>
                </w:p>
              </w:tc>
              <w:tc>
                <w:tcPr>
                  <w:tcW w:w="564" w:type="pct"/>
                  <w:vAlign w:val="center"/>
                </w:tcPr>
                <w:p w14:paraId="1B2375F8">
                  <w:pPr>
                    <w:spacing w:line="240" w:lineRule="auto"/>
                    <w:jc w:val="center"/>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0.619</w:t>
                  </w:r>
                </w:p>
              </w:tc>
              <w:tc>
                <w:tcPr>
                  <w:tcW w:w="611" w:type="pct"/>
                  <w:vAlign w:val="center"/>
                </w:tcPr>
                <w:p w14:paraId="2B373AE5">
                  <w:pPr>
                    <w:spacing w:line="240" w:lineRule="auto"/>
                    <w:jc w:val="center"/>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0.0267</w:t>
                  </w:r>
                </w:p>
              </w:tc>
              <w:tc>
                <w:tcPr>
                  <w:tcW w:w="613" w:type="pct"/>
                  <w:vAlign w:val="center"/>
                </w:tcPr>
                <w:p w14:paraId="0A326BC1">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0.0079</w:t>
                  </w:r>
                </w:p>
              </w:tc>
              <w:tc>
                <w:tcPr>
                  <w:tcW w:w="561" w:type="pct"/>
                  <w:vAlign w:val="center"/>
                </w:tcPr>
                <w:p w14:paraId="78E347B9">
                  <w:pPr>
                    <w:spacing w:line="240" w:lineRule="auto"/>
                    <w:jc w:val="center"/>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0.00085</w:t>
                  </w:r>
                </w:p>
              </w:tc>
              <w:tc>
                <w:tcPr>
                  <w:tcW w:w="664" w:type="pct"/>
                  <w:vAlign w:val="center"/>
                </w:tcPr>
                <w:p w14:paraId="180EAE15">
                  <w:pPr>
                    <w:spacing w:line="240" w:lineRule="auto"/>
                    <w:jc w:val="center"/>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0.0013</w:t>
                  </w:r>
                </w:p>
              </w:tc>
            </w:tr>
            <w:tr w14:paraId="7C51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5" w:type="pct"/>
                  <w:vMerge w:val="continue"/>
                  <w:vAlign w:val="center"/>
                </w:tcPr>
                <w:p w14:paraId="7E9BB211">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p>
              </w:tc>
              <w:tc>
                <w:tcPr>
                  <w:tcW w:w="1004" w:type="pct"/>
                  <w:vAlign w:val="center"/>
                </w:tcPr>
                <w:p w14:paraId="7849B3E4">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排放情况</w:t>
                  </w:r>
                </w:p>
              </w:tc>
              <w:tc>
                <w:tcPr>
                  <w:tcW w:w="3310" w:type="pct"/>
                  <w:gridSpan w:val="6"/>
                  <w:vAlign w:val="center"/>
                </w:tcPr>
                <w:p w14:paraId="497F7ED9">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eastAsia="zh-CN"/>
                    </w:rPr>
                    <w:t>餐饮废水经</w:t>
                  </w:r>
                  <w:r>
                    <w:rPr>
                      <w:rFonts w:hint="eastAsia" w:asciiTheme="minorEastAsia" w:hAnsiTheme="minorEastAsia" w:eastAsiaTheme="minorEastAsia" w:cstheme="minorEastAsia"/>
                      <w:color w:val="auto"/>
                      <w:sz w:val="21"/>
                      <w:szCs w:val="21"/>
                      <w:vertAlign w:val="baseline"/>
                      <w:lang w:val="en-US" w:eastAsia="zh-CN"/>
                    </w:rPr>
                    <w:t>油水分离器预处理后同办公、生活污水经</w:t>
                  </w:r>
                  <w:r>
                    <w:rPr>
                      <w:rFonts w:hint="eastAsia" w:asciiTheme="minorEastAsia" w:hAnsiTheme="minorEastAsia" w:eastAsiaTheme="minorEastAsia" w:cstheme="minorEastAsia"/>
                      <w:color w:val="auto"/>
                      <w:sz w:val="21"/>
                      <w:szCs w:val="21"/>
                    </w:rPr>
                    <w:t>化粪池处理后委托周边村民进行清掏用作农肥</w:t>
                  </w:r>
                </w:p>
              </w:tc>
            </w:tr>
          </w:tbl>
          <w:p w14:paraId="3BDED5B1">
            <w:pPr>
              <w:pStyle w:val="54"/>
              <w:ind w:left="0" w:leftChars="0" w:firstLine="0" w:firstLineChars="0"/>
              <w:rPr>
                <w:rFonts w:hint="default"/>
                <w:color w:val="auto"/>
                <w:lang w:val="en-US" w:eastAsia="zh-CN"/>
              </w:rPr>
            </w:pPr>
            <w:r>
              <w:rPr>
                <w:rFonts w:hint="default" w:ascii="Times New Roman" w:hAnsi="Times New Roman" w:eastAsia="宋体" w:cs="Times New Roman"/>
                <w:color w:val="auto"/>
                <w:highlight w:val="none"/>
              </w:rPr>
              <mc:AlternateContent>
                <mc:Choice Requires="wps">
                  <w:drawing>
                    <wp:anchor distT="0" distB="0" distL="114300" distR="114300" simplePos="0" relativeHeight="251685888" behindDoc="0" locked="0" layoutInCell="1" allowOverlap="1">
                      <wp:simplePos x="0" y="0"/>
                      <wp:positionH relativeFrom="column">
                        <wp:posOffset>2478405</wp:posOffset>
                      </wp:positionH>
                      <wp:positionV relativeFrom="paragraph">
                        <wp:posOffset>4445</wp:posOffset>
                      </wp:positionV>
                      <wp:extent cx="652145" cy="327660"/>
                      <wp:effectExtent l="0" t="0" r="0" b="0"/>
                      <wp:wrapNone/>
                      <wp:docPr id="68" name="矩形 68"/>
                      <wp:cNvGraphicFramePr/>
                      <a:graphic xmlns:a="http://schemas.openxmlformats.org/drawingml/2006/main">
                        <a:graphicData uri="http://schemas.microsoft.com/office/word/2010/wordprocessingShape">
                          <wps:wsp>
                            <wps:cNvSpPr/>
                            <wps:spPr>
                              <a:xfrm>
                                <a:off x="0" y="0"/>
                                <a:ext cx="652145" cy="327660"/>
                              </a:xfrm>
                              <a:prstGeom prst="rect">
                                <a:avLst/>
                              </a:prstGeom>
                              <a:noFill/>
                              <a:ln>
                                <a:noFill/>
                              </a:ln>
                              <a:effectLst/>
                            </wps:spPr>
                            <wps:txbx>
                              <w:txbxContent>
                                <w:p w14:paraId="67972159">
                                  <w:pPr>
                                    <w:ind w:left="0" w:leftChars="0" w:right="0" w:rightChars="0" w:firstLine="0" w:firstLineChars="0"/>
                                    <w:jc w:val="center"/>
                                    <w:rPr>
                                      <w:rFonts w:hint="default" w:ascii="宋体" w:hAnsi="宋体" w:eastAsia="宋体" w:cs="宋体"/>
                                      <w:sz w:val="21"/>
                                      <w:u w:val="none" w:color="auto"/>
                                      <w:lang w:val="en-US" w:eastAsia="zh-CN"/>
                                    </w:rPr>
                                  </w:pPr>
                                  <w:r>
                                    <w:rPr>
                                      <w:rFonts w:hint="eastAsia" w:ascii="宋体" w:hAnsi="宋体" w:eastAsia="宋体" w:cs="宋体"/>
                                      <w:sz w:val="21"/>
                                      <w:u w:val="none" w:color="auto"/>
                                      <w:lang w:val="en-US" w:eastAsia="zh-CN"/>
                                    </w:rPr>
                                    <w:t>0.032</w:t>
                                  </w:r>
                                </w:p>
                              </w:txbxContent>
                            </wps:txbx>
                            <wps:bodyPr upright="1"/>
                          </wps:wsp>
                        </a:graphicData>
                      </a:graphic>
                    </wp:anchor>
                  </w:drawing>
                </mc:Choice>
                <mc:Fallback>
                  <w:pict>
                    <v:rect id="_x0000_s1026" o:spid="_x0000_s1026" o:spt="1" style="position:absolute;left:0pt;margin-left:195.15pt;margin-top:0.35pt;height:25.8pt;width:51.35pt;z-index:251685888;mso-width-relative:page;mso-height-relative:page;" filled="f" stroked="f" coordsize="21600,21600" o:gfxdata="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o69prZAAAABwEA&#10;AA8AAAAAAAAAAQAgAAAAIgAAAGRycy9kb3ducmV2LnhtbFBLAQIUABQAAAAIAIdO4kCz+kbNpwEA&#10;AFADAAAOAAAAAAAAAAEAIAAAACgBAABkcnMvZTJvRG9jLnhtbFBLBQYAAAAABgAGAFkBAABBBQAA&#10;AAA=&#10;">
                      <v:fill on="f" focussize="0,0"/>
                      <v:stroke on="f"/>
                      <v:imagedata o:title=""/>
                      <o:lock v:ext="edit" aspectratio="f"/>
                      <v:textbox>
                        <w:txbxContent>
                          <w:p w14:paraId="67972159">
                            <w:pPr>
                              <w:ind w:left="0" w:leftChars="0" w:right="0" w:rightChars="0" w:firstLine="0" w:firstLineChars="0"/>
                              <w:jc w:val="center"/>
                              <w:rPr>
                                <w:rFonts w:hint="default" w:ascii="宋体" w:hAnsi="宋体" w:eastAsia="宋体" w:cs="宋体"/>
                                <w:sz w:val="21"/>
                                <w:u w:val="none" w:color="auto"/>
                                <w:lang w:val="en-US" w:eastAsia="zh-CN"/>
                              </w:rPr>
                            </w:pPr>
                            <w:r>
                              <w:rPr>
                                <w:rFonts w:hint="eastAsia" w:ascii="宋体" w:hAnsi="宋体" w:eastAsia="宋体" w:cs="宋体"/>
                                <w:sz w:val="21"/>
                                <w:u w:val="none" w:color="auto"/>
                                <w:lang w:val="en-US" w:eastAsia="zh-CN"/>
                              </w:rPr>
                              <w:t>0.032</w:t>
                            </w:r>
                          </w:p>
                        </w:txbxContent>
                      </v:textbox>
                    </v:rect>
                  </w:pict>
                </mc:Fallback>
              </mc:AlternateContent>
            </w:r>
            <w:r>
              <w:rPr>
                <w:rFonts w:hint="default" w:ascii="Times New Roman" w:hAnsi="Times New Roman" w:eastAsia="宋体" w:cs="Times New Roman"/>
                <w:color w:val="auto"/>
                <w:highlight w:val="none"/>
              </w:rPr>
              <mc:AlternateContent>
                <mc:Choice Requires="wps">
                  <w:drawing>
                    <wp:anchor distT="0" distB="0" distL="114300" distR="114300" simplePos="0" relativeHeight="251699200" behindDoc="0" locked="0" layoutInCell="1" allowOverlap="1">
                      <wp:simplePos x="0" y="0"/>
                      <wp:positionH relativeFrom="column">
                        <wp:posOffset>2175510</wp:posOffset>
                      </wp:positionH>
                      <wp:positionV relativeFrom="paragraph">
                        <wp:posOffset>187960</wp:posOffset>
                      </wp:positionV>
                      <wp:extent cx="352425" cy="160655"/>
                      <wp:effectExtent l="1905" t="3175" r="7620" b="7620"/>
                      <wp:wrapNone/>
                      <wp:docPr id="65" name="直接连接符 65"/>
                      <wp:cNvGraphicFramePr/>
                      <a:graphic xmlns:a="http://schemas.openxmlformats.org/drawingml/2006/main">
                        <a:graphicData uri="http://schemas.microsoft.com/office/word/2010/wordprocessingShape">
                          <wps:wsp>
                            <wps:cNvCnPr/>
                            <wps:spPr>
                              <a:xfrm flipV="1">
                                <a:off x="0" y="0"/>
                                <a:ext cx="352425" cy="160655"/>
                              </a:xfrm>
                              <a:prstGeom prst="line">
                                <a:avLst/>
                              </a:prstGeom>
                              <a:ln w="9525" cap="flat" cmpd="sng">
                                <a:solidFill>
                                  <a:srgbClr val="000000"/>
                                </a:solidFill>
                                <a:prstDash val="sysDot"/>
                                <a:headEnd type="none" w="med" len="med"/>
                                <a:tailEnd type="triangle" w="med" len="med"/>
                              </a:ln>
                              <a:effectLst/>
                            </wps:spPr>
                            <wps:bodyPr upright="1"/>
                          </wps:wsp>
                        </a:graphicData>
                      </a:graphic>
                    </wp:anchor>
                  </w:drawing>
                </mc:Choice>
                <mc:Fallback>
                  <w:pict>
                    <v:line id="_x0000_s1026" o:spid="_x0000_s1026" o:spt="20" style="position:absolute;left:0pt;flip:y;margin-left:171.3pt;margin-top:14.8pt;height:12.65pt;width:27.75pt;z-index:251699200;mso-width-relative:page;mso-height-relative:page;" filled="f" stroked="t" coordsize="21600,21600" o:gfxdata="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ALJKG2wAAAAkBAAAPAAAAAAAA&#10;AAEAIAAAACIAAABkcnMvZG93bnJldi54bWxQSwECFAAUAAAACACHTuJA5gfzVQ8CAAAHBAAADgAA&#10;AAAAAAABACAAAAAqAQAAZHJzL2Uyb0RvYy54bWxQSwUGAAAAAAYABgBZAQAAqwUAAAAA&#10;">
                      <v:fill on="f" focussize="0,0"/>
                      <v:stroke color="#000000" joinstyle="round" dashstyle="1 1" endarrow="block"/>
                      <v:imagedata o:title=""/>
                      <o:lock v:ext="edit" aspectratio="f"/>
                    </v:line>
                  </w:pict>
                </mc:Fallback>
              </mc:AlternateContent>
            </w:r>
            <w:r>
              <w:rPr>
                <w:rFonts w:hint="eastAsia"/>
                <w:color w:val="auto"/>
                <w:lang w:val="en-US" w:eastAsia="zh-CN"/>
              </w:rPr>
              <w:t xml:space="preserve">      </w:t>
            </w:r>
          </w:p>
          <w:p w14:paraId="09E39292">
            <w:pPr>
              <w:pStyle w:val="54"/>
              <w:ind w:left="0" w:leftChars="0" w:firstLine="0" w:firstLineChars="0"/>
              <w:rPr>
                <w:rFonts w:hint="eastAsia"/>
                <w:color w:val="auto"/>
                <w:lang w:val="en-US" w:eastAsia="zh-CN"/>
              </w:rPr>
            </w:pPr>
            <w:r>
              <w:rPr>
                <w:rFonts w:hint="default" w:ascii="Times New Roman" w:hAnsi="Times New Roman" w:eastAsia="宋体" w:cs="Times New Roman"/>
                <w:color w:val="auto"/>
                <w:highlight w:val="none"/>
              </w:rPr>
              <mc:AlternateContent>
                <mc:Choice Requires="wps">
                  <w:drawing>
                    <wp:anchor distT="0" distB="0" distL="114300" distR="114300" simplePos="0" relativeHeight="251697152" behindDoc="0" locked="0" layoutInCell="1" allowOverlap="1">
                      <wp:simplePos x="0" y="0"/>
                      <wp:positionH relativeFrom="column">
                        <wp:posOffset>1888490</wp:posOffset>
                      </wp:positionH>
                      <wp:positionV relativeFrom="paragraph">
                        <wp:posOffset>179070</wp:posOffset>
                      </wp:positionV>
                      <wp:extent cx="768350" cy="337185"/>
                      <wp:effectExtent l="4445" t="4445" r="8255" b="20320"/>
                      <wp:wrapNone/>
                      <wp:docPr id="83" name="矩形 83"/>
                      <wp:cNvGraphicFramePr/>
                      <a:graphic xmlns:a="http://schemas.openxmlformats.org/drawingml/2006/main">
                        <a:graphicData uri="http://schemas.microsoft.com/office/word/2010/wordprocessingShape">
                          <wps:wsp>
                            <wps:cNvSpPr/>
                            <wps:spPr>
                              <a:xfrm>
                                <a:off x="0" y="0"/>
                                <a:ext cx="768350" cy="337185"/>
                              </a:xfrm>
                              <a:prstGeom prst="rect">
                                <a:avLst/>
                              </a:prstGeom>
                              <a:noFill/>
                              <a:ln w="9525" cap="flat" cmpd="sng">
                                <a:solidFill>
                                  <a:srgbClr val="000000"/>
                                </a:solidFill>
                                <a:prstDash val="solid"/>
                                <a:miter/>
                                <a:headEnd type="none" w="med" len="med"/>
                                <a:tailEnd type="none" w="med" len="med"/>
                              </a:ln>
                              <a:effectLst/>
                            </wps:spPr>
                            <wps:txbx>
                              <w:txbxContent>
                                <w:p w14:paraId="08CC9B14">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食堂</w:t>
                                  </w:r>
                                </w:p>
                              </w:txbxContent>
                            </wps:txbx>
                            <wps:bodyPr upright="1"/>
                          </wps:wsp>
                        </a:graphicData>
                      </a:graphic>
                    </wp:anchor>
                  </w:drawing>
                </mc:Choice>
                <mc:Fallback>
                  <w:pict>
                    <v:rect id="_x0000_s1026" o:spid="_x0000_s1026" o:spt="1" style="position:absolute;left:0pt;margin-left:148.7pt;margin-top:14.1pt;height:26.55pt;width:60.5pt;z-index:251697152;mso-width-relative:page;mso-height-relative:page;" filled="f" stroked="t" coordsize="21600,21600" o:gfxdata="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mn71j1wAAAAkBAAAPAAAAAAAAAAEAIAAAACIAAABkcnMvZG93&#10;bnJldi54bWxQSwECFAAUAAAACACHTuJA1GIWGQECAAAPBAAADgAAAAAAAAABACAAAAAmAQAAZHJz&#10;L2Uyb0RvYy54bWxQSwUGAAAAAAYABgBZAQAAmQUAAAAA&#10;">
                      <v:fill on="f" focussize="0,0"/>
                      <v:stroke color="#000000" joinstyle="miter"/>
                      <v:imagedata o:title=""/>
                      <o:lock v:ext="edit" aspectratio="f"/>
                      <v:textbox>
                        <w:txbxContent>
                          <w:p w14:paraId="08CC9B14">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食堂</w:t>
                            </w:r>
                          </w:p>
                        </w:txbxContent>
                      </v:textbox>
                    </v:rect>
                  </w:pict>
                </mc:Fallback>
              </mc:AlternateContent>
            </w:r>
            <w:r>
              <w:rPr>
                <w:rFonts w:hint="default" w:ascii="Times New Roman" w:hAnsi="Times New Roman" w:eastAsia="宋体" w:cs="Times New Roman"/>
                <w:color w:val="auto"/>
                <w:highlight w:val="none"/>
              </w:rPr>
              <mc:AlternateContent>
                <mc:Choice Requires="wps">
                  <w:drawing>
                    <wp:anchor distT="0" distB="0" distL="114300" distR="114300" simplePos="0" relativeHeight="251698176" behindDoc="0" locked="0" layoutInCell="1" allowOverlap="1">
                      <wp:simplePos x="0" y="0"/>
                      <wp:positionH relativeFrom="column">
                        <wp:posOffset>3204845</wp:posOffset>
                      </wp:positionH>
                      <wp:positionV relativeFrom="paragraph">
                        <wp:posOffset>136525</wp:posOffset>
                      </wp:positionV>
                      <wp:extent cx="906145" cy="356235"/>
                      <wp:effectExtent l="4445" t="4445" r="22860" b="20320"/>
                      <wp:wrapNone/>
                      <wp:docPr id="84" name="矩形 84"/>
                      <wp:cNvGraphicFramePr/>
                      <a:graphic xmlns:a="http://schemas.openxmlformats.org/drawingml/2006/main">
                        <a:graphicData uri="http://schemas.microsoft.com/office/word/2010/wordprocessingShape">
                          <wps:wsp>
                            <wps:cNvSpPr/>
                            <wps:spPr>
                              <a:xfrm>
                                <a:off x="0" y="0"/>
                                <a:ext cx="629920" cy="356235"/>
                              </a:xfrm>
                              <a:prstGeom prst="rect">
                                <a:avLst/>
                              </a:prstGeom>
                              <a:noFill/>
                              <a:ln w="9525" cap="flat" cmpd="sng">
                                <a:solidFill>
                                  <a:srgbClr val="000000"/>
                                </a:solidFill>
                                <a:prstDash val="solid"/>
                                <a:miter/>
                                <a:headEnd type="none" w="med" len="med"/>
                                <a:tailEnd type="none" w="med" len="med"/>
                              </a:ln>
                              <a:effectLst/>
                            </wps:spPr>
                            <wps:txbx>
                              <w:txbxContent>
                                <w:p w14:paraId="56D7B019">
                                  <w:pPr>
                                    <w:rPr>
                                      <w:rFonts w:hint="eastAsia"/>
                                      <w:sz w:val="21"/>
                                      <w:szCs w:val="21"/>
                                      <w:lang w:val="en-US" w:eastAsia="zh-CN"/>
                                    </w:rPr>
                                  </w:pPr>
                                  <w:r>
                                    <w:rPr>
                                      <w:rFonts w:hint="eastAsia" w:ascii="宋体" w:hAnsi="宋体" w:eastAsia="宋体" w:cs="宋体"/>
                                      <w:color w:val="auto"/>
                                      <w:sz w:val="21"/>
                                      <w:szCs w:val="21"/>
                                      <w:highlight w:val="none"/>
                                      <w:lang w:eastAsia="zh-CN"/>
                                    </w:rPr>
                                    <w:t>油水分离器</w:t>
                                  </w:r>
                                </w:p>
                              </w:txbxContent>
                            </wps:txbx>
                            <wps:bodyPr upright="1"/>
                          </wps:wsp>
                        </a:graphicData>
                      </a:graphic>
                    </wp:anchor>
                  </w:drawing>
                </mc:Choice>
                <mc:Fallback>
                  <w:pict>
                    <v:rect id="_x0000_s1026" o:spid="_x0000_s1026" o:spt="1" style="position:absolute;left:0pt;margin-left:252.35pt;margin-top:10.75pt;height:28.05pt;width:71.35pt;z-index:251698176;mso-width-relative:page;mso-height-relative:page;" filled="f" stroked="t" coordsize="21600,21600" o:gfxdata="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bQjY9gAAAAJAQAADwAAAAAAAAABACAAAAAiAAAAZHJzL2Rv&#10;d25yZXYueG1sUEsBAhQAFAAAAAgAh07iQItWeYEBAgAADwQAAA4AAAAAAAAAAQAgAAAAJwEAAGRy&#10;cy9lMm9Eb2MueG1sUEsFBgAAAAAGAAYAWQEAAJoFAAAAAA==&#10;">
                      <v:fill on="f" focussize="0,0"/>
                      <v:stroke color="#000000" joinstyle="miter"/>
                      <v:imagedata o:title=""/>
                      <o:lock v:ext="edit" aspectratio="f"/>
                      <v:textbox>
                        <w:txbxContent>
                          <w:p w14:paraId="56D7B019">
                            <w:pPr>
                              <w:rPr>
                                <w:rFonts w:hint="eastAsia"/>
                                <w:sz w:val="21"/>
                                <w:szCs w:val="21"/>
                                <w:lang w:val="en-US" w:eastAsia="zh-CN"/>
                              </w:rPr>
                            </w:pPr>
                            <w:r>
                              <w:rPr>
                                <w:rFonts w:hint="eastAsia" w:ascii="宋体" w:hAnsi="宋体" w:eastAsia="宋体" w:cs="宋体"/>
                                <w:color w:val="auto"/>
                                <w:sz w:val="21"/>
                                <w:szCs w:val="21"/>
                                <w:highlight w:val="none"/>
                                <w:lang w:eastAsia="zh-CN"/>
                              </w:rPr>
                              <w:t>油水分离器</w:t>
                            </w:r>
                          </w:p>
                        </w:txbxContent>
                      </v:textbox>
                    </v:rect>
                  </w:pict>
                </mc:Fallback>
              </mc:AlternateContent>
            </w:r>
          </w:p>
          <w:p w14:paraId="2361A64F">
            <w:pPr>
              <w:spacing w:line="360" w:lineRule="auto"/>
              <w:outlineLvl w:val="9"/>
              <w:rPr>
                <w:rFonts w:hint="eastAsia"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1435735</wp:posOffset>
                      </wp:positionH>
                      <wp:positionV relativeFrom="paragraph">
                        <wp:posOffset>206375</wp:posOffset>
                      </wp:positionV>
                      <wp:extent cx="42545" cy="3785235"/>
                      <wp:effectExtent l="4445" t="0" r="10160" b="5715"/>
                      <wp:wrapNone/>
                      <wp:docPr id="63" name="直接箭头连接符 63"/>
                      <wp:cNvGraphicFramePr/>
                      <a:graphic xmlns:a="http://schemas.openxmlformats.org/drawingml/2006/main">
                        <a:graphicData uri="http://schemas.microsoft.com/office/word/2010/wordprocessingShape">
                          <wps:wsp>
                            <wps:cNvCnPr>
                              <a:endCxn id="26" idx="0"/>
                            </wps:cNvCnPr>
                            <wps:spPr>
                              <a:xfrm>
                                <a:off x="0" y="0"/>
                                <a:ext cx="42545" cy="378523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113.05pt;margin-top:16.25pt;height:298.05pt;width:3.35pt;z-index:251671552;mso-width-relative:page;mso-height-relative:page;" filled="f" stroked="t" coordsize="21600,21600" o:gfxdata="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8KEKzYAAAACgEAAA8A&#10;AAAAAAAAAQAgAAAAIgAAAGRycy9kb3ducmV2LnhtbFBLAQIUABQAAAAIAIdO4kDAI5rrFwIAACQE&#10;AAAOAAAAAAAAAAEAIAAAACcBAABkcnMvZTJvRG9jLnhtbFBLBQYAAAAABgAGAFkBAACwBQAAAAA=&#10;">
                      <v:fill on="f" focussize="0,0"/>
                      <v:stroke color="#000000" joinstyle="round"/>
                      <v:imagedata o:title=""/>
                      <o:lock v:ext="edit" aspectratio="f"/>
                    </v:shape>
                  </w:pict>
                </mc:Fallback>
              </mc:AlternateContent>
            </w:r>
            <w:r>
              <w:rPr>
                <w:rFonts w:hint="default" w:ascii="Times New Roman" w:hAnsi="Times New Roman" w:eastAsia="宋体" w:cs="Times New Roman"/>
                <w:color w:val="auto"/>
                <w:highlight w:val="none"/>
              </w:rPr>
              <mc:AlternateContent>
                <mc:Choice Requires="wps">
                  <w:drawing>
                    <wp:anchor distT="0" distB="0" distL="114300" distR="114300" simplePos="0" relativeHeight="251682816" behindDoc="0" locked="0" layoutInCell="1" allowOverlap="1">
                      <wp:simplePos x="0" y="0"/>
                      <wp:positionH relativeFrom="column">
                        <wp:posOffset>2127250</wp:posOffset>
                      </wp:positionH>
                      <wp:positionV relativeFrom="paragraph">
                        <wp:posOffset>230505</wp:posOffset>
                      </wp:positionV>
                      <wp:extent cx="603885" cy="375285"/>
                      <wp:effectExtent l="0" t="0" r="0" b="0"/>
                      <wp:wrapNone/>
                      <wp:docPr id="67" name="矩形 67"/>
                      <wp:cNvGraphicFramePr/>
                      <a:graphic xmlns:a="http://schemas.openxmlformats.org/drawingml/2006/main">
                        <a:graphicData uri="http://schemas.microsoft.com/office/word/2010/wordprocessingShape">
                          <wps:wsp>
                            <wps:cNvSpPr/>
                            <wps:spPr>
                              <a:xfrm>
                                <a:off x="0" y="0"/>
                                <a:ext cx="490220" cy="375285"/>
                              </a:xfrm>
                              <a:prstGeom prst="rect">
                                <a:avLst/>
                              </a:prstGeom>
                              <a:noFill/>
                              <a:ln>
                                <a:noFill/>
                              </a:ln>
                              <a:effectLst/>
                            </wps:spPr>
                            <wps:txbx>
                              <w:txbxContent>
                                <w:p w14:paraId="748FF105">
                                  <w:pPr>
                                    <w:ind w:left="0" w:leftChars="0" w:right="0" w:rightChars="0" w:firstLine="0" w:firstLineChars="0"/>
                                    <w:jc w:val="center"/>
                                    <w:rPr>
                                      <w:rFonts w:hint="default" w:ascii="宋体" w:hAnsi="宋体" w:eastAsia="宋体" w:cs="宋体"/>
                                      <w:sz w:val="21"/>
                                      <w:u w:val="none" w:color="auto"/>
                                      <w:lang w:val="en-US" w:eastAsia="zh-CN"/>
                                    </w:rPr>
                                  </w:pPr>
                                  <w:r>
                                    <w:rPr>
                                      <w:rFonts w:hint="eastAsia" w:ascii="宋体" w:hAnsi="宋体" w:eastAsia="宋体" w:cs="宋体"/>
                                      <w:sz w:val="21"/>
                                      <w:u w:val="none" w:color="auto"/>
                                      <w:lang w:val="en-US" w:eastAsia="zh-CN"/>
                                    </w:rPr>
                                    <w:t>0.144</w:t>
                                  </w:r>
                                </w:p>
                              </w:txbxContent>
                            </wps:txbx>
                            <wps:bodyPr upright="1"/>
                          </wps:wsp>
                        </a:graphicData>
                      </a:graphic>
                    </wp:anchor>
                  </w:drawing>
                </mc:Choice>
                <mc:Fallback>
                  <w:pict>
                    <v:rect id="_x0000_s1026" o:spid="_x0000_s1026" o:spt="1" style="position:absolute;left:0pt;margin-left:167.5pt;margin-top:18.15pt;height:29.55pt;width:47.55pt;z-index:251682816;mso-width-relative:page;mso-height-relative:page;" filled="f" stroked="f" coordsize="21600,21600" o:gfxdata="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Mux/ldsAAAAJ&#10;AQAADwAAAAAAAAABACAAAAAiAAAAZHJzL2Rvd25yZXYueG1sUEsBAhQAFAAAAAgAh07iQIHIDXin&#10;AQAAUAMAAA4AAAAAAAAAAQAgAAAAKgEAAGRycy9lMm9Eb2MueG1sUEsFBgAAAAAGAAYAWQEAAEMF&#10;AAAAAA==&#10;">
                      <v:fill on="f" focussize="0,0"/>
                      <v:stroke on="f"/>
                      <v:imagedata o:title=""/>
                      <o:lock v:ext="edit" aspectratio="f"/>
                      <v:textbox>
                        <w:txbxContent>
                          <w:p w14:paraId="748FF105">
                            <w:pPr>
                              <w:ind w:left="0" w:leftChars="0" w:right="0" w:rightChars="0" w:firstLine="0" w:firstLineChars="0"/>
                              <w:jc w:val="center"/>
                              <w:rPr>
                                <w:rFonts w:hint="default" w:ascii="宋体" w:hAnsi="宋体" w:eastAsia="宋体" w:cs="宋体"/>
                                <w:sz w:val="21"/>
                                <w:u w:val="none" w:color="auto"/>
                                <w:lang w:val="en-US" w:eastAsia="zh-CN"/>
                              </w:rPr>
                            </w:pPr>
                            <w:r>
                              <w:rPr>
                                <w:rFonts w:hint="eastAsia" w:ascii="宋体" w:hAnsi="宋体" w:eastAsia="宋体" w:cs="宋体"/>
                                <w:sz w:val="21"/>
                                <w:u w:val="none" w:color="auto"/>
                                <w:lang w:val="en-US" w:eastAsia="zh-CN"/>
                              </w:rPr>
                              <w:t>0.144</w:t>
                            </w:r>
                          </w:p>
                        </w:txbxContent>
                      </v:textbox>
                    </v:rect>
                  </w:pict>
                </mc:Fallback>
              </mc:AlternateContent>
            </w:r>
            <w:r>
              <w:rPr>
                <w:rFonts w:hint="default" w:ascii="Times New Roman" w:hAnsi="Times New Roman" w:eastAsia="宋体" w:cs="Times New Roman"/>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1449070</wp:posOffset>
                      </wp:positionH>
                      <wp:positionV relativeFrom="paragraph">
                        <wp:posOffset>212090</wp:posOffset>
                      </wp:positionV>
                      <wp:extent cx="461010" cy="635"/>
                      <wp:effectExtent l="0" t="38100" r="15240" b="37465"/>
                      <wp:wrapNone/>
                      <wp:docPr id="61" name="直接连接符 61"/>
                      <wp:cNvGraphicFramePr/>
                      <a:graphic xmlns:a="http://schemas.openxmlformats.org/drawingml/2006/main">
                        <a:graphicData uri="http://schemas.microsoft.com/office/word/2010/wordprocessingShape">
                          <wps:wsp>
                            <wps:cNvCnPr/>
                            <wps:spPr>
                              <a:xfrm flipV="1">
                                <a:off x="0" y="0"/>
                                <a:ext cx="461010"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y;margin-left:114.1pt;margin-top:16.7pt;height:0.05pt;width:36.3pt;z-index:251672576;mso-width-relative:page;mso-height-relative:page;" filled="f" stroked="t" coordsize="21600,21600" o:gfxdata="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x7qB7YAAAACQEAAA8AAAAAAAAAAQAgAAAAIgAA&#10;AGRycy9kb3ducmV2LnhtbFBLAQIUABQAAAAIAIdO4kDUAVQ/CAIAAAMEAAAOAAAAAAAAAAEAIAAA&#10;ACcBAABkcnMvZTJvRG9jLnhtbFBLBQYAAAAABgAGAFkBAAChBQAAAAA=&#10;">
                      <v:fill on="f" focussize="0,0"/>
                      <v:stroke color="#000000" joinstyle="round" endarrow="block"/>
                      <v:imagedata o:title=""/>
                      <o:lock v:ext="edit" aspectratio="f"/>
                    </v:line>
                  </w:pict>
                </mc:Fallback>
              </mc:AlternateContent>
            </w:r>
            <w:r>
              <w:rPr>
                <w:rFonts w:hint="default" w:ascii="Times New Roman" w:hAnsi="Times New Roman" w:eastAsia="宋体" w:cs="Times New Roman"/>
                <w:color w:val="auto"/>
                <w:highlight w:val="none"/>
              </w:rPr>
              <mc:AlternateContent>
                <mc:Choice Requires="wps">
                  <w:drawing>
                    <wp:anchor distT="0" distB="0" distL="114300" distR="114300" simplePos="0" relativeHeight="251680768" behindDoc="0" locked="0" layoutInCell="1" allowOverlap="1">
                      <wp:simplePos x="0" y="0"/>
                      <wp:positionH relativeFrom="column">
                        <wp:posOffset>2678430</wp:posOffset>
                      </wp:positionH>
                      <wp:positionV relativeFrom="paragraph">
                        <wp:posOffset>222250</wp:posOffset>
                      </wp:positionV>
                      <wp:extent cx="461010" cy="635"/>
                      <wp:effectExtent l="0" t="38100" r="15240" b="37465"/>
                      <wp:wrapNone/>
                      <wp:docPr id="62" name="直接连接符 62"/>
                      <wp:cNvGraphicFramePr/>
                      <a:graphic xmlns:a="http://schemas.openxmlformats.org/drawingml/2006/main">
                        <a:graphicData uri="http://schemas.microsoft.com/office/word/2010/wordprocessingShape">
                          <wps:wsp>
                            <wps:cNvCnPr/>
                            <wps:spPr>
                              <a:xfrm flipV="1">
                                <a:off x="0" y="0"/>
                                <a:ext cx="461010"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y;margin-left:210.9pt;margin-top:17.5pt;height:0.05pt;width:36.3pt;z-index:251680768;mso-width-relative:page;mso-height-relative:page;" filled="f" stroked="t" coordsize="21600,21600" o:gfxdata="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4wOvv2QAAAAkBAAAPAAAAAAAAAAEAIAAAACIA&#10;AABkcnMvZG93bnJldi54bWxQSwECFAAUAAAACACHTuJALQhD5QgCAAADBAAADgAAAAAAAAABACAA&#10;AAAoAQAAZHJzL2Uyb0RvYy54bWxQSwUGAAAAAAYABgBZAQAAogUAAAAA&#10;">
                      <v:fill on="f" focussize="0,0"/>
                      <v:stroke color="#000000" joinstyle="round" endarrow="block"/>
                      <v:imagedata o:title=""/>
                      <o:lock v:ext="edit" aspectratio="f"/>
                    </v:line>
                  </w:pict>
                </mc:Fallback>
              </mc:AlternateContent>
            </w:r>
            <w:r>
              <w:rPr>
                <w:rFonts w:hint="default" w:ascii="Times New Roman" w:hAnsi="Times New Roman" w:eastAsia="宋体" w:cs="Times New Roman"/>
                <w:color w:val="auto"/>
                <w:highlight w:val="none"/>
              </w:rPr>
              <mc:AlternateContent>
                <mc:Choice Requires="wps">
                  <w:drawing>
                    <wp:anchor distT="0" distB="0" distL="114300" distR="114300" simplePos="0" relativeHeight="251679744" behindDoc="0" locked="0" layoutInCell="1" allowOverlap="1">
                      <wp:simplePos x="0" y="0"/>
                      <wp:positionH relativeFrom="column">
                        <wp:posOffset>3472180</wp:posOffset>
                      </wp:positionH>
                      <wp:positionV relativeFrom="paragraph">
                        <wp:posOffset>248285</wp:posOffset>
                      </wp:positionV>
                      <wp:extent cx="19685" cy="389890"/>
                      <wp:effectExtent l="34290" t="0" r="22225" b="10160"/>
                      <wp:wrapNone/>
                      <wp:docPr id="59" name="直接连接符 59"/>
                      <wp:cNvGraphicFramePr/>
                      <a:graphic xmlns:a="http://schemas.openxmlformats.org/drawingml/2006/main">
                        <a:graphicData uri="http://schemas.microsoft.com/office/word/2010/wordprocessingShape">
                          <wps:wsp>
                            <wps:cNvCnPr/>
                            <wps:spPr>
                              <a:xfrm flipH="1">
                                <a:off x="0" y="0"/>
                                <a:ext cx="19685" cy="38989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73.4pt;margin-top:19.55pt;height:30.7pt;width:1.55pt;z-index:251679744;mso-width-relative:page;mso-height-relative:page;" filled="f" stroked="t" coordsize="21600,21600" o:gfxdata="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LZZBfZAAAACgEAAA8AAAAAAAAAAQAg&#10;AAAAIgAAAGRycy9kb3ducmV2LnhtbFBLAQIUABQAAAAIAIdO4kDOW2sVDQIAAAUEAAAOAAAAAAAA&#10;AAEAIAAAACgBAABkcnMvZTJvRG9jLnhtbFBLBQYAAAAABgAGAFkBAACnBQAAAAA=&#10;">
                      <v:fill on="f" focussize="0,0"/>
                      <v:stroke color="#000000" joinstyle="round" endarrow="block"/>
                      <v:imagedata o:title=""/>
                      <o:lock v:ext="edit" aspectratio="f"/>
                    </v:line>
                  </w:pict>
                </mc:Fallback>
              </mc:AlternateContent>
            </w:r>
            <w:r>
              <w:rPr>
                <w:rFonts w:hint="eastAsia" w:ascii="Times New Roman" w:hAnsi="Times New Roman" w:eastAsia="宋体" w:cs="Times New Roman"/>
                <w:color w:val="auto"/>
                <w:sz w:val="24"/>
                <w:highlight w:val="none"/>
                <w:u w:val="none" w:color="auto"/>
                <w:lang w:val="en-US" w:eastAsia="zh-CN"/>
              </w:rPr>
              <w:t xml:space="preserve">               </w:t>
            </w:r>
            <w:r>
              <w:rPr>
                <w:rFonts w:hint="eastAsia" w:eastAsia="宋体" w:cs="Times New Roman"/>
                <w:color w:val="auto"/>
                <w:sz w:val="24"/>
                <w:highlight w:val="none"/>
                <w:u w:val="none" w:color="auto"/>
                <w:lang w:val="en-US" w:eastAsia="zh-CN"/>
              </w:rPr>
              <w:t xml:space="preserve">    </w:t>
            </w:r>
            <w:r>
              <w:rPr>
                <w:rFonts w:hint="eastAsia" w:ascii="Times New Roman" w:hAnsi="Times New Roman" w:eastAsia="宋体" w:cs="Times New Roman"/>
                <w:color w:val="auto"/>
                <w:sz w:val="24"/>
                <w:highlight w:val="none"/>
                <w:u w:val="none" w:color="auto"/>
                <w:lang w:val="en-US" w:eastAsia="zh-CN"/>
              </w:rPr>
              <w:t xml:space="preserve"> </w:t>
            </w:r>
            <w:r>
              <w:rPr>
                <w:rFonts w:hint="eastAsia" w:ascii="Times New Roman" w:hAnsi="Times New Roman" w:eastAsia="宋体" w:cs="Times New Roman"/>
                <w:color w:val="auto"/>
                <w:sz w:val="21"/>
                <w:szCs w:val="21"/>
                <w:highlight w:val="none"/>
                <w:u w:val="none" w:color="auto"/>
                <w:lang w:val="en-US" w:eastAsia="zh-CN"/>
              </w:rPr>
              <w:t>0.1</w:t>
            </w:r>
            <w:r>
              <w:rPr>
                <w:rFonts w:hint="eastAsia" w:eastAsia="宋体" w:cs="Times New Roman"/>
                <w:color w:val="auto"/>
                <w:sz w:val="21"/>
                <w:szCs w:val="21"/>
                <w:highlight w:val="none"/>
                <w:u w:val="none" w:color="auto"/>
                <w:lang w:val="en-US" w:eastAsia="zh-CN"/>
              </w:rPr>
              <w:t>6</w:t>
            </w:r>
            <w:r>
              <w:rPr>
                <w:rFonts w:hint="eastAsia" w:ascii="Times New Roman" w:hAnsi="Times New Roman" w:eastAsia="宋体" w:cs="Times New Roman"/>
                <w:color w:val="auto"/>
                <w:sz w:val="24"/>
                <w:highlight w:val="none"/>
                <w:u w:val="none" w:color="auto"/>
                <w:lang w:val="en-US" w:eastAsia="zh-CN"/>
              </w:rPr>
              <w:t xml:space="preserve">             </w:t>
            </w:r>
            <w:r>
              <w:rPr>
                <w:rFonts w:hint="eastAsia" w:ascii="宋体" w:hAnsi="宋体" w:eastAsia="宋体" w:cs="宋体"/>
                <w:color w:val="auto"/>
                <w:sz w:val="24"/>
                <w:highlight w:val="none"/>
                <w:u w:val="none" w:color="auto"/>
                <w:lang w:val="en-US" w:eastAsia="zh-CN"/>
              </w:rPr>
              <w:t xml:space="preserve"> </w:t>
            </w:r>
            <w:r>
              <w:rPr>
                <w:rFonts w:hint="eastAsia" w:ascii="宋体" w:hAnsi="宋体" w:eastAsia="宋体" w:cs="宋体"/>
                <w:color w:val="auto"/>
                <w:sz w:val="21"/>
                <w:szCs w:val="21"/>
                <w:highlight w:val="none"/>
                <w:u w:val="none" w:color="auto"/>
                <w:lang w:val="en-US" w:eastAsia="zh-CN"/>
              </w:rPr>
              <w:t xml:space="preserve">0.128 </w:t>
            </w:r>
            <w:r>
              <w:rPr>
                <w:rFonts w:hint="eastAsia" w:ascii="Times New Roman" w:hAnsi="Times New Roman" w:eastAsia="宋体" w:cs="Times New Roman"/>
                <w:color w:val="auto"/>
                <w:sz w:val="24"/>
                <w:highlight w:val="none"/>
                <w:u w:val="none" w:color="auto"/>
                <w:lang w:val="en-US" w:eastAsia="zh-CN"/>
              </w:rPr>
              <w:t xml:space="preserve">                       </w:t>
            </w:r>
          </w:p>
          <w:p w14:paraId="651AF473">
            <w:pPr>
              <w:spacing w:line="360" w:lineRule="auto"/>
              <w:outlineLvl w:val="9"/>
              <w:rPr>
                <w:rFonts w:hint="eastAsia" w:ascii="宋体" w:hAnsi="宋体" w:eastAsia="宋体" w:cs="宋体"/>
                <w:color w:val="auto"/>
                <w:sz w:val="24"/>
                <w:highlight w:val="none"/>
                <w:u w:val="none" w:color="auto"/>
                <w:lang w:val="en-US" w:eastAsia="zh-CN"/>
              </w:rPr>
            </w:pPr>
            <w:r>
              <w:rPr>
                <w:rFonts w:hint="default" w:ascii="Times New Roman" w:hAnsi="Times New Roman" w:eastAsia="宋体" w:cs="Times New Roman"/>
                <w:color w:val="auto"/>
                <w:highlight w:val="none"/>
              </w:rPr>
              <mc:AlternateContent>
                <mc:Choice Requires="wps">
                  <w:drawing>
                    <wp:anchor distT="0" distB="0" distL="114300" distR="114300" simplePos="0" relativeHeight="251681792" behindDoc="0" locked="0" layoutInCell="1" allowOverlap="1">
                      <wp:simplePos x="0" y="0"/>
                      <wp:positionH relativeFrom="column">
                        <wp:posOffset>4446270</wp:posOffset>
                      </wp:positionH>
                      <wp:positionV relativeFrom="paragraph">
                        <wp:posOffset>244475</wp:posOffset>
                      </wp:positionV>
                      <wp:extent cx="1333500" cy="654685"/>
                      <wp:effectExtent l="0" t="0" r="0" b="0"/>
                      <wp:wrapNone/>
                      <wp:docPr id="56" name="矩形 56"/>
                      <wp:cNvGraphicFramePr/>
                      <a:graphic xmlns:a="http://schemas.openxmlformats.org/drawingml/2006/main">
                        <a:graphicData uri="http://schemas.microsoft.com/office/word/2010/wordprocessingShape">
                          <wps:wsp>
                            <wps:cNvSpPr/>
                            <wps:spPr>
                              <a:xfrm>
                                <a:off x="0" y="0"/>
                                <a:ext cx="1333500" cy="654685"/>
                              </a:xfrm>
                              <a:prstGeom prst="rect">
                                <a:avLst/>
                              </a:prstGeom>
                              <a:noFill/>
                              <a:ln>
                                <a:noFill/>
                              </a:ln>
                              <a:effectLst/>
                            </wps:spPr>
                            <wps:txbx>
                              <w:txbxContent>
                                <w:p w14:paraId="68403A2A">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委托周边农户清掏作为农家肥</w:t>
                                  </w:r>
                                </w:p>
                              </w:txbxContent>
                            </wps:txbx>
                            <wps:bodyPr upright="1"/>
                          </wps:wsp>
                        </a:graphicData>
                      </a:graphic>
                    </wp:anchor>
                  </w:drawing>
                </mc:Choice>
                <mc:Fallback>
                  <w:pict>
                    <v:rect id="_x0000_s1026" o:spid="_x0000_s1026" o:spt="1" style="position:absolute;left:0pt;margin-left:350.1pt;margin-top:19.25pt;height:51.55pt;width:105pt;z-index:251681792;mso-width-relative:page;mso-height-relative:page;" filled="f" stroked="f" coordsize="21600,21600" o:gfxdata="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VuF2atoAAAAK&#10;AQAADwAAAAAAAAABACAAAAAiAAAAZHJzL2Rvd25yZXYueG1sUEsBAhQAFAAAAAgAh07iQBH4oHao&#10;AQAAUQMAAA4AAAAAAAAAAQAgAAAAKQEAAGRycy9lMm9Eb2MueG1sUEsFBgAAAAAGAAYAWQEAAEMF&#10;AAAAAA==&#10;">
                      <v:fill on="f" focussize="0,0"/>
                      <v:stroke on="f"/>
                      <v:imagedata o:title=""/>
                      <o:lock v:ext="edit" aspectratio="f"/>
                      <v:textbox>
                        <w:txbxContent>
                          <w:p w14:paraId="68403A2A">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委托周边农户清掏作为农家肥</w:t>
                            </w:r>
                          </w:p>
                        </w:txbxContent>
                      </v:textbox>
                    </v:rect>
                  </w:pict>
                </mc:Fallback>
              </mc:AlternateContent>
            </w:r>
            <w:r>
              <w:rPr>
                <w:rFonts w:hint="default" w:ascii="Times New Roman" w:hAnsi="Times New Roman" w:eastAsia="宋体" w:cs="Times New Roman"/>
                <w:color w:val="auto"/>
                <w:highlight w:val="none"/>
              </w:rPr>
              <mc:AlternateContent>
                <mc:Choice Requires="wps">
                  <w:drawing>
                    <wp:anchor distT="0" distB="0" distL="114300" distR="114300" simplePos="0" relativeHeight="251683840" behindDoc="0" locked="0" layoutInCell="1" allowOverlap="1">
                      <wp:simplePos x="0" y="0"/>
                      <wp:positionH relativeFrom="column">
                        <wp:posOffset>2616200</wp:posOffset>
                      </wp:positionH>
                      <wp:positionV relativeFrom="paragraph">
                        <wp:posOffset>283210</wp:posOffset>
                      </wp:positionV>
                      <wp:extent cx="558165" cy="365760"/>
                      <wp:effectExtent l="0" t="0" r="0" b="0"/>
                      <wp:wrapNone/>
                      <wp:docPr id="72" name="矩形 72"/>
                      <wp:cNvGraphicFramePr/>
                      <a:graphic xmlns:a="http://schemas.openxmlformats.org/drawingml/2006/main">
                        <a:graphicData uri="http://schemas.microsoft.com/office/word/2010/wordprocessingShape">
                          <wps:wsp>
                            <wps:cNvSpPr/>
                            <wps:spPr>
                              <a:xfrm>
                                <a:off x="0" y="0"/>
                                <a:ext cx="491490" cy="365760"/>
                              </a:xfrm>
                              <a:prstGeom prst="rect">
                                <a:avLst/>
                              </a:prstGeom>
                              <a:noFill/>
                              <a:ln>
                                <a:noFill/>
                              </a:ln>
                              <a:effectLst/>
                            </wps:spPr>
                            <wps:txbx>
                              <w:txbxContent>
                                <w:p w14:paraId="7A6AC3D4">
                                  <w:pPr>
                                    <w:ind w:left="0" w:leftChars="0" w:right="0" w:rightChars="0" w:firstLine="0" w:firstLineChars="0"/>
                                    <w:jc w:val="center"/>
                                    <w:rPr>
                                      <w:rFonts w:hint="default" w:eastAsia="宋体"/>
                                      <w:sz w:val="21"/>
                                      <w:u w:val="none" w:color="auto"/>
                                      <w:lang w:val="en-US" w:eastAsia="zh-CN"/>
                                    </w:rPr>
                                  </w:pPr>
                                  <w:r>
                                    <w:rPr>
                                      <w:rFonts w:hint="eastAsia" w:ascii="宋体" w:hAnsi="宋体" w:eastAsia="宋体" w:cs="宋体"/>
                                      <w:sz w:val="21"/>
                                      <w:u w:val="none" w:color="auto"/>
                                      <w:lang w:val="en-US" w:eastAsia="zh-CN"/>
                                    </w:rPr>
                                    <w:t>0.576</w:t>
                                  </w:r>
                                  <w:r>
                                    <w:rPr>
                                      <w:rFonts w:hint="eastAsia"/>
                                      <w:sz w:val="21"/>
                                      <w:u w:val="none" w:color="auto"/>
                                      <w:lang w:val="en-US" w:eastAsia="zh-CN"/>
                                    </w:rPr>
                                    <w:t>1</w:t>
                                  </w:r>
                                </w:p>
                              </w:txbxContent>
                            </wps:txbx>
                            <wps:bodyPr upright="1"/>
                          </wps:wsp>
                        </a:graphicData>
                      </a:graphic>
                    </wp:anchor>
                  </w:drawing>
                </mc:Choice>
                <mc:Fallback>
                  <w:pict>
                    <v:rect id="_x0000_s1026" o:spid="_x0000_s1026" o:spt="1" style="position:absolute;left:0pt;margin-left:206pt;margin-top:22.3pt;height:28.8pt;width:43.95pt;z-index:251683840;mso-width-relative:page;mso-height-relative:page;" filled="f" stroked="f" coordsize="21600,21600" o:gfxdata="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RbOTtoAAAAK&#10;AQAADwAAAAAAAAABACAAAAAiAAAAZHJzL2Rvd25yZXYueG1sUEsBAhQAFAAAAAgAh07iQI4d9A+o&#10;AQAAUAMAAA4AAAAAAAAAAQAgAAAAKQEAAGRycy9lMm9Eb2MueG1sUEsFBgAAAAAGAAYAWQEAAEMF&#10;AAAAAA==&#10;">
                      <v:fill on="f" focussize="0,0"/>
                      <v:stroke on="f"/>
                      <v:imagedata o:title=""/>
                      <o:lock v:ext="edit" aspectratio="f"/>
                      <v:textbox>
                        <w:txbxContent>
                          <w:p w14:paraId="7A6AC3D4">
                            <w:pPr>
                              <w:ind w:left="0" w:leftChars="0" w:right="0" w:rightChars="0" w:firstLine="0" w:firstLineChars="0"/>
                              <w:jc w:val="center"/>
                              <w:rPr>
                                <w:rFonts w:hint="default" w:eastAsia="宋体"/>
                                <w:sz w:val="21"/>
                                <w:u w:val="none" w:color="auto"/>
                                <w:lang w:val="en-US" w:eastAsia="zh-CN"/>
                              </w:rPr>
                            </w:pPr>
                            <w:r>
                              <w:rPr>
                                <w:rFonts w:hint="eastAsia" w:ascii="宋体" w:hAnsi="宋体" w:eastAsia="宋体" w:cs="宋体"/>
                                <w:sz w:val="21"/>
                                <w:u w:val="none" w:color="auto"/>
                                <w:lang w:val="en-US" w:eastAsia="zh-CN"/>
                              </w:rPr>
                              <w:t>0.576</w:t>
                            </w:r>
                            <w:r>
                              <w:rPr>
                                <w:rFonts w:hint="eastAsia"/>
                                <w:sz w:val="21"/>
                                <w:u w:val="none" w:color="auto"/>
                                <w:lang w:val="en-US" w:eastAsia="zh-CN"/>
                              </w:rPr>
                              <w:t>1</w:t>
                            </w:r>
                          </w:p>
                        </w:txbxContent>
                      </v:textbox>
                    </v:rect>
                  </w:pict>
                </mc:Fallback>
              </mc:AlternateContent>
            </w:r>
            <w:r>
              <w:rPr>
                <w:rFonts w:hint="default" w:ascii="Times New Roman" w:hAnsi="Times New Roman" w:eastAsia="宋体" w:cs="Times New Roman"/>
                <w:color w:val="auto"/>
                <w:highlight w:val="none"/>
              </w:rPr>
              <mc:AlternateContent>
                <mc:Choice Requires="wps">
                  <w:drawing>
                    <wp:anchor distT="0" distB="0" distL="114300" distR="114300" simplePos="0" relativeHeight="251687936" behindDoc="0" locked="0" layoutInCell="1" allowOverlap="1">
                      <wp:simplePos x="0" y="0"/>
                      <wp:positionH relativeFrom="column">
                        <wp:posOffset>3866515</wp:posOffset>
                      </wp:positionH>
                      <wp:positionV relativeFrom="paragraph">
                        <wp:posOffset>257810</wp:posOffset>
                      </wp:positionV>
                      <wp:extent cx="537210" cy="394970"/>
                      <wp:effectExtent l="0" t="0" r="0" b="0"/>
                      <wp:wrapNone/>
                      <wp:docPr id="55" name="矩形 55"/>
                      <wp:cNvGraphicFramePr/>
                      <a:graphic xmlns:a="http://schemas.openxmlformats.org/drawingml/2006/main">
                        <a:graphicData uri="http://schemas.microsoft.com/office/word/2010/wordprocessingShape">
                          <wps:wsp>
                            <wps:cNvSpPr/>
                            <wps:spPr>
                              <a:xfrm>
                                <a:off x="0" y="0"/>
                                <a:ext cx="490220" cy="394970"/>
                              </a:xfrm>
                              <a:prstGeom prst="rect">
                                <a:avLst/>
                              </a:prstGeom>
                              <a:noFill/>
                              <a:ln>
                                <a:noFill/>
                              </a:ln>
                              <a:effectLst/>
                            </wps:spPr>
                            <wps:txbx>
                              <w:txbxContent>
                                <w:p w14:paraId="351C5E11">
                                  <w:pPr>
                                    <w:ind w:left="0" w:leftChars="0" w:right="0" w:rightChars="0" w:firstLine="0" w:firstLineChars="0"/>
                                    <w:jc w:val="center"/>
                                    <w:rPr>
                                      <w:rFonts w:hint="default" w:ascii="宋体" w:hAnsi="宋体" w:eastAsia="宋体" w:cs="宋体"/>
                                      <w:sz w:val="21"/>
                                      <w:u w:val="none" w:color="auto"/>
                                      <w:lang w:val="en-US" w:eastAsia="zh-CN"/>
                                    </w:rPr>
                                  </w:pPr>
                                  <w:r>
                                    <w:rPr>
                                      <w:rFonts w:hint="eastAsia" w:ascii="宋体" w:hAnsi="宋体" w:eastAsia="宋体" w:cs="宋体"/>
                                      <w:sz w:val="21"/>
                                      <w:u w:val="none" w:color="auto"/>
                                      <w:lang w:val="en-US" w:eastAsia="zh-CN"/>
                                    </w:rPr>
                                    <w:t>0.704</w:t>
                                  </w:r>
                                </w:p>
                              </w:txbxContent>
                            </wps:txbx>
                            <wps:bodyPr upright="1"/>
                          </wps:wsp>
                        </a:graphicData>
                      </a:graphic>
                    </wp:anchor>
                  </w:drawing>
                </mc:Choice>
                <mc:Fallback>
                  <w:pict>
                    <v:rect id="_x0000_s1026" o:spid="_x0000_s1026" o:spt="1" style="position:absolute;left:0pt;margin-left:304.45pt;margin-top:20.3pt;height:31.1pt;width:42.3pt;z-index:251687936;mso-width-relative:page;mso-height-relative:page;" filled="f" stroked="f" coordsize="21600,21600" o:gfxdata="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sBlgM2gAAAAoB&#10;AAAPAAAAAAAAAAEAIAAAACIAAABkcnMvZG93bnJldi54bWxQSwECFAAUAAAACACHTuJAmSj05KcB&#10;AABQAwAADgAAAAAAAAABACAAAAApAQAAZHJzL2Uyb0RvYy54bWxQSwUGAAAAAAYABgBZAQAAQgUA&#10;AAAA&#10;">
                      <v:fill on="f" focussize="0,0"/>
                      <v:stroke on="f"/>
                      <v:imagedata o:title=""/>
                      <o:lock v:ext="edit" aspectratio="f"/>
                      <v:textbox>
                        <w:txbxContent>
                          <w:p w14:paraId="351C5E11">
                            <w:pPr>
                              <w:ind w:left="0" w:leftChars="0" w:right="0" w:rightChars="0" w:firstLine="0" w:firstLineChars="0"/>
                              <w:jc w:val="center"/>
                              <w:rPr>
                                <w:rFonts w:hint="default" w:ascii="宋体" w:hAnsi="宋体" w:eastAsia="宋体" w:cs="宋体"/>
                                <w:sz w:val="21"/>
                                <w:u w:val="none" w:color="auto"/>
                                <w:lang w:val="en-US" w:eastAsia="zh-CN"/>
                              </w:rPr>
                            </w:pPr>
                            <w:r>
                              <w:rPr>
                                <w:rFonts w:hint="eastAsia" w:ascii="宋体" w:hAnsi="宋体" w:eastAsia="宋体" w:cs="宋体"/>
                                <w:sz w:val="21"/>
                                <w:u w:val="none" w:color="auto"/>
                                <w:lang w:val="en-US" w:eastAsia="zh-CN"/>
                              </w:rPr>
                              <w:t>0.704</w:t>
                            </w:r>
                          </w:p>
                        </w:txbxContent>
                      </v:textbox>
                    </v:rect>
                  </w:pict>
                </mc:Fallback>
              </mc:AlternateContent>
            </w:r>
            <w:r>
              <w:rPr>
                <w:rFonts w:hint="default" w:ascii="Times New Roman" w:hAnsi="Times New Roman" w:eastAsia="宋体" w:cs="Times New Roman"/>
                <w:color w:val="auto"/>
                <w:highlight w:val="none"/>
              </w:rPr>
              <mc:AlternateContent>
                <mc:Choice Requires="wps">
                  <w:drawing>
                    <wp:anchor distT="0" distB="0" distL="114300" distR="114300" simplePos="0" relativeHeight="251684864" behindDoc="0" locked="0" layoutInCell="1" allowOverlap="1">
                      <wp:simplePos x="0" y="0"/>
                      <wp:positionH relativeFrom="column">
                        <wp:posOffset>2115185</wp:posOffset>
                      </wp:positionH>
                      <wp:positionV relativeFrom="paragraph">
                        <wp:posOffset>215265</wp:posOffset>
                      </wp:positionV>
                      <wp:extent cx="238760" cy="237490"/>
                      <wp:effectExtent l="3175" t="0" r="5715" b="10160"/>
                      <wp:wrapNone/>
                      <wp:docPr id="73" name="直接连接符 73"/>
                      <wp:cNvGraphicFramePr/>
                      <a:graphic xmlns:a="http://schemas.openxmlformats.org/drawingml/2006/main">
                        <a:graphicData uri="http://schemas.microsoft.com/office/word/2010/wordprocessingShape">
                          <wps:wsp>
                            <wps:cNvCnPr/>
                            <wps:spPr>
                              <a:xfrm flipV="1">
                                <a:off x="0" y="0"/>
                                <a:ext cx="238760" cy="237490"/>
                              </a:xfrm>
                              <a:prstGeom prst="line">
                                <a:avLst/>
                              </a:prstGeom>
                              <a:ln w="9525" cap="flat" cmpd="sng">
                                <a:solidFill>
                                  <a:srgbClr val="000000"/>
                                </a:solidFill>
                                <a:prstDash val="sysDot"/>
                                <a:headEnd type="none" w="med" len="med"/>
                                <a:tailEnd type="triangle" w="med" len="med"/>
                              </a:ln>
                              <a:effectLst/>
                            </wps:spPr>
                            <wps:bodyPr upright="1"/>
                          </wps:wsp>
                        </a:graphicData>
                      </a:graphic>
                    </wp:anchor>
                  </w:drawing>
                </mc:Choice>
                <mc:Fallback>
                  <w:pict>
                    <v:line id="_x0000_s1026" o:spid="_x0000_s1026" o:spt="20" style="position:absolute;left:0pt;flip:y;margin-left:166.55pt;margin-top:16.95pt;height:18.7pt;width:18.8pt;z-index:251684864;mso-width-relative:page;mso-height-relative:page;" filled="f" stroked="t" coordsize="21600,21600" o:gfxdata="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zpbszZAAAACQEAAA8AAAAA&#10;AAAAAQAgAAAAIgAAAGRycy9kb3ducmV2LnhtbFBLAQIUABQAAAAIAIdO4kApON3REwIAAAcEAAAO&#10;AAAAAAAAAAEAIAAAACgBAABkcnMvZTJvRG9jLnhtbFBLBQYAAAAABgAGAFkBAACtBQAAAAA=&#10;">
                      <v:fill on="f" focussize="0,0"/>
                      <v:stroke color="#000000" joinstyle="round" dashstyle="1 1" endarrow="block"/>
                      <v:imagedata o:title=""/>
                      <o:lock v:ext="edit" aspectratio="f"/>
                    </v:line>
                  </w:pict>
                </mc:Fallback>
              </mc:AlternateContent>
            </w:r>
            <w:r>
              <w:rPr>
                <w:rFonts w:hint="eastAsia" w:eastAsia="宋体" w:cs="Times New Roman"/>
                <w:color w:val="auto"/>
                <w:sz w:val="24"/>
                <w:highlight w:val="none"/>
                <w:u w:val="none" w:color="auto"/>
                <w:lang w:val="en-US" w:eastAsia="zh-CN"/>
              </w:rPr>
              <w:t xml:space="preserve">                                              </w:t>
            </w:r>
            <w:r>
              <w:rPr>
                <w:rFonts w:hint="eastAsia" w:ascii="宋体" w:hAnsi="宋体" w:eastAsia="宋体" w:cs="宋体"/>
                <w:color w:val="auto"/>
                <w:sz w:val="21"/>
                <w:szCs w:val="21"/>
                <w:highlight w:val="none"/>
                <w:u w:val="none" w:color="auto"/>
                <w:lang w:val="en-US" w:eastAsia="zh-CN"/>
              </w:rPr>
              <w:t xml:space="preserve"> 0.128</w:t>
            </w:r>
          </w:p>
          <w:p w14:paraId="244B64C4">
            <w:pPr>
              <w:spacing w:line="360" w:lineRule="auto"/>
              <w:jc w:val="both"/>
              <w:outlineLvl w:val="9"/>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highlight w:val="none"/>
              </w:rPr>
              <mc:AlternateContent>
                <mc:Choice Requires="wps">
                  <w:drawing>
                    <wp:anchor distT="0" distB="0" distL="114300" distR="114300" simplePos="0" relativeHeight="251718656" behindDoc="0" locked="0" layoutInCell="1" allowOverlap="1">
                      <wp:simplePos x="0" y="0"/>
                      <wp:positionH relativeFrom="column">
                        <wp:posOffset>1421765</wp:posOffset>
                      </wp:positionH>
                      <wp:positionV relativeFrom="paragraph">
                        <wp:posOffset>34290</wp:posOffset>
                      </wp:positionV>
                      <wp:extent cx="473710" cy="337185"/>
                      <wp:effectExtent l="4445" t="4445" r="17145" b="20320"/>
                      <wp:wrapNone/>
                      <wp:docPr id="163" name="矩形 163"/>
                      <wp:cNvGraphicFramePr/>
                      <a:graphic xmlns:a="http://schemas.openxmlformats.org/drawingml/2006/main">
                        <a:graphicData uri="http://schemas.microsoft.com/office/word/2010/wordprocessingShape">
                          <wps:wsp>
                            <wps:cNvSpPr/>
                            <wps:spPr>
                              <a:xfrm>
                                <a:off x="0" y="0"/>
                                <a:ext cx="473710" cy="337185"/>
                              </a:xfrm>
                              <a:prstGeom prst="rect">
                                <a:avLst/>
                              </a:prstGeom>
                              <a:noFill/>
                              <a:ln w="9525" cap="flat" cmpd="sng">
                                <a:solidFill>
                                  <a:schemeClr val="bg1"/>
                                </a:solidFill>
                                <a:prstDash val="solid"/>
                                <a:miter/>
                                <a:headEnd type="none" w="med" len="med"/>
                                <a:tailEnd type="none" w="med" len="med"/>
                              </a:ln>
                              <a:effectLst/>
                            </wps:spPr>
                            <wps:txbx>
                              <w:txbxContent>
                                <w:p w14:paraId="5AF9198D">
                                  <w:pPr>
                                    <w:ind w:left="0" w:leftChars="0" w:right="0" w:rightChars="0" w:firstLine="0" w:firstLineChars="0"/>
                                    <w:jc w:val="both"/>
                                    <w:rPr>
                                      <w:rFonts w:hint="default" w:eastAsia="宋体"/>
                                      <w:sz w:val="21"/>
                                      <w:u w:val="none" w:color="auto"/>
                                      <w:lang w:val="en-US" w:eastAsia="zh-CN"/>
                                    </w:rPr>
                                  </w:pPr>
                                  <w:r>
                                    <w:rPr>
                                      <w:rFonts w:hint="eastAsia" w:eastAsia="宋体"/>
                                      <w:sz w:val="21"/>
                                      <w:u w:val="none" w:color="auto"/>
                                      <w:lang w:val="en-US" w:eastAsia="zh-CN"/>
                                    </w:rPr>
                                    <w:t>0.72</w:t>
                                  </w:r>
                                </w:p>
                              </w:txbxContent>
                            </wps:txbx>
                            <wps:bodyPr upright="1"/>
                          </wps:wsp>
                        </a:graphicData>
                      </a:graphic>
                    </wp:anchor>
                  </w:drawing>
                </mc:Choice>
                <mc:Fallback>
                  <w:pict>
                    <v:rect id="_x0000_s1026" o:spid="_x0000_s1026" o:spt="1" style="position:absolute;left:0pt;margin-left:111.95pt;margin-top:2.7pt;height:26.55pt;width:37.3pt;z-index:251718656;mso-width-relative:page;mso-height-relative:page;" filled="f" stroked="t" coordsize="21600,21600" o:gfxdata="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xWEzq2QAAAAgBAAAPAAAAAAAAAAEAIAAAACIAAABkcnMv&#10;ZG93bnJldi54bWxQSwECFAAUAAAACACHTuJAg/pWEwICAAARBAAADgAAAAAAAAABACAAAAAoAQAA&#10;ZHJzL2Uyb0RvYy54bWxQSwUGAAAAAAYABgBZAQAAnAUAAAAA&#10;">
                      <v:fill on="f" focussize="0,0"/>
                      <v:stroke color="#FFFFFF [3212]" joinstyle="miter"/>
                      <v:imagedata o:title=""/>
                      <o:lock v:ext="edit" aspectratio="f"/>
                      <v:textbox>
                        <w:txbxContent>
                          <w:p w14:paraId="5AF9198D">
                            <w:pPr>
                              <w:ind w:left="0" w:leftChars="0" w:right="0" w:rightChars="0" w:firstLine="0" w:firstLineChars="0"/>
                              <w:jc w:val="both"/>
                              <w:rPr>
                                <w:rFonts w:hint="default" w:eastAsia="宋体"/>
                                <w:sz w:val="21"/>
                                <w:u w:val="none" w:color="auto"/>
                                <w:lang w:val="en-US" w:eastAsia="zh-CN"/>
                              </w:rPr>
                            </w:pPr>
                            <w:r>
                              <w:rPr>
                                <w:rFonts w:hint="eastAsia" w:eastAsia="宋体"/>
                                <w:sz w:val="21"/>
                                <w:u w:val="none" w:color="auto"/>
                                <w:lang w:val="en-US" w:eastAsia="zh-CN"/>
                              </w:rPr>
                              <w:t>0.72</w:t>
                            </w:r>
                          </w:p>
                        </w:txbxContent>
                      </v:textbox>
                    </v:rect>
                  </w:pict>
                </mc:Fallback>
              </mc:AlternateContent>
            </w:r>
            <w:r>
              <w:rPr>
                <w:rFonts w:hint="default" w:ascii="Times New Roman" w:hAnsi="Times New Roman" w:eastAsia="宋体" w:cs="Times New Roman"/>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2673350</wp:posOffset>
                      </wp:positionH>
                      <wp:positionV relativeFrom="paragraph">
                        <wp:posOffset>267970</wp:posOffset>
                      </wp:positionV>
                      <wp:extent cx="461010" cy="635"/>
                      <wp:effectExtent l="0" t="38100" r="15240" b="37465"/>
                      <wp:wrapNone/>
                      <wp:docPr id="71" name="直接连接符 71"/>
                      <wp:cNvGraphicFramePr/>
                      <a:graphic xmlns:a="http://schemas.openxmlformats.org/drawingml/2006/main">
                        <a:graphicData uri="http://schemas.microsoft.com/office/word/2010/wordprocessingShape">
                          <wps:wsp>
                            <wps:cNvCnPr/>
                            <wps:spPr>
                              <a:xfrm flipV="1">
                                <a:off x="0" y="0"/>
                                <a:ext cx="461010"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y;margin-left:210.5pt;margin-top:21.1pt;height:0.05pt;width:36.3pt;z-index:251677696;mso-width-relative:page;mso-height-relative:page;" filled="f" stroked="t" coordsize="21600,21600" o:gfxdata="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a3SeT2QAAAAkBAAAPAAAAAAAAAAEAIAAAACIA&#10;AABkcnMvZG93bnJldi54bWxQSwECFAAUAAAACACHTuJAu8rCfAgCAAADBAAADgAAAAAAAAABACAA&#10;AAAoAQAAZHJzL2Uyb0RvYy54bWxQSwUGAAAAAAYABgBZAQAAogUAAAAA&#10;">
                      <v:fill on="f" focussize="0,0"/>
                      <v:stroke color="#000000" joinstyle="round" endarrow="block"/>
                      <v:imagedata o:title=""/>
                      <o:lock v:ext="edit" aspectratio="f"/>
                    </v:line>
                  </w:pict>
                </mc:Fallback>
              </mc:AlternateContent>
            </w:r>
            <w:r>
              <w:rPr>
                <w:rFonts w:hint="default" w:ascii="Times New Roman" w:hAnsi="Times New Roman" w:eastAsia="宋体" w:cs="Times New Roman"/>
                <w:color w:val="auto"/>
                <w:highlight w:val="none"/>
              </w:rPr>
              <mc:AlternateContent>
                <mc:Choice Requires="wps">
                  <w:drawing>
                    <wp:anchor distT="0" distB="0" distL="114300" distR="114300" simplePos="0" relativeHeight="251678720" behindDoc="0" locked="0" layoutInCell="1" allowOverlap="1">
                      <wp:simplePos x="0" y="0"/>
                      <wp:positionH relativeFrom="column">
                        <wp:posOffset>3149600</wp:posOffset>
                      </wp:positionH>
                      <wp:positionV relativeFrom="paragraph">
                        <wp:posOffset>18415</wp:posOffset>
                      </wp:positionV>
                      <wp:extent cx="629920" cy="394970"/>
                      <wp:effectExtent l="4445" t="4445" r="13335" b="19685"/>
                      <wp:wrapNone/>
                      <wp:docPr id="53" name="矩形 53"/>
                      <wp:cNvGraphicFramePr/>
                      <a:graphic xmlns:a="http://schemas.openxmlformats.org/drawingml/2006/main">
                        <a:graphicData uri="http://schemas.microsoft.com/office/word/2010/wordprocessingShape">
                          <wps:wsp>
                            <wps:cNvSpPr/>
                            <wps:spPr>
                              <a:xfrm>
                                <a:off x="0" y="0"/>
                                <a:ext cx="629920" cy="394970"/>
                              </a:xfrm>
                              <a:prstGeom prst="rect">
                                <a:avLst/>
                              </a:prstGeom>
                              <a:noFill/>
                              <a:ln w="9525" cap="flat" cmpd="sng">
                                <a:solidFill>
                                  <a:srgbClr val="000000"/>
                                </a:solidFill>
                                <a:prstDash val="solid"/>
                                <a:miter/>
                                <a:headEnd type="none" w="med" len="med"/>
                                <a:tailEnd type="none" w="med" len="med"/>
                              </a:ln>
                              <a:effectLst/>
                            </wps:spPr>
                            <wps:txbx>
                              <w:txbxContent>
                                <w:p w14:paraId="4B075BA9">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化粪池</w:t>
                                  </w:r>
                                </w:p>
                              </w:txbxContent>
                            </wps:txbx>
                            <wps:bodyPr upright="1"/>
                          </wps:wsp>
                        </a:graphicData>
                      </a:graphic>
                    </wp:anchor>
                  </w:drawing>
                </mc:Choice>
                <mc:Fallback>
                  <w:pict>
                    <v:rect id="_x0000_s1026" o:spid="_x0000_s1026" o:spt="1" style="position:absolute;left:0pt;margin-left:248pt;margin-top:1.45pt;height:31.1pt;width:49.6pt;z-index:251678720;mso-width-relative:page;mso-height-relative:page;" filled="f" stroked="t" coordsize="21600,21600" o:gfxdata="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lzMstcAAAAIAQAADwAAAAAAAAABACAAAAAiAAAAZHJzL2Rv&#10;d25yZXYueG1sUEsBAhQAFAAAAAgAh07iQHcs48sCAgAADwQAAA4AAAAAAAAAAQAgAAAAJgEAAGRy&#10;cy9lMm9Eb2MueG1sUEsFBgAAAAAGAAYAWQEAAJoFAAAAAA==&#10;">
                      <v:fill on="f" focussize="0,0"/>
                      <v:stroke color="#000000" joinstyle="miter"/>
                      <v:imagedata o:title=""/>
                      <o:lock v:ext="edit" aspectratio="f"/>
                      <v:textbox>
                        <w:txbxContent>
                          <w:p w14:paraId="4B075BA9">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化粪池</w:t>
                            </w:r>
                          </w:p>
                        </w:txbxContent>
                      </v:textbox>
                    </v:rect>
                  </w:pict>
                </mc:Fallback>
              </mc:AlternateContent>
            </w:r>
            <w:r>
              <w:rPr>
                <w:rFonts w:hint="default" w:ascii="Times New Roman" w:hAnsi="Times New Roman" w:eastAsia="宋体" w:cs="Times New Roman"/>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1907540</wp:posOffset>
                      </wp:positionH>
                      <wp:positionV relativeFrom="paragraph">
                        <wp:posOffset>57785</wp:posOffset>
                      </wp:positionV>
                      <wp:extent cx="768350" cy="356235"/>
                      <wp:effectExtent l="4445" t="4445" r="8255" b="20320"/>
                      <wp:wrapNone/>
                      <wp:docPr id="52" name="矩形 52"/>
                      <wp:cNvGraphicFramePr/>
                      <a:graphic xmlns:a="http://schemas.openxmlformats.org/drawingml/2006/main">
                        <a:graphicData uri="http://schemas.microsoft.com/office/word/2010/wordprocessingShape">
                          <wps:wsp>
                            <wps:cNvSpPr/>
                            <wps:spPr>
                              <a:xfrm>
                                <a:off x="0" y="0"/>
                                <a:ext cx="768350" cy="356235"/>
                              </a:xfrm>
                              <a:prstGeom prst="rect">
                                <a:avLst/>
                              </a:prstGeom>
                              <a:noFill/>
                              <a:ln w="9525" cap="flat" cmpd="sng">
                                <a:solidFill>
                                  <a:srgbClr val="000000"/>
                                </a:solidFill>
                                <a:prstDash val="solid"/>
                                <a:miter/>
                                <a:headEnd type="none" w="med" len="med"/>
                                <a:tailEnd type="none" w="med" len="med"/>
                              </a:ln>
                              <a:effectLst/>
                            </wps:spPr>
                            <wps:txbx>
                              <w:txbxContent>
                                <w:p w14:paraId="7BCABFE0">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工作人员</w:t>
                                  </w:r>
                                </w:p>
                              </w:txbxContent>
                            </wps:txbx>
                            <wps:bodyPr upright="1"/>
                          </wps:wsp>
                        </a:graphicData>
                      </a:graphic>
                    </wp:anchor>
                  </w:drawing>
                </mc:Choice>
                <mc:Fallback>
                  <w:pict>
                    <v:rect id="_x0000_s1026" o:spid="_x0000_s1026" o:spt="1" style="position:absolute;left:0pt;margin-left:150.2pt;margin-top:4.55pt;height:28.05pt;width:60.5pt;z-index:251670528;mso-width-relative:page;mso-height-relative:page;" filled="f" stroked="t" coordsize="21600,21600" o:gfxdata="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TsdErWAAAACAEAAA8AAAAAAAAAAQAgAAAAIgAAAGRycy9kb3du&#10;cmV2LnhtbFBLAQIUABQAAAAIAIdO4kB7f4tuAQIAAA8EAAAOAAAAAAAAAAEAIAAAACUBAABkcnMv&#10;ZTJvRG9jLnhtbFBLBQYAAAAABgAGAFkBAACYBQAAAAA=&#10;">
                      <v:fill on="f" focussize="0,0"/>
                      <v:stroke color="#000000" joinstyle="miter"/>
                      <v:imagedata o:title=""/>
                      <o:lock v:ext="edit" aspectratio="f"/>
                      <v:textbox>
                        <w:txbxContent>
                          <w:p w14:paraId="7BCABFE0">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工作人员</w:t>
                            </w:r>
                          </w:p>
                        </w:txbxContent>
                      </v:textbox>
                    </v:rect>
                  </w:pict>
                </mc:Fallback>
              </mc:AlternateContent>
            </w:r>
          </w:p>
          <w:p w14:paraId="0F1EB0F9">
            <w:pPr>
              <w:spacing w:line="360" w:lineRule="auto"/>
              <w:ind w:firstLine="480" w:firstLineChars="200"/>
              <w:jc w:val="center"/>
              <w:outlineLvl w:val="9"/>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highlight w:val="none"/>
              </w:rPr>
              <mc:AlternateContent>
                <mc:Choice Requires="wps">
                  <w:drawing>
                    <wp:anchor distT="0" distB="0" distL="114300" distR="114300" simplePos="0" relativeHeight="251692032" behindDoc="0" locked="0" layoutInCell="1" allowOverlap="1">
                      <wp:simplePos x="0" y="0"/>
                      <wp:positionH relativeFrom="column">
                        <wp:posOffset>581025</wp:posOffset>
                      </wp:positionH>
                      <wp:positionV relativeFrom="paragraph">
                        <wp:posOffset>266700</wp:posOffset>
                      </wp:positionV>
                      <wp:extent cx="1042035" cy="337820"/>
                      <wp:effectExtent l="0" t="0" r="0" b="0"/>
                      <wp:wrapNone/>
                      <wp:docPr id="82" name="矩形 82"/>
                      <wp:cNvGraphicFramePr/>
                      <a:graphic xmlns:a="http://schemas.openxmlformats.org/drawingml/2006/main">
                        <a:graphicData uri="http://schemas.microsoft.com/office/word/2010/wordprocessingShape">
                          <wps:wsp>
                            <wps:cNvSpPr/>
                            <wps:spPr>
                              <a:xfrm>
                                <a:off x="0" y="0"/>
                                <a:ext cx="1242060" cy="337820"/>
                              </a:xfrm>
                              <a:prstGeom prst="rect">
                                <a:avLst/>
                              </a:prstGeom>
                              <a:noFill/>
                              <a:ln>
                                <a:noFill/>
                              </a:ln>
                              <a:effectLst/>
                            </wps:spPr>
                            <wps:txbx>
                              <w:txbxContent>
                                <w:p w14:paraId="626E35E9">
                                  <w:pPr>
                                    <w:ind w:left="0" w:leftChars="0" w:right="0" w:rightChars="0" w:firstLine="0" w:firstLineChars="0"/>
                                    <w:jc w:val="both"/>
                                    <w:rPr>
                                      <w:rFonts w:hint="default" w:ascii="宋体" w:hAnsi="宋体" w:eastAsia="宋体" w:cs="宋体"/>
                                      <w:sz w:val="21"/>
                                      <w:u w:val="none" w:color="auto"/>
                                      <w:lang w:val="en-US" w:eastAsia="zh-CN"/>
                                    </w:rPr>
                                  </w:pPr>
                                  <w:r>
                                    <w:rPr>
                                      <w:rFonts w:hint="eastAsia" w:ascii="宋体" w:hAnsi="宋体" w:eastAsia="宋体" w:cs="宋体"/>
                                      <w:sz w:val="21"/>
                                      <w:u w:val="none" w:color="auto"/>
                                      <w:lang w:val="en-US" w:eastAsia="zh-CN"/>
                                    </w:rPr>
                                    <w:t>50.41</w:t>
                                  </w:r>
                                  <w:r>
                                    <w:rPr>
                                      <w:rFonts w:hint="eastAsia" w:ascii="宋体" w:hAnsi="宋体" w:cs="宋体"/>
                                      <w:sz w:val="21"/>
                                      <w:u w:val="none" w:color="auto"/>
                                      <w:lang w:val="en-US" w:eastAsia="zh-CN"/>
                                    </w:rPr>
                                    <w:t>1</w:t>
                                  </w:r>
                                </w:p>
                              </w:txbxContent>
                            </wps:txbx>
                            <wps:bodyPr upright="1"/>
                          </wps:wsp>
                        </a:graphicData>
                      </a:graphic>
                    </wp:anchor>
                  </w:drawing>
                </mc:Choice>
                <mc:Fallback>
                  <w:pict>
                    <v:rect id="_x0000_s1026" o:spid="_x0000_s1026" o:spt="1" style="position:absolute;left:0pt;margin-left:45.75pt;margin-top:21pt;height:26.6pt;width:82.05pt;z-index:251692032;mso-width-relative:page;mso-height-relative:page;" filled="f" stroked="f" coordsize="21600,21600" o:gfxdata="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QNBqo9gAAAAIAQAA&#10;DwAAAAAAAAABACAAAAAiAAAAZHJzL2Rvd25yZXYueG1sUEsBAhQAFAAAAAgAh07iQI1xQs2nAQAA&#10;UQMAAA4AAAAAAAAAAQAgAAAAJwEAAGRycy9lMm9Eb2MueG1sUEsFBgAAAAAGAAYAWQEAAEAFAAAA&#10;AA==&#10;">
                      <v:fill on="f" focussize="0,0"/>
                      <v:stroke on="f"/>
                      <v:imagedata o:title=""/>
                      <o:lock v:ext="edit" aspectratio="f"/>
                      <v:textbox>
                        <w:txbxContent>
                          <w:p w14:paraId="626E35E9">
                            <w:pPr>
                              <w:ind w:left="0" w:leftChars="0" w:right="0" w:rightChars="0" w:firstLine="0" w:firstLineChars="0"/>
                              <w:jc w:val="both"/>
                              <w:rPr>
                                <w:rFonts w:hint="default" w:ascii="宋体" w:hAnsi="宋体" w:eastAsia="宋体" w:cs="宋体"/>
                                <w:sz w:val="21"/>
                                <w:u w:val="none" w:color="auto"/>
                                <w:lang w:val="en-US" w:eastAsia="zh-CN"/>
                              </w:rPr>
                            </w:pPr>
                            <w:r>
                              <w:rPr>
                                <w:rFonts w:hint="eastAsia" w:ascii="宋体" w:hAnsi="宋体" w:eastAsia="宋体" w:cs="宋体"/>
                                <w:sz w:val="21"/>
                                <w:u w:val="none" w:color="auto"/>
                                <w:lang w:val="en-US" w:eastAsia="zh-CN"/>
                              </w:rPr>
                              <w:t>50.41</w:t>
                            </w:r>
                            <w:r>
                              <w:rPr>
                                <w:rFonts w:hint="eastAsia" w:ascii="宋体" w:hAnsi="宋体" w:cs="宋体"/>
                                <w:sz w:val="21"/>
                                <w:u w:val="none" w:color="auto"/>
                                <w:lang w:val="en-US" w:eastAsia="zh-CN"/>
                              </w:rPr>
                              <w:t>1</w:t>
                            </w:r>
                          </w:p>
                        </w:txbxContent>
                      </v:textbox>
                    </v:rect>
                  </w:pict>
                </mc:Fallback>
              </mc:AlternateContent>
            </w:r>
            <w:r>
              <w:rPr>
                <w:rFonts w:hint="default" w:ascii="Times New Roman" w:hAnsi="Times New Roman" w:eastAsia="宋体" w:cs="Times New Roman"/>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170815</wp:posOffset>
                      </wp:positionH>
                      <wp:positionV relativeFrom="paragraph">
                        <wp:posOffset>127000</wp:posOffset>
                      </wp:positionV>
                      <wp:extent cx="294005" cy="1099820"/>
                      <wp:effectExtent l="0" t="0" r="0" b="0"/>
                      <wp:wrapNone/>
                      <wp:docPr id="60" name="矩形 60"/>
                      <wp:cNvGraphicFramePr/>
                      <a:graphic xmlns:a="http://schemas.openxmlformats.org/drawingml/2006/main">
                        <a:graphicData uri="http://schemas.microsoft.com/office/word/2010/wordprocessingShape">
                          <wps:wsp>
                            <wps:cNvSpPr/>
                            <wps:spPr>
                              <a:xfrm>
                                <a:off x="0" y="0"/>
                                <a:ext cx="294005" cy="1099820"/>
                              </a:xfrm>
                              <a:prstGeom prst="rect">
                                <a:avLst/>
                              </a:prstGeom>
                              <a:noFill/>
                              <a:ln>
                                <a:noFill/>
                              </a:ln>
                              <a:effectLst/>
                            </wps:spPr>
                            <wps:txbx>
                              <w:txbxContent>
                                <w:p w14:paraId="5AE84F39">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自来水</w:t>
                                  </w:r>
                                </w:p>
                              </w:txbxContent>
                            </wps:txbx>
                            <wps:bodyPr upright="1"/>
                          </wps:wsp>
                        </a:graphicData>
                      </a:graphic>
                    </wp:anchor>
                  </w:drawing>
                </mc:Choice>
                <mc:Fallback>
                  <w:pict>
                    <v:rect id="_x0000_s1026" o:spid="_x0000_s1026" o:spt="1" style="position:absolute;left:0pt;margin-left:13.45pt;margin-top:10pt;height:86.6pt;width:23.15pt;z-index:251675648;mso-width-relative:page;mso-height-relative:page;" filled="f" stroked="f" coordsize="21600,21600" o:gfxdata="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iaaMVNgAAAAIAQAA&#10;DwAAAAAAAAABACAAAAAiAAAAZHJzL2Rvd25yZXYueG1sUEsBAhQAFAAAAAgAh07iQMfM5EinAQAA&#10;UQMAAA4AAAAAAAAAAQAgAAAAJwEAAGRycy9lMm9Eb2MueG1sUEsFBgAAAAAGAAYAWQEAAEAFAAAA&#10;AA==&#10;">
                      <v:fill on="f" focussize="0,0"/>
                      <v:stroke on="f"/>
                      <v:imagedata o:title=""/>
                      <o:lock v:ext="edit" aspectratio="f"/>
                      <v:textbox>
                        <w:txbxContent>
                          <w:p w14:paraId="5AE84F39">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自来水</w:t>
                            </w:r>
                          </w:p>
                        </w:txbxContent>
                      </v:textbox>
                    </v:rect>
                  </w:pict>
                </mc:Fallback>
              </mc:AlternateContent>
            </w:r>
            <w:r>
              <w:rPr>
                <w:rFonts w:hint="default" w:ascii="Times New Roman" w:hAnsi="Times New Roman" w:eastAsia="宋体" w:cs="Times New Roman"/>
                <w:color w:val="auto"/>
                <w:highlight w:val="none"/>
              </w:rPr>
              <mc:AlternateContent>
                <mc:Choice Requires="wps">
                  <w:drawing>
                    <wp:anchor distT="0" distB="0" distL="114300" distR="114300" simplePos="0" relativeHeight="251686912" behindDoc="0" locked="0" layoutInCell="1" allowOverlap="1">
                      <wp:simplePos x="0" y="0"/>
                      <wp:positionH relativeFrom="column">
                        <wp:posOffset>3796030</wp:posOffset>
                      </wp:positionH>
                      <wp:positionV relativeFrom="paragraph">
                        <wp:posOffset>20955</wp:posOffset>
                      </wp:positionV>
                      <wp:extent cx="711835" cy="635"/>
                      <wp:effectExtent l="0" t="37465" r="12065" b="38100"/>
                      <wp:wrapNone/>
                      <wp:docPr id="70" name="直接连接符 70"/>
                      <wp:cNvGraphicFramePr/>
                      <a:graphic xmlns:a="http://schemas.openxmlformats.org/drawingml/2006/main">
                        <a:graphicData uri="http://schemas.microsoft.com/office/word/2010/wordprocessingShape">
                          <wps:wsp>
                            <wps:cNvCnPr/>
                            <wps:spPr>
                              <a:xfrm>
                                <a:off x="0" y="0"/>
                                <a:ext cx="711835"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98.9pt;margin-top:1.65pt;height:0.05pt;width:56.05pt;z-index:251686912;mso-width-relative:page;mso-height-relative:page;" filled="f" stroked="t" coordsize="21600,21600" o:gfxdata="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WPBD9gAAAAHAQAADwAAAAAAAAABACAAAAAiAAAAZHJzL2Rv&#10;d25yZXYueG1sUEsBAhQAFAAAAAgAh07iQDMDDsIBAgAA+QMAAA4AAAAAAAAAAQAgAAAAJwEAAGRy&#10;cy9lMm9Eb2MueG1sUEsFBgAAAAAGAAYAWQEAAJoFAAAAAA==&#10;">
                      <v:fill on="f" focussize="0,0"/>
                      <v:stroke color="#000000" joinstyle="round" endarrow="block"/>
                      <v:imagedata o:title=""/>
                      <o:lock v:ext="edit" aspectratio="f"/>
                    </v:line>
                  </w:pict>
                </mc:Fallback>
              </mc:AlternateContent>
            </w:r>
            <w:r>
              <w:rPr>
                <w:rFonts w:hint="default" w:ascii="Times New Roman" w:hAnsi="Times New Roman" w:eastAsia="宋体" w:cs="Times New Roman"/>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1423670</wp:posOffset>
                      </wp:positionH>
                      <wp:positionV relativeFrom="paragraph">
                        <wp:posOffset>20320</wp:posOffset>
                      </wp:positionV>
                      <wp:extent cx="461010" cy="635"/>
                      <wp:effectExtent l="0" t="38100" r="15240" b="37465"/>
                      <wp:wrapNone/>
                      <wp:docPr id="64" name="直接连接符 64"/>
                      <wp:cNvGraphicFramePr/>
                      <a:graphic xmlns:a="http://schemas.openxmlformats.org/drawingml/2006/main">
                        <a:graphicData uri="http://schemas.microsoft.com/office/word/2010/wordprocessingShape">
                          <wps:wsp>
                            <wps:cNvCnPr/>
                            <wps:spPr>
                              <a:xfrm flipV="1">
                                <a:off x="0" y="0"/>
                                <a:ext cx="461010"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y;margin-left:112.1pt;margin-top:1.6pt;height:0.05pt;width:36.3pt;z-index:251673600;mso-width-relative:page;mso-height-relative:page;" filled="f" stroked="t" coordsize="21600,21600" o:gfxdata="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vj3dNcAAAAHAQAADwAAAAAAAAABACAAAAAiAAAA&#10;ZHJzL2Rvd25yZXYueG1sUEsBAhQAFAAAAAgAh07iQJ4dHIoIAgAAAwQAAA4AAAAAAAAAAQAgAAAA&#10;JgEAAGRycy9lMm9Eb2MueG1sUEsFBgAAAAAGAAYAWQEAAKAFAAAAAA==&#10;">
                      <v:fill on="f" focussize="0,0"/>
                      <v:stroke color="#000000" joinstyle="round" endarrow="block"/>
                      <v:imagedata o:title=""/>
                      <o:lock v:ext="edit" aspectratio="f"/>
                    </v:line>
                  </w:pict>
                </mc:Fallback>
              </mc:AlternateContent>
            </w:r>
          </w:p>
          <w:p w14:paraId="0BC2342F">
            <w:pPr>
              <w:spacing w:line="360" w:lineRule="auto"/>
              <w:ind w:firstLine="480" w:firstLineChars="200"/>
              <w:jc w:val="both"/>
              <w:outlineLvl w:val="9"/>
              <w:rPr>
                <w:rFonts w:hint="default" w:ascii="Times New Roman" w:hAnsi="Times New Roman" w:eastAsia="宋体" w:cs="Times New Roman"/>
                <w:color w:val="auto"/>
                <w:sz w:val="24"/>
                <w:highlight w:val="none"/>
              </w:rPr>
            </w:pPr>
            <w:r>
              <w:rPr>
                <w:color w:val="auto"/>
                <w:sz w:val="24"/>
              </w:rPr>
              <mc:AlternateContent>
                <mc:Choice Requires="wps">
                  <w:drawing>
                    <wp:anchor distT="0" distB="0" distL="114300" distR="114300" simplePos="0" relativeHeight="251694080" behindDoc="0" locked="0" layoutInCell="1" allowOverlap="1">
                      <wp:simplePos x="0" y="0"/>
                      <wp:positionH relativeFrom="column">
                        <wp:posOffset>2015490</wp:posOffset>
                      </wp:positionH>
                      <wp:positionV relativeFrom="paragraph">
                        <wp:posOffset>221615</wp:posOffset>
                      </wp:positionV>
                      <wp:extent cx="1047115" cy="323215"/>
                      <wp:effectExtent l="4445" t="5080" r="15240" b="14605"/>
                      <wp:wrapNone/>
                      <wp:docPr id="45" name="文本框 45"/>
                      <wp:cNvGraphicFramePr/>
                      <a:graphic xmlns:a="http://schemas.openxmlformats.org/drawingml/2006/main">
                        <a:graphicData uri="http://schemas.microsoft.com/office/word/2010/wordprocessingShape">
                          <wps:wsp>
                            <wps:cNvSpPr txBox="1"/>
                            <wps:spPr>
                              <a:xfrm>
                                <a:off x="0" y="0"/>
                                <a:ext cx="1047115" cy="323215"/>
                              </a:xfrm>
                              <a:prstGeom prst="rect">
                                <a:avLst/>
                              </a:prstGeom>
                              <a:noFill/>
                              <a:ln w="9525" cap="flat" cmpd="sng">
                                <a:solidFill>
                                  <a:srgbClr val="000000"/>
                                </a:solidFill>
                                <a:prstDash val="solid"/>
                                <a:miter/>
                                <a:headEnd type="none" w="med" len="med"/>
                                <a:tailEnd type="none" w="med" len="med"/>
                              </a:ln>
                              <a:effectLst/>
                            </wps:spPr>
                            <wps:txbx>
                              <w:txbxContent>
                                <w:p w14:paraId="0C4364ED">
                                  <w:pPr>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降尘用水</w:t>
                                  </w:r>
                                </w:p>
                                <w:p w14:paraId="48176686">
                                  <w:pPr>
                                    <w:rPr>
                                      <w:rFonts w:hint="eastAsia"/>
                                      <w:lang w:eastAsia="zh-CN"/>
                                    </w:rPr>
                                  </w:pPr>
                                </w:p>
                              </w:txbxContent>
                            </wps:txbx>
                            <wps:bodyPr upright="1"/>
                          </wps:wsp>
                        </a:graphicData>
                      </a:graphic>
                    </wp:anchor>
                  </w:drawing>
                </mc:Choice>
                <mc:Fallback>
                  <w:pict>
                    <v:shape id="_x0000_s1026" o:spid="_x0000_s1026" o:spt="202" type="#_x0000_t202" style="position:absolute;left:0pt;margin-left:158.7pt;margin-top:17.45pt;height:25.45pt;width:82.45pt;z-index:251694080;mso-width-relative:page;mso-height-relative:page;" filled="f" stroked="t" coordsize="21600,21600" o:gfxdata="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woDujWAAAACQEAAA8AAAAAAAAAAQAgAAAAIgAA&#10;AGRycy9kb3ducmV2LnhtbFBLAQIUABQAAAAIAIdO4kArgQNlCgIAAB0EAAAOAAAAAAAAAAEAIAAA&#10;ACUBAABkcnMvZTJvRG9jLnhtbFBLBQYAAAAABgAGAFkBAAChBQAAAAA=&#10;">
                      <v:fill on="f" focussize="0,0"/>
                      <v:stroke color="#000000" joinstyle="miter"/>
                      <v:imagedata o:title=""/>
                      <o:lock v:ext="edit" aspectratio="f"/>
                      <v:textbox>
                        <w:txbxContent>
                          <w:p w14:paraId="0C4364ED">
                            <w:pPr>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降尘用水</w:t>
                            </w:r>
                          </w:p>
                          <w:p w14:paraId="48176686">
                            <w:pPr>
                              <w:rPr>
                                <w:rFonts w:hint="eastAsia"/>
                                <w:lang w:eastAsia="zh-CN"/>
                              </w:rPr>
                            </w:pPr>
                          </w:p>
                        </w:txbxContent>
                      </v:textbox>
                    </v:shape>
                  </w:pict>
                </mc:Fallback>
              </mc:AlternateContent>
            </w:r>
            <w:r>
              <w:rPr>
                <w:color w:val="auto"/>
                <w:sz w:val="24"/>
              </w:rPr>
              <mc:AlternateContent>
                <mc:Choice Requires="wps">
                  <w:drawing>
                    <wp:anchor distT="0" distB="0" distL="114300" distR="114300" simplePos="0" relativeHeight="251712512" behindDoc="0" locked="0" layoutInCell="1" allowOverlap="1">
                      <wp:simplePos x="0" y="0"/>
                      <wp:positionH relativeFrom="column">
                        <wp:posOffset>3424555</wp:posOffset>
                      </wp:positionH>
                      <wp:positionV relativeFrom="paragraph">
                        <wp:posOffset>112395</wp:posOffset>
                      </wp:positionV>
                      <wp:extent cx="2445385" cy="447675"/>
                      <wp:effectExtent l="5080" t="4445" r="6985" b="5080"/>
                      <wp:wrapNone/>
                      <wp:docPr id="155" name="文本框 155"/>
                      <wp:cNvGraphicFramePr/>
                      <a:graphic xmlns:a="http://schemas.openxmlformats.org/drawingml/2006/main">
                        <a:graphicData uri="http://schemas.microsoft.com/office/word/2010/wordprocessingShape">
                          <wps:wsp>
                            <wps:cNvSpPr txBox="1"/>
                            <wps:spPr>
                              <a:xfrm>
                                <a:off x="0" y="0"/>
                                <a:ext cx="2445385" cy="276225"/>
                              </a:xfrm>
                              <a:prstGeom prst="rect">
                                <a:avLst/>
                              </a:prstGeom>
                              <a:noFill/>
                              <a:ln w="9525" cap="flat" cmpd="sng">
                                <a:solidFill>
                                  <a:srgbClr val="000000"/>
                                </a:solidFill>
                                <a:prstDash val="solid"/>
                                <a:miter/>
                                <a:headEnd type="none" w="med" len="med"/>
                                <a:tailEnd type="none" w="med" len="med"/>
                              </a:ln>
                              <a:effectLst/>
                            </wps:spPr>
                            <wps:txbx>
                              <w:txbxContent>
                                <w:p w14:paraId="001A34CE">
                                  <w:pPr>
                                    <w:rPr>
                                      <w:sz w:val="21"/>
                                      <w:szCs w:val="21"/>
                                    </w:rPr>
                                  </w:pPr>
                                  <w:r>
                                    <w:rPr>
                                      <w:rFonts w:hint="eastAsia" w:ascii="宋体" w:hAnsi="宋体" w:eastAsia="宋体" w:cs="宋体"/>
                                      <w:bCs/>
                                      <w:color w:val="auto"/>
                                      <w:sz w:val="21"/>
                                      <w:szCs w:val="21"/>
                                    </w:rPr>
                                    <w:t>由</w:t>
                                  </w:r>
                                  <w:r>
                                    <w:rPr>
                                      <w:rFonts w:hint="eastAsia" w:ascii="宋体" w:hAnsi="宋体" w:eastAsia="宋体" w:cs="宋体"/>
                                      <w:bCs/>
                                      <w:color w:val="auto"/>
                                      <w:sz w:val="21"/>
                                      <w:szCs w:val="21"/>
                                      <w:lang w:eastAsia="zh-CN"/>
                                    </w:rPr>
                                    <w:t>物料、</w:t>
                                  </w:r>
                                  <w:r>
                                    <w:rPr>
                                      <w:rFonts w:hint="eastAsia" w:ascii="宋体" w:hAnsi="宋体" w:eastAsia="宋体" w:cs="宋体"/>
                                      <w:bCs/>
                                      <w:color w:val="auto"/>
                                      <w:sz w:val="21"/>
                                      <w:szCs w:val="21"/>
                                    </w:rPr>
                                    <w:t>产品少量带走，其余全部挥发</w:t>
                                  </w:r>
                                </w:p>
                                <w:p w14:paraId="2243BD9F">
                                  <w:pPr>
                                    <w:rPr>
                                      <w:rFonts w:hint="eastAsia"/>
                                      <w:lang w:eastAsia="zh-CN"/>
                                    </w:rPr>
                                  </w:pPr>
                                </w:p>
                              </w:txbxContent>
                            </wps:txbx>
                            <wps:bodyPr upright="1"/>
                          </wps:wsp>
                        </a:graphicData>
                      </a:graphic>
                    </wp:anchor>
                  </w:drawing>
                </mc:Choice>
                <mc:Fallback>
                  <w:pict>
                    <v:shape id="_x0000_s1026" o:spid="_x0000_s1026" o:spt="202" type="#_x0000_t202" style="position:absolute;left:0pt;margin-left:269.65pt;margin-top:8.85pt;height:35.25pt;width:192.55pt;z-index:251712512;mso-width-relative:page;mso-height-relative:page;" filled="f" stroked="t" coordsize="21600,21600" o:gfxdata="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BYrNcAAAAJAQAADwAAAAAAAAABACAA&#10;AAAiAAAAZHJzL2Rvd25yZXYueG1sUEsBAhQAFAAAAAgAh07iQB4Yn4YOAgAAHwQAAA4AAAAAAAAA&#10;AQAgAAAAJgEAAGRycy9lMm9Eb2MueG1sUEsFBgAAAAAGAAYAWQEAAKYFAAAAAA==&#10;">
                      <v:fill on="f" focussize="0,0"/>
                      <v:stroke color="#000000" joinstyle="miter"/>
                      <v:imagedata o:title=""/>
                      <o:lock v:ext="edit" aspectratio="f"/>
                      <v:textbox>
                        <w:txbxContent>
                          <w:p w14:paraId="001A34CE">
                            <w:pPr>
                              <w:rPr>
                                <w:sz w:val="21"/>
                                <w:szCs w:val="21"/>
                              </w:rPr>
                            </w:pPr>
                            <w:r>
                              <w:rPr>
                                <w:rFonts w:hint="eastAsia" w:ascii="宋体" w:hAnsi="宋体" w:eastAsia="宋体" w:cs="宋体"/>
                                <w:bCs/>
                                <w:color w:val="auto"/>
                                <w:sz w:val="21"/>
                                <w:szCs w:val="21"/>
                              </w:rPr>
                              <w:t>由</w:t>
                            </w:r>
                            <w:r>
                              <w:rPr>
                                <w:rFonts w:hint="eastAsia" w:ascii="宋体" w:hAnsi="宋体" w:eastAsia="宋体" w:cs="宋体"/>
                                <w:bCs/>
                                <w:color w:val="auto"/>
                                <w:sz w:val="21"/>
                                <w:szCs w:val="21"/>
                                <w:lang w:eastAsia="zh-CN"/>
                              </w:rPr>
                              <w:t>物料、</w:t>
                            </w:r>
                            <w:r>
                              <w:rPr>
                                <w:rFonts w:hint="eastAsia" w:ascii="宋体" w:hAnsi="宋体" w:eastAsia="宋体" w:cs="宋体"/>
                                <w:bCs/>
                                <w:color w:val="auto"/>
                                <w:sz w:val="21"/>
                                <w:szCs w:val="21"/>
                              </w:rPr>
                              <w:t>产品少量带走，其余全部挥发</w:t>
                            </w:r>
                          </w:p>
                          <w:p w14:paraId="2243BD9F">
                            <w:pPr>
                              <w:rPr>
                                <w:rFonts w:hint="eastAsia"/>
                                <w:lang w:eastAsia="zh-CN"/>
                              </w:rPr>
                            </w:pPr>
                          </w:p>
                        </w:txbxContent>
                      </v:textbox>
                    </v:shape>
                  </w:pict>
                </mc:Fallback>
              </mc:AlternateContent>
            </w:r>
            <w:r>
              <w:rPr>
                <w:rFonts w:hint="default" w:ascii="Times New Roman" w:hAnsi="Times New Roman" w:eastAsia="宋体" w:cs="Times New Roman"/>
                <w:color w:val="auto"/>
                <w:highlight w:val="none"/>
              </w:rPr>
              <mc:AlternateContent>
                <mc:Choice Requires="wps">
                  <w:drawing>
                    <wp:anchor distT="0" distB="0" distL="114300" distR="114300" simplePos="0" relativeHeight="251710464" behindDoc="0" locked="0" layoutInCell="1" allowOverlap="1">
                      <wp:simplePos x="0" y="0"/>
                      <wp:positionH relativeFrom="column">
                        <wp:posOffset>3018155</wp:posOffset>
                      </wp:positionH>
                      <wp:positionV relativeFrom="paragraph">
                        <wp:posOffset>109855</wp:posOffset>
                      </wp:positionV>
                      <wp:extent cx="471170" cy="365125"/>
                      <wp:effectExtent l="0" t="0" r="0" b="0"/>
                      <wp:wrapNone/>
                      <wp:docPr id="51" name="矩形 51"/>
                      <wp:cNvGraphicFramePr/>
                      <a:graphic xmlns:a="http://schemas.openxmlformats.org/drawingml/2006/main">
                        <a:graphicData uri="http://schemas.microsoft.com/office/word/2010/wordprocessingShape">
                          <wps:wsp>
                            <wps:cNvSpPr/>
                            <wps:spPr>
                              <a:xfrm>
                                <a:off x="0" y="0"/>
                                <a:ext cx="471170" cy="365125"/>
                              </a:xfrm>
                              <a:prstGeom prst="rect">
                                <a:avLst/>
                              </a:prstGeom>
                              <a:noFill/>
                              <a:ln>
                                <a:noFill/>
                              </a:ln>
                              <a:effectLst/>
                            </wps:spPr>
                            <wps:txbx>
                              <w:txbxContent>
                                <w:p w14:paraId="21226362">
                                  <w:pPr>
                                    <w:ind w:left="0" w:leftChars="0" w:right="0" w:rightChars="0" w:firstLine="0" w:firstLineChars="0"/>
                                    <w:jc w:val="center"/>
                                    <w:rPr>
                                      <w:rFonts w:hint="default" w:ascii="宋体" w:hAnsi="宋体" w:eastAsia="宋体" w:cs="宋体"/>
                                      <w:color w:val="000000"/>
                                      <w:sz w:val="21"/>
                                      <w:u w:val="none" w:color="auto"/>
                                      <w:lang w:val="en-US" w:eastAsia="zh-CN"/>
                                    </w:rPr>
                                  </w:pPr>
                                  <w:r>
                                    <w:rPr>
                                      <w:rFonts w:hint="eastAsia" w:ascii="宋体" w:hAnsi="宋体" w:eastAsia="宋体" w:cs="宋体"/>
                                      <w:color w:val="000000"/>
                                      <w:sz w:val="21"/>
                                      <w:u w:val="none" w:color="auto"/>
                                      <w:lang w:val="en-US" w:eastAsia="zh-CN"/>
                                    </w:rPr>
                                    <w:t>0.8</w:t>
                                  </w:r>
                                </w:p>
                              </w:txbxContent>
                            </wps:txbx>
                            <wps:bodyPr upright="1"/>
                          </wps:wsp>
                        </a:graphicData>
                      </a:graphic>
                    </wp:anchor>
                  </w:drawing>
                </mc:Choice>
                <mc:Fallback>
                  <w:pict>
                    <v:rect id="_x0000_s1026" o:spid="_x0000_s1026" o:spt="1" style="position:absolute;left:0pt;margin-left:237.65pt;margin-top:8.65pt;height:28.75pt;width:37.1pt;z-index:251710464;mso-width-relative:page;mso-height-relative:page;" filled="f" stroked="f" coordsize="21600,21600" o:gfxdata="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O2j4r/aAAAACQEA&#10;AA8AAAAAAAAAAQAgAAAAIgAAAGRycy9kb3ducmV2LnhtbFBLAQIUABQAAAAIAIdO4kBt/G++pgEA&#10;AFADAAAOAAAAAAAAAAEAIAAAACkBAABkcnMvZTJvRG9jLnhtbFBLBQYAAAAABgAGAFkBAABBBQAA&#10;AAA=&#10;">
                      <v:fill on="f" focussize="0,0"/>
                      <v:stroke on="f"/>
                      <v:imagedata o:title=""/>
                      <o:lock v:ext="edit" aspectratio="f"/>
                      <v:textbox>
                        <w:txbxContent>
                          <w:p w14:paraId="21226362">
                            <w:pPr>
                              <w:ind w:left="0" w:leftChars="0" w:right="0" w:rightChars="0" w:firstLine="0" w:firstLineChars="0"/>
                              <w:jc w:val="center"/>
                              <w:rPr>
                                <w:rFonts w:hint="default" w:ascii="宋体" w:hAnsi="宋体" w:eastAsia="宋体" w:cs="宋体"/>
                                <w:color w:val="000000"/>
                                <w:sz w:val="21"/>
                                <w:u w:val="none" w:color="auto"/>
                                <w:lang w:val="en-US" w:eastAsia="zh-CN"/>
                              </w:rPr>
                            </w:pPr>
                            <w:r>
                              <w:rPr>
                                <w:rFonts w:hint="eastAsia" w:ascii="宋体" w:hAnsi="宋体" w:eastAsia="宋体" w:cs="宋体"/>
                                <w:color w:val="000000"/>
                                <w:sz w:val="21"/>
                                <w:u w:val="none" w:color="auto"/>
                                <w:lang w:val="en-US" w:eastAsia="zh-CN"/>
                              </w:rPr>
                              <w:t>0.8</w:t>
                            </w:r>
                          </w:p>
                        </w:txbxContent>
                      </v:textbox>
                    </v:rect>
                  </w:pict>
                </mc:Fallback>
              </mc:AlternateContent>
            </w:r>
            <w:r>
              <w:rPr>
                <w:rFonts w:hint="default" w:ascii="Times New Roman" w:hAnsi="Times New Roman" w:eastAsia="宋体" w:cs="Times New Roman"/>
                <w:color w:val="auto"/>
                <w:highlight w:val="none"/>
              </w:rPr>
              <mc:AlternateContent>
                <mc:Choice Requires="wps">
                  <w:drawing>
                    <wp:anchor distT="0" distB="0" distL="114300" distR="114300" simplePos="0" relativeHeight="251688960" behindDoc="0" locked="0" layoutInCell="1" allowOverlap="1">
                      <wp:simplePos x="0" y="0"/>
                      <wp:positionH relativeFrom="column">
                        <wp:posOffset>523875</wp:posOffset>
                      </wp:positionH>
                      <wp:positionV relativeFrom="paragraph">
                        <wp:posOffset>249555</wp:posOffset>
                      </wp:positionV>
                      <wp:extent cx="869315" cy="19050"/>
                      <wp:effectExtent l="0" t="20955" r="6985" b="36195"/>
                      <wp:wrapNone/>
                      <wp:docPr id="49" name="直接连接符 49"/>
                      <wp:cNvGraphicFramePr/>
                      <a:graphic xmlns:a="http://schemas.openxmlformats.org/drawingml/2006/main">
                        <a:graphicData uri="http://schemas.microsoft.com/office/word/2010/wordprocessingShape">
                          <wps:wsp>
                            <wps:cNvCnPr/>
                            <wps:spPr>
                              <a:xfrm>
                                <a:off x="0" y="0"/>
                                <a:ext cx="869315" cy="1905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41.25pt;margin-top:19.65pt;height:1.5pt;width:68.45pt;z-index:251688960;mso-width-relative:page;mso-height-relative:page;" filled="f" stroked="t" coordsize="21600,21600" o:gfxdata="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7fAkDaAAAACAEAAA8AAAAAAAAAAQAgAAAAIgAA&#10;AGRycy9kb3ducmV2LnhtbFBLAQIUABQAAAAIAIdO4kDGlLc6BgIAAPsDAAAOAAAAAAAAAAEAIAAA&#10;ACkBAABkcnMvZTJvRG9jLnhtbFBLBQYAAAAABgAGAFkBAAChBQAAAAA=&#10;">
                      <v:fill on="f" focussize="0,0"/>
                      <v:stroke color="#000000" joinstyle="round" endarrow="block"/>
                      <v:imagedata o:title=""/>
                      <o:lock v:ext="edit" aspectratio="f"/>
                    </v:line>
                  </w:pict>
                </mc:Fallback>
              </mc:AlternateContent>
            </w:r>
          </w:p>
          <w:p w14:paraId="58F6D408">
            <w:pPr>
              <w:spacing w:line="240" w:lineRule="auto"/>
              <w:ind w:firstLine="960" w:firstLineChars="400"/>
              <w:jc w:val="both"/>
              <w:outlineLvl w:val="9"/>
              <w:rPr>
                <w:rFonts w:hint="default" w:ascii="宋体" w:hAnsi="宋体" w:eastAsia="宋体" w:cs="宋体"/>
                <w:color w:val="auto"/>
                <w:sz w:val="21"/>
                <w:szCs w:val="21"/>
                <w:highlight w:val="none"/>
                <w:u w:val="none"/>
                <w:lang w:val="en-US"/>
              </w:rPr>
            </w:pPr>
            <w:r>
              <w:rPr>
                <w:rFonts w:hint="default" w:ascii="Times New Roman" w:hAnsi="Times New Roman" w:eastAsia="宋体" w:cs="Times New Roman"/>
                <w:color w:val="auto"/>
                <w:highlight w:val="none"/>
              </w:rPr>
              <mc:AlternateContent>
                <mc:Choice Requires="wps">
                  <w:drawing>
                    <wp:anchor distT="0" distB="0" distL="114300" distR="114300" simplePos="0" relativeHeight="251711488" behindDoc="0" locked="0" layoutInCell="1" allowOverlap="1">
                      <wp:simplePos x="0" y="0"/>
                      <wp:positionH relativeFrom="column">
                        <wp:posOffset>3052445</wp:posOffset>
                      </wp:positionH>
                      <wp:positionV relativeFrom="paragraph">
                        <wp:posOffset>73660</wp:posOffset>
                      </wp:positionV>
                      <wp:extent cx="461010" cy="635"/>
                      <wp:effectExtent l="0" t="38100" r="15240" b="37465"/>
                      <wp:wrapNone/>
                      <wp:docPr id="153" name="直接连接符 153"/>
                      <wp:cNvGraphicFramePr/>
                      <a:graphic xmlns:a="http://schemas.openxmlformats.org/drawingml/2006/main">
                        <a:graphicData uri="http://schemas.microsoft.com/office/word/2010/wordprocessingShape">
                          <wps:wsp>
                            <wps:cNvCnPr/>
                            <wps:spPr>
                              <a:xfrm flipV="1">
                                <a:off x="0" y="0"/>
                                <a:ext cx="461010"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y;margin-left:240.35pt;margin-top:5.8pt;height:0.05pt;width:36.3pt;z-index:251711488;mso-width-relative:page;mso-height-relative:page;" filled="f" stroked="t" coordsize="21600,21600" o:gfxdata="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oL6Dk2QAAAAkBAAAPAAAAAAAAAAEAIAAAACIA&#10;AABkcnMvZG93bnJldi54bWxQSwECFAAUAAAACACHTuJAih7UIggCAAAFBAAADgAAAAAAAAABACAA&#10;AAAoAQAAZHJzL2Uyb0RvYy54bWxQSwUGAAAAAAYABgBZAQAAogUAAAAA&#10;">
                      <v:fill on="f" focussize="0,0"/>
                      <v:stroke color="#000000" joinstyle="round" endarrow="block"/>
                      <v:imagedata o:title=""/>
                      <o:lock v:ext="edit" aspectratio="f"/>
                    </v:line>
                  </w:pict>
                </mc:Fallback>
              </mc:AlternateContent>
            </w:r>
            <w:r>
              <w:rPr>
                <w:rFonts w:hint="eastAsia" w:ascii="宋体" w:hAnsi="宋体" w:eastAsia="宋体" w:cs="宋体"/>
                <w:color w:val="auto"/>
                <w:sz w:val="21"/>
                <w:szCs w:val="21"/>
                <w:highlight w:val="none"/>
                <w:u w:val="none"/>
              </w:rPr>
              <mc:AlternateContent>
                <mc:Choice Requires="wps">
                  <w:drawing>
                    <wp:anchor distT="0" distB="0" distL="114300" distR="114300" simplePos="0" relativeHeight="251674624" behindDoc="0" locked="0" layoutInCell="1" allowOverlap="1">
                      <wp:simplePos x="0" y="0"/>
                      <wp:positionH relativeFrom="column">
                        <wp:posOffset>1429385</wp:posOffset>
                      </wp:positionH>
                      <wp:positionV relativeFrom="paragraph">
                        <wp:posOffset>151130</wp:posOffset>
                      </wp:positionV>
                      <wp:extent cx="461010" cy="635"/>
                      <wp:effectExtent l="0" t="38100" r="15240" b="37465"/>
                      <wp:wrapNone/>
                      <wp:docPr id="54" name="直接连接符 54"/>
                      <wp:cNvGraphicFramePr/>
                      <a:graphic xmlns:a="http://schemas.openxmlformats.org/drawingml/2006/main">
                        <a:graphicData uri="http://schemas.microsoft.com/office/word/2010/wordprocessingShape">
                          <wps:wsp>
                            <wps:cNvCnPr/>
                            <wps:spPr>
                              <a:xfrm flipV="1">
                                <a:off x="0" y="0"/>
                                <a:ext cx="461010"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y;margin-left:112.55pt;margin-top:11.9pt;height:0.05pt;width:36.3pt;z-index:251674624;mso-width-relative:page;mso-height-relative:page;" filled="f" stroked="t" coordsize="21600,21600" o:gfxdata="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uVj2QAAAAkBAAAPAAAAAAAAAAEAIAAAACIA&#10;AABkcnMvZG93bnJldi54bWxQSwECFAAUAAAACACHTuJAL0CnTggCAAADBAAADgAAAAAAAAABACAA&#10;AAAoAQAAZHJzL2Uyb0RvYy54bWxQSwUGAAAAAAYABgBZAQAAogUAAAAA&#10;">
                      <v:fill on="f" focussize="0,0"/>
                      <v:stroke color="#000000" joinstyle="round" endarrow="block"/>
                      <v:imagedata o:title=""/>
                      <o:lock v:ext="edit" aspectratio="f"/>
                    </v:line>
                  </w:pict>
                </mc:Fallback>
              </mc:AlternateContent>
            </w:r>
            <w:r>
              <w:rPr>
                <w:rFonts w:hint="eastAsia" w:ascii="宋体" w:hAnsi="宋体" w:eastAsia="宋体" w:cs="宋体"/>
                <w:color w:val="auto"/>
                <w:sz w:val="21"/>
                <w:szCs w:val="21"/>
                <w:highlight w:val="none"/>
                <w:u w:val="none"/>
                <w:lang w:val="en-US" w:eastAsia="zh-CN"/>
              </w:rPr>
              <w:t xml:space="preserve">               0.8</w:t>
            </w:r>
          </w:p>
          <w:p w14:paraId="571CE0DD">
            <w:pPr>
              <w:spacing w:line="240" w:lineRule="auto"/>
              <w:jc w:val="both"/>
              <w:outlineLvl w:val="9"/>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                     </w:t>
            </w:r>
          </w:p>
          <w:p w14:paraId="71ED3A2C">
            <w:pPr>
              <w:spacing w:line="240" w:lineRule="auto"/>
              <w:jc w:val="both"/>
              <w:outlineLvl w:val="9"/>
              <w:rPr>
                <w:rFonts w:hint="default" w:ascii="Times New Roman" w:hAnsi="Times New Roman" w:eastAsia="宋体" w:cs="Times New Roman"/>
                <w:color w:val="auto"/>
                <w:sz w:val="24"/>
                <w:highlight w:val="none"/>
                <w:lang w:val="en-US" w:eastAsia="zh-CN"/>
              </w:rPr>
            </w:pPr>
            <w:r>
              <w:rPr>
                <w:color w:val="auto"/>
                <w:sz w:val="24"/>
              </w:rPr>
              <mc:AlternateContent>
                <mc:Choice Requires="wps">
                  <w:drawing>
                    <wp:anchor distT="0" distB="0" distL="114300" distR="114300" simplePos="0" relativeHeight="251700224" behindDoc="0" locked="0" layoutInCell="1" allowOverlap="1">
                      <wp:simplePos x="0" y="0"/>
                      <wp:positionH relativeFrom="column">
                        <wp:posOffset>3491865</wp:posOffset>
                      </wp:positionH>
                      <wp:positionV relativeFrom="paragraph">
                        <wp:posOffset>189865</wp:posOffset>
                      </wp:positionV>
                      <wp:extent cx="2122805" cy="532765"/>
                      <wp:effectExtent l="4445" t="4445" r="6350" b="15240"/>
                      <wp:wrapNone/>
                      <wp:docPr id="41" name="文本框 41"/>
                      <wp:cNvGraphicFramePr/>
                      <a:graphic xmlns:a="http://schemas.openxmlformats.org/drawingml/2006/main">
                        <a:graphicData uri="http://schemas.microsoft.com/office/word/2010/wordprocessingShape">
                          <wps:wsp>
                            <wps:cNvSpPr txBox="1"/>
                            <wps:spPr>
                              <a:xfrm>
                                <a:off x="0" y="0"/>
                                <a:ext cx="2122805" cy="532765"/>
                              </a:xfrm>
                              <a:prstGeom prst="rect">
                                <a:avLst/>
                              </a:prstGeom>
                              <a:noFill/>
                              <a:ln w="9525" cap="flat" cmpd="sng">
                                <a:solidFill>
                                  <a:srgbClr val="000000"/>
                                </a:solidFill>
                                <a:prstDash val="solid"/>
                                <a:miter/>
                                <a:headEnd type="none" w="med" len="med"/>
                                <a:tailEnd type="none" w="med" len="med"/>
                              </a:ln>
                              <a:effectLst/>
                            </wps:spPr>
                            <wps:txbx>
                              <w:txbxContent>
                                <w:p w14:paraId="27160EBF">
                                  <w:pPr>
                                    <w:spacing w:line="240" w:lineRule="auto"/>
                                    <w:rPr>
                                      <w:color w:val="000000"/>
                                      <w:sz w:val="21"/>
                                      <w:szCs w:val="21"/>
                                    </w:rPr>
                                  </w:pPr>
                                  <w:r>
                                    <w:rPr>
                                      <w:rFonts w:hint="eastAsia" w:ascii="宋体" w:hAnsi="宋体" w:eastAsia="宋体" w:cs="宋体"/>
                                      <w:color w:val="000000"/>
                                      <w:spacing w:val="-2"/>
                                      <w:sz w:val="21"/>
                                      <w:szCs w:val="21"/>
                                      <w:lang w:val="en-US" w:eastAsia="zh-CN"/>
                                    </w:rPr>
                                    <w:t>全部进入产品、在养护时自然蒸发</w:t>
                                  </w:r>
                                </w:p>
                                <w:p w14:paraId="56DB150E">
                                  <w:pPr>
                                    <w:rPr>
                                      <w:rFonts w:hint="eastAsia"/>
                                      <w:lang w:eastAsia="zh-CN"/>
                                    </w:rPr>
                                  </w:pPr>
                                </w:p>
                              </w:txbxContent>
                            </wps:txbx>
                            <wps:bodyPr upright="1"/>
                          </wps:wsp>
                        </a:graphicData>
                      </a:graphic>
                    </wp:anchor>
                  </w:drawing>
                </mc:Choice>
                <mc:Fallback>
                  <w:pict>
                    <v:shape id="_x0000_s1026" o:spid="_x0000_s1026" o:spt="202" type="#_x0000_t202" style="position:absolute;left:0pt;margin-left:274.95pt;margin-top:14.95pt;height:41.95pt;width:167.15pt;z-index:251700224;mso-width-relative:page;mso-height-relative:page;" filled="f" stroked="t" coordsize="21600,21600" o:gfxdata="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O0c+9cAAAAKAQAADwAAAAAAAAABACAAAAAi&#10;AAAAZHJzL2Rvd25yZXYueG1sUEsBAhQAFAAAAAgAh07iQOCsztALAgAAHQQAAA4AAAAAAAAAAQAg&#10;AAAAJgEAAGRycy9lMm9Eb2MueG1sUEsFBgAAAAAGAAYAWQEAAKMFAAAAAA==&#10;">
                      <v:fill on="f" focussize="0,0"/>
                      <v:stroke color="#000000" joinstyle="miter"/>
                      <v:imagedata o:title=""/>
                      <o:lock v:ext="edit" aspectratio="f"/>
                      <v:textbox>
                        <w:txbxContent>
                          <w:p w14:paraId="27160EBF">
                            <w:pPr>
                              <w:spacing w:line="240" w:lineRule="auto"/>
                              <w:rPr>
                                <w:color w:val="000000"/>
                                <w:sz w:val="21"/>
                                <w:szCs w:val="21"/>
                              </w:rPr>
                            </w:pPr>
                            <w:r>
                              <w:rPr>
                                <w:rFonts w:hint="eastAsia" w:ascii="宋体" w:hAnsi="宋体" w:eastAsia="宋体" w:cs="宋体"/>
                                <w:color w:val="000000"/>
                                <w:spacing w:val="-2"/>
                                <w:sz w:val="21"/>
                                <w:szCs w:val="21"/>
                                <w:lang w:val="en-US" w:eastAsia="zh-CN"/>
                              </w:rPr>
                              <w:t>全部进入产品、在养护时自然蒸发</w:t>
                            </w:r>
                          </w:p>
                          <w:p w14:paraId="56DB150E">
                            <w:pPr>
                              <w:rPr>
                                <w:rFonts w:hint="eastAsia"/>
                                <w:lang w:eastAsia="zh-CN"/>
                              </w:rPr>
                            </w:pPr>
                          </w:p>
                        </w:txbxContent>
                      </v:textbox>
                    </v:shape>
                  </w:pict>
                </mc:Fallback>
              </mc:AlternateContent>
            </w:r>
            <w:r>
              <w:rPr>
                <w:rFonts w:hint="default" w:ascii="Times New Roman" w:hAnsi="Times New Roman" w:eastAsia="宋体" w:cs="Times New Roman"/>
                <w:color w:val="auto"/>
                <w:highlight w:val="none"/>
              </w:rPr>
              <mc:AlternateContent>
                <mc:Choice Requires="wps">
                  <w:drawing>
                    <wp:anchor distT="0" distB="0" distL="114300" distR="114300" simplePos="0" relativeHeight="251715584" behindDoc="0" locked="0" layoutInCell="1" allowOverlap="1">
                      <wp:simplePos x="0" y="0"/>
                      <wp:positionH relativeFrom="column">
                        <wp:posOffset>2932430</wp:posOffset>
                      </wp:positionH>
                      <wp:positionV relativeFrom="paragraph">
                        <wp:posOffset>130175</wp:posOffset>
                      </wp:positionV>
                      <wp:extent cx="490220" cy="356235"/>
                      <wp:effectExtent l="0" t="0" r="0" b="0"/>
                      <wp:wrapNone/>
                      <wp:docPr id="158" name="矩形 158"/>
                      <wp:cNvGraphicFramePr/>
                      <a:graphic xmlns:a="http://schemas.openxmlformats.org/drawingml/2006/main">
                        <a:graphicData uri="http://schemas.microsoft.com/office/word/2010/wordprocessingShape">
                          <wps:wsp>
                            <wps:cNvSpPr/>
                            <wps:spPr>
                              <a:xfrm>
                                <a:off x="0" y="0"/>
                                <a:ext cx="490220" cy="356235"/>
                              </a:xfrm>
                              <a:prstGeom prst="rect">
                                <a:avLst/>
                              </a:prstGeom>
                              <a:noFill/>
                              <a:ln>
                                <a:noFill/>
                              </a:ln>
                              <a:effectLst/>
                            </wps:spPr>
                            <wps:txbx>
                              <w:txbxContent>
                                <w:p w14:paraId="66B627CF">
                                  <w:pPr>
                                    <w:ind w:left="0" w:leftChars="0" w:right="0" w:rightChars="0" w:firstLine="0" w:firstLineChars="0"/>
                                    <w:jc w:val="center"/>
                                    <w:rPr>
                                      <w:rFonts w:hint="default" w:ascii="宋体" w:hAnsi="宋体" w:eastAsia="宋体" w:cs="宋体"/>
                                      <w:color w:val="000000"/>
                                      <w:sz w:val="21"/>
                                      <w:szCs w:val="21"/>
                                      <w:u w:val="none" w:color="auto"/>
                                      <w:lang w:val="en-US" w:eastAsia="zh-CN"/>
                                    </w:rPr>
                                  </w:pPr>
                                  <w:r>
                                    <w:rPr>
                                      <w:rFonts w:hint="eastAsia" w:ascii="宋体" w:hAnsi="宋体" w:eastAsia="宋体" w:cs="宋体"/>
                                      <w:color w:val="000000"/>
                                      <w:sz w:val="21"/>
                                      <w:szCs w:val="21"/>
                                      <w:u w:val="none" w:color="auto"/>
                                      <w:lang w:val="en-US" w:eastAsia="zh-CN"/>
                                    </w:rPr>
                                    <w:t>6</w:t>
                                  </w:r>
                                </w:p>
                              </w:txbxContent>
                            </wps:txbx>
                            <wps:bodyPr upright="1"/>
                          </wps:wsp>
                        </a:graphicData>
                      </a:graphic>
                    </wp:anchor>
                  </w:drawing>
                </mc:Choice>
                <mc:Fallback>
                  <w:pict>
                    <v:rect id="_x0000_s1026" o:spid="_x0000_s1026" o:spt="1" style="position:absolute;left:0pt;margin-left:230.9pt;margin-top:10.25pt;height:28.05pt;width:38.6pt;z-index:251715584;mso-width-relative:page;mso-height-relative:page;" filled="f" stroked="f" coordsize="21600,21600" o:gfxdata="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ZmqxNoAAAAJ&#10;AQAADwAAAAAAAAABACAAAAAiAAAAZHJzL2Rvd25yZXYueG1sUEsBAhQAFAAAAAgAh07iQFMnorSo&#10;AQAAUgMAAA4AAAAAAAAAAQAgAAAAKQEAAGRycy9lMm9Eb2MueG1sUEsFBgAAAAAGAAYAWQEAAEMF&#10;AAAAAA==&#10;">
                      <v:fill on="f" focussize="0,0"/>
                      <v:stroke on="f"/>
                      <v:imagedata o:title=""/>
                      <o:lock v:ext="edit" aspectratio="f"/>
                      <v:textbox>
                        <w:txbxContent>
                          <w:p w14:paraId="66B627CF">
                            <w:pPr>
                              <w:ind w:left="0" w:leftChars="0" w:right="0" w:rightChars="0" w:firstLine="0" w:firstLineChars="0"/>
                              <w:jc w:val="center"/>
                              <w:rPr>
                                <w:rFonts w:hint="default" w:ascii="宋体" w:hAnsi="宋体" w:eastAsia="宋体" w:cs="宋体"/>
                                <w:color w:val="000000"/>
                                <w:sz w:val="21"/>
                                <w:szCs w:val="21"/>
                                <w:u w:val="none" w:color="auto"/>
                                <w:lang w:val="en-US" w:eastAsia="zh-CN"/>
                              </w:rPr>
                            </w:pPr>
                            <w:r>
                              <w:rPr>
                                <w:rFonts w:hint="eastAsia" w:ascii="宋体" w:hAnsi="宋体" w:eastAsia="宋体" w:cs="宋体"/>
                                <w:color w:val="000000"/>
                                <w:sz w:val="21"/>
                                <w:szCs w:val="21"/>
                                <w:u w:val="none" w:color="auto"/>
                                <w:lang w:val="en-US" w:eastAsia="zh-CN"/>
                              </w:rPr>
                              <w:t>6</w:t>
                            </w:r>
                          </w:p>
                        </w:txbxContent>
                      </v:textbox>
                    </v:rect>
                  </w:pict>
                </mc:Fallback>
              </mc:AlternateContent>
            </w:r>
            <w:r>
              <w:rPr>
                <w:rFonts w:hint="eastAsia" w:eastAsia="宋体" w:cs="Times New Roman"/>
                <w:color w:val="auto"/>
                <w:sz w:val="24"/>
                <w:highlight w:val="none"/>
                <w:lang w:val="en-US" w:eastAsia="zh-CN"/>
              </w:rPr>
              <w:t xml:space="preserve">   </w:t>
            </w:r>
          </w:p>
          <w:p w14:paraId="25E71301">
            <w:pPr>
              <w:spacing w:line="240" w:lineRule="auto"/>
              <w:jc w:val="both"/>
              <w:outlineLvl w:val="9"/>
              <w:rPr>
                <w:rFonts w:hint="default" w:ascii="Times New Roman" w:hAnsi="Times New Roman" w:eastAsia="宋体" w:cs="Times New Roman"/>
                <w:color w:val="auto"/>
                <w:sz w:val="24"/>
                <w:highlight w:val="none"/>
                <w:lang w:val="en-US" w:eastAsia="zh-CN"/>
              </w:rPr>
            </w:pPr>
            <w:r>
              <w:rPr>
                <w:color w:val="auto"/>
                <w:sz w:val="24"/>
              </w:rPr>
              <mc:AlternateContent>
                <mc:Choice Requires="wps">
                  <w:drawing>
                    <wp:anchor distT="0" distB="0" distL="114300" distR="114300" simplePos="0" relativeHeight="251714560" behindDoc="0" locked="0" layoutInCell="1" allowOverlap="1">
                      <wp:simplePos x="0" y="0"/>
                      <wp:positionH relativeFrom="column">
                        <wp:posOffset>1910715</wp:posOffset>
                      </wp:positionH>
                      <wp:positionV relativeFrom="paragraph">
                        <wp:posOffset>34925</wp:posOffset>
                      </wp:positionV>
                      <wp:extent cx="1047115" cy="323215"/>
                      <wp:effectExtent l="4445" t="5080" r="15240" b="14605"/>
                      <wp:wrapNone/>
                      <wp:docPr id="157" name="文本框 157"/>
                      <wp:cNvGraphicFramePr/>
                      <a:graphic xmlns:a="http://schemas.openxmlformats.org/drawingml/2006/main">
                        <a:graphicData uri="http://schemas.microsoft.com/office/word/2010/wordprocessingShape">
                          <wps:wsp>
                            <wps:cNvSpPr txBox="1"/>
                            <wps:spPr>
                              <a:xfrm>
                                <a:off x="0" y="0"/>
                                <a:ext cx="1047115" cy="323215"/>
                              </a:xfrm>
                              <a:prstGeom prst="rect">
                                <a:avLst/>
                              </a:prstGeom>
                              <a:noFill/>
                              <a:ln w="9525" cap="flat" cmpd="sng">
                                <a:solidFill>
                                  <a:srgbClr val="000000"/>
                                </a:solidFill>
                                <a:prstDash val="solid"/>
                                <a:miter/>
                                <a:headEnd type="none" w="med" len="med"/>
                                <a:tailEnd type="none" w="med" len="med"/>
                              </a:ln>
                              <a:effectLst/>
                            </wps:spPr>
                            <wps:txbx>
                              <w:txbxContent>
                                <w:p w14:paraId="327813E4">
                                  <w:pPr>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养护用水</w:t>
                                  </w:r>
                                </w:p>
                                <w:p w14:paraId="458CFC84">
                                  <w:pPr>
                                    <w:rPr>
                                      <w:rFonts w:hint="eastAsia"/>
                                      <w:lang w:eastAsia="zh-CN"/>
                                    </w:rPr>
                                  </w:pPr>
                                </w:p>
                              </w:txbxContent>
                            </wps:txbx>
                            <wps:bodyPr upright="1"/>
                          </wps:wsp>
                        </a:graphicData>
                      </a:graphic>
                    </wp:anchor>
                  </w:drawing>
                </mc:Choice>
                <mc:Fallback>
                  <w:pict>
                    <v:shape id="_x0000_s1026" o:spid="_x0000_s1026" o:spt="202" type="#_x0000_t202" style="position:absolute;left:0pt;margin-left:150.45pt;margin-top:2.75pt;height:25.45pt;width:82.45pt;z-index:251714560;mso-width-relative:page;mso-height-relative:page;" filled="f" stroked="t" coordsize="21600,21600" o:gfxdata="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J2rltUAAAAIAQAADwAAAAAAAAABACAAAAAiAAAA&#10;ZHJzL2Rvd25yZXYueG1sUEsBAhQAFAAAAAgAh07iQI9+CV0KAgAAHwQAAA4AAAAAAAAAAQAgAAAA&#10;JAEAAGRycy9lMm9Eb2MueG1sUEsFBgAAAAAGAAYAWQEAAKAFAAAAAA==&#10;">
                      <v:fill on="f" focussize="0,0"/>
                      <v:stroke color="#000000" joinstyle="miter"/>
                      <v:imagedata o:title=""/>
                      <o:lock v:ext="edit" aspectratio="f"/>
                      <v:textbox>
                        <w:txbxContent>
                          <w:p w14:paraId="327813E4">
                            <w:pPr>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养护用水</w:t>
                            </w:r>
                          </w:p>
                          <w:p w14:paraId="458CFC84">
                            <w:pPr>
                              <w:rPr>
                                <w:rFonts w:hint="eastAsia"/>
                                <w:lang w:eastAsia="zh-CN"/>
                              </w:rPr>
                            </w:pPr>
                          </w:p>
                        </w:txbxContent>
                      </v:textbox>
                    </v:shape>
                  </w:pict>
                </mc:Fallback>
              </mc:AlternateContent>
            </w:r>
            <w:r>
              <w:rPr>
                <w:rFonts w:hint="eastAsia" w:ascii="宋体" w:hAnsi="宋体" w:eastAsia="宋体" w:cs="宋体"/>
                <w:color w:val="auto"/>
                <w:sz w:val="21"/>
                <w:szCs w:val="21"/>
                <w:highlight w:val="none"/>
                <w:u w:val="none"/>
              </w:rPr>
              <mc:AlternateContent>
                <mc:Choice Requires="wps">
                  <w:drawing>
                    <wp:anchor distT="0" distB="0" distL="114300" distR="114300" simplePos="0" relativeHeight="251713536" behindDoc="0" locked="0" layoutInCell="1" allowOverlap="1">
                      <wp:simplePos x="0" y="0"/>
                      <wp:positionH relativeFrom="column">
                        <wp:posOffset>1457960</wp:posOffset>
                      </wp:positionH>
                      <wp:positionV relativeFrom="paragraph">
                        <wp:posOffset>175895</wp:posOffset>
                      </wp:positionV>
                      <wp:extent cx="461010" cy="635"/>
                      <wp:effectExtent l="0" t="38100" r="15240" b="37465"/>
                      <wp:wrapNone/>
                      <wp:docPr id="156" name="直接连接符 156"/>
                      <wp:cNvGraphicFramePr/>
                      <a:graphic xmlns:a="http://schemas.openxmlformats.org/drawingml/2006/main">
                        <a:graphicData uri="http://schemas.microsoft.com/office/word/2010/wordprocessingShape">
                          <wps:wsp>
                            <wps:cNvCnPr/>
                            <wps:spPr>
                              <a:xfrm flipV="1">
                                <a:off x="0" y="0"/>
                                <a:ext cx="461010"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y;margin-left:114.8pt;margin-top:13.85pt;height:0.05pt;width:36.3pt;z-index:251713536;mso-width-relative:page;mso-height-relative:page;" filled="f" stroked="t" coordsize="21600,21600" o:gfxdata="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RgEho2QAAAAkBAAAPAAAAAAAAAAEAIAAAACIA&#10;AABkcnMvZG93bnJldi54bWxQSwECFAAUAAAACACHTuJAGp8mFwgCAAAFBAAADgAAAAAAAAABACAA&#10;AAAoAQAAZHJzL2Uyb0RvYy54bWxQSwUGAAAAAAYABgBZAQAAogUAAAAA&#10;">
                      <v:fill on="f" focussize="0,0"/>
                      <v:stroke color="#000000" joinstyle="round" endarrow="block"/>
                      <v:imagedata o:title=""/>
                      <o:lock v:ext="edit" aspectratio="f"/>
                    </v:line>
                  </w:pict>
                </mc:Fallback>
              </mc:AlternateContent>
            </w:r>
            <w:r>
              <w:rPr>
                <w:rFonts w:hint="eastAsia" w:eastAsia="宋体" w:cs="Times New Roman"/>
                <w:color w:val="auto"/>
                <w:sz w:val="24"/>
                <w:highlight w:val="none"/>
                <w:lang w:val="en-US" w:eastAsia="zh-CN"/>
              </w:rPr>
              <w:t xml:space="preserve">                      </w:t>
            </w:r>
            <w:r>
              <w:rPr>
                <w:rFonts w:hint="eastAsia" w:ascii="宋体" w:hAnsi="宋体" w:eastAsia="宋体" w:cs="宋体"/>
                <w:color w:val="auto"/>
                <w:sz w:val="24"/>
                <w:highlight w:val="none"/>
                <w:lang w:val="en-US" w:eastAsia="zh-CN"/>
              </w:rPr>
              <w:t>6</w:t>
            </w:r>
          </w:p>
          <w:p w14:paraId="2432787F">
            <w:pPr>
              <w:spacing w:line="240" w:lineRule="auto"/>
              <w:jc w:val="both"/>
              <w:outlineLvl w:val="9"/>
              <w:rPr>
                <w:rFonts w:hint="eastAsia"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highlight w:val="none"/>
              </w:rPr>
              <mc:AlternateContent>
                <mc:Choice Requires="wps">
                  <w:drawing>
                    <wp:anchor distT="0" distB="0" distL="114300" distR="114300" simplePos="0" relativeHeight="251716608" behindDoc="0" locked="0" layoutInCell="1" allowOverlap="1">
                      <wp:simplePos x="0" y="0"/>
                      <wp:positionH relativeFrom="column">
                        <wp:posOffset>2966720</wp:posOffset>
                      </wp:positionH>
                      <wp:positionV relativeFrom="paragraph">
                        <wp:posOffset>43180</wp:posOffset>
                      </wp:positionV>
                      <wp:extent cx="461010" cy="635"/>
                      <wp:effectExtent l="0" t="38100" r="15240" b="37465"/>
                      <wp:wrapNone/>
                      <wp:docPr id="160" name="直接连接符 160"/>
                      <wp:cNvGraphicFramePr/>
                      <a:graphic xmlns:a="http://schemas.openxmlformats.org/drawingml/2006/main">
                        <a:graphicData uri="http://schemas.microsoft.com/office/word/2010/wordprocessingShape">
                          <wps:wsp>
                            <wps:cNvCnPr/>
                            <wps:spPr>
                              <a:xfrm flipV="1">
                                <a:off x="0" y="0"/>
                                <a:ext cx="461010"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y;margin-left:233.6pt;margin-top:3.4pt;height:0.05pt;width:36.3pt;z-index:251716608;mso-width-relative:page;mso-height-relative:page;" filled="f" stroked="t" coordsize="21600,21600" o:gfxdata="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u7t/PYAAAABwEAAA8AAAAAAAAAAQAgAAAAIgAA&#10;AGRycy9kb3ducmV2LnhtbFBLAQIUABQAAAAIAIdO4kC5vpNhCAIAAAUEAAAOAAAAAAAAAAEAIAAA&#10;ACcBAABkcnMvZTJvRG9jLnhtbFBLBQYAAAAABgAGAFkBAAChBQAAAAA=&#10;">
                      <v:fill on="f" focussize="0,0"/>
                      <v:stroke color="#000000" joinstyle="round" endarrow="block"/>
                      <v:imagedata o:title=""/>
                      <o:lock v:ext="edit" aspectratio="f"/>
                    </v:line>
                  </w:pict>
                </mc:Fallback>
              </mc:AlternateContent>
            </w:r>
          </w:p>
          <w:p w14:paraId="7E3EB965">
            <w:pPr>
              <w:spacing w:line="240" w:lineRule="auto"/>
              <w:jc w:val="both"/>
              <w:outlineLvl w:val="9"/>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 xml:space="preserve">  </w:t>
            </w:r>
            <w:r>
              <w:rPr>
                <w:rFonts w:hint="eastAsia" w:eastAsia="宋体" w:cs="Times New Roman"/>
                <w:color w:val="auto"/>
                <w:sz w:val="24"/>
                <w:highlight w:val="none"/>
                <w:lang w:val="en-US" w:eastAsia="zh-CN"/>
              </w:rPr>
              <w:t xml:space="preserve">                            </w:t>
            </w:r>
            <w:r>
              <w:rPr>
                <w:color w:val="auto"/>
                <w:sz w:val="24"/>
              </w:rPr>
              <mc:AlternateContent>
                <mc:Choice Requires="wps">
                  <w:drawing>
                    <wp:anchor distT="0" distB="0" distL="114300" distR="114300" simplePos="0" relativeHeight="251695104" behindDoc="0" locked="0" layoutInCell="1" allowOverlap="1">
                      <wp:simplePos x="0" y="0"/>
                      <wp:positionH relativeFrom="column">
                        <wp:posOffset>1463040</wp:posOffset>
                      </wp:positionH>
                      <wp:positionV relativeFrom="paragraph">
                        <wp:posOffset>72390</wp:posOffset>
                      </wp:positionV>
                      <wp:extent cx="695325" cy="36131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695325" cy="361315"/>
                              </a:xfrm>
                              <a:prstGeom prst="rect">
                                <a:avLst/>
                              </a:prstGeom>
                              <a:noFill/>
                              <a:ln>
                                <a:noFill/>
                              </a:ln>
                              <a:effectLst/>
                            </wps:spPr>
                            <wps:txbx>
                              <w:txbxContent>
                                <w:p w14:paraId="3885BA4D">
                                  <w:pPr>
                                    <w:rPr>
                                      <w:rFonts w:hint="default"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38.73</w:t>
                                  </w:r>
                                  <w:r>
                                    <w:rPr>
                                      <w:rFonts w:hint="eastAsia" w:ascii="宋体" w:hAnsi="宋体" w:cs="宋体"/>
                                      <w:sz w:val="21"/>
                                      <w:szCs w:val="21"/>
                                      <w:u w:val="none"/>
                                      <w:lang w:val="en-US" w:eastAsia="zh-CN"/>
                                    </w:rPr>
                                    <w:t>1</w:t>
                                  </w:r>
                                </w:p>
                              </w:txbxContent>
                            </wps:txbx>
                            <wps:bodyPr upright="1"/>
                          </wps:wsp>
                        </a:graphicData>
                      </a:graphic>
                    </wp:anchor>
                  </w:drawing>
                </mc:Choice>
                <mc:Fallback>
                  <w:pict>
                    <v:shape id="_x0000_s1026" o:spid="_x0000_s1026" o:spt="202" type="#_x0000_t202" style="position:absolute;left:0pt;margin-left:115.2pt;margin-top:5.7pt;height:28.45pt;width:54.75pt;z-index:251695104;mso-width-relative:page;mso-height-relative:page;" filled="f" stroked="f" coordsize="21600,21600" o:gfxdata="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K3&#10;MubXAAAACQEAAA8AAAAAAAAAAQAgAAAAIgAAAGRycy9kb3ducmV2LnhtbFBLAQIUABQAAAAIAIdO&#10;4kA3UjchsgEAAF0DAAAOAAAAAAAAAAEAIAAAACYBAABkcnMvZTJvRG9jLnhtbFBLBQYAAAAABgAG&#10;AFkBAABKBQAAAAA=&#10;">
                      <v:fill on="f" focussize="0,0"/>
                      <v:stroke on="f"/>
                      <v:imagedata o:title=""/>
                      <o:lock v:ext="edit" aspectratio="f"/>
                      <v:textbox>
                        <w:txbxContent>
                          <w:p w14:paraId="3885BA4D">
                            <w:pPr>
                              <w:rPr>
                                <w:rFonts w:hint="default"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38.73</w:t>
                            </w:r>
                            <w:r>
                              <w:rPr>
                                <w:rFonts w:hint="eastAsia" w:ascii="宋体" w:hAnsi="宋体" w:cs="宋体"/>
                                <w:sz w:val="21"/>
                                <w:szCs w:val="21"/>
                                <w:u w:val="none"/>
                                <w:lang w:val="en-US" w:eastAsia="zh-CN"/>
                              </w:rPr>
                              <w:t>1</w:t>
                            </w:r>
                          </w:p>
                        </w:txbxContent>
                      </v:textbox>
                    </v:shape>
                  </w:pict>
                </mc:Fallback>
              </mc:AlternateContent>
            </w:r>
          </w:p>
          <w:p w14:paraId="3A663405">
            <w:pPr>
              <w:spacing w:line="240" w:lineRule="auto"/>
              <w:ind w:firstLine="480" w:firstLineChars="200"/>
              <w:jc w:val="both"/>
              <w:outlineLvl w:val="9"/>
              <w:rPr>
                <w:rFonts w:hint="default" w:ascii="Times New Roman" w:hAnsi="Times New Roman" w:eastAsia="宋体" w:cs="Times New Roman"/>
                <w:color w:val="auto"/>
                <w:sz w:val="24"/>
                <w:highlight w:val="none"/>
              </w:rPr>
            </w:pPr>
            <w:r>
              <w:rPr>
                <w:color w:val="auto"/>
                <w:sz w:val="24"/>
              </w:rPr>
              <mc:AlternateContent>
                <mc:Choice Requires="wps">
                  <w:drawing>
                    <wp:anchor distT="0" distB="0" distL="114300" distR="114300" simplePos="0" relativeHeight="251717632" behindDoc="0" locked="0" layoutInCell="1" allowOverlap="1">
                      <wp:simplePos x="0" y="0"/>
                      <wp:positionH relativeFrom="column">
                        <wp:posOffset>3843655</wp:posOffset>
                      </wp:positionH>
                      <wp:positionV relativeFrom="paragraph">
                        <wp:posOffset>170815</wp:posOffset>
                      </wp:positionV>
                      <wp:extent cx="2094230" cy="371475"/>
                      <wp:effectExtent l="4445" t="5080" r="15875" b="4445"/>
                      <wp:wrapNone/>
                      <wp:docPr id="162" name="文本框 162"/>
                      <wp:cNvGraphicFramePr/>
                      <a:graphic xmlns:a="http://schemas.openxmlformats.org/drawingml/2006/main">
                        <a:graphicData uri="http://schemas.microsoft.com/office/word/2010/wordprocessingShape">
                          <wps:wsp>
                            <wps:cNvSpPr txBox="1"/>
                            <wps:spPr>
                              <a:xfrm>
                                <a:off x="0" y="0"/>
                                <a:ext cx="2094230" cy="371475"/>
                              </a:xfrm>
                              <a:prstGeom prst="rect">
                                <a:avLst/>
                              </a:prstGeom>
                              <a:noFill/>
                              <a:ln w="9525" cap="flat" cmpd="sng">
                                <a:solidFill>
                                  <a:srgbClr val="000000"/>
                                </a:solidFill>
                                <a:prstDash val="solid"/>
                                <a:miter/>
                                <a:headEnd type="none" w="med" len="med"/>
                                <a:tailEnd type="none" w="med" len="med"/>
                              </a:ln>
                              <a:effectLst/>
                            </wps:spPr>
                            <wps:txbx>
                              <w:txbxContent>
                                <w:p w14:paraId="4EA61645">
                                  <w:pPr>
                                    <w:spacing w:line="240" w:lineRule="auto"/>
                                    <w:rPr>
                                      <w:color w:val="000000"/>
                                      <w:sz w:val="21"/>
                                      <w:szCs w:val="21"/>
                                    </w:rPr>
                                  </w:pPr>
                                  <w:r>
                                    <w:rPr>
                                      <w:rFonts w:hint="eastAsia" w:ascii="宋体" w:hAnsi="宋体" w:eastAsia="宋体" w:cs="宋体"/>
                                      <w:color w:val="000000"/>
                                      <w:spacing w:val="-2"/>
                                      <w:sz w:val="21"/>
                                      <w:szCs w:val="21"/>
                                      <w:lang w:val="en-US" w:eastAsia="zh-CN"/>
                                    </w:rPr>
                                    <w:t>全部进入产品、在养护时自然蒸发</w:t>
                                  </w:r>
                                </w:p>
                                <w:p w14:paraId="4DED703E">
                                  <w:pPr>
                                    <w:rPr>
                                      <w:rFonts w:hint="eastAsia"/>
                                      <w:lang w:eastAsia="zh-CN"/>
                                    </w:rPr>
                                  </w:pPr>
                                </w:p>
                              </w:txbxContent>
                            </wps:txbx>
                            <wps:bodyPr upright="1"/>
                          </wps:wsp>
                        </a:graphicData>
                      </a:graphic>
                    </wp:anchor>
                  </w:drawing>
                </mc:Choice>
                <mc:Fallback>
                  <w:pict>
                    <v:shape id="_x0000_s1026" o:spid="_x0000_s1026" o:spt="202" type="#_x0000_t202" style="position:absolute;left:0pt;margin-left:302.65pt;margin-top:13.45pt;height:29.25pt;width:164.9pt;z-index:251717632;mso-width-relative:page;mso-height-relative:page;" filled="f" stroked="t" coordsize="21600,21600" o:gfxdata="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ksy5a1wAAAAkBAAAPAAAAAAAAAAEAIAAA&#10;ACIAAABkcnMvZG93bnJldi54bWxQSwECFAAUAAAACACHTuJA9P1eHg0CAAAfBAAADgAAAAAAAAAB&#10;ACAAAAAmAQAAZHJzL2Uyb0RvYy54bWxQSwUGAAAAAAYABgBZAQAApQUAAAAA&#10;">
                      <v:fill on="f" focussize="0,0"/>
                      <v:stroke color="#000000" joinstyle="miter"/>
                      <v:imagedata o:title=""/>
                      <o:lock v:ext="edit" aspectratio="f"/>
                      <v:textbox>
                        <w:txbxContent>
                          <w:p w14:paraId="4EA61645">
                            <w:pPr>
                              <w:spacing w:line="240" w:lineRule="auto"/>
                              <w:rPr>
                                <w:color w:val="000000"/>
                                <w:sz w:val="21"/>
                                <w:szCs w:val="21"/>
                              </w:rPr>
                            </w:pPr>
                            <w:r>
                              <w:rPr>
                                <w:rFonts w:hint="eastAsia" w:ascii="宋体" w:hAnsi="宋体" w:eastAsia="宋体" w:cs="宋体"/>
                                <w:color w:val="000000"/>
                                <w:spacing w:val="-2"/>
                                <w:sz w:val="21"/>
                                <w:szCs w:val="21"/>
                                <w:lang w:val="en-US" w:eastAsia="zh-CN"/>
                              </w:rPr>
                              <w:t>全部进入产品、在养护时自然蒸发</w:t>
                            </w:r>
                          </w:p>
                          <w:p w14:paraId="4DED703E">
                            <w:pPr>
                              <w:rPr>
                                <w:rFonts w:hint="eastAsia"/>
                                <w:lang w:eastAsia="zh-CN"/>
                              </w:rPr>
                            </w:pPr>
                          </w:p>
                        </w:txbxContent>
                      </v:textbox>
                    </v:shape>
                  </w:pict>
                </mc:Fallback>
              </mc:AlternateContent>
            </w:r>
            <w:r>
              <w:rPr>
                <w:color w:val="auto"/>
                <w:sz w:val="24"/>
              </w:rPr>
              <mc:AlternateContent>
                <mc:Choice Requires="wps">
                  <w:drawing>
                    <wp:anchor distT="0" distB="0" distL="114300" distR="114300" simplePos="0" relativeHeight="251701248" behindDoc="0" locked="0" layoutInCell="1" allowOverlap="1">
                      <wp:simplePos x="0" y="0"/>
                      <wp:positionH relativeFrom="column">
                        <wp:posOffset>2025015</wp:posOffset>
                      </wp:positionH>
                      <wp:positionV relativeFrom="paragraph">
                        <wp:posOffset>116205</wp:posOffset>
                      </wp:positionV>
                      <wp:extent cx="1151890" cy="361315"/>
                      <wp:effectExtent l="4445" t="5080" r="5715" b="14605"/>
                      <wp:wrapNone/>
                      <wp:docPr id="39" name="文本框 39"/>
                      <wp:cNvGraphicFramePr/>
                      <a:graphic xmlns:a="http://schemas.openxmlformats.org/drawingml/2006/main">
                        <a:graphicData uri="http://schemas.microsoft.com/office/word/2010/wordprocessingShape">
                          <wps:wsp>
                            <wps:cNvSpPr txBox="1"/>
                            <wps:spPr>
                              <a:xfrm>
                                <a:off x="0" y="0"/>
                                <a:ext cx="1151890" cy="361315"/>
                              </a:xfrm>
                              <a:prstGeom prst="rect">
                                <a:avLst/>
                              </a:prstGeom>
                              <a:noFill/>
                              <a:ln w="9525" cap="flat" cmpd="sng">
                                <a:solidFill>
                                  <a:srgbClr val="000000"/>
                                </a:solidFill>
                                <a:prstDash val="solid"/>
                                <a:miter/>
                                <a:headEnd type="none" w="med" len="med"/>
                                <a:tailEnd type="none" w="med" len="med"/>
                              </a:ln>
                              <a:effectLst/>
                            </wps:spPr>
                            <wps:txbx>
                              <w:txbxContent>
                                <w:p w14:paraId="5D9E6878">
                                  <w:pPr>
                                    <w:rPr>
                                      <w:rFonts w:hint="eastAsia"/>
                                      <w:lang w:eastAsia="zh-CN"/>
                                    </w:rPr>
                                  </w:pPr>
                                  <w:r>
                                    <w:rPr>
                                      <w:rFonts w:hint="eastAsia"/>
                                      <w:lang w:eastAsia="zh-CN"/>
                                    </w:rPr>
                                    <w:t>产品加工用水</w:t>
                                  </w:r>
                                </w:p>
                              </w:txbxContent>
                            </wps:txbx>
                            <wps:bodyPr upright="1"/>
                          </wps:wsp>
                        </a:graphicData>
                      </a:graphic>
                    </wp:anchor>
                  </w:drawing>
                </mc:Choice>
                <mc:Fallback>
                  <w:pict>
                    <v:shape id="_x0000_s1026" o:spid="_x0000_s1026" o:spt="202" type="#_x0000_t202" style="position:absolute;left:0pt;margin-left:159.45pt;margin-top:9.15pt;height:28.45pt;width:90.7pt;z-index:251701248;mso-width-relative:page;mso-height-relative:page;" filled="f" stroked="t" coordsize="21600,21600" o:gfxdata="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N4CJz1gAAAAkBAAAPAAAAAAAAAAEAIAAAACIA&#10;AABkcnMvZG93bnJldi54bWxQSwECFAAUAAAACACHTuJAngsvGQsCAAAdBAAADgAAAAAAAAABACAA&#10;AAAlAQAAZHJzL2Uyb0RvYy54bWxQSwUGAAAAAAYABgBZAQAAogUAAAAA&#10;">
                      <v:fill on="f" focussize="0,0"/>
                      <v:stroke color="#000000" joinstyle="miter"/>
                      <v:imagedata o:title=""/>
                      <o:lock v:ext="edit" aspectratio="f"/>
                      <v:textbox>
                        <w:txbxContent>
                          <w:p w14:paraId="5D9E6878">
                            <w:pPr>
                              <w:rPr>
                                <w:rFonts w:hint="eastAsia"/>
                                <w:lang w:eastAsia="zh-CN"/>
                              </w:rPr>
                            </w:pPr>
                            <w:r>
                              <w:rPr>
                                <w:rFonts w:hint="eastAsia"/>
                                <w:lang w:eastAsia="zh-CN"/>
                              </w:rPr>
                              <w:t>产品加工用水</w:t>
                            </w:r>
                          </w:p>
                        </w:txbxContent>
                      </v:textbox>
                    </v:shape>
                  </w:pict>
                </mc:Fallback>
              </mc:AlternateContent>
            </w:r>
            <w:r>
              <w:rPr>
                <w:color w:val="auto"/>
                <w:sz w:val="24"/>
              </w:rPr>
              <mc:AlternateContent>
                <mc:Choice Requires="wps">
                  <w:drawing>
                    <wp:anchor distT="0" distB="0" distL="114300" distR="114300" simplePos="0" relativeHeight="251707392" behindDoc="0" locked="0" layoutInCell="1" allowOverlap="1">
                      <wp:simplePos x="0" y="0"/>
                      <wp:positionH relativeFrom="column">
                        <wp:posOffset>3225165</wp:posOffset>
                      </wp:positionH>
                      <wp:positionV relativeFrom="paragraph">
                        <wp:posOffset>56515</wp:posOffset>
                      </wp:positionV>
                      <wp:extent cx="971550" cy="418465"/>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513840" cy="418465"/>
                              </a:xfrm>
                              <a:prstGeom prst="rect">
                                <a:avLst/>
                              </a:prstGeom>
                              <a:noFill/>
                              <a:ln>
                                <a:noFill/>
                              </a:ln>
                              <a:effectLst/>
                            </wps:spPr>
                            <wps:txbx>
                              <w:txbxContent>
                                <w:p w14:paraId="7A0C4567">
                                  <w:pPr>
                                    <w:rPr>
                                      <w:rFonts w:hint="default"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42.13</w:t>
                                  </w:r>
                                  <w:r>
                                    <w:rPr>
                                      <w:rFonts w:hint="eastAsia" w:ascii="宋体" w:hAnsi="宋体" w:cs="宋体"/>
                                      <w:sz w:val="21"/>
                                      <w:szCs w:val="21"/>
                                      <w:u w:val="none"/>
                                      <w:lang w:val="en-US" w:eastAsia="zh-CN"/>
                                    </w:rPr>
                                    <w:t>1</w:t>
                                  </w:r>
                                </w:p>
                              </w:txbxContent>
                            </wps:txbx>
                            <wps:bodyPr upright="1"/>
                          </wps:wsp>
                        </a:graphicData>
                      </a:graphic>
                    </wp:anchor>
                  </w:drawing>
                </mc:Choice>
                <mc:Fallback>
                  <w:pict>
                    <v:shape id="_x0000_s1026" o:spid="_x0000_s1026" o:spt="202" type="#_x0000_t202" style="position:absolute;left:0pt;margin-left:253.95pt;margin-top:4.45pt;height:32.95pt;width:76.5pt;z-index:251707392;mso-width-relative:page;mso-height-relative:page;" filled="f" stroked="f" coordsize="21600,21600" o:gfxdata="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4Ndj&#10;CdYAAAAIAQAADwAAAAAAAAABACAAAAAiAAAAZHJzL2Rvd25yZXYueG1sUEsBAhQAFAAAAAgAh07i&#10;QDEGi26yAQAAXgMAAA4AAAAAAAAAAQAgAAAAJQEAAGRycy9lMm9Eb2MueG1sUEsFBgAAAAAGAAYA&#10;WQEAAEkFAAAAAA==&#10;">
                      <v:fill on="f" focussize="0,0"/>
                      <v:stroke on="f"/>
                      <v:imagedata o:title=""/>
                      <o:lock v:ext="edit" aspectratio="f"/>
                      <v:textbox>
                        <w:txbxContent>
                          <w:p w14:paraId="7A0C4567">
                            <w:pPr>
                              <w:rPr>
                                <w:rFonts w:hint="default"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42.13</w:t>
                            </w:r>
                            <w:r>
                              <w:rPr>
                                <w:rFonts w:hint="eastAsia" w:ascii="宋体" w:hAnsi="宋体" w:cs="宋体"/>
                                <w:sz w:val="21"/>
                                <w:szCs w:val="21"/>
                                <w:u w:val="none"/>
                                <w:lang w:val="en-US" w:eastAsia="zh-CN"/>
                              </w:rPr>
                              <w:t>1</w:t>
                            </w:r>
                          </w:p>
                        </w:txbxContent>
                      </v:textbox>
                    </v:shape>
                  </w:pict>
                </mc:Fallback>
              </mc:AlternateContent>
            </w:r>
          </w:p>
          <w:p w14:paraId="2BC715D9">
            <w:pPr>
              <w:spacing w:line="240" w:lineRule="auto"/>
              <w:ind w:firstLine="720" w:firstLineChars="200"/>
              <w:jc w:val="both"/>
              <w:outlineLvl w:val="9"/>
              <w:rPr>
                <w:rFonts w:hint="eastAsia"/>
                <w:color w:val="auto"/>
                <w:lang w:val="en-US" w:eastAsia="zh-CN"/>
              </w:rPr>
            </w:pPr>
            <w:r>
              <w:rPr>
                <w:color w:val="auto"/>
                <w:sz w:val="36"/>
              </w:rPr>
              <mc:AlternateContent>
                <mc:Choice Requires="wps">
                  <w:drawing>
                    <wp:anchor distT="0" distB="0" distL="114300" distR="114300" simplePos="0" relativeHeight="251706368" behindDoc="0" locked="0" layoutInCell="1" allowOverlap="1">
                      <wp:simplePos x="0" y="0"/>
                      <wp:positionH relativeFrom="column">
                        <wp:posOffset>1641475</wp:posOffset>
                      </wp:positionH>
                      <wp:positionV relativeFrom="paragraph">
                        <wp:posOffset>48895</wp:posOffset>
                      </wp:positionV>
                      <wp:extent cx="10160" cy="457835"/>
                      <wp:effectExtent l="46990" t="0" r="57150" b="18415"/>
                      <wp:wrapNone/>
                      <wp:docPr id="35" name="直接连接符 35"/>
                      <wp:cNvGraphicFramePr/>
                      <a:graphic xmlns:a="http://schemas.openxmlformats.org/drawingml/2006/main">
                        <a:graphicData uri="http://schemas.microsoft.com/office/word/2010/wordprocessingShape">
                          <wps:wsp>
                            <wps:cNvCnPr/>
                            <wps:spPr>
                              <a:xfrm flipH="1" flipV="1">
                                <a:off x="0" y="0"/>
                                <a:ext cx="10160" cy="4578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129.25pt;margin-top:3.85pt;height:36.05pt;width:0.8pt;z-index:251706368;mso-width-relative:page;mso-height-relative:page;" filled="f" stroked="t" coordsize="21600,21600" o:gfxdata="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JC1u/2AAAAAgBAAAPAAAAAAAAAAEAIAAA&#10;ACIAAABkcnMvZG93bnJldi54bWxQSwECFAAUAAAACACHTuJAEwM1lQwCAAD+AwAADgAAAAAAAAAB&#10;ACAAAAAnAQAAZHJzL2Uyb0RvYy54bWxQSwUGAAAAAAYABgBZAQAApQUAAAAA&#10;">
                      <v:fill on="f" focussize="0,0"/>
                      <v:stroke color="#000000" joinstyle="round" endarrow="open"/>
                      <v:imagedata o:title=""/>
                      <o:lock v:ext="edit" aspectratio="f"/>
                    </v:line>
                  </w:pict>
                </mc:Fallback>
              </mc:AlternateContent>
            </w:r>
            <w:r>
              <w:rPr>
                <w:color w:val="auto"/>
                <w:sz w:val="24"/>
              </w:rPr>
              <mc:AlternateContent>
                <mc:Choice Requires="wps">
                  <w:drawing>
                    <wp:anchor distT="0" distB="0" distL="114300" distR="114300" simplePos="0" relativeHeight="251693056" behindDoc="0" locked="0" layoutInCell="1" allowOverlap="1">
                      <wp:simplePos x="0" y="0"/>
                      <wp:positionH relativeFrom="column">
                        <wp:posOffset>1453515</wp:posOffset>
                      </wp:positionH>
                      <wp:positionV relativeFrom="paragraph">
                        <wp:posOffset>73660</wp:posOffset>
                      </wp:positionV>
                      <wp:extent cx="608965" cy="9525"/>
                      <wp:effectExtent l="0" t="41275" r="635" b="63500"/>
                      <wp:wrapNone/>
                      <wp:docPr id="43" name="直接箭头连接符 43"/>
                      <wp:cNvGraphicFramePr/>
                      <a:graphic xmlns:a="http://schemas.openxmlformats.org/drawingml/2006/main">
                        <a:graphicData uri="http://schemas.microsoft.com/office/word/2010/wordprocessingShape">
                          <wps:wsp>
                            <wps:cNvCnPr/>
                            <wps:spPr>
                              <a:xfrm>
                                <a:off x="0" y="0"/>
                                <a:ext cx="608965" cy="9525"/>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_x0000_s1026" o:spid="_x0000_s1026" o:spt="32" type="#_x0000_t32" style="position:absolute;left:0pt;margin-left:114.45pt;margin-top:5.8pt;height:0.75pt;width:47.95pt;z-index:251693056;mso-width-relative:page;mso-height-relative:page;" filled="f" stroked="t" coordsize="21600,21600" o:gfxdata="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uRXyz1wAAAAkBAAAPAAAAAAAAAAEAIAAAACIAAABk&#10;cnMvZG93bnJldi54bWxQSwECFAAUAAAACACHTuJAlwrxPwcCAAD7AwAADgAAAAAAAAABACAAAAAm&#10;AQAAZHJzL2Uyb0RvYy54bWxQSwUGAAAAAAYABgBZAQAAnwUAAAAA&#10;">
                      <v:fill on="f" focussize="0,0"/>
                      <v:stroke color="#000000" joinstyle="round" endarrow="open"/>
                      <v:imagedata o:title=""/>
                      <o:lock v:ext="edit" aspectratio="f"/>
                    </v:shape>
                  </w:pict>
                </mc:Fallback>
              </mc:AlternateContent>
            </w:r>
            <w:r>
              <w:rPr>
                <w:color w:val="auto"/>
                <w:sz w:val="24"/>
              </w:rPr>
              <mc:AlternateContent>
                <mc:Choice Requires="wps">
                  <w:drawing>
                    <wp:anchor distT="0" distB="0" distL="114300" distR="114300" simplePos="0" relativeHeight="251696128" behindDoc="0" locked="0" layoutInCell="1" allowOverlap="1">
                      <wp:simplePos x="0" y="0"/>
                      <wp:positionH relativeFrom="column">
                        <wp:posOffset>3063240</wp:posOffset>
                      </wp:positionH>
                      <wp:positionV relativeFrom="paragraph">
                        <wp:posOffset>163195</wp:posOffset>
                      </wp:positionV>
                      <wp:extent cx="732790" cy="635"/>
                      <wp:effectExtent l="0" t="48895" r="10160" b="64770"/>
                      <wp:wrapNone/>
                      <wp:docPr id="37" name="直接连接符 37"/>
                      <wp:cNvGraphicFramePr/>
                      <a:graphic xmlns:a="http://schemas.openxmlformats.org/drawingml/2006/main">
                        <a:graphicData uri="http://schemas.microsoft.com/office/word/2010/wordprocessingShape">
                          <wps:wsp>
                            <wps:cNvCnPr/>
                            <wps:spPr>
                              <a:xfrm>
                                <a:off x="0" y="0"/>
                                <a:ext cx="73279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41.2pt;margin-top:12.85pt;height:0.05pt;width:57.7pt;z-index:251696128;mso-width-relative:page;mso-height-relative:page;" filled="f" stroked="t" coordsize="21600,21600" o:gfxdata="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cvKGtoAAAAJAQAADwAAAAAAAAABACAAAAAiAAAAZHJzL2Rvd25y&#10;ZXYueG1sUEsBAhQAFAAAAAgAh07iQGo97Pn8AQAA6AMAAA4AAAAAAAAAAQAgAAAAKQEAAGRycy9l&#10;Mm9Eb2MueG1sUEsFBgAAAAAGAAYAWQEAAJcFAAAAAA==&#10;">
                      <v:fill on="f" focussize="0,0"/>
                      <v:stroke color="#000000" joinstyle="round" endarrow="open"/>
                      <v:imagedata o:title=""/>
                      <o:lock v:ext="edit" aspectratio="f"/>
                    </v:line>
                  </w:pict>
                </mc:Fallback>
              </mc:AlternateContent>
            </w:r>
          </w:p>
          <w:p w14:paraId="102CC6A8">
            <w:pPr>
              <w:pStyle w:val="54"/>
              <w:ind w:left="0" w:leftChars="0" w:firstLine="0" w:firstLineChars="0"/>
              <w:jc w:val="both"/>
              <w:rPr>
                <w:rFonts w:hint="default" w:ascii="Times New Roman" w:hAnsi="Times New Roman" w:cs="Times New Roman"/>
                <w:b/>
                <w:color w:val="auto"/>
                <w:sz w:val="24"/>
                <w:szCs w:val="24"/>
                <w:lang w:val="en-US"/>
              </w:rPr>
            </w:pPr>
            <w:r>
              <w:rPr>
                <w:rFonts w:hint="eastAsia" w:ascii="Times New Roman" w:cs="Times New Roman"/>
                <w:b/>
                <w:color w:val="auto"/>
                <w:sz w:val="24"/>
                <w:szCs w:val="24"/>
                <w:lang w:val="en-US" w:eastAsia="zh-CN"/>
              </w:rPr>
              <w:t xml:space="preserve">                       </w:t>
            </w:r>
            <w:r>
              <w:rPr>
                <w:rFonts w:hint="eastAsia" w:ascii="宋体" w:hAnsi="宋体" w:eastAsia="宋体" w:cs="宋体"/>
                <w:b w:val="0"/>
                <w:bCs/>
                <w:color w:val="auto"/>
                <w:sz w:val="21"/>
                <w:szCs w:val="21"/>
                <w:lang w:val="en-US" w:eastAsia="zh-CN"/>
              </w:rPr>
              <w:t>3.4</w:t>
            </w:r>
          </w:p>
          <w:p w14:paraId="09E17372">
            <w:pPr>
              <w:pStyle w:val="6"/>
              <w:rPr>
                <w:rFonts w:hint="default" w:ascii="宋体" w:hAnsi="宋体" w:eastAsia="宋体" w:cs="宋体"/>
                <w:b/>
                <w:color w:val="auto"/>
                <w:sz w:val="24"/>
                <w:szCs w:val="24"/>
                <w:lang w:val="en-US"/>
              </w:rPr>
            </w:pPr>
            <w:r>
              <w:rPr>
                <w:color w:val="auto"/>
                <w:sz w:val="24"/>
              </w:rPr>
              <mc:AlternateContent>
                <mc:Choice Requires="wps">
                  <w:drawing>
                    <wp:anchor distT="0" distB="0" distL="114300" distR="114300" simplePos="0" relativeHeight="251709440" behindDoc="0" locked="0" layoutInCell="1" allowOverlap="1">
                      <wp:simplePos x="0" y="0"/>
                      <wp:positionH relativeFrom="column">
                        <wp:posOffset>4032250</wp:posOffset>
                      </wp:positionH>
                      <wp:positionV relativeFrom="paragraph">
                        <wp:posOffset>100330</wp:posOffset>
                      </wp:positionV>
                      <wp:extent cx="18415" cy="504825"/>
                      <wp:effectExtent l="4445" t="0" r="15240" b="9525"/>
                      <wp:wrapNone/>
                      <wp:docPr id="28" name="直接连接符 28"/>
                      <wp:cNvGraphicFramePr/>
                      <a:graphic xmlns:a="http://schemas.openxmlformats.org/drawingml/2006/main">
                        <a:graphicData uri="http://schemas.microsoft.com/office/word/2010/wordprocessingShape">
                          <wps:wsp>
                            <wps:cNvCnPr/>
                            <wps:spPr>
                              <a:xfrm flipH="1">
                                <a:off x="0" y="0"/>
                                <a:ext cx="18415" cy="5048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317.5pt;margin-top:7.9pt;height:39.75pt;width:1.45pt;z-index:251709440;mso-width-relative:page;mso-height-relative:page;" filled="f" stroked="t" coordsize="21600,21600" o:gfxdata="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v67X9cAAAAJAQAADwAAAAAAAAABACAAAAAiAAAAZHJzL2Rvd25y&#10;ZXYueG1sUEsBAhQAFAAAAAgAh07iQL4y1Qf/AQAA8wMAAA4AAAAAAAAAAQAgAAAAJgEAAGRycy9l&#10;Mm9Eb2MueG1sUEsFBgAAAAAGAAYAWQEAAJcFA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708416" behindDoc="0" locked="0" layoutInCell="1" allowOverlap="1">
                      <wp:simplePos x="0" y="0"/>
                      <wp:positionH relativeFrom="column">
                        <wp:posOffset>1640840</wp:posOffset>
                      </wp:positionH>
                      <wp:positionV relativeFrom="paragraph">
                        <wp:posOffset>119380</wp:posOffset>
                      </wp:positionV>
                      <wp:extent cx="2399665" cy="635"/>
                      <wp:effectExtent l="0" t="0" r="0" b="0"/>
                      <wp:wrapNone/>
                      <wp:docPr id="29" name="直接连接符 29"/>
                      <wp:cNvGraphicFramePr/>
                      <a:graphic xmlns:a="http://schemas.openxmlformats.org/drawingml/2006/main">
                        <a:graphicData uri="http://schemas.microsoft.com/office/word/2010/wordprocessingShape">
                          <wps:wsp>
                            <wps:cNvCnPr/>
                            <wps:spPr>
                              <a:xfrm>
                                <a:off x="0" y="0"/>
                                <a:ext cx="239966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9.2pt;margin-top:9.4pt;height:0.05pt;width:188.95pt;z-index:251708416;mso-width-relative:page;mso-height-relative:page;" filled="f" stroked="t" coordsize="21600,21600" o:gfxdata="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uirENcAAAAJAQAADwAAAAAAAAABACAAAAAiAAAAZHJzL2Rvd25yZXYueG1sUEsB&#10;AhQAFAAAAAgAh07iQKtce0T2AQAA6AMAAA4AAAAAAAAAAQAgAAAAJgEAAGRycy9lMm9Eb2MueG1s&#10;UEsFBgAAAAAGAAYAWQEAAI4FA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705344" behindDoc="0" locked="0" layoutInCell="1" allowOverlap="1">
                      <wp:simplePos x="0" y="0"/>
                      <wp:positionH relativeFrom="column">
                        <wp:posOffset>2453640</wp:posOffset>
                      </wp:positionH>
                      <wp:positionV relativeFrom="paragraph">
                        <wp:posOffset>99060</wp:posOffset>
                      </wp:positionV>
                      <wp:extent cx="609600" cy="33210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513840" cy="332105"/>
                              </a:xfrm>
                              <a:prstGeom prst="rect">
                                <a:avLst/>
                              </a:prstGeom>
                              <a:noFill/>
                              <a:ln>
                                <a:noFill/>
                              </a:ln>
                              <a:effectLst/>
                            </wps:spPr>
                            <wps:txbx>
                              <w:txbxContent>
                                <w:p w14:paraId="6A7A971E">
                                  <w:pPr>
                                    <w:rPr>
                                      <w:rFonts w:hint="default"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0.6</w:t>
                                  </w:r>
                                </w:p>
                              </w:txbxContent>
                            </wps:txbx>
                            <wps:bodyPr upright="1"/>
                          </wps:wsp>
                        </a:graphicData>
                      </a:graphic>
                    </wp:anchor>
                  </w:drawing>
                </mc:Choice>
                <mc:Fallback>
                  <w:pict>
                    <v:shape id="_x0000_s1026" o:spid="_x0000_s1026" o:spt="202" type="#_x0000_t202" style="position:absolute;left:0pt;margin-left:193.2pt;margin-top:7.8pt;height:26.15pt;width:48pt;z-index:251705344;mso-width-relative:page;mso-height-relative:page;" filled="f" stroked="f" coordsize="21600,21600" o:gfxdata="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k4aja&#10;1gAAAAkBAAAPAAAAAAAAAAEAIAAAACIAAABkcnMvZG93bnJldi54bWxQSwECFAAUAAAACACHTuJA&#10;QMQ8j7EBAABeAwAADgAAAAAAAAABACAAAAAlAQAAZHJzL2Uyb0RvYy54bWxQSwUGAAAAAAYABgBZ&#10;AQAASAUAAAAA&#10;">
                      <v:fill on="f" focussize="0,0"/>
                      <v:stroke on="f"/>
                      <v:imagedata o:title=""/>
                      <o:lock v:ext="edit" aspectratio="f"/>
                      <v:textbox>
                        <w:txbxContent>
                          <w:p w14:paraId="6A7A971E">
                            <w:pPr>
                              <w:rPr>
                                <w:rFonts w:hint="default"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0.6</w:t>
                            </w:r>
                          </w:p>
                        </w:txbxContent>
                      </v:textbox>
                    </v:shape>
                  </w:pict>
                </mc:Fallback>
              </mc:AlternateContent>
            </w:r>
            <w:r>
              <w:rPr>
                <w:rFonts w:hint="eastAsia" w:ascii="宋体" w:hAnsi="宋体" w:eastAsia="宋体" w:cs="宋体"/>
                <w:b/>
                <w:color w:val="auto"/>
                <w:sz w:val="24"/>
                <w:szCs w:val="24"/>
                <w:lang w:val="en-US" w:eastAsia="zh-CN"/>
              </w:rPr>
              <w:t xml:space="preserve">                       </w:t>
            </w:r>
          </w:p>
          <w:p w14:paraId="434D5E4C">
            <w:pPr>
              <w:pStyle w:val="6"/>
              <w:rPr>
                <w:rFonts w:hint="eastAsia" w:ascii="宋体" w:hAnsi="宋体" w:eastAsia="宋体" w:cs="宋体"/>
                <w:b/>
                <w:color w:val="auto"/>
                <w:sz w:val="24"/>
                <w:szCs w:val="24"/>
              </w:rPr>
            </w:pPr>
            <w:r>
              <w:rPr>
                <w:rFonts w:hint="default" w:ascii="Times New Roman" w:hAnsi="Times New Roman" w:eastAsia="宋体" w:cs="Times New Roman"/>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1575435</wp:posOffset>
                      </wp:positionH>
                      <wp:positionV relativeFrom="paragraph">
                        <wp:posOffset>31750</wp:posOffset>
                      </wp:positionV>
                      <wp:extent cx="556260" cy="309245"/>
                      <wp:effectExtent l="0" t="0" r="0" b="0"/>
                      <wp:wrapNone/>
                      <wp:docPr id="58" name="矩形 58"/>
                      <wp:cNvGraphicFramePr/>
                      <a:graphic xmlns:a="http://schemas.openxmlformats.org/drawingml/2006/main">
                        <a:graphicData uri="http://schemas.microsoft.com/office/word/2010/wordprocessingShape">
                          <wps:wsp>
                            <wps:cNvSpPr/>
                            <wps:spPr>
                              <a:xfrm>
                                <a:off x="0" y="0"/>
                                <a:ext cx="556260" cy="309245"/>
                              </a:xfrm>
                              <a:prstGeom prst="rect">
                                <a:avLst/>
                              </a:prstGeom>
                              <a:noFill/>
                              <a:ln>
                                <a:noFill/>
                              </a:ln>
                              <a:effectLst/>
                            </wps:spPr>
                            <wps:txbx>
                              <w:txbxContent>
                                <w:p w14:paraId="0EEAD06A">
                                  <w:pPr>
                                    <w:ind w:left="0" w:leftChars="0" w:right="0" w:rightChars="0" w:firstLine="0" w:firstLineChars="0"/>
                                    <w:jc w:val="center"/>
                                    <w:rPr>
                                      <w:rFonts w:hint="default" w:ascii="宋体" w:hAnsi="宋体" w:eastAsia="宋体" w:cs="宋体"/>
                                      <w:sz w:val="21"/>
                                      <w:u w:val="none" w:color="auto"/>
                                      <w:lang w:val="en-US" w:eastAsia="zh-CN"/>
                                    </w:rPr>
                                  </w:pPr>
                                  <w:r>
                                    <w:rPr>
                                      <w:rFonts w:hint="eastAsia" w:ascii="宋体" w:hAnsi="宋体" w:eastAsia="宋体" w:cs="宋体"/>
                                      <w:sz w:val="21"/>
                                      <w:u w:val="none" w:color="auto"/>
                                      <w:lang w:val="en-US" w:eastAsia="zh-CN"/>
                                    </w:rPr>
                                    <w:t>4</w:t>
                                  </w:r>
                                </w:p>
                              </w:txbxContent>
                            </wps:txbx>
                            <wps:bodyPr upright="1"/>
                          </wps:wsp>
                        </a:graphicData>
                      </a:graphic>
                    </wp:anchor>
                  </w:drawing>
                </mc:Choice>
                <mc:Fallback>
                  <w:pict>
                    <v:rect id="_x0000_s1026" o:spid="_x0000_s1026" o:spt="1" style="position:absolute;left:0pt;margin-left:124.05pt;margin-top:2.5pt;height:24.35pt;width:43.8pt;z-index:251676672;mso-width-relative:page;mso-height-relative:page;" filled="f" stroked="f" coordsize="21600,21600" o:gfxdata="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Pb452dkAAAAIAQAA&#10;DwAAAAAAAAABACAAAAAiAAAAZHJzL2Rvd25yZXYueG1sUEsBAhQAFAAAAAgAh07iQCA4zYCmAQAA&#10;UAMAAA4AAAAAAAAAAQAgAAAAKAEAAGRycy9lMm9Eb2MueG1sUEsFBgAAAAAGAAYAWQEAAEAFAAAA&#10;AA==&#10;">
                      <v:fill on="f" focussize="0,0"/>
                      <v:stroke on="f"/>
                      <v:imagedata o:title=""/>
                      <o:lock v:ext="edit" aspectratio="f"/>
                      <v:textbox>
                        <w:txbxContent>
                          <w:p w14:paraId="0EEAD06A">
                            <w:pPr>
                              <w:ind w:left="0" w:leftChars="0" w:right="0" w:rightChars="0" w:firstLine="0" w:firstLineChars="0"/>
                              <w:jc w:val="center"/>
                              <w:rPr>
                                <w:rFonts w:hint="default" w:ascii="宋体" w:hAnsi="宋体" w:eastAsia="宋体" w:cs="宋体"/>
                                <w:sz w:val="21"/>
                                <w:u w:val="none" w:color="auto"/>
                                <w:lang w:val="en-US" w:eastAsia="zh-CN"/>
                              </w:rPr>
                            </w:pPr>
                            <w:r>
                              <w:rPr>
                                <w:rFonts w:hint="eastAsia" w:ascii="宋体" w:hAnsi="宋体" w:eastAsia="宋体" w:cs="宋体"/>
                                <w:sz w:val="21"/>
                                <w:u w:val="none" w:color="auto"/>
                                <w:lang w:val="en-US" w:eastAsia="zh-CN"/>
                              </w:rPr>
                              <w:t>4</w:t>
                            </w:r>
                          </w:p>
                        </w:txbxContent>
                      </v:textbox>
                    </v:rect>
                  </w:pict>
                </mc:Fallback>
              </mc:AlternateContent>
            </w:r>
            <w:r>
              <w:rPr>
                <w:color w:val="auto"/>
                <w:sz w:val="24"/>
              </w:rPr>
              <mc:AlternateContent>
                <mc:Choice Requires="wps">
                  <w:drawing>
                    <wp:anchor distT="0" distB="0" distL="114300" distR="114300" simplePos="0" relativeHeight="251703296" behindDoc="0" locked="0" layoutInCell="1" allowOverlap="1">
                      <wp:simplePos x="0" y="0"/>
                      <wp:positionH relativeFrom="column">
                        <wp:posOffset>2196465</wp:posOffset>
                      </wp:positionH>
                      <wp:positionV relativeFrom="paragraph">
                        <wp:posOffset>216535</wp:posOffset>
                      </wp:positionV>
                      <wp:extent cx="1018540" cy="380365"/>
                      <wp:effectExtent l="4445" t="4445" r="5715" b="15240"/>
                      <wp:wrapNone/>
                      <wp:docPr id="33" name="文本框 33"/>
                      <wp:cNvGraphicFramePr/>
                      <a:graphic xmlns:a="http://schemas.openxmlformats.org/drawingml/2006/main">
                        <a:graphicData uri="http://schemas.microsoft.com/office/word/2010/wordprocessingShape">
                          <wps:wsp>
                            <wps:cNvSpPr txBox="1"/>
                            <wps:spPr>
                              <a:xfrm>
                                <a:off x="0" y="0"/>
                                <a:ext cx="828040" cy="380365"/>
                              </a:xfrm>
                              <a:prstGeom prst="rect">
                                <a:avLst/>
                              </a:prstGeom>
                              <a:noFill/>
                              <a:ln w="9525" cap="flat" cmpd="sng">
                                <a:solidFill>
                                  <a:srgbClr val="000000"/>
                                </a:solidFill>
                                <a:prstDash val="solid"/>
                                <a:miter/>
                                <a:headEnd type="none" w="med" len="med"/>
                                <a:tailEnd type="none" w="med" len="med"/>
                              </a:ln>
                              <a:effectLst/>
                            </wps:spPr>
                            <wps:txbx>
                              <w:txbxContent>
                                <w:p w14:paraId="737B125B">
                                  <w:r>
                                    <w:rPr>
                                      <w:rFonts w:hint="eastAsia"/>
                                      <w:sz w:val="21"/>
                                      <w:u w:val="none" w:color="auto"/>
                                      <w:lang w:val="en-US" w:eastAsia="zh-CN"/>
                                    </w:rPr>
                                    <w:t>搅拌机清洗水</w:t>
                                  </w:r>
                                </w:p>
                                <w:p w14:paraId="210D0BD6">
                                  <w:pPr>
                                    <w:rPr>
                                      <w:rFonts w:hint="eastAsia"/>
                                      <w:lang w:eastAsia="zh-CN"/>
                                    </w:rPr>
                                  </w:pPr>
                                </w:p>
                              </w:txbxContent>
                            </wps:txbx>
                            <wps:bodyPr upright="1"/>
                          </wps:wsp>
                        </a:graphicData>
                      </a:graphic>
                    </wp:anchor>
                  </w:drawing>
                </mc:Choice>
                <mc:Fallback>
                  <w:pict>
                    <v:shape id="_x0000_s1026" o:spid="_x0000_s1026" o:spt="202" type="#_x0000_t202" style="position:absolute;left:0pt;margin-left:172.95pt;margin-top:17.05pt;height:29.95pt;width:80.2pt;z-index:251703296;mso-width-relative:page;mso-height-relative:page;" filled="f" stroked="t" coordsize="21600,21600" o:gfxdata="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V6Iw1gAAAAkBAAAPAAAAAAAAAAEAIAAAACIA&#10;AABkcnMvZG93bnJldi54bWxQSwECFAAUAAAACACHTuJATXb6PQsCAAAcBAAADgAAAAAAAAABACAA&#10;AAAlAQAAZHJzL2Uyb0RvYy54bWxQSwUGAAAAAAYABgBZAQAAogUAAAAA&#10;">
                      <v:fill on="f" focussize="0,0"/>
                      <v:stroke color="#000000" joinstyle="miter"/>
                      <v:imagedata o:title=""/>
                      <o:lock v:ext="edit" aspectratio="f"/>
                      <v:textbox>
                        <w:txbxContent>
                          <w:p w14:paraId="737B125B">
                            <w:r>
                              <w:rPr>
                                <w:rFonts w:hint="eastAsia"/>
                                <w:sz w:val="21"/>
                                <w:u w:val="none" w:color="auto"/>
                                <w:lang w:val="en-US" w:eastAsia="zh-CN"/>
                              </w:rPr>
                              <w:t>搅拌机清洗水</w:t>
                            </w:r>
                          </w:p>
                          <w:p w14:paraId="210D0BD6">
                            <w:pPr>
                              <w:rPr>
                                <w:rFonts w:hint="eastAsia"/>
                                <w:lang w:eastAsia="zh-CN"/>
                              </w:rPr>
                            </w:pPr>
                          </w:p>
                        </w:txbxContent>
                      </v:textbox>
                    </v:shape>
                  </w:pict>
                </mc:Fallback>
              </mc:AlternateContent>
            </w:r>
            <w:r>
              <w:rPr>
                <w:color w:val="auto"/>
                <w:sz w:val="36"/>
              </w:rPr>
              <mc:AlternateContent>
                <mc:Choice Requires="wps">
                  <w:drawing>
                    <wp:anchor distT="0" distB="0" distL="114300" distR="114300" simplePos="0" relativeHeight="251704320" behindDoc="0" locked="0" layoutInCell="1" allowOverlap="1">
                      <wp:simplePos x="0" y="0"/>
                      <wp:positionH relativeFrom="column">
                        <wp:posOffset>2488565</wp:posOffset>
                      </wp:positionH>
                      <wp:positionV relativeFrom="paragraph">
                        <wp:posOffset>54610</wp:posOffset>
                      </wp:positionV>
                      <wp:extent cx="161925" cy="152400"/>
                      <wp:effectExtent l="3175" t="0" r="6350" b="19050"/>
                      <wp:wrapNone/>
                      <wp:docPr id="27" name="直接连接符 27"/>
                      <wp:cNvGraphicFramePr/>
                      <a:graphic xmlns:a="http://schemas.openxmlformats.org/drawingml/2006/main">
                        <a:graphicData uri="http://schemas.microsoft.com/office/word/2010/wordprocessingShape">
                          <wps:wsp>
                            <wps:cNvCnPr/>
                            <wps:spPr>
                              <a:xfrm flipV="1">
                                <a:off x="0" y="0"/>
                                <a:ext cx="161925" cy="15240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195.95pt;margin-top:4.3pt;height:12pt;width:12.75pt;z-index:251704320;mso-width-relative:page;mso-height-relative:page;" filled="f" stroked="t" coordsize="21600,21600" o:gfxdata="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B1pGvYAAAACAEAAA8AAAAAAAAAAQAgAAAAIgAA&#10;AGRycy9kb3ducmV2LnhtbFBLAQIUABQAAAAIAIdO4kBdcRW0CAIAAPUDAAAOAAAAAAAAAAEAIAAA&#10;ACcBAABkcnMvZTJvRG9jLnhtbFBLBQYAAAAABgAGAFkBAAChBQAAAAA=&#10;">
                      <v:fill on="f" focussize="0,0"/>
                      <v:stroke color="#000000" joinstyle="round" endarrow="open"/>
                      <v:imagedata o:title=""/>
                      <o:lock v:ext="edit" aspectratio="f"/>
                    </v:line>
                  </w:pict>
                </mc:Fallback>
              </mc:AlternateContent>
            </w:r>
          </w:p>
          <w:p w14:paraId="79882F99">
            <w:pPr>
              <w:pStyle w:val="6"/>
              <w:rPr>
                <w:rFonts w:hint="default" w:ascii="宋体" w:hAnsi="宋体" w:eastAsia="宋体" w:cs="宋体"/>
                <w:b/>
                <w:color w:val="auto"/>
                <w:sz w:val="21"/>
                <w:szCs w:val="21"/>
                <w:lang w:val="en-US"/>
              </w:rPr>
            </w:pPr>
            <w:r>
              <w:rPr>
                <w:rFonts w:hint="eastAsia" w:ascii="宋体" w:hAnsi="宋体" w:eastAsia="宋体" w:cs="宋体"/>
                <w:color w:val="auto"/>
                <w:sz w:val="21"/>
                <w:szCs w:val="21"/>
                <w:highlight w:val="none"/>
                <w:u w:val="none"/>
              </w:rPr>
              <mc:AlternateContent>
                <mc:Choice Requires="wps">
                  <w:drawing>
                    <wp:anchor distT="0" distB="0" distL="114300" distR="114300" simplePos="0" relativeHeight="251689984" behindDoc="0" locked="0" layoutInCell="1" allowOverlap="1">
                      <wp:simplePos x="0" y="0"/>
                      <wp:positionH relativeFrom="column">
                        <wp:posOffset>3241040</wp:posOffset>
                      </wp:positionH>
                      <wp:positionV relativeFrom="paragraph">
                        <wp:posOffset>226060</wp:posOffset>
                      </wp:positionV>
                      <wp:extent cx="586740" cy="635"/>
                      <wp:effectExtent l="0" t="38100" r="3810" b="37465"/>
                      <wp:wrapNone/>
                      <wp:docPr id="74" name="直接连接符 74"/>
                      <wp:cNvGraphicFramePr/>
                      <a:graphic xmlns:a="http://schemas.openxmlformats.org/drawingml/2006/main">
                        <a:graphicData uri="http://schemas.microsoft.com/office/word/2010/wordprocessingShape">
                          <wps:wsp>
                            <wps:cNvCnPr/>
                            <wps:spPr>
                              <a:xfrm flipV="1">
                                <a:off x="0" y="0"/>
                                <a:ext cx="586740"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y;margin-left:255.2pt;margin-top:17.8pt;height:0.05pt;width:46.2pt;z-index:251689984;mso-width-relative:page;mso-height-relative:page;" filled="f" stroked="t" coordsize="21600,21600" o:gfxdata="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rfA2AAAAAkBAAAPAAAAAAAAAAEAIAAAACIA&#10;AABkcnMvZG93bnJldi54bWxQSwECFAAUAAAACACHTuJA/ugECQkCAAADBAAADgAAAAAAAAABACAA&#10;AAAnAQAAZHJzL2Uyb0RvYy54bWxQSwUGAAAAAAYABgBZAQAAogUAAAAA&#10;">
                      <v:fill on="f" focussize="0,0"/>
                      <v:stroke color="#000000" joinstyle="round" endarrow="block"/>
                      <v:imagedata o:title=""/>
                      <o:lock v:ext="edit" aspectratio="f"/>
                    </v:line>
                  </w:pict>
                </mc:Fallback>
              </mc:AlternateContent>
            </w:r>
            <w:r>
              <w:rPr>
                <w:rFonts w:hint="default" w:ascii="Times New Roman" w:hAnsi="Times New Roman" w:eastAsia="宋体" w:cs="Times New Roman"/>
                <w:color w:val="auto"/>
                <w:highlight w:val="none"/>
              </w:rPr>
              <mc:AlternateContent>
                <mc:Choice Requires="wps">
                  <w:drawing>
                    <wp:anchor distT="0" distB="0" distL="114300" distR="114300" simplePos="0" relativeHeight="251691008" behindDoc="0" locked="0" layoutInCell="1" allowOverlap="1">
                      <wp:simplePos x="0" y="0"/>
                      <wp:positionH relativeFrom="column">
                        <wp:posOffset>3791585</wp:posOffset>
                      </wp:positionH>
                      <wp:positionV relativeFrom="paragraph">
                        <wp:posOffset>37465</wp:posOffset>
                      </wp:positionV>
                      <wp:extent cx="1134745" cy="480060"/>
                      <wp:effectExtent l="4445" t="4445" r="22860" b="10795"/>
                      <wp:wrapNone/>
                      <wp:docPr id="57" name="矩形 57"/>
                      <wp:cNvGraphicFramePr/>
                      <a:graphic xmlns:a="http://schemas.openxmlformats.org/drawingml/2006/main">
                        <a:graphicData uri="http://schemas.microsoft.com/office/word/2010/wordprocessingShape">
                          <wps:wsp>
                            <wps:cNvSpPr/>
                            <wps:spPr>
                              <a:xfrm>
                                <a:off x="0" y="0"/>
                                <a:ext cx="1296670" cy="480060"/>
                              </a:xfrm>
                              <a:prstGeom prst="rect">
                                <a:avLst/>
                              </a:prstGeom>
                              <a:noFill/>
                              <a:ln w="9525" cap="flat" cmpd="sng">
                                <a:solidFill>
                                  <a:srgbClr val="000000"/>
                                </a:solidFill>
                                <a:prstDash val="solid"/>
                                <a:miter/>
                                <a:headEnd type="none" w="med" len="med"/>
                                <a:tailEnd type="none" w="med" len="med"/>
                              </a:ln>
                              <a:effectLst/>
                            </wps:spPr>
                            <wps:txbx>
                              <w:txbxContent>
                                <w:p w14:paraId="0F5F8BF8">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沉淀池沉淀</w:t>
                                  </w:r>
                                </w:p>
                              </w:txbxContent>
                            </wps:txbx>
                            <wps:bodyPr upright="1"/>
                          </wps:wsp>
                        </a:graphicData>
                      </a:graphic>
                    </wp:anchor>
                  </w:drawing>
                </mc:Choice>
                <mc:Fallback>
                  <w:pict>
                    <v:rect id="_x0000_s1026" o:spid="_x0000_s1026" o:spt="1" style="position:absolute;left:0pt;margin-left:298.55pt;margin-top:2.95pt;height:37.8pt;width:89.35pt;z-index:251691008;mso-width-relative:page;mso-height-relative:page;" filled="f" stroked="t" coordsize="21600,21600" o:gfxdata="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nuaC41gAAAAgBAAAPAAAAAAAAAAEAIAAAACIAAABkcnMvZG93&#10;bnJldi54bWxQSwECFAAUAAAACACHTuJAmo7c7wICAAAQBAAADgAAAAAAAAABACAAAAAlAQAAZHJz&#10;L2Uyb0RvYy54bWxQSwUGAAAAAAYABgBZAQAAmQUAAAAA&#10;">
                      <v:fill on="f" focussize="0,0"/>
                      <v:stroke color="#000000" joinstyle="miter"/>
                      <v:imagedata o:title=""/>
                      <o:lock v:ext="edit" aspectratio="f"/>
                      <v:textbox>
                        <w:txbxContent>
                          <w:p w14:paraId="0F5F8BF8">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沉淀池沉淀</w:t>
                            </w:r>
                          </w:p>
                        </w:txbxContent>
                      </v:textbox>
                    </v:rect>
                  </w:pict>
                </mc:Fallback>
              </mc:AlternateContent>
            </w:r>
            <w:r>
              <w:rPr>
                <w:color w:val="auto"/>
                <w:sz w:val="21"/>
              </w:rPr>
              <mc:AlternateContent>
                <mc:Choice Requires="wps">
                  <w:drawing>
                    <wp:anchor distT="0" distB="0" distL="114300" distR="114300" simplePos="0" relativeHeight="251702272" behindDoc="0" locked="0" layoutInCell="1" allowOverlap="1">
                      <wp:simplePos x="0" y="0"/>
                      <wp:positionH relativeFrom="column">
                        <wp:posOffset>1478280</wp:posOffset>
                      </wp:positionH>
                      <wp:positionV relativeFrom="paragraph">
                        <wp:posOffset>128270</wp:posOffset>
                      </wp:positionV>
                      <wp:extent cx="723900" cy="635"/>
                      <wp:effectExtent l="0" t="48895" r="0" b="64770"/>
                      <wp:wrapNone/>
                      <wp:docPr id="26" name="直接连接符 26"/>
                      <wp:cNvGraphicFramePr/>
                      <a:graphic xmlns:a="http://schemas.openxmlformats.org/drawingml/2006/main">
                        <a:graphicData uri="http://schemas.microsoft.com/office/word/2010/wordprocessingShape">
                          <wps:wsp>
                            <wps:cNvCnPr/>
                            <wps:spPr>
                              <a:xfrm>
                                <a:off x="0" y="0"/>
                                <a:ext cx="72390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116.4pt;margin-top:10.1pt;height:0.05pt;width:57pt;z-index:251702272;mso-width-relative:page;mso-height-relative:page;" filled="f" stroked="t" coordsize="21600,21600" o:gfxdata="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vhdYzYAAAACQEAAA8AAAAAAAAAAQAgAAAAIgAAAGRycy9kb3ducmV2&#10;LnhtbFBLAQIUABQAAAAIAIdO4kD70sXW/AEAAOgDAAAOAAAAAAAAAAEAIAAAACcBAABkcnMvZTJv&#10;RG9jLnhtbFBLBQYAAAAABgAGAFkBAACVBQAAAAA=&#10;">
                      <v:fill on="f" focussize="0,0"/>
                      <v:stroke color="#000000" joinstyle="round" endarrow="open"/>
                      <v:imagedata o:title=""/>
                      <o:lock v:ext="edit" aspectratio="f"/>
                    </v:line>
                  </w:pict>
                </mc:Fallback>
              </mc:AlternateContent>
            </w:r>
            <w:r>
              <w:rPr>
                <w:rFonts w:hint="eastAsia" w:ascii="宋体" w:hAnsi="宋体" w:eastAsia="宋体" w:cs="宋体"/>
                <w:b/>
                <w:color w:val="auto"/>
                <w:sz w:val="24"/>
                <w:szCs w:val="24"/>
                <w:lang w:val="en-US" w:eastAsia="zh-CN"/>
              </w:rPr>
              <w:t xml:space="preserve">                                              </w:t>
            </w:r>
            <w:r>
              <w:rPr>
                <w:rFonts w:hint="eastAsia" w:ascii="宋体" w:hAnsi="宋体" w:eastAsia="宋体" w:cs="宋体"/>
                <w:b w:val="0"/>
                <w:bCs/>
                <w:color w:val="auto"/>
                <w:sz w:val="21"/>
                <w:szCs w:val="21"/>
                <w:lang w:val="en-US" w:eastAsia="zh-CN"/>
              </w:rPr>
              <w:t>0.6</w:t>
            </w:r>
          </w:p>
          <w:p w14:paraId="4791E30F">
            <w:pPr>
              <w:pStyle w:val="5"/>
              <w:rPr>
                <w:rFonts w:hint="eastAsia"/>
                <w:color w:val="auto"/>
                <w:lang w:val="en-US" w:eastAsia="zh-CN"/>
              </w:rPr>
            </w:pPr>
          </w:p>
          <w:p w14:paraId="74BF33C6">
            <w:pPr>
              <w:pStyle w:val="5"/>
              <w:rPr>
                <w:rFonts w:hint="eastAsia" w:ascii="宋体" w:hAnsi="宋体" w:eastAsia="宋体" w:cs="宋体"/>
                <w:b w:val="0"/>
                <w:bCs/>
                <w:color w:val="000000"/>
                <w:sz w:val="24"/>
                <w:szCs w:val="24"/>
                <w:lang w:val="en-US" w:eastAsia="zh-CN"/>
              </w:rPr>
            </w:pPr>
            <w:r>
              <w:rPr>
                <w:color w:val="000000"/>
                <w:sz w:val="24"/>
              </w:rPr>
              <mc:AlternateContent>
                <mc:Choice Requires="wps">
                  <w:drawing>
                    <wp:anchor distT="0" distB="0" distL="114300" distR="114300" simplePos="0" relativeHeight="251719680" behindDoc="0" locked="0" layoutInCell="1" allowOverlap="1">
                      <wp:simplePos x="0" y="0"/>
                      <wp:positionH relativeFrom="column">
                        <wp:posOffset>1358265</wp:posOffset>
                      </wp:positionH>
                      <wp:positionV relativeFrom="paragraph">
                        <wp:posOffset>294005</wp:posOffset>
                      </wp:positionV>
                      <wp:extent cx="1417320" cy="380365"/>
                      <wp:effectExtent l="4445" t="4445" r="6985" b="15240"/>
                      <wp:wrapNone/>
                      <wp:docPr id="164" name="文本框 164"/>
                      <wp:cNvGraphicFramePr/>
                      <a:graphic xmlns:a="http://schemas.openxmlformats.org/drawingml/2006/main">
                        <a:graphicData uri="http://schemas.microsoft.com/office/word/2010/wordprocessingShape">
                          <wps:wsp>
                            <wps:cNvSpPr txBox="1"/>
                            <wps:spPr>
                              <a:xfrm>
                                <a:off x="0" y="0"/>
                                <a:ext cx="1417320" cy="380365"/>
                              </a:xfrm>
                              <a:prstGeom prst="rect">
                                <a:avLst/>
                              </a:prstGeom>
                              <a:noFill/>
                              <a:ln w="9525" cap="flat" cmpd="sng">
                                <a:solidFill>
                                  <a:srgbClr val="000000"/>
                                </a:solidFill>
                                <a:prstDash val="solid"/>
                                <a:miter/>
                                <a:headEnd type="none" w="med" len="med"/>
                                <a:tailEnd type="none" w="med" len="med"/>
                              </a:ln>
                              <a:effectLst/>
                            </wps:spPr>
                            <wps:txbx>
                              <w:txbxContent>
                                <w:p w14:paraId="2D5EC97A">
                                  <w:pPr>
                                    <w:rPr>
                                      <w:rFonts w:hint="eastAsia"/>
                                      <w:lang w:eastAsia="zh-CN"/>
                                    </w:rPr>
                                  </w:pPr>
                                  <w:r>
                                    <w:rPr>
                                      <w:rFonts w:hint="eastAsia"/>
                                      <w:lang w:eastAsia="zh-CN"/>
                                    </w:rPr>
                                    <w:t>初期雨水收集池</w:t>
                                  </w:r>
                                </w:p>
                              </w:txbxContent>
                            </wps:txbx>
                            <wps:bodyPr upright="1"/>
                          </wps:wsp>
                        </a:graphicData>
                      </a:graphic>
                    </wp:anchor>
                  </w:drawing>
                </mc:Choice>
                <mc:Fallback>
                  <w:pict>
                    <v:shape id="_x0000_s1026" o:spid="_x0000_s1026" o:spt="202" type="#_x0000_t202" style="position:absolute;left:0pt;margin-left:106.95pt;margin-top:23.15pt;height:29.95pt;width:111.6pt;z-index:251719680;mso-width-relative:page;mso-height-relative:page;" filled="f" stroked="t" coordsize="21600,21600" o:gfxdata="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vrdW7XAAAACgEAAA8AAAAAAAAAAQAgAAAA&#10;IgAAAGRycy9kb3ducmV2LnhtbFBLAQIUABQAAAAIAIdO4kDzxMyUDAIAAB8EAAAOAAAAAAAAAAEA&#10;IAAAACYBAABkcnMvZTJvRG9jLnhtbFBLBQYAAAAABgAGAFkBAACkBQAAAAA=&#10;">
                      <v:fill on="f" focussize="0,0"/>
                      <v:stroke color="#000000" joinstyle="miter"/>
                      <v:imagedata o:title=""/>
                      <o:lock v:ext="edit" aspectratio="f"/>
                      <v:textbox>
                        <w:txbxContent>
                          <w:p w14:paraId="2D5EC97A">
                            <w:pPr>
                              <w:rPr>
                                <w:rFonts w:hint="eastAsia"/>
                                <w:lang w:eastAsia="zh-CN"/>
                              </w:rPr>
                            </w:pPr>
                            <w:r>
                              <w:rPr>
                                <w:rFonts w:hint="eastAsia"/>
                                <w:lang w:eastAsia="zh-CN"/>
                              </w:rPr>
                              <w:t>初期雨水收集池</w:t>
                            </w:r>
                          </w:p>
                        </w:txbxContent>
                      </v:textbox>
                    </v:shape>
                  </w:pict>
                </mc:Fallback>
              </mc:AlternateContent>
            </w:r>
            <w:r>
              <w:rPr>
                <w:rFonts w:hint="eastAsia"/>
                <w:color w:val="auto"/>
                <w:lang w:val="en-US" w:eastAsia="zh-CN"/>
              </w:rPr>
              <w:t xml:space="preserve">                 </w:t>
            </w:r>
          </w:p>
          <w:p w14:paraId="559CE3D6">
            <w:pPr>
              <w:pStyle w:val="6"/>
              <w:ind w:firstLine="240" w:firstLineChars="100"/>
              <w:rPr>
                <w:rFonts w:hint="default" w:ascii="宋体" w:hAnsi="宋体" w:eastAsia="宋体" w:cs="宋体"/>
                <w:b w:val="0"/>
                <w:bCs/>
                <w:color w:val="000000"/>
                <w:sz w:val="24"/>
                <w:szCs w:val="24"/>
                <w:lang w:val="en-US" w:eastAsia="zh-CN"/>
              </w:rPr>
            </w:pPr>
            <w:r>
              <w:rPr>
                <w:color w:val="000000"/>
                <w:sz w:val="24"/>
              </w:rPr>
              <mc:AlternateContent>
                <mc:Choice Requires="wps">
                  <w:drawing>
                    <wp:anchor distT="0" distB="0" distL="114300" distR="114300" simplePos="0" relativeHeight="251720704" behindDoc="0" locked="0" layoutInCell="1" allowOverlap="1">
                      <wp:simplePos x="0" y="0"/>
                      <wp:positionH relativeFrom="column">
                        <wp:posOffset>3520440</wp:posOffset>
                      </wp:positionH>
                      <wp:positionV relativeFrom="paragraph">
                        <wp:posOffset>6350</wp:posOffset>
                      </wp:positionV>
                      <wp:extent cx="2208530" cy="351790"/>
                      <wp:effectExtent l="4445" t="4445" r="15875" b="5715"/>
                      <wp:wrapNone/>
                      <wp:docPr id="165" name="文本框 165"/>
                      <wp:cNvGraphicFramePr/>
                      <a:graphic xmlns:a="http://schemas.openxmlformats.org/drawingml/2006/main">
                        <a:graphicData uri="http://schemas.microsoft.com/office/word/2010/wordprocessingShape">
                          <wps:wsp>
                            <wps:cNvSpPr txBox="1"/>
                            <wps:spPr>
                              <a:xfrm>
                                <a:off x="0" y="0"/>
                                <a:ext cx="2208530" cy="351790"/>
                              </a:xfrm>
                              <a:prstGeom prst="rect">
                                <a:avLst/>
                              </a:prstGeom>
                              <a:noFill/>
                              <a:ln w="9525" cap="flat" cmpd="sng">
                                <a:solidFill>
                                  <a:srgbClr val="000000"/>
                                </a:solidFill>
                                <a:prstDash val="solid"/>
                                <a:miter/>
                                <a:headEnd type="none" w="med" len="med"/>
                                <a:tailEnd type="none" w="med" len="med"/>
                              </a:ln>
                              <a:effectLst/>
                            </wps:spPr>
                            <wps:txbx>
                              <w:txbxContent>
                                <w:p w14:paraId="1567031B">
                                  <w:pPr>
                                    <w:rPr>
                                      <w:rFonts w:hint="eastAsia"/>
                                      <w:sz w:val="21"/>
                                      <w:szCs w:val="21"/>
                                      <w:lang w:eastAsia="zh-CN"/>
                                    </w:rPr>
                                  </w:pPr>
                                  <w:r>
                                    <w:rPr>
                                      <w:rFonts w:hint="eastAsia" w:ascii="宋体" w:hAnsi="宋体" w:eastAsia="宋体" w:cs="宋体"/>
                                      <w:color w:val="auto"/>
                                      <w:sz w:val="21"/>
                                      <w:szCs w:val="21"/>
                                      <w:highlight w:val="none"/>
                                      <w:lang w:val="en-US" w:eastAsia="zh-CN"/>
                                    </w:rPr>
                                    <w:t>非雨天用于</w:t>
                                  </w:r>
                                  <w:r>
                                    <w:rPr>
                                      <w:rFonts w:hint="eastAsia" w:ascii="宋体" w:hAnsi="宋体" w:eastAsia="宋体" w:cs="宋体"/>
                                      <w:b w:val="0"/>
                                      <w:bCs w:val="0"/>
                                      <w:color w:val="auto"/>
                                      <w:sz w:val="21"/>
                                      <w:szCs w:val="21"/>
                                      <w:highlight w:val="none"/>
                                      <w:vertAlign w:val="baseline"/>
                                      <w:lang w:val="en-US" w:eastAsia="zh-CN"/>
                                    </w:rPr>
                                    <w:t>厂区</w:t>
                                  </w:r>
                                  <w:r>
                                    <w:rPr>
                                      <w:rFonts w:hint="eastAsia" w:ascii="宋体" w:hAnsi="宋体" w:eastAsia="宋体" w:cs="宋体"/>
                                      <w:bCs/>
                                      <w:color w:val="auto"/>
                                      <w:sz w:val="21"/>
                                      <w:szCs w:val="21"/>
                                      <w:highlight w:val="none"/>
                                    </w:rPr>
                                    <w:t>洒水降尘</w:t>
                                  </w:r>
                                </w:p>
                              </w:txbxContent>
                            </wps:txbx>
                            <wps:bodyPr upright="1"/>
                          </wps:wsp>
                        </a:graphicData>
                      </a:graphic>
                    </wp:anchor>
                  </w:drawing>
                </mc:Choice>
                <mc:Fallback>
                  <w:pict>
                    <v:shape id="_x0000_s1026" o:spid="_x0000_s1026" o:spt="202" type="#_x0000_t202" style="position:absolute;left:0pt;margin-left:277.2pt;margin-top:0.5pt;height:27.7pt;width:173.9pt;z-index:251720704;mso-width-relative:page;mso-height-relative:page;" filled="f" stroked="t" coordsize="21600,21600" o:gfxdata="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tep8zVAAAACAEAAA8AAAAAAAAAAQAgAAAA&#10;IgAAAGRycy9kb3ducmV2LnhtbFBLAQIUABQAAAAIAIdO4kBTxlwODgIAAB8EAAAOAAAAAAAAAAEA&#10;IAAAACQBAABkcnMvZTJvRG9jLnhtbFBLBQYAAAAABgAGAFkBAACkBQAAAAA=&#10;">
                      <v:fill on="f" focussize="0,0"/>
                      <v:stroke color="#000000" joinstyle="miter"/>
                      <v:imagedata o:title=""/>
                      <o:lock v:ext="edit" aspectratio="f"/>
                      <v:textbox>
                        <w:txbxContent>
                          <w:p w14:paraId="1567031B">
                            <w:pPr>
                              <w:rPr>
                                <w:rFonts w:hint="eastAsia"/>
                                <w:sz w:val="21"/>
                                <w:szCs w:val="21"/>
                                <w:lang w:eastAsia="zh-CN"/>
                              </w:rPr>
                            </w:pPr>
                            <w:r>
                              <w:rPr>
                                <w:rFonts w:hint="eastAsia" w:ascii="宋体" w:hAnsi="宋体" w:eastAsia="宋体" w:cs="宋体"/>
                                <w:color w:val="auto"/>
                                <w:sz w:val="21"/>
                                <w:szCs w:val="21"/>
                                <w:highlight w:val="none"/>
                                <w:lang w:val="en-US" w:eastAsia="zh-CN"/>
                              </w:rPr>
                              <w:t>非雨天用于</w:t>
                            </w:r>
                            <w:r>
                              <w:rPr>
                                <w:rFonts w:hint="eastAsia" w:ascii="宋体" w:hAnsi="宋体" w:eastAsia="宋体" w:cs="宋体"/>
                                <w:b w:val="0"/>
                                <w:bCs w:val="0"/>
                                <w:color w:val="auto"/>
                                <w:sz w:val="21"/>
                                <w:szCs w:val="21"/>
                                <w:highlight w:val="none"/>
                                <w:vertAlign w:val="baseline"/>
                                <w:lang w:val="en-US" w:eastAsia="zh-CN"/>
                              </w:rPr>
                              <w:t>厂区</w:t>
                            </w:r>
                            <w:r>
                              <w:rPr>
                                <w:rFonts w:hint="eastAsia" w:ascii="宋体" w:hAnsi="宋体" w:eastAsia="宋体" w:cs="宋体"/>
                                <w:bCs/>
                                <w:color w:val="auto"/>
                                <w:sz w:val="21"/>
                                <w:szCs w:val="21"/>
                                <w:highlight w:val="none"/>
                              </w:rPr>
                              <w:t>洒水降尘</w:t>
                            </w:r>
                          </w:p>
                        </w:txbxContent>
                      </v:textbox>
                    </v:shape>
                  </w:pict>
                </mc:Fallback>
              </mc:AlternateContent>
            </w:r>
            <w:r>
              <w:rPr>
                <w:color w:val="auto"/>
                <w:sz w:val="21"/>
              </w:rPr>
              <mc:AlternateContent>
                <mc:Choice Requires="wps">
                  <w:drawing>
                    <wp:anchor distT="0" distB="0" distL="114300" distR="114300" simplePos="0" relativeHeight="251721728" behindDoc="0" locked="0" layoutInCell="1" allowOverlap="1">
                      <wp:simplePos x="0" y="0"/>
                      <wp:positionH relativeFrom="column">
                        <wp:posOffset>611505</wp:posOffset>
                      </wp:positionH>
                      <wp:positionV relativeFrom="paragraph">
                        <wp:posOffset>219710</wp:posOffset>
                      </wp:positionV>
                      <wp:extent cx="723900" cy="635"/>
                      <wp:effectExtent l="0" t="48895" r="0" b="64770"/>
                      <wp:wrapNone/>
                      <wp:docPr id="167" name="直接连接符 167"/>
                      <wp:cNvGraphicFramePr/>
                      <a:graphic xmlns:a="http://schemas.openxmlformats.org/drawingml/2006/main">
                        <a:graphicData uri="http://schemas.microsoft.com/office/word/2010/wordprocessingShape">
                          <wps:wsp>
                            <wps:cNvCnPr/>
                            <wps:spPr>
                              <a:xfrm>
                                <a:off x="0" y="0"/>
                                <a:ext cx="72390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48.15pt;margin-top:17.3pt;height:0.05pt;width:57pt;z-index:251721728;mso-width-relative:page;mso-height-relative:page;" filled="f" stroked="t" coordsize="21600,21600" o:gfxdata="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OlYYk2AAAAAgBAAAPAAAAAAAAAAEAIAAAACIAAABkcnMvZG93bnJl&#10;di54bWxQSwECFAAUAAAACACHTuJAiBwT/f0BAADqAwAADgAAAAAAAAABACAAAAAnAQAAZHJzL2Uy&#10;b0RvYy54bWxQSwUGAAAAAAYABgBZAQAAlgUAAAAA&#10;">
                      <v:fill on="f" focussize="0,0"/>
                      <v:stroke color="#000000" joinstyle="round" endarrow="open"/>
                      <v:imagedata o:title=""/>
                      <o:lock v:ext="edit" aspectratio="f"/>
                    </v:line>
                  </w:pict>
                </mc:Fallback>
              </mc:AlternateContent>
            </w:r>
            <w:r>
              <w:rPr>
                <w:color w:val="auto"/>
                <w:sz w:val="21"/>
              </w:rPr>
              <mc:AlternateContent>
                <mc:Choice Requires="wps">
                  <w:drawing>
                    <wp:anchor distT="0" distB="0" distL="114300" distR="114300" simplePos="0" relativeHeight="251722752" behindDoc="0" locked="0" layoutInCell="1" allowOverlap="1">
                      <wp:simplePos x="0" y="0"/>
                      <wp:positionH relativeFrom="column">
                        <wp:posOffset>2764155</wp:posOffset>
                      </wp:positionH>
                      <wp:positionV relativeFrom="paragraph">
                        <wp:posOffset>238760</wp:posOffset>
                      </wp:positionV>
                      <wp:extent cx="723900" cy="635"/>
                      <wp:effectExtent l="0" t="48895" r="0" b="64770"/>
                      <wp:wrapNone/>
                      <wp:docPr id="168" name="直接连接符 168"/>
                      <wp:cNvGraphicFramePr/>
                      <a:graphic xmlns:a="http://schemas.openxmlformats.org/drawingml/2006/main">
                        <a:graphicData uri="http://schemas.microsoft.com/office/word/2010/wordprocessingShape">
                          <wps:wsp>
                            <wps:cNvCnPr/>
                            <wps:spPr>
                              <a:xfrm>
                                <a:off x="0" y="0"/>
                                <a:ext cx="72390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7.65pt;margin-top:18.8pt;height:0.05pt;width:57pt;z-index:251722752;mso-width-relative:page;mso-height-relative:page;" filled="f" stroked="t" coordsize="21600,21600" o:gfxdata="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0sq079kAAAAJAQAADwAAAAAAAAABACAAAAAiAAAAZHJzL2Rvd25y&#10;ZXYueG1sUEsBAhQAFAAAAAgAh07iQMKZfan9AQAA6gMAAA4AAAAAAAAAAQAgAAAAKAEAAGRycy9l&#10;Mm9Eb2MueG1sUEsFBgAAAAAGAAYAWQEAAJcFAAAAAA==&#10;">
                      <v:fill on="f" focussize="0,0"/>
                      <v:stroke color="#000000" joinstyle="round" endarrow="open"/>
                      <v:imagedata o:title=""/>
                      <o:lock v:ext="edit" aspectratio="f"/>
                    </v:line>
                  </w:pict>
                </mc:Fallback>
              </mc:AlternateContent>
            </w:r>
            <w:r>
              <w:rPr>
                <w:rFonts w:hint="eastAsia" w:ascii="宋体" w:hAnsi="宋体" w:eastAsia="宋体" w:cs="宋体"/>
                <w:b w:val="0"/>
                <w:bCs/>
                <w:color w:val="000000"/>
                <w:sz w:val="24"/>
                <w:szCs w:val="24"/>
                <w:lang w:val="en-US" w:eastAsia="zh-CN"/>
              </w:rPr>
              <w:t>初期雨水 14.83                     14.83</w:t>
            </w:r>
          </w:p>
          <w:p w14:paraId="40AB049D">
            <w:pPr>
              <w:ind w:firstLine="2650" w:firstLineChars="1100"/>
              <w:rPr>
                <w:rFonts w:hint="eastAsia" w:ascii="宋体" w:hAnsi="宋体" w:eastAsia="宋体" w:cs="宋体"/>
                <w:b/>
                <w:color w:val="auto"/>
                <w:sz w:val="24"/>
                <w:szCs w:val="24"/>
              </w:rPr>
            </w:pPr>
          </w:p>
          <w:p w14:paraId="796DC1C8">
            <w:pPr>
              <w:ind w:firstLine="2650" w:firstLineChars="1100"/>
              <w:rPr>
                <w:rFonts w:hint="default"/>
                <w:color w:val="auto"/>
              </w:rPr>
            </w:pPr>
            <w:r>
              <w:rPr>
                <w:rFonts w:hint="eastAsia" w:ascii="宋体" w:hAnsi="宋体" w:eastAsia="宋体" w:cs="宋体"/>
                <w:b/>
                <w:color w:val="auto"/>
                <w:sz w:val="24"/>
                <w:szCs w:val="24"/>
              </w:rPr>
              <w:t>图</w:t>
            </w:r>
            <w:r>
              <w:rPr>
                <w:rFonts w:hint="eastAsia" w:ascii="宋体" w:hAnsi="宋体" w:eastAsia="宋体" w:cs="宋体"/>
                <w:b/>
                <w:color w:val="auto"/>
                <w:sz w:val="24"/>
                <w:szCs w:val="24"/>
                <w:lang w:val="en-US" w:eastAsia="zh-CN"/>
              </w:rPr>
              <w:t>4-1</w:t>
            </w:r>
            <w:r>
              <w:rPr>
                <w:rFonts w:hint="eastAsia" w:ascii="宋体" w:hAnsi="宋体" w:eastAsia="宋体" w:cs="宋体"/>
                <w:b/>
                <w:color w:val="auto"/>
                <w:sz w:val="24"/>
                <w:szCs w:val="24"/>
              </w:rPr>
              <w:t xml:space="preserve">   项目水量平衡图   (m</w:t>
            </w:r>
            <w:r>
              <w:rPr>
                <w:rFonts w:hint="eastAsia" w:ascii="宋体" w:hAnsi="宋体" w:eastAsia="宋体" w:cs="宋体"/>
                <w:b/>
                <w:color w:val="auto"/>
                <w:sz w:val="24"/>
                <w:szCs w:val="24"/>
                <w:vertAlign w:val="superscript"/>
              </w:rPr>
              <w:t>3</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d</w:t>
            </w:r>
            <w:r>
              <w:rPr>
                <w:rFonts w:hint="eastAsia" w:ascii="宋体" w:hAnsi="宋体" w:eastAsia="宋体" w:cs="宋体"/>
                <w:b/>
                <w:color w:val="auto"/>
                <w:sz w:val="24"/>
                <w:szCs w:val="24"/>
              </w:rPr>
              <w:t>)</w:t>
            </w:r>
          </w:p>
          <w:p w14:paraId="75010A13">
            <w:pPr>
              <w:numPr>
                <w:ilvl w:val="0"/>
                <w:numId w:val="0"/>
              </w:numPr>
              <w:ind w:firstLine="241" w:firstLineChars="100"/>
              <w:rPr>
                <w:rFonts w:ascii="Times New Roman" w:hAnsi="Times New Roman"/>
                <w:b/>
                <w:bCs/>
                <w:color w:val="auto"/>
              </w:rPr>
            </w:pPr>
            <w:r>
              <w:rPr>
                <w:rFonts w:hint="eastAsia" w:ascii="Times New Roman" w:hAnsi="Times New Roman" w:eastAsia="宋体" w:cs="宋体"/>
                <w:b/>
                <w:bCs/>
                <w:color w:val="auto"/>
                <w:sz w:val="24"/>
                <w:lang w:val="en-US" w:eastAsia="zh-CN"/>
              </w:rPr>
              <w:t>2、</w:t>
            </w:r>
            <w:r>
              <w:rPr>
                <w:rFonts w:hint="eastAsia" w:ascii="Times New Roman" w:hAnsi="Times New Roman" w:eastAsia="宋体" w:cs="宋体"/>
                <w:b/>
                <w:bCs/>
                <w:color w:val="auto"/>
                <w:sz w:val="24"/>
              </w:rPr>
              <w:t>项目废水</w:t>
            </w:r>
            <w:r>
              <w:rPr>
                <w:rFonts w:hint="eastAsia" w:ascii="Times New Roman" w:hAnsi="Times New Roman" w:eastAsia="宋体" w:cs="宋体"/>
                <w:b/>
                <w:bCs/>
                <w:color w:val="auto"/>
                <w:sz w:val="24"/>
                <w:lang w:val="en-US" w:eastAsia="zh-CN"/>
              </w:rPr>
              <w:t>处置</w:t>
            </w:r>
            <w:r>
              <w:rPr>
                <w:rFonts w:hint="eastAsia" w:ascii="Times New Roman" w:hAnsi="Times New Roman" w:eastAsia="宋体" w:cs="宋体"/>
                <w:b/>
                <w:bCs/>
                <w:color w:val="auto"/>
                <w:sz w:val="24"/>
                <w:lang w:eastAsia="zh-CN"/>
              </w:rPr>
              <w:t>措施</w:t>
            </w:r>
            <w:r>
              <w:rPr>
                <w:rFonts w:hint="eastAsia" w:ascii="Times New Roman" w:hAnsi="Times New Roman" w:eastAsia="宋体" w:cs="宋体"/>
                <w:b/>
                <w:bCs/>
                <w:color w:val="auto"/>
                <w:sz w:val="24"/>
              </w:rPr>
              <w:t>及其可行性分析</w:t>
            </w:r>
          </w:p>
          <w:p w14:paraId="250F9C0B">
            <w:pPr>
              <w:adjustRightInd w:val="0"/>
              <w:spacing w:line="360" w:lineRule="auto"/>
              <w:ind w:firstLine="482" w:firstLineChars="200"/>
              <w:rPr>
                <w:rFonts w:hint="eastAsia" w:asciiTheme="majorEastAsia" w:hAnsiTheme="majorEastAsia" w:eastAsiaTheme="majorEastAsia" w:cstheme="majorEastAsia"/>
                <w:b/>
                <w:bCs/>
                <w:color w:val="auto"/>
                <w:sz w:val="24"/>
                <w:lang w:val="en-US" w:eastAsia="zh-CN"/>
              </w:rPr>
            </w:pPr>
            <w:r>
              <w:rPr>
                <w:rFonts w:hint="eastAsia" w:asciiTheme="majorEastAsia" w:hAnsiTheme="majorEastAsia" w:eastAsiaTheme="majorEastAsia" w:cstheme="majorEastAsia"/>
                <w:b/>
                <w:bCs/>
                <w:color w:val="auto"/>
                <w:sz w:val="24"/>
                <w:lang w:eastAsia="zh-CN"/>
              </w:rPr>
              <w:t>（</w:t>
            </w:r>
            <w:r>
              <w:rPr>
                <w:rFonts w:hint="eastAsia" w:asciiTheme="majorEastAsia" w:hAnsiTheme="majorEastAsia" w:eastAsiaTheme="majorEastAsia" w:cstheme="majorEastAsia"/>
                <w:b/>
                <w:bCs/>
                <w:color w:val="auto"/>
                <w:sz w:val="24"/>
                <w:lang w:val="en-US" w:eastAsia="zh-CN"/>
              </w:rPr>
              <w:t>1</w:t>
            </w:r>
            <w:r>
              <w:rPr>
                <w:rFonts w:hint="eastAsia" w:asciiTheme="majorEastAsia" w:hAnsiTheme="majorEastAsia" w:eastAsiaTheme="majorEastAsia" w:cstheme="majorEastAsia"/>
                <w:b/>
                <w:bCs/>
                <w:color w:val="auto"/>
                <w:sz w:val="24"/>
                <w:lang w:eastAsia="zh-CN"/>
              </w:rPr>
              <w:t>）</w:t>
            </w:r>
            <w:r>
              <w:rPr>
                <w:rFonts w:hint="eastAsia" w:asciiTheme="majorEastAsia" w:hAnsiTheme="majorEastAsia" w:eastAsiaTheme="majorEastAsia" w:cstheme="majorEastAsia"/>
                <w:b/>
                <w:bCs/>
                <w:color w:val="auto"/>
                <w:sz w:val="24"/>
                <w:lang w:val="en-US" w:eastAsia="zh-CN"/>
              </w:rPr>
              <w:t>废水处置措施</w:t>
            </w:r>
          </w:p>
          <w:p w14:paraId="49AD2B5D">
            <w:pPr>
              <w:adjustRightInd w:val="0"/>
              <w:spacing w:line="360" w:lineRule="auto"/>
              <w:ind w:firstLine="480" w:firstLineChars="200"/>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搅拌机清洗水：在搅拌机底部建设1个5</w:t>
            </w:r>
            <w:r>
              <w:rPr>
                <w:rFonts w:hint="eastAsia" w:asciiTheme="majorEastAsia" w:hAnsiTheme="majorEastAsia" w:eastAsiaTheme="majorEastAsia" w:cstheme="majorEastAsia"/>
                <w:b w:val="0"/>
                <w:bCs w:val="0"/>
                <w:i w:val="0"/>
                <w:iCs/>
                <w:color w:val="auto"/>
                <w:sz w:val="24"/>
                <w:szCs w:val="24"/>
                <w:highlight w:val="none"/>
              </w:rPr>
              <w:t>m</w:t>
            </w:r>
            <w:r>
              <w:rPr>
                <w:rFonts w:hint="eastAsia" w:asciiTheme="majorEastAsia" w:hAnsiTheme="majorEastAsia" w:eastAsiaTheme="majorEastAsia" w:cstheme="majorEastAsia"/>
                <w:b w:val="0"/>
                <w:bCs w:val="0"/>
                <w:i w:val="0"/>
                <w:iCs/>
                <w:color w:val="auto"/>
                <w:sz w:val="24"/>
                <w:szCs w:val="24"/>
                <w:highlight w:val="none"/>
                <w:vertAlign w:val="superscript"/>
              </w:rPr>
              <w:t>3</w:t>
            </w:r>
            <w:r>
              <w:rPr>
                <w:rFonts w:hint="eastAsia" w:asciiTheme="majorEastAsia" w:hAnsiTheme="majorEastAsia" w:eastAsiaTheme="majorEastAsia" w:cstheme="majorEastAsia"/>
                <w:b w:val="0"/>
                <w:bCs w:val="0"/>
                <w:color w:val="auto"/>
                <w:sz w:val="24"/>
                <w:szCs w:val="24"/>
                <w:lang w:val="en-US" w:eastAsia="zh-CN"/>
              </w:rPr>
              <w:t>防渗沉淀池（渗透系数s10</w:t>
            </w:r>
            <w:r>
              <w:rPr>
                <w:rFonts w:hint="eastAsia" w:asciiTheme="majorEastAsia" w:hAnsiTheme="majorEastAsia" w:eastAsiaTheme="majorEastAsia" w:cstheme="majorEastAsia"/>
                <w:b w:val="0"/>
                <w:bCs w:val="0"/>
                <w:color w:val="auto"/>
                <w:sz w:val="24"/>
                <w:szCs w:val="24"/>
                <w:vertAlign w:val="superscript"/>
                <w:lang w:val="en-US" w:eastAsia="zh-CN"/>
              </w:rPr>
              <w:t>-7</w:t>
            </w:r>
            <w:r>
              <w:rPr>
                <w:rFonts w:hint="eastAsia" w:asciiTheme="majorEastAsia" w:hAnsiTheme="majorEastAsia" w:eastAsiaTheme="majorEastAsia" w:cstheme="majorEastAsia"/>
                <w:b w:val="0"/>
                <w:bCs w:val="0"/>
                <w:color w:val="auto"/>
                <w:sz w:val="24"/>
                <w:szCs w:val="24"/>
                <w:lang w:val="en-US" w:eastAsia="zh-CN"/>
              </w:rPr>
              <w:t>cm/s），搅拌机清洗废水排入防渗沉淀池内沉淀后上清液全部回用于搅拌工序的搅拌机内，不外排。</w:t>
            </w:r>
          </w:p>
          <w:p w14:paraId="3642327D">
            <w:pPr>
              <w:ind w:firstLine="480" w:firstLineChars="20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val="0"/>
                <w:bCs w:val="0"/>
                <w:color w:val="auto"/>
                <w:sz w:val="24"/>
                <w:szCs w:val="24"/>
                <w:lang w:val="en-US" w:eastAsia="zh-CN"/>
              </w:rPr>
              <w:t>生活污水：经</w:t>
            </w:r>
            <w:r>
              <w:rPr>
                <w:rFonts w:hint="eastAsia" w:asciiTheme="majorEastAsia" w:hAnsiTheme="majorEastAsia" w:eastAsiaTheme="majorEastAsia" w:cstheme="majorEastAsia"/>
                <w:color w:val="auto"/>
                <w:sz w:val="24"/>
                <w:szCs w:val="24"/>
                <w:lang w:val="en-US" w:eastAsia="zh-CN"/>
              </w:rPr>
              <w:t>油水分离器（</w:t>
            </w:r>
            <w:r>
              <w:rPr>
                <w:rFonts w:hint="eastAsia" w:asciiTheme="majorEastAsia" w:hAnsiTheme="majorEastAsia" w:eastAsiaTheme="majorEastAsia" w:cstheme="majorEastAsia"/>
                <w:bCs/>
                <w:color w:val="auto"/>
                <w:sz w:val="24"/>
                <w:szCs w:val="24"/>
                <w:highlight w:val="none"/>
                <w:lang w:val="en-US" w:eastAsia="zh-CN"/>
              </w:rPr>
              <w:t>1个，0.1</w:t>
            </w:r>
            <w:r>
              <w:rPr>
                <w:rFonts w:hint="eastAsia" w:asciiTheme="majorEastAsia" w:hAnsiTheme="majorEastAsia" w:eastAsiaTheme="majorEastAsia" w:cstheme="majorEastAsia"/>
                <w:i w:val="0"/>
                <w:iCs/>
                <w:color w:val="auto"/>
                <w:sz w:val="24"/>
                <w:szCs w:val="24"/>
                <w:highlight w:val="none"/>
              </w:rPr>
              <w:t>m</w:t>
            </w:r>
            <w:r>
              <w:rPr>
                <w:rFonts w:hint="eastAsia" w:asciiTheme="majorEastAsia" w:hAnsiTheme="majorEastAsia" w:eastAsiaTheme="majorEastAsia" w:cstheme="majorEastAsia"/>
                <w:i w:val="0"/>
                <w:iCs/>
                <w:color w:val="auto"/>
                <w:sz w:val="24"/>
                <w:szCs w:val="24"/>
                <w:highlight w:val="none"/>
                <w:vertAlign w:val="superscript"/>
              </w:rPr>
              <w:t>3</w:t>
            </w:r>
            <w:r>
              <w:rPr>
                <w:rFonts w:hint="eastAsia" w:asciiTheme="majorEastAsia" w:hAnsiTheme="majorEastAsia" w:eastAsiaTheme="majorEastAsia" w:cstheme="majorEastAsia"/>
                <w:color w:val="auto"/>
                <w:sz w:val="24"/>
                <w:szCs w:val="24"/>
                <w:lang w:eastAsia="zh-CN"/>
              </w:rPr>
              <w:t>）和</w:t>
            </w:r>
            <w:r>
              <w:rPr>
                <w:rFonts w:hint="eastAsia" w:asciiTheme="majorEastAsia" w:hAnsiTheme="majorEastAsia" w:eastAsiaTheme="majorEastAsia" w:cstheme="majorEastAsia"/>
                <w:color w:val="auto"/>
                <w:sz w:val="24"/>
                <w:szCs w:val="24"/>
                <w:lang w:val="en-US" w:eastAsia="zh-CN"/>
              </w:rPr>
              <w:t>化粪池（</w:t>
            </w:r>
            <w:r>
              <w:rPr>
                <w:rFonts w:hint="eastAsia" w:asciiTheme="majorEastAsia" w:hAnsiTheme="majorEastAsia" w:eastAsiaTheme="majorEastAsia" w:cstheme="majorEastAsia"/>
                <w:bCs/>
                <w:color w:val="auto"/>
                <w:sz w:val="24"/>
                <w:szCs w:val="24"/>
                <w:highlight w:val="none"/>
                <w:lang w:val="en-US" w:eastAsia="zh-CN"/>
              </w:rPr>
              <w:t>1个，6</w:t>
            </w:r>
            <w:r>
              <w:rPr>
                <w:rFonts w:hint="eastAsia" w:asciiTheme="majorEastAsia" w:hAnsiTheme="majorEastAsia" w:eastAsiaTheme="majorEastAsia" w:cstheme="majorEastAsia"/>
                <w:i w:val="0"/>
                <w:iCs/>
                <w:color w:val="auto"/>
                <w:sz w:val="24"/>
                <w:szCs w:val="24"/>
                <w:highlight w:val="none"/>
              </w:rPr>
              <w:t>m</w:t>
            </w:r>
            <w:r>
              <w:rPr>
                <w:rFonts w:hint="eastAsia" w:asciiTheme="majorEastAsia" w:hAnsiTheme="majorEastAsia" w:eastAsiaTheme="majorEastAsia" w:cstheme="majorEastAsia"/>
                <w:i w:val="0"/>
                <w:iCs/>
                <w:color w:val="auto"/>
                <w:sz w:val="24"/>
                <w:szCs w:val="24"/>
                <w:highlight w:val="none"/>
                <w:vertAlign w:val="superscript"/>
              </w:rPr>
              <w:t>3</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lang w:val="en-US" w:eastAsia="zh-CN"/>
              </w:rPr>
              <w:t>处理后定期清掏，用作农肥</w:t>
            </w:r>
            <w:r>
              <w:rPr>
                <w:rFonts w:hint="eastAsia" w:asciiTheme="majorEastAsia" w:hAnsiTheme="majorEastAsia" w:eastAsiaTheme="majorEastAsia" w:cstheme="majorEastAsia"/>
                <w:b w:val="0"/>
                <w:bCs/>
                <w:color w:val="auto"/>
                <w:sz w:val="24"/>
                <w:szCs w:val="24"/>
                <w:highlight w:val="none"/>
                <w:lang w:val="en-US" w:eastAsia="zh-CN"/>
              </w:rPr>
              <w:t>，不外排。</w:t>
            </w:r>
          </w:p>
          <w:p w14:paraId="58D8A5FC">
            <w:pPr>
              <w:adjustRightInd w:val="0"/>
              <w:snapToGrid w:val="0"/>
              <w:spacing w:line="360" w:lineRule="auto"/>
              <w:ind w:firstLine="482" w:firstLineChars="200"/>
              <w:rPr>
                <w:rFonts w:hint="eastAsia" w:asciiTheme="majorEastAsia" w:hAnsiTheme="majorEastAsia" w:eastAsiaTheme="majorEastAsia" w:cstheme="majorEastAsia"/>
                <w:b/>
                <w:color w:val="auto"/>
                <w:sz w:val="24"/>
                <w:lang w:eastAsia="zh-CN"/>
              </w:rPr>
            </w:pPr>
            <w:r>
              <w:rPr>
                <w:rFonts w:hint="eastAsia" w:asciiTheme="majorEastAsia" w:hAnsiTheme="majorEastAsia" w:eastAsiaTheme="majorEastAsia" w:cstheme="majorEastAsia"/>
                <w:b/>
                <w:color w:val="auto"/>
                <w:sz w:val="24"/>
                <w:lang w:eastAsia="zh-CN"/>
              </w:rPr>
              <w:t>（</w:t>
            </w:r>
            <w:r>
              <w:rPr>
                <w:rFonts w:hint="eastAsia" w:asciiTheme="majorEastAsia" w:hAnsiTheme="majorEastAsia" w:eastAsiaTheme="majorEastAsia" w:cstheme="majorEastAsia"/>
                <w:b/>
                <w:color w:val="auto"/>
                <w:sz w:val="24"/>
                <w:lang w:val="en-US" w:eastAsia="zh-CN"/>
              </w:rPr>
              <w:t>2</w:t>
            </w:r>
            <w:r>
              <w:rPr>
                <w:rFonts w:hint="eastAsia" w:asciiTheme="majorEastAsia" w:hAnsiTheme="majorEastAsia" w:eastAsiaTheme="majorEastAsia" w:cstheme="majorEastAsia"/>
                <w:b/>
                <w:color w:val="auto"/>
                <w:sz w:val="24"/>
                <w:lang w:eastAsia="zh-CN"/>
              </w:rPr>
              <w:t>）</w:t>
            </w:r>
            <w:r>
              <w:rPr>
                <w:rFonts w:hint="eastAsia" w:asciiTheme="majorEastAsia" w:hAnsiTheme="majorEastAsia" w:eastAsiaTheme="majorEastAsia" w:cstheme="majorEastAsia"/>
                <w:b/>
                <w:bCs/>
                <w:color w:val="auto"/>
                <w:sz w:val="24"/>
                <w:lang w:val="en-US" w:eastAsia="zh-CN"/>
              </w:rPr>
              <w:t>处置措施</w:t>
            </w:r>
            <w:r>
              <w:rPr>
                <w:rFonts w:hint="eastAsia" w:asciiTheme="majorEastAsia" w:hAnsiTheme="majorEastAsia" w:eastAsiaTheme="majorEastAsia" w:cstheme="majorEastAsia"/>
                <w:b/>
                <w:bCs/>
                <w:color w:val="auto"/>
                <w:sz w:val="24"/>
              </w:rPr>
              <w:t>可行性分析</w:t>
            </w:r>
          </w:p>
          <w:p w14:paraId="26F2FDBF">
            <w:pPr>
              <w:keepNext w:val="0"/>
              <w:keepLines w:val="0"/>
              <w:pageBreakBefore w:val="0"/>
              <w:widowControl w:val="0"/>
              <w:kinsoku/>
              <w:wordWrap/>
              <w:overflowPunct/>
              <w:topLinePunct w:val="0"/>
              <w:autoSpaceDE/>
              <w:autoSpaceDN/>
              <w:bidi w:val="0"/>
              <w:adjustRightInd w:val="0"/>
              <w:snapToGrid w:val="0"/>
              <w:spacing w:line="360" w:lineRule="auto"/>
              <w:ind w:leftChars="0" w:firstLine="482" w:firstLineChars="200"/>
              <w:textAlignment w:val="auto"/>
              <w:rPr>
                <w:rFonts w:hint="eastAsia" w:asciiTheme="majorEastAsia" w:hAnsiTheme="majorEastAsia" w:eastAsiaTheme="majorEastAsia" w:cstheme="majorEastAsia"/>
                <w:b/>
                <w:bCs/>
                <w:color w:val="auto"/>
                <w:sz w:val="24"/>
              </w:rPr>
            </w:pPr>
            <w:r>
              <w:rPr>
                <w:rFonts w:hint="eastAsia" w:asciiTheme="majorEastAsia" w:hAnsiTheme="majorEastAsia" w:eastAsiaTheme="majorEastAsia" w:cstheme="majorEastAsia"/>
                <w:b/>
                <w:bCs/>
                <w:color w:val="auto"/>
                <w:sz w:val="24"/>
                <w:lang w:val="en-US" w:eastAsia="zh-CN"/>
              </w:rPr>
              <w:t>①</w:t>
            </w:r>
            <w:r>
              <w:rPr>
                <w:rFonts w:hint="eastAsia" w:asciiTheme="majorEastAsia" w:hAnsiTheme="majorEastAsia" w:eastAsiaTheme="majorEastAsia" w:cstheme="majorEastAsia"/>
                <w:b/>
                <w:bCs/>
                <w:color w:val="auto"/>
                <w:sz w:val="24"/>
                <w:lang w:eastAsia="zh-CN"/>
              </w:rPr>
              <w:t>油水分离池</w:t>
            </w:r>
            <w:r>
              <w:rPr>
                <w:rFonts w:hint="eastAsia" w:asciiTheme="majorEastAsia" w:hAnsiTheme="majorEastAsia" w:eastAsiaTheme="majorEastAsia" w:cstheme="majorEastAsia"/>
                <w:b/>
                <w:bCs/>
                <w:color w:val="auto"/>
                <w:sz w:val="24"/>
              </w:rPr>
              <w:t>容积合理性</w:t>
            </w:r>
            <w:r>
              <w:rPr>
                <w:rFonts w:hint="eastAsia" w:asciiTheme="majorEastAsia" w:hAnsiTheme="majorEastAsia" w:eastAsiaTheme="majorEastAsia" w:cstheme="majorEastAsia"/>
                <w:b/>
                <w:bCs/>
                <w:color w:val="auto"/>
                <w:sz w:val="24"/>
                <w:lang w:val="en-US" w:eastAsia="zh-CN"/>
              </w:rPr>
              <w:t>及处置可行性</w:t>
            </w:r>
            <w:r>
              <w:rPr>
                <w:rFonts w:hint="eastAsia" w:asciiTheme="majorEastAsia" w:hAnsiTheme="majorEastAsia" w:eastAsiaTheme="majorEastAsia" w:cstheme="majorEastAsia"/>
                <w:b/>
                <w:bCs/>
                <w:color w:val="auto"/>
                <w:sz w:val="24"/>
              </w:rPr>
              <w:t>分析</w:t>
            </w:r>
          </w:p>
          <w:p w14:paraId="5423CFDD">
            <w:pPr>
              <w:ind w:firstLine="480" w:firstLineChars="20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项目设置1个容积为0.1m</w:t>
            </w:r>
            <w:r>
              <w:rPr>
                <w:rFonts w:hint="eastAsia" w:asciiTheme="majorEastAsia" w:hAnsiTheme="majorEastAsia" w:eastAsiaTheme="majorEastAsia" w:cstheme="majorEastAsia"/>
                <w:color w:val="auto"/>
                <w:vertAlign w:val="superscript"/>
              </w:rPr>
              <w:t>3</w:t>
            </w:r>
            <w:r>
              <w:rPr>
                <w:rFonts w:hint="eastAsia" w:asciiTheme="majorEastAsia" w:hAnsiTheme="majorEastAsia" w:eastAsiaTheme="majorEastAsia" w:cstheme="majorEastAsia"/>
                <w:color w:val="auto"/>
              </w:rPr>
              <w:t>的油水分离器处理食堂废水，可满足废水在隔油池的停留时间不小于8h的要求，隔油池的设置满足废水排放需求。</w:t>
            </w:r>
          </w:p>
          <w:p w14:paraId="21D666D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2" w:firstLineChars="200"/>
              <w:jc w:val="both"/>
              <w:textAlignment w:val="auto"/>
              <w:rPr>
                <w:rFonts w:hint="eastAsia" w:ascii="Times New Roman" w:hAnsi="Times New Roman" w:eastAsia="宋体" w:cs="宋体"/>
                <w:b/>
                <w:bCs w:val="0"/>
                <w:color w:val="auto"/>
                <w:sz w:val="24"/>
                <w:szCs w:val="24"/>
                <w:lang w:val="en-US" w:eastAsia="zh-CN"/>
              </w:rPr>
            </w:pPr>
            <w:r>
              <w:rPr>
                <w:rFonts w:hint="eastAsia" w:ascii="Times New Roman" w:hAnsi="Times New Roman" w:eastAsia="宋体" w:cs="宋体"/>
                <w:b/>
                <w:bCs/>
                <w:color w:val="auto"/>
                <w:sz w:val="24"/>
                <w:lang w:eastAsia="zh-CN"/>
              </w:rPr>
              <w:t>②</w:t>
            </w:r>
            <w:r>
              <w:rPr>
                <w:rFonts w:hint="eastAsia" w:ascii="Times New Roman" w:hAnsi="Times New Roman" w:eastAsia="宋体" w:cs="宋体"/>
                <w:b/>
                <w:bCs w:val="0"/>
                <w:color w:val="auto"/>
                <w:sz w:val="24"/>
                <w:szCs w:val="24"/>
                <w:lang w:val="en-US" w:eastAsia="zh-CN"/>
              </w:rPr>
              <w:t>沉淀池设置合理性分析</w:t>
            </w:r>
          </w:p>
          <w:p w14:paraId="3B3473B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jc w:val="both"/>
              <w:textAlignment w:val="auto"/>
              <w:rPr>
                <w:rFonts w:hint="eastAsia" w:ascii="Times New Roman" w:hAnsi="Times New Roman" w:eastAsia="宋体" w:cs="宋体"/>
                <w:b w:val="0"/>
                <w:bCs/>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本项目搅拌机清洗废水产生量为3.4m</w:t>
            </w:r>
            <w:r>
              <w:rPr>
                <w:rFonts w:hint="eastAsia" w:asciiTheme="minorEastAsia" w:hAnsiTheme="minorEastAsia" w:eastAsiaTheme="minorEastAsia" w:cstheme="minorEastAsia"/>
                <w:b w:val="0"/>
                <w:bCs w:val="0"/>
                <w:color w:val="auto"/>
                <w:sz w:val="24"/>
                <w:szCs w:val="24"/>
                <w:vertAlign w:val="superscript"/>
                <w:lang w:val="en-US" w:eastAsia="zh-CN"/>
              </w:rPr>
              <w:t>3</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color w:val="auto"/>
                <w:sz w:val="24"/>
                <w:szCs w:val="24"/>
                <w:vertAlign w:val="baseline"/>
                <w:lang w:val="en-US" w:eastAsia="zh-CN"/>
              </w:rPr>
              <w:t>考虑1.2的</w:t>
            </w:r>
            <w:r>
              <w:rPr>
                <w:rFonts w:hint="eastAsia" w:asciiTheme="minorEastAsia" w:hAnsiTheme="minorEastAsia" w:eastAsiaTheme="minorEastAsia" w:cstheme="minorEastAsia"/>
                <w:b w:val="0"/>
                <w:bCs/>
                <w:color w:val="auto"/>
                <w:sz w:val="24"/>
                <w:szCs w:val="24"/>
                <w:lang w:val="en-US" w:eastAsia="zh-CN"/>
              </w:rPr>
              <w:t>最大排水量变化系数，防渗沉淀池应不小于4.08m</w:t>
            </w:r>
            <w:r>
              <w:rPr>
                <w:rFonts w:hint="eastAsia" w:asciiTheme="minorEastAsia" w:hAnsiTheme="minorEastAsia" w:eastAsiaTheme="minorEastAsia" w:cstheme="minorEastAsia"/>
                <w:b w:val="0"/>
                <w:bCs/>
                <w:color w:val="auto"/>
                <w:sz w:val="24"/>
                <w:szCs w:val="24"/>
                <w:vertAlign w:val="superscript"/>
                <w:lang w:val="en-US" w:eastAsia="zh-CN"/>
              </w:rPr>
              <w:t>3</w:t>
            </w:r>
            <w:r>
              <w:rPr>
                <w:rFonts w:hint="eastAsia" w:asciiTheme="minorEastAsia" w:hAnsiTheme="minorEastAsia" w:eastAsiaTheme="minorEastAsia" w:cstheme="minorEastAsia"/>
                <w:b w:val="0"/>
                <w:bCs/>
                <w:color w:val="auto"/>
                <w:sz w:val="24"/>
                <w:szCs w:val="24"/>
                <w:vertAlign w:val="baseline"/>
                <w:lang w:val="en-US" w:eastAsia="zh-CN"/>
              </w:rPr>
              <w:t>，</w:t>
            </w:r>
            <w:r>
              <w:rPr>
                <w:rFonts w:hint="eastAsia" w:asciiTheme="minorEastAsia" w:hAnsiTheme="minorEastAsia" w:eastAsiaTheme="minorEastAsia" w:cstheme="minorEastAsia"/>
                <w:b w:val="0"/>
                <w:bCs w:val="0"/>
                <w:color w:val="auto"/>
                <w:sz w:val="24"/>
                <w:szCs w:val="24"/>
                <w:lang w:val="en-US" w:eastAsia="zh-CN"/>
              </w:rPr>
              <w:t>项目拟设的</w:t>
            </w:r>
            <w:r>
              <w:rPr>
                <w:rFonts w:hint="eastAsia" w:asciiTheme="minorEastAsia" w:hAnsiTheme="minorEastAsia" w:eastAsiaTheme="minorEastAsia" w:cstheme="minorEastAsia"/>
                <w:b w:val="0"/>
                <w:bCs/>
                <w:color w:val="auto"/>
                <w:sz w:val="24"/>
                <w:szCs w:val="24"/>
                <w:lang w:val="en-US" w:eastAsia="zh-CN"/>
              </w:rPr>
              <w:t>防渗沉淀池</w:t>
            </w:r>
            <w:r>
              <w:rPr>
                <w:rFonts w:hint="eastAsia" w:asciiTheme="minorEastAsia" w:hAnsiTheme="minorEastAsia" w:eastAsiaTheme="minorEastAsia" w:cstheme="minorEastAsia"/>
                <w:b w:val="0"/>
                <w:bCs w:val="0"/>
                <w:color w:val="auto"/>
                <w:sz w:val="24"/>
                <w:szCs w:val="24"/>
                <w:lang w:val="en-US" w:eastAsia="zh-CN"/>
              </w:rPr>
              <w:t>容积为5m</w:t>
            </w:r>
            <w:r>
              <w:rPr>
                <w:rFonts w:hint="eastAsia" w:asciiTheme="minorEastAsia" w:hAnsiTheme="minorEastAsia" w:eastAsiaTheme="minorEastAsia" w:cstheme="minorEastAsia"/>
                <w:b w:val="0"/>
                <w:bCs w:val="0"/>
                <w:color w:val="auto"/>
                <w:sz w:val="24"/>
                <w:szCs w:val="24"/>
                <w:vertAlign w:val="superscript"/>
                <w:lang w:val="en-US" w:eastAsia="zh-CN"/>
              </w:rPr>
              <w:t>3</w:t>
            </w:r>
            <w:r>
              <w:rPr>
                <w:rFonts w:hint="eastAsia" w:asciiTheme="minorEastAsia" w:hAnsiTheme="minorEastAsia" w:eastAsiaTheme="minorEastAsia" w:cstheme="minorEastAsia"/>
                <w:b w:val="0"/>
                <w:bCs w:val="0"/>
                <w:color w:val="auto"/>
                <w:sz w:val="24"/>
                <w:szCs w:val="24"/>
                <w:lang w:val="en-US" w:eastAsia="zh-CN"/>
              </w:rPr>
              <w:t>，能够满足搅拌机清洗水的要求</w:t>
            </w:r>
            <w:r>
              <w:rPr>
                <w:rFonts w:hint="eastAsia" w:asciiTheme="minorEastAsia" w:hAnsiTheme="minorEastAsia" w:eastAsiaTheme="minorEastAsia" w:cstheme="minorEastAsia"/>
                <w:b w:val="0"/>
                <w:bCs/>
                <w:color w:val="auto"/>
                <w:sz w:val="24"/>
                <w:szCs w:val="24"/>
                <w:lang w:val="en-US" w:eastAsia="zh-CN"/>
              </w:rPr>
              <w:t>。</w:t>
            </w:r>
          </w:p>
          <w:p w14:paraId="21F19D4F">
            <w:pPr>
              <w:ind w:firstLine="482" w:firstLineChars="200"/>
              <w:rPr>
                <w:rFonts w:hint="eastAsia" w:ascii="Times New Roman" w:hAnsi="Times New Roman" w:eastAsia="宋体"/>
                <w:color w:val="auto"/>
                <w:lang w:eastAsia="zh-CN"/>
              </w:rPr>
            </w:pPr>
            <w:r>
              <w:rPr>
                <w:rFonts w:hint="eastAsia" w:ascii="Times New Roman" w:hAnsi="Times New Roman"/>
                <w:b/>
                <w:bCs/>
                <w:color w:val="auto"/>
              </w:rPr>
              <w:t>③</w:t>
            </w:r>
            <w:r>
              <w:rPr>
                <w:rFonts w:hint="eastAsia" w:ascii="Times New Roman" w:hAnsi="Times New Roman"/>
                <w:b/>
                <w:bCs/>
                <w:color w:val="auto"/>
                <w:lang w:eastAsia="zh-CN"/>
              </w:rPr>
              <w:t>化粪池</w:t>
            </w:r>
            <w:r>
              <w:rPr>
                <w:rFonts w:hint="eastAsia" w:ascii="Times New Roman" w:hAnsi="Times New Roman" w:eastAsia="宋体" w:cs="宋体"/>
                <w:b/>
                <w:bCs/>
                <w:color w:val="auto"/>
                <w:sz w:val="24"/>
              </w:rPr>
              <w:t>容积合理性</w:t>
            </w:r>
            <w:r>
              <w:rPr>
                <w:rFonts w:hint="eastAsia" w:ascii="Times New Roman" w:hAnsi="Times New Roman" w:eastAsia="宋体" w:cs="宋体"/>
                <w:b/>
                <w:bCs/>
                <w:color w:val="auto"/>
                <w:sz w:val="24"/>
                <w:lang w:val="en-US" w:eastAsia="zh-CN"/>
              </w:rPr>
              <w:t>及处置可行性</w:t>
            </w:r>
            <w:r>
              <w:rPr>
                <w:rFonts w:hint="eastAsia" w:ascii="Times New Roman" w:hAnsi="Times New Roman" w:eastAsia="宋体" w:cs="宋体"/>
                <w:b/>
                <w:bCs/>
                <w:color w:val="auto"/>
                <w:sz w:val="24"/>
              </w:rPr>
              <w:t>分析</w:t>
            </w:r>
          </w:p>
          <w:p w14:paraId="2F571A61">
            <w:pPr>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项目</w:t>
            </w:r>
            <w:r>
              <w:rPr>
                <w:rFonts w:hint="eastAsia" w:asciiTheme="minorEastAsia" w:hAnsiTheme="minorEastAsia" w:eastAsiaTheme="minorEastAsia" w:cstheme="minorEastAsia"/>
                <w:color w:val="auto"/>
              </w:rPr>
              <w:t>生活污水量为0.</w:t>
            </w:r>
            <w:r>
              <w:rPr>
                <w:rFonts w:hint="eastAsia" w:asciiTheme="minorEastAsia" w:hAnsiTheme="minorEastAsia" w:eastAsiaTheme="minorEastAsia" w:cstheme="minorEastAsia"/>
                <w:color w:val="auto"/>
                <w:lang w:val="en-US" w:eastAsia="zh-CN"/>
              </w:rPr>
              <w:t>704</w:t>
            </w:r>
            <w:r>
              <w:rPr>
                <w:rFonts w:hint="eastAsia" w:asciiTheme="minorEastAsia" w:hAnsiTheme="minorEastAsia" w:eastAsiaTheme="minorEastAsia" w:cstheme="minorEastAsia"/>
                <w:color w:val="auto"/>
              </w:rPr>
              <w:t>m</w:t>
            </w:r>
            <w:r>
              <w:rPr>
                <w:rFonts w:hint="eastAsia" w:asciiTheme="minorEastAsia" w:hAnsiTheme="minorEastAsia" w:eastAsiaTheme="minorEastAsia" w:cstheme="minorEastAsia"/>
                <w:color w:val="auto"/>
                <w:vertAlign w:val="superscript"/>
              </w:rPr>
              <w:t>3</w:t>
            </w:r>
            <w:r>
              <w:rPr>
                <w:rFonts w:hint="eastAsia" w:asciiTheme="minorEastAsia" w:hAnsiTheme="minorEastAsia" w:eastAsiaTheme="minorEastAsia" w:cstheme="minorEastAsia"/>
                <w:color w:val="auto"/>
              </w:rPr>
              <w:t>/d，</w:t>
            </w:r>
            <w:r>
              <w:rPr>
                <w:rFonts w:hint="eastAsia" w:asciiTheme="minorEastAsia" w:hAnsiTheme="minorEastAsia" w:eastAsiaTheme="minorEastAsia" w:cstheme="minorEastAsia"/>
                <w:color w:val="auto"/>
                <w:lang w:eastAsia="zh-CN"/>
              </w:rPr>
              <w:t>依托的</w:t>
            </w:r>
            <w:r>
              <w:rPr>
                <w:rFonts w:hint="eastAsia" w:asciiTheme="minorEastAsia" w:hAnsiTheme="minorEastAsia" w:eastAsiaTheme="minorEastAsia" w:cstheme="minorEastAsia"/>
                <w:color w:val="auto"/>
              </w:rPr>
              <w:t>化粪池容积</w:t>
            </w: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rPr>
              <w:t>m</w:t>
            </w:r>
            <w:r>
              <w:rPr>
                <w:rFonts w:hint="eastAsia" w:asciiTheme="minorEastAsia" w:hAnsiTheme="minorEastAsia" w:eastAsiaTheme="minorEastAsia" w:cstheme="minorEastAsia"/>
                <w:color w:val="auto"/>
                <w:vertAlign w:val="superscript"/>
              </w:rPr>
              <w:t>3</w:t>
            </w:r>
            <w:r>
              <w:rPr>
                <w:rFonts w:hint="eastAsia" w:asciiTheme="minorEastAsia" w:hAnsiTheme="minorEastAsia" w:eastAsiaTheme="minorEastAsia" w:cstheme="minorEastAsia"/>
                <w:color w:val="auto"/>
              </w:rPr>
              <w:t>，化粪池总容积能够满足废水停留时间大于24小时的处理要求。</w:t>
            </w:r>
          </w:p>
          <w:p w14:paraId="288AFD9E">
            <w:pPr>
              <w:ind w:firstLine="480" w:firstLineChars="200"/>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项目区南面、东面、北面均有大片农田，农用地面积广阔，项目化粪池可委托周边村民清掏，用作周围农田农肥。</w:t>
            </w:r>
          </w:p>
          <w:p w14:paraId="02B7946E">
            <w:pPr>
              <w:ind w:firstLine="480" w:firstLineChars="200"/>
              <w:rPr>
                <w:rFonts w:hint="eastAsia" w:ascii="Times New Roman" w:hAnsi="Times New Roman"/>
                <w:color w:val="auto"/>
                <w:lang w:eastAsia="zh-CN"/>
              </w:rPr>
            </w:pPr>
            <w:r>
              <w:rPr>
                <w:rFonts w:hint="eastAsia" w:ascii="Times New Roman" w:hAnsi="Times New Roman" w:eastAsia="宋体" w:cs="宋体"/>
                <w:b w:val="0"/>
                <w:bCs/>
                <w:color w:val="auto"/>
                <w:sz w:val="24"/>
                <w:szCs w:val="24"/>
                <w:lang w:val="en-US" w:eastAsia="zh-CN"/>
              </w:rPr>
              <w:t>综上所述，</w:t>
            </w:r>
            <w:r>
              <w:rPr>
                <w:rFonts w:hint="eastAsia" w:ascii="Times New Roman" w:hAnsi="Times New Roman"/>
                <w:color w:val="auto"/>
              </w:rPr>
              <w:t>项目废水处理措施技术可行</w:t>
            </w:r>
            <w:r>
              <w:rPr>
                <w:rFonts w:hint="eastAsia" w:ascii="Times New Roman" w:hAnsi="Times New Roman"/>
                <w:color w:val="auto"/>
                <w:lang w:eastAsia="zh-CN"/>
              </w:rPr>
              <w:t>。</w:t>
            </w:r>
          </w:p>
          <w:p w14:paraId="4DBE9CF6">
            <w:pPr>
              <w:ind w:firstLine="482" w:firstLineChars="200"/>
              <w:rPr>
                <w:rFonts w:hint="eastAsia" w:ascii="Times New Roman" w:hAnsi="Times New Roman"/>
                <w:b/>
                <w:bCs/>
                <w:color w:val="auto"/>
                <w:lang w:val="en-US" w:eastAsia="zh-CN"/>
              </w:rPr>
            </w:pPr>
            <w:r>
              <w:rPr>
                <w:rFonts w:hint="eastAsia" w:ascii="Times New Roman" w:hAnsi="Times New Roman"/>
                <w:b/>
                <w:bCs/>
                <w:color w:val="auto"/>
                <w:lang w:val="en-US" w:eastAsia="zh-CN"/>
              </w:rPr>
              <w:t>3、水环境影响分析结论</w:t>
            </w:r>
          </w:p>
          <w:p w14:paraId="3CBDB651">
            <w:pPr>
              <w:ind w:firstLine="480" w:firstLineChars="200"/>
              <w:rPr>
                <w:rFonts w:ascii="Times New Roman" w:hAnsi="Times New Roman"/>
                <w:color w:val="auto"/>
                <w:sz w:val="24"/>
                <w:szCs w:val="24"/>
              </w:rPr>
            </w:pPr>
            <w:r>
              <w:rPr>
                <w:rFonts w:hint="eastAsia" w:ascii="Times New Roman" w:hAnsi="Times New Roman"/>
                <w:color w:val="auto"/>
                <w:sz w:val="24"/>
                <w:szCs w:val="24"/>
                <w:lang w:val="en-US" w:eastAsia="zh-CN"/>
              </w:rPr>
              <w:t>项目生产废水主要为搅拌机清洗废水，</w:t>
            </w:r>
            <w:r>
              <w:rPr>
                <w:rFonts w:hint="eastAsia" w:ascii="Times New Roman" w:hAnsi="Times New Roman" w:eastAsia="宋体" w:cs="宋体"/>
                <w:b w:val="0"/>
                <w:bCs/>
                <w:color w:val="auto"/>
                <w:sz w:val="24"/>
                <w:szCs w:val="24"/>
                <w:lang w:val="en-US" w:eastAsia="zh-CN"/>
              </w:rPr>
              <w:t>搅拌机清洗废水排入防渗沉淀池内沉淀后上清液全部回用于搅拌工序的搅拌机内，不外排；生活污水主要包括餐饮废水和生活污水，</w:t>
            </w:r>
            <w:r>
              <w:rPr>
                <w:rFonts w:hint="eastAsia" w:ascii="Times New Roman" w:hAnsi="Times New Roman"/>
                <w:color w:val="auto"/>
                <w:sz w:val="24"/>
                <w:szCs w:val="24"/>
                <w:lang w:eastAsia="zh-CN"/>
              </w:rPr>
              <w:t>餐饮废水经</w:t>
            </w:r>
            <w:r>
              <w:rPr>
                <w:rFonts w:hint="eastAsia" w:ascii="Times New Roman" w:hAnsi="Times New Roman"/>
                <w:color w:val="auto"/>
                <w:sz w:val="24"/>
                <w:szCs w:val="24"/>
                <w:vertAlign w:val="baseline"/>
                <w:lang w:val="en-US" w:eastAsia="zh-CN"/>
              </w:rPr>
              <w:t>油水分离器预处理后同办公、生活污水经</w:t>
            </w:r>
            <w:r>
              <w:rPr>
                <w:rFonts w:ascii="Times New Roman" w:hAnsi="Times New Roman"/>
                <w:color w:val="auto"/>
                <w:sz w:val="24"/>
                <w:szCs w:val="24"/>
              </w:rPr>
              <w:t>化粪池处理后</w:t>
            </w:r>
            <w:r>
              <w:rPr>
                <w:rFonts w:hint="eastAsia" w:ascii="Times New Roman" w:hAnsi="Times New Roman"/>
                <w:color w:val="auto"/>
                <w:sz w:val="24"/>
                <w:szCs w:val="24"/>
              </w:rPr>
              <w:t>委托周边村民进行清掏用作农肥</w:t>
            </w:r>
            <w:r>
              <w:rPr>
                <w:rFonts w:hint="eastAsia" w:ascii="Times New Roman" w:hAnsi="Times New Roman"/>
                <w:color w:val="auto"/>
                <w:sz w:val="24"/>
                <w:szCs w:val="24"/>
                <w:lang w:eastAsia="zh-CN"/>
              </w:rPr>
              <w:t>，不外排，且沉淀池、油水分离器、化粪池的容积均能满足处理和贮存需求，项目运营期可做到废水不外排；因此，项目对周边水环境影响较小</w:t>
            </w:r>
            <w:r>
              <w:rPr>
                <w:rFonts w:hint="eastAsia" w:ascii="Times New Roman" w:hAnsi="Times New Roman"/>
                <w:color w:val="auto"/>
                <w:sz w:val="24"/>
                <w:szCs w:val="24"/>
              </w:rPr>
              <w:t>。</w:t>
            </w:r>
          </w:p>
          <w:p w14:paraId="22E48921">
            <w:pPr>
              <w:numPr>
                <w:ilvl w:val="0"/>
                <w:numId w:val="14"/>
              </w:numPr>
              <w:ind w:firstLine="482" w:firstLineChars="200"/>
              <w:rPr>
                <w:rFonts w:ascii="Times New Roman" w:hAnsi="Times New Roman"/>
                <w:b/>
                <w:bCs/>
                <w:color w:val="auto"/>
              </w:rPr>
            </w:pPr>
            <w:r>
              <w:rPr>
                <w:rFonts w:hint="eastAsia" w:ascii="Times New Roman" w:hAnsi="Times New Roman"/>
                <w:b/>
                <w:bCs/>
                <w:color w:val="auto"/>
              </w:rPr>
              <w:t>声环境影响分析</w:t>
            </w:r>
          </w:p>
          <w:p w14:paraId="1A5D42DF">
            <w:pPr>
              <w:numPr>
                <w:ilvl w:val="0"/>
                <w:numId w:val="15"/>
              </w:numPr>
              <w:ind w:firstLine="482" w:firstLineChars="200"/>
              <w:rPr>
                <w:rFonts w:ascii="Times New Roman" w:hAnsi="Times New Roman"/>
                <w:b/>
                <w:bCs/>
                <w:color w:val="auto"/>
              </w:rPr>
            </w:pPr>
            <w:r>
              <w:rPr>
                <w:rFonts w:hint="eastAsia" w:ascii="Times New Roman" w:hAnsi="Times New Roman"/>
                <w:b/>
                <w:bCs/>
                <w:color w:val="auto"/>
              </w:rPr>
              <w:t>噪声产排情况</w:t>
            </w:r>
          </w:p>
          <w:p w14:paraId="30F39C0D">
            <w:pPr>
              <w:ind w:firstLine="480" w:firstLineChars="200"/>
              <w:rPr>
                <w:rFonts w:hint="eastAsia" w:asciiTheme="majorEastAsia" w:hAnsiTheme="majorEastAsia" w:eastAsiaTheme="majorEastAsia" w:cstheme="majorEastAsia"/>
                <w:color w:val="auto"/>
                <w:lang w:eastAsia="zh-CN"/>
              </w:rPr>
            </w:pPr>
            <w:r>
              <w:rPr>
                <w:rFonts w:ascii="Times New Roman" w:hAnsi="Times New Roman"/>
                <w:color w:val="auto"/>
              </w:rPr>
              <w:t>运</w:t>
            </w:r>
            <w:r>
              <w:rPr>
                <w:rFonts w:hint="eastAsia" w:asciiTheme="majorEastAsia" w:hAnsiTheme="majorEastAsia" w:eastAsiaTheme="majorEastAsia" w:cstheme="majorEastAsia"/>
                <w:color w:val="auto"/>
              </w:rPr>
              <w:t>营期的噪声源主要为</w:t>
            </w:r>
            <w:r>
              <w:rPr>
                <w:rFonts w:hint="eastAsia" w:asciiTheme="majorEastAsia" w:hAnsiTheme="majorEastAsia" w:eastAsiaTheme="majorEastAsia" w:cstheme="majorEastAsia"/>
                <w:color w:val="auto"/>
                <w:lang w:eastAsia="zh-CN"/>
              </w:rPr>
              <w:t>配料机、输送机、装载</w:t>
            </w:r>
            <w:r>
              <w:rPr>
                <w:rFonts w:hint="eastAsia" w:asciiTheme="majorEastAsia" w:hAnsiTheme="majorEastAsia" w:eastAsiaTheme="majorEastAsia" w:cstheme="majorEastAsia"/>
                <w:color w:val="auto"/>
              </w:rPr>
              <w:t>机、</w:t>
            </w:r>
            <w:r>
              <w:rPr>
                <w:rFonts w:hint="eastAsia" w:asciiTheme="majorEastAsia" w:hAnsiTheme="majorEastAsia" w:eastAsiaTheme="majorEastAsia" w:cstheme="majorEastAsia"/>
                <w:color w:val="auto"/>
                <w:lang w:eastAsia="zh-CN"/>
              </w:rPr>
              <w:t>免烧砖机</w:t>
            </w:r>
            <w:r>
              <w:rPr>
                <w:rFonts w:hint="eastAsia" w:asciiTheme="majorEastAsia" w:hAnsiTheme="majorEastAsia" w:eastAsiaTheme="majorEastAsia" w:cstheme="majorEastAsia"/>
                <w:color w:val="auto"/>
              </w:rPr>
              <w:t>等设备</w:t>
            </w:r>
            <w:r>
              <w:rPr>
                <w:rFonts w:hint="eastAsia" w:asciiTheme="majorEastAsia" w:hAnsiTheme="majorEastAsia" w:eastAsiaTheme="majorEastAsia" w:cstheme="majorEastAsia"/>
                <w:color w:val="auto"/>
                <w:lang w:eastAsia="zh-CN"/>
              </w:rPr>
              <w:t>及车辆运输</w:t>
            </w:r>
            <w:r>
              <w:rPr>
                <w:rFonts w:hint="eastAsia" w:asciiTheme="majorEastAsia" w:hAnsiTheme="majorEastAsia" w:eastAsiaTheme="majorEastAsia" w:cstheme="majorEastAsia"/>
                <w:color w:val="auto"/>
              </w:rPr>
              <w:t>噪声，生产设备噪声等效声级为</w:t>
            </w:r>
            <w:r>
              <w:rPr>
                <w:rFonts w:hint="eastAsia" w:asciiTheme="majorEastAsia" w:hAnsiTheme="majorEastAsia" w:eastAsiaTheme="majorEastAsia" w:cstheme="majorEastAsia"/>
                <w:color w:val="auto"/>
                <w:lang w:val="en-US" w:eastAsia="zh-CN"/>
              </w:rPr>
              <w:t>65-85</w:t>
            </w:r>
            <w:r>
              <w:rPr>
                <w:rFonts w:hint="eastAsia" w:asciiTheme="majorEastAsia" w:hAnsiTheme="majorEastAsia" w:eastAsiaTheme="majorEastAsia" w:cstheme="majorEastAsia"/>
                <w:color w:val="auto"/>
              </w:rPr>
              <w:t>dB（A），为连续性噪声</w:t>
            </w:r>
            <w:r>
              <w:rPr>
                <w:rFonts w:hint="eastAsia" w:asciiTheme="majorEastAsia" w:hAnsiTheme="majorEastAsia" w:eastAsiaTheme="majorEastAsia" w:cstheme="majorEastAsia"/>
                <w:color w:val="auto"/>
                <w:lang w:eastAsia="zh-CN"/>
              </w:rPr>
              <w:t>。</w:t>
            </w:r>
          </w:p>
          <w:p w14:paraId="068D4BF7">
            <w:pPr>
              <w:ind w:firstLine="480" w:firstLineChars="200"/>
              <w:rPr>
                <w:rFonts w:hint="eastAsia" w:ascii="Times New Roman" w:hAnsi="Times New Roman"/>
                <w:b/>
                <w:bCs/>
                <w:color w:val="auto"/>
                <w:lang w:val="en-US" w:eastAsia="zh-CN"/>
              </w:rPr>
            </w:pPr>
            <w:r>
              <w:rPr>
                <w:rFonts w:hint="eastAsia" w:asciiTheme="majorEastAsia" w:hAnsiTheme="majorEastAsia" w:eastAsiaTheme="majorEastAsia" w:cstheme="majorEastAsia"/>
                <w:color w:val="auto"/>
                <w:lang w:eastAsia="zh-CN"/>
              </w:rPr>
              <w:t>项目</w:t>
            </w:r>
            <w:r>
              <w:rPr>
                <w:rFonts w:hint="eastAsia" w:asciiTheme="majorEastAsia" w:hAnsiTheme="majorEastAsia" w:eastAsiaTheme="majorEastAsia" w:cstheme="majorEastAsia"/>
                <w:color w:val="auto"/>
                <w:sz w:val="24"/>
                <w:szCs w:val="24"/>
                <w:highlight w:val="none"/>
              </w:rPr>
              <w:t>主要噪声源及源强</w:t>
            </w:r>
            <w:r>
              <w:rPr>
                <w:rFonts w:hint="eastAsia" w:asciiTheme="majorEastAsia" w:hAnsiTheme="majorEastAsia" w:eastAsiaTheme="majorEastAsia" w:cstheme="majorEastAsia"/>
                <w:color w:val="auto"/>
                <w:lang w:eastAsia="zh-CN"/>
              </w:rPr>
              <w:t>见表</w:t>
            </w:r>
            <w:r>
              <w:rPr>
                <w:rFonts w:hint="eastAsia" w:asciiTheme="majorEastAsia" w:hAnsiTheme="majorEastAsia" w:eastAsiaTheme="majorEastAsia" w:cstheme="majorEastAsia"/>
                <w:color w:val="auto"/>
                <w:lang w:val="en-US" w:eastAsia="zh-CN"/>
              </w:rPr>
              <w:t>4-12。</w:t>
            </w:r>
          </w:p>
          <w:p w14:paraId="03B4C520">
            <w:pPr>
              <w:spacing w:line="360" w:lineRule="auto"/>
              <w:jc w:val="center"/>
              <w:rPr>
                <w:rFonts w:hint="eastAsia" w:ascii="Times New Roman" w:hAnsi="Times New Roman" w:eastAsia="宋体" w:cs="宋体"/>
                <w:b/>
                <w:bCs/>
                <w:color w:val="auto"/>
                <w:sz w:val="24"/>
                <w:szCs w:val="24"/>
                <w:lang w:eastAsia="zh-CN"/>
              </w:rPr>
            </w:pPr>
            <w:r>
              <w:rPr>
                <w:rFonts w:hint="eastAsia" w:ascii="Times New Roman" w:hAnsi="Times New Roman"/>
                <w:b/>
                <w:bCs/>
                <w:color w:val="auto"/>
                <w:lang w:val="en-US" w:eastAsia="zh-CN"/>
              </w:rPr>
              <w:t xml:space="preserve">表4-12  </w:t>
            </w:r>
            <w:r>
              <w:rPr>
                <w:rFonts w:ascii="Times New Roman" w:hAnsi="Times New Roman" w:cs="宋体"/>
                <w:b/>
                <w:bCs/>
                <w:color w:val="auto"/>
                <w:sz w:val="24"/>
                <w:szCs w:val="24"/>
              </w:rPr>
              <w:t>主要设备</w:t>
            </w:r>
            <w:r>
              <w:rPr>
                <w:rFonts w:ascii="Times New Roman" w:hAnsi="Times New Roman" w:cs="宋体"/>
                <w:b/>
                <w:bCs/>
                <w:color w:val="auto"/>
                <w:kern w:val="0"/>
                <w:sz w:val="24"/>
                <w:szCs w:val="24"/>
                <w:lang w:val="zh-CN"/>
              </w:rPr>
              <w:t>噪声源强表</w:t>
            </w:r>
            <w:r>
              <w:rPr>
                <w:rFonts w:ascii="Times New Roman" w:hAnsi="Times New Roman" w:cs="宋体"/>
                <w:b/>
                <w:bCs/>
                <w:color w:val="auto"/>
                <w:kern w:val="0"/>
                <w:sz w:val="24"/>
                <w:szCs w:val="24"/>
              </w:rPr>
              <w:t xml:space="preserve"> </w:t>
            </w:r>
            <w:r>
              <w:rPr>
                <w:rFonts w:ascii="Times New Roman" w:hAnsi="Times New Roman" w:cs="宋体"/>
                <w:b/>
                <w:bCs/>
                <w:color w:val="auto"/>
                <w:sz w:val="24"/>
                <w:szCs w:val="24"/>
              </w:rPr>
              <w:t>单位：dB</w:t>
            </w:r>
            <w:r>
              <w:rPr>
                <w:rFonts w:hint="eastAsia" w:ascii="Times New Roman" w:hAnsi="Times New Roman" w:cs="宋体"/>
                <w:b/>
                <w:bCs/>
                <w:color w:val="auto"/>
                <w:sz w:val="24"/>
                <w:szCs w:val="24"/>
                <w:lang w:eastAsia="zh-CN"/>
              </w:rPr>
              <w:t>（</w:t>
            </w:r>
            <w:r>
              <w:rPr>
                <w:rFonts w:ascii="Times New Roman" w:hAnsi="Times New Roman" w:cs="宋体"/>
                <w:b/>
                <w:bCs/>
                <w:color w:val="auto"/>
                <w:sz w:val="24"/>
                <w:szCs w:val="24"/>
              </w:rPr>
              <w:t>A</w:t>
            </w:r>
            <w:r>
              <w:rPr>
                <w:rFonts w:hint="eastAsia" w:ascii="Times New Roman" w:hAnsi="Times New Roman" w:cs="宋体"/>
                <w:b/>
                <w:bCs/>
                <w:color w:val="auto"/>
                <w:sz w:val="24"/>
                <w:szCs w:val="24"/>
                <w:lang w:eastAsia="zh-CN"/>
              </w:rPr>
              <w:t>）</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2492"/>
              <w:gridCol w:w="1369"/>
              <w:gridCol w:w="1312"/>
              <w:gridCol w:w="2891"/>
            </w:tblGrid>
            <w:tr w14:paraId="7DA5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645" w:type="pct"/>
                  <w:noWrap w:val="0"/>
                  <w:vAlign w:val="center"/>
                </w:tcPr>
                <w:p w14:paraId="2F6E76FE">
                  <w:pPr>
                    <w:pStyle w:val="49"/>
                    <w:spacing w:before="0" w:beforeAutospacing="0" w:after="0" w:afterAutospacing="0" w:line="240" w:lineRule="auto"/>
                    <w:jc w:val="center"/>
                    <w:textAlignment w:val="center"/>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序号</w:t>
                  </w:r>
                </w:p>
              </w:tc>
              <w:tc>
                <w:tcPr>
                  <w:tcW w:w="1345" w:type="pct"/>
                  <w:noWrap w:val="0"/>
                  <w:vAlign w:val="center"/>
                </w:tcPr>
                <w:p w14:paraId="4E803EE8">
                  <w:pPr>
                    <w:pStyle w:val="49"/>
                    <w:spacing w:before="0" w:beforeAutospacing="0" w:after="0" w:afterAutospacing="0" w:line="240" w:lineRule="auto"/>
                    <w:jc w:val="center"/>
                    <w:textAlignment w:val="center"/>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名称</w:t>
                  </w:r>
                </w:p>
              </w:tc>
              <w:tc>
                <w:tcPr>
                  <w:tcW w:w="739" w:type="pct"/>
                  <w:noWrap w:val="0"/>
                  <w:vAlign w:val="center"/>
                </w:tcPr>
                <w:p w14:paraId="4A78E580">
                  <w:pPr>
                    <w:pStyle w:val="49"/>
                    <w:spacing w:before="0" w:beforeAutospacing="0" w:after="0" w:afterAutospacing="0" w:line="240" w:lineRule="auto"/>
                    <w:jc w:val="center"/>
                    <w:textAlignment w:val="center"/>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单位</w:t>
                  </w:r>
                </w:p>
              </w:tc>
              <w:tc>
                <w:tcPr>
                  <w:tcW w:w="708" w:type="pct"/>
                  <w:noWrap w:val="0"/>
                  <w:vAlign w:val="center"/>
                </w:tcPr>
                <w:p w14:paraId="4CDACE71">
                  <w:pPr>
                    <w:pStyle w:val="49"/>
                    <w:spacing w:before="0" w:beforeAutospacing="0" w:after="0" w:afterAutospacing="0" w:line="240" w:lineRule="auto"/>
                    <w:jc w:val="center"/>
                    <w:textAlignment w:val="center"/>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数量</w:t>
                  </w:r>
                </w:p>
              </w:tc>
              <w:tc>
                <w:tcPr>
                  <w:tcW w:w="1560" w:type="pct"/>
                  <w:noWrap w:val="0"/>
                  <w:vAlign w:val="center"/>
                </w:tcPr>
                <w:p w14:paraId="343760FC">
                  <w:pPr>
                    <w:pStyle w:val="49"/>
                    <w:spacing w:before="0" w:beforeAutospacing="0" w:after="0" w:afterAutospacing="0" w:line="240" w:lineRule="auto"/>
                    <w:jc w:val="center"/>
                    <w:textAlignment w:val="center"/>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噪声源强</w:t>
                  </w:r>
                </w:p>
              </w:tc>
            </w:tr>
            <w:tr w14:paraId="6A4D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jc w:val="center"/>
              </w:trPr>
              <w:tc>
                <w:tcPr>
                  <w:tcW w:w="645" w:type="pct"/>
                  <w:noWrap w:val="0"/>
                  <w:vAlign w:val="center"/>
                </w:tcPr>
                <w:p w14:paraId="60CC9A4A">
                  <w:pPr>
                    <w:pStyle w:val="49"/>
                    <w:spacing w:before="0" w:beforeAutospacing="0" w:after="0" w:afterAutospacing="0" w:line="240" w:lineRule="auto"/>
                    <w:jc w:val="center"/>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1345" w:type="pct"/>
                  <w:noWrap w:val="0"/>
                  <w:vAlign w:val="center"/>
                </w:tcPr>
                <w:p w14:paraId="2916F016">
                  <w:pPr>
                    <w:pStyle w:val="11"/>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搅拌机</w:t>
                  </w:r>
                </w:p>
              </w:tc>
              <w:tc>
                <w:tcPr>
                  <w:tcW w:w="739" w:type="pct"/>
                  <w:noWrap w:val="0"/>
                  <w:vAlign w:val="center"/>
                </w:tcPr>
                <w:p w14:paraId="651E4F1F">
                  <w:pPr>
                    <w:pStyle w:val="49"/>
                    <w:spacing w:before="0" w:beforeAutospacing="0" w:after="0" w:afterAutospacing="0" w:line="240" w:lineRule="auto"/>
                    <w:jc w:val="center"/>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台</w:t>
                  </w:r>
                </w:p>
              </w:tc>
              <w:tc>
                <w:tcPr>
                  <w:tcW w:w="708" w:type="pct"/>
                  <w:noWrap w:val="0"/>
                  <w:vAlign w:val="center"/>
                </w:tcPr>
                <w:p w14:paraId="5DD754A2">
                  <w:pPr>
                    <w:pStyle w:val="11"/>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2</w:t>
                  </w:r>
                </w:p>
              </w:tc>
              <w:tc>
                <w:tcPr>
                  <w:tcW w:w="1560" w:type="pct"/>
                  <w:noWrap w:val="0"/>
                  <w:vAlign w:val="center"/>
                </w:tcPr>
                <w:p w14:paraId="3026D301">
                  <w:pPr>
                    <w:pStyle w:val="11"/>
                    <w:spacing w:line="240" w:lineRule="auto"/>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80</w:t>
                  </w:r>
                </w:p>
              </w:tc>
            </w:tr>
            <w:tr w14:paraId="2495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45" w:type="pct"/>
                  <w:noWrap w:val="0"/>
                  <w:vAlign w:val="center"/>
                </w:tcPr>
                <w:p w14:paraId="07BC0F6F">
                  <w:pPr>
                    <w:pStyle w:val="49"/>
                    <w:spacing w:before="0" w:beforeAutospacing="0" w:after="0" w:afterAutospacing="0" w:line="240" w:lineRule="auto"/>
                    <w:jc w:val="center"/>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1345" w:type="pct"/>
                  <w:noWrap w:val="0"/>
                  <w:vAlign w:val="center"/>
                </w:tcPr>
                <w:p w14:paraId="65DFB2E1">
                  <w:pPr>
                    <w:pStyle w:val="11"/>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配料机</w:t>
                  </w:r>
                </w:p>
              </w:tc>
              <w:tc>
                <w:tcPr>
                  <w:tcW w:w="739" w:type="pct"/>
                  <w:noWrap w:val="0"/>
                  <w:vAlign w:val="center"/>
                </w:tcPr>
                <w:p w14:paraId="23E966A2">
                  <w:pPr>
                    <w:pStyle w:val="49"/>
                    <w:spacing w:before="0" w:beforeAutospacing="0" w:after="0" w:afterAutospacing="0" w:line="240" w:lineRule="auto"/>
                    <w:jc w:val="center"/>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台</w:t>
                  </w:r>
                </w:p>
              </w:tc>
              <w:tc>
                <w:tcPr>
                  <w:tcW w:w="708" w:type="pct"/>
                  <w:noWrap w:val="0"/>
                  <w:vAlign w:val="center"/>
                </w:tcPr>
                <w:p w14:paraId="1D299B4C">
                  <w:pPr>
                    <w:pStyle w:val="11"/>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2</w:t>
                  </w:r>
                </w:p>
              </w:tc>
              <w:tc>
                <w:tcPr>
                  <w:tcW w:w="1560" w:type="pct"/>
                  <w:noWrap w:val="0"/>
                  <w:vAlign w:val="center"/>
                </w:tcPr>
                <w:p w14:paraId="4F31888A">
                  <w:pPr>
                    <w:pStyle w:val="11"/>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75</w:t>
                  </w:r>
                </w:p>
              </w:tc>
            </w:tr>
            <w:tr w14:paraId="699D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645" w:type="pct"/>
                  <w:noWrap w:val="0"/>
                  <w:vAlign w:val="center"/>
                </w:tcPr>
                <w:p w14:paraId="04E94D93">
                  <w:pPr>
                    <w:pStyle w:val="49"/>
                    <w:spacing w:before="0" w:beforeAutospacing="0" w:after="0" w:afterAutospacing="0" w:line="240" w:lineRule="auto"/>
                    <w:jc w:val="center"/>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p>
              </w:tc>
              <w:tc>
                <w:tcPr>
                  <w:tcW w:w="1345" w:type="pct"/>
                  <w:noWrap w:val="0"/>
                  <w:vAlign w:val="center"/>
                </w:tcPr>
                <w:p w14:paraId="6D2D32E6">
                  <w:pPr>
                    <w:pStyle w:val="11"/>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输送机</w:t>
                  </w:r>
                </w:p>
              </w:tc>
              <w:tc>
                <w:tcPr>
                  <w:tcW w:w="739" w:type="pct"/>
                  <w:noWrap w:val="0"/>
                  <w:vAlign w:val="center"/>
                </w:tcPr>
                <w:p w14:paraId="36CF191F">
                  <w:pPr>
                    <w:pStyle w:val="49"/>
                    <w:spacing w:before="0" w:beforeAutospacing="0" w:after="0" w:afterAutospacing="0" w:line="240" w:lineRule="auto"/>
                    <w:jc w:val="center"/>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台</w:t>
                  </w:r>
                </w:p>
              </w:tc>
              <w:tc>
                <w:tcPr>
                  <w:tcW w:w="708" w:type="pct"/>
                  <w:noWrap w:val="0"/>
                  <w:vAlign w:val="center"/>
                </w:tcPr>
                <w:p w14:paraId="24602E93">
                  <w:pPr>
                    <w:pStyle w:val="11"/>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2</w:t>
                  </w:r>
                </w:p>
              </w:tc>
              <w:tc>
                <w:tcPr>
                  <w:tcW w:w="1560" w:type="pct"/>
                  <w:noWrap w:val="0"/>
                  <w:vAlign w:val="center"/>
                </w:tcPr>
                <w:p w14:paraId="75EE9E11">
                  <w:pPr>
                    <w:pStyle w:val="11"/>
                    <w:spacing w:line="240" w:lineRule="auto"/>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70</w:t>
                  </w:r>
                </w:p>
              </w:tc>
            </w:tr>
            <w:tr w14:paraId="3199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 w:hRule="atLeast"/>
                <w:jc w:val="center"/>
              </w:trPr>
              <w:tc>
                <w:tcPr>
                  <w:tcW w:w="645" w:type="pct"/>
                  <w:vAlign w:val="center"/>
                </w:tcPr>
                <w:p w14:paraId="1BB8B4C2">
                  <w:pPr>
                    <w:pStyle w:val="49"/>
                    <w:spacing w:before="0" w:beforeAutospacing="0" w:after="0" w:afterAutospacing="0" w:line="240" w:lineRule="auto"/>
                    <w:jc w:val="center"/>
                    <w:textAlignment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4</w:t>
                  </w:r>
                </w:p>
              </w:tc>
              <w:tc>
                <w:tcPr>
                  <w:tcW w:w="1345" w:type="pct"/>
                  <w:vAlign w:val="center"/>
                </w:tcPr>
                <w:p w14:paraId="4E776DC1">
                  <w:pPr>
                    <w:pStyle w:val="11"/>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钢筋切割机</w:t>
                  </w:r>
                </w:p>
              </w:tc>
              <w:tc>
                <w:tcPr>
                  <w:tcW w:w="739" w:type="pct"/>
                  <w:vAlign w:val="center"/>
                </w:tcPr>
                <w:p w14:paraId="7E226380">
                  <w:pPr>
                    <w:pStyle w:val="49"/>
                    <w:spacing w:before="0" w:beforeAutospacing="0" w:after="0" w:afterAutospacing="0" w:line="240" w:lineRule="auto"/>
                    <w:jc w:val="center"/>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台</w:t>
                  </w:r>
                </w:p>
              </w:tc>
              <w:tc>
                <w:tcPr>
                  <w:tcW w:w="708" w:type="pct"/>
                  <w:vAlign w:val="center"/>
                </w:tcPr>
                <w:p w14:paraId="021E90C0">
                  <w:pPr>
                    <w:pStyle w:val="11"/>
                    <w:spacing w:line="240" w:lineRule="auto"/>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2</w:t>
                  </w:r>
                </w:p>
              </w:tc>
              <w:tc>
                <w:tcPr>
                  <w:tcW w:w="1560" w:type="pct"/>
                  <w:vAlign w:val="center"/>
                </w:tcPr>
                <w:p w14:paraId="760A3427">
                  <w:pPr>
                    <w:pStyle w:val="11"/>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85</w:t>
                  </w:r>
                </w:p>
              </w:tc>
            </w:tr>
            <w:tr w14:paraId="14DA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 w:hRule="atLeast"/>
                <w:jc w:val="center"/>
              </w:trPr>
              <w:tc>
                <w:tcPr>
                  <w:tcW w:w="645" w:type="pct"/>
                  <w:vAlign w:val="center"/>
                </w:tcPr>
                <w:p w14:paraId="25ADD332">
                  <w:pPr>
                    <w:pStyle w:val="49"/>
                    <w:spacing w:before="0" w:beforeAutospacing="0" w:after="0" w:afterAutospacing="0" w:line="240" w:lineRule="auto"/>
                    <w:jc w:val="center"/>
                    <w:textAlignment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5</w:t>
                  </w:r>
                </w:p>
              </w:tc>
              <w:tc>
                <w:tcPr>
                  <w:tcW w:w="1345" w:type="pct"/>
                  <w:vAlign w:val="center"/>
                </w:tcPr>
                <w:p w14:paraId="318B44F5">
                  <w:pPr>
                    <w:pStyle w:val="11"/>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电焊机</w:t>
                  </w:r>
                </w:p>
              </w:tc>
              <w:tc>
                <w:tcPr>
                  <w:tcW w:w="739" w:type="pct"/>
                  <w:vAlign w:val="center"/>
                </w:tcPr>
                <w:p w14:paraId="2AD12859">
                  <w:pPr>
                    <w:pStyle w:val="49"/>
                    <w:spacing w:before="0" w:beforeAutospacing="0" w:after="0" w:afterAutospacing="0" w:line="240" w:lineRule="auto"/>
                    <w:jc w:val="center"/>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台</w:t>
                  </w:r>
                </w:p>
              </w:tc>
              <w:tc>
                <w:tcPr>
                  <w:tcW w:w="708" w:type="pct"/>
                  <w:vAlign w:val="center"/>
                </w:tcPr>
                <w:p w14:paraId="746C288F">
                  <w:pPr>
                    <w:pStyle w:val="11"/>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2</w:t>
                  </w:r>
                </w:p>
              </w:tc>
              <w:tc>
                <w:tcPr>
                  <w:tcW w:w="1560" w:type="pct"/>
                  <w:vAlign w:val="center"/>
                </w:tcPr>
                <w:p w14:paraId="1AFFD237">
                  <w:pPr>
                    <w:pStyle w:val="11"/>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80</w:t>
                  </w:r>
                </w:p>
              </w:tc>
            </w:tr>
            <w:tr w14:paraId="11CF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45" w:type="pct"/>
                  <w:vAlign w:val="center"/>
                </w:tcPr>
                <w:p w14:paraId="6F76096E">
                  <w:pPr>
                    <w:pStyle w:val="49"/>
                    <w:spacing w:before="0" w:beforeAutospacing="0" w:after="0" w:afterAutospacing="0" w:line="240" w:lineRule="auto"/>
                    <w:jc w:val="center"/>
                    <w:textAlignment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6</w:t>
                  </w:r>
                </w:p>
              </w:tc>
              <w:tc>
                <w:tcPr>
                  <w:tcW w:w="1345" w:type="pct"/>
                  <w:vAlign w:val="center"/>
                </w:tcPr>
                <w:p w14:paraId="2A452726">
                  <w:pPr>
                    <w:pStyle w:val="11"/>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装载机</w:t>
                  </w:r>
                </w:p>
              </w:tc>
              <w:tc>
                <w:tcPr>
                  <w:tcW w:w="739" w:type="pct"/>
                  <w:vAlign w:val="center"/>
                </w:tcPr>
                <w:p w14:paraId="6B6534BB">
                  <w:pPr>
                    <w:pStyle w:val="49"/>
                    <w:spacing w:before="0" w:beforeAutospacing="0" w:after="0" w:afterAutospacing="0" w:line="240" w:lineRule="auto"/>
                    <w:jc w:val="center"/>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台</w:t>
                  </w:r>
                </w:p>
              </w:tc>
              <w:tc>
                <w:tcPr>
                  <w:tcW w:w="708" w:type="pct"/>
                  <w:vAlign w:val="center"/>
                </w:tcPr>
                <w:p w14:paraId="17BE0B3B">
                  <w:pPr>
                    <w:pStyle w:val="11"/>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1</w:t>
                  </w:r>
                </w:p>
              </w:tc>
              <w:tc>
                <w:tcPr>
                  <w:tcW w:w="1560" w:type="pct"/>
                  <w:vAlign w:val="center"/>
                </w:tcPr>
                <w:p w14:paraId="20AE8E89">
                  <w:pPr>
                    <w:pStyle w:val="11"/>
                    <w:spacing w:line="240" w:lineRule="auto"/>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75</w:t>
                  </w:r>
                </w:p>
              </w:tc>
            </w:tr>
            <w:tr w14:paraId="2B89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jc w:val="center"/>
              </w:trPr>
              <w:tc>
                <w:tcPr>
                  <w:tcW w:w="645" w:type="pct"/>
                  <w:vAlign w:val="center"/>
                </w:tcPr>
                <w:p w14:paraId="4B511D46">
                  <w:pPr>
                    <w:pStyle w:val="49"/>
                    <w:spacing w:before="0" w:beforeAutospacing="0" w:after="0" w:afterAutospacing="0" w:line="240" w:lineRule="auto"/>
                    <w:jc w:val="center"/>
                    <w:textAlignment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7</w:t>
                  </w:r>
                </w:p>
              </w:tc>
              <w:tc>
                <w:tcPr>
                  <w:tcW w:w="1345" w:type="pct"/>
                  <w:vAlign w:val="center"/>
                </w:tcPr>
                <w:p w14:paraId="4719F065">
                  <w:pPr>
                    <w:spacing w:line="240" w:lineRule="auto"/>
                    <w:ind w:left="-122" w:leftChars="-51" w:right="-122" w:rightChars="-51"/>
                    <w:jc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000000" w:themeColor="text1"/>
                      <w:spacing w:val="0"/>
                      <w:position w:val="0"/>
                      <w:sz w:val="21"/>
                      <w:shd w:val="clear" w:fill="auto"/>
                      <w:lang w:eastAsia="zh-CN"/>
                      <w14:textFill>
                        <w14:solidFill>
                          <w14:schemeClr w14:val="tx1"/>
                        </w14:solidFill>
                      </w14:textFill>
                    </w:rPr>
                    <w:t>滚焊</w:t>
                  </w:r>
                  <w:r>
                    <w:rPr>
                      <w:rFonts w:hint="eastAsia" w:asciiTheme="minorEastAsia" w:hAnsiTheme="minorEastAsia" w:eastAsiaTheme="minorEastAsia" w:cstheme="minorEastAsia"/>
                      <w:color w:val="000000" w:themeColor="text1"/>
                      <w:spacing w:val="0"/>
                      <w:position w:val="0"/>
                      <w:sz w:val="21"/>
                      <w:shd w:val="clear" w:fill="auto"/>
                      <w14:textFill>
                        <w14:solidFill>
                          <w14:schemeClr w14:val="tx1"/>
                        </w14:solidFill>
                      </w14:textFill>
                    </w:rPr>
                    <w:t>机</w:t>
                  </w:r>
                </w:p>
              </w:tc>
              <w:tc>
                <w:tcPr>
                  <w:tcW w:w="739" w:type="pct"/>
                  <w:vAlign w:val="center"/>
                </w:tcPr>
                <w:p w14:paraId="64A6BD26">
                  <w:pPr>
                    <w:pStyle w:val="49"/>
                    <w:spacing w:before="0" w:beforeAutospacing="0" w:after="0" w:afterAutospacing="0" w:line="240" w:lineRule="auto"/>
                    <w:jc w:val="center"/>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台</w:t>
                  </w:r>
                </w:p>
              </w:tc>
              <w:tc>
                <w:tcPr>
                  <w:tcW w:w="708" w:type="pct"/>
                  <w:vAlign w:val="center"/>
                </w:tcPr>
                <w:p w14:paraId="22A7C076">
                  <w:pPr>
                    <w:pStyle w:val="11"/>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1</w:t>
                  </w:r>
                </w:p>
              </w:tc>
              <w:tc>
                <w:tcPr>
                  <w:tcW w:w="1560" w:type="pct"/>
                  <w:vAlign w:val="center"/>
                </w:tcPr>
                <w:p w14:paraId="79747707">
                  <w:pPr>
                    <w:pStyle w:val="11"/>
                    <w:spacing w:line="240" w:lineRule="auto"/>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80</w:t>
                  </w:r>
                </w:p>
              </w:tc>
            </w:tr>
            <w:tr w14:paraId="6EDE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645" w:type="pct"/>
                  <w:vAlign w:val="center"/>
                </w:tcPr>
                <w:p w14:paraId="11816FB1">
                  <w:pPr>
                    <w:pStyle w:val="49"/>
                    <w:spacing w:before="0" w:beforeAutospacing="0" w:after="0" w:afterAutospacing="0" w:line="240" w:lineRule="auto"/>
                    <w:jc w:val="center"/>
                    <w:textAlignment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8</w:t>
                  </w:r>
                </w:p>
              </w:tc>
              <w:tc>
                <w:tcPr>
                  <w:tcW w:w="1345" w:type="pct"/>
                  <w:vAlign w:val="center"/>
                </w:tcPr>
                <w:p w14:paraId="39567417">
                  <w:pPr>
                    <w:spacing w:line="240" w:lineRule="auto"/>
                    <w:ind w:left="-122" w:leftChars="-51" w:right="-122" w:rightChars="-51"/>
                    <w:jc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螺旋机</w:t>
                  </w:r>
                </w:p>
              </w:tc>
              <w:tc>
                <w:tcPr>
                  <w:tcW w:w="739" w:type="pct"/>
                  <w:vAlign w:val="center"/>
                </w:tcPr>
                <w:p w14:paraId="2BA3AB4A">
                  <w:pPr>
                    <w:pStyle w:val="49"/>
                    <w:spacing w:before="0" w:beforeAutospacing="0" w:after="0" w:afterAutospacing="0" w:line="240" w:lineRule="auto"/>
                    <w:jc w:val="center"/>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台</w:t>
                  </w:r>
                </w:p>
              </w:tc>
              <w:tc>
                <w:tcPr>
                  <w:tcW w:w="708" w:type="pct"/>
                  <w:vAlign w:val="center"/>
                </w:tcPr>
                <w:p w14:paraId="2B5A1A21">
                  <w:pPr>
                    <w:pStyle w:val="11"/>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2</w:t>
                  </w:r>
                </w:p>
              </w:tc>
              <w:tc>
                <w:tcPr>
                  <w:tcW w:w="1560" w:type="pct"/>
                  <w:vAlign w:val="center"/>
                </w:tcPr>
                <w:p w14:paraId="741FC99A">
                  <w:pPr>
                    <w:pStyle w:val="11"/>
                    <w:spacing w:line="240" w:lineRule="auto"/>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80</w:t>
                  </w:r>
                </w:p>
              </w:tc>
            </w:tr>
            <w:tr w14:paraId="6F97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645" w:type="pct"/>
                  <w:vAlign w:val="center"/>
                </w:tcPr>
                <w:p w14:paraId="7470A339">
                  <w:pPr>
                    <w:pStyle w:val="49"/>
                    <w:spacing w:before="0" w:beforeAutospacing="0" w:after="0" w:afterAutospacing="0" w:line="240" w:lineRule="auto"/>
                    <w:jc w:val="center"/>
                    <w:textAlignment w:val="center"/>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9</w:t>
                  </w:r>
                </w:p>
              </w:tc>
              <w:tc>
                <w:tcPr>
                  <w:tcW w:w="1345" w:type="pct"/>
                  <w:vAlign w:val="center"/>
                </w:tcPr>
                <w:p w14:paraId="00C45CC5">
                  <w:pPr>
                    <w:spacing w:line="240" w:lineRule="auto"/>
                    <w:ind w:left="-122" w:leftChars="-51" w:right="-122" w:rightChars="-51"/>
                    <w:jc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水泥罐</w:t>
                  </w:r>
                </w:p>
              </w:tc>
              <w:tc>
                <w:tcPr>
                  <w:tcW w:w="739" w:type="pct"/>
                  <w:vAlign w:val="center"/>
                </w:tcPr>
                <w:p w14:paraId="16B13F67">
                  <w:pPr>
                    <w:pStyle w:val="49"/>
                    <w:spacing w:before="0" w:beforeAutospacing="0" w:after="0" w:afterAutospacing="0" w:line="240" w:lineRule="auto"/>
                    <w:jc w:val="center"/>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台</w:t>
                  </w:r>
                </w:p>
              </w:tc>
              <w:tc>
                <w:tcPr>
                  <w:tcW w:w="708" w:type="pct"/>
                  <w:vAlign w:val="center"/>
                </w:tcPr>
                <w:p w14:paraId="331CCB90">
                  <w:pPr>
                    <w:pStyle w:val="11"/>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1560" w:type="pct"/>
                  <w:vAlign w:val="center"/>
                </w:tcPr>
                <w:p w14:paraId="40B2AA28">
                  <w:pPr>
                    <w:pStyle w:val="11"/>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75</w:t>
                  </w:r>
                </w:p>
              </w:tc>
            </w:tr>
          </w:tbl>
          <w:p w14:paraId="633D2E2A">
            <w:pPr>
              <w:ind w:firstLine="480" w:firstLineChars="200"/>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lang w:eastAsia="zh-CN"/>
              </w:rPr>
              <w:t>为了进一步减少设备噪声对周边环境的影响，评价建议采取以下措施：</w:t>
            </w:r>
          </w:p>
          <w:p w14:paraId="511946F3">
            <w:pPr>
              <w:ind w:firstLine="480" w:firstLineChars="200"/>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lang w:eastAsia="zh-CN"/>
              </w:rPr>
              <w:t>①对于高噪声设备的操作工人，采取轮换制，并发放耳塞等劳保防护，减小对工人的影对声源设备所在地，在不影响工艺流程、生产操作的前提下，可安装消声器、隔声屏障等。</w:t>
            </w:r>
          </w:p>
          <w:p w14:paraId="5A8D77B2">
            <w:pPr>
              <w:ind w:firstLine="480" w:firstLineChars="200"/>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lang w:eastAsia="zh-CN"/>
              </w:rPr>
              <w:t>②在项目四周侧边界设置 2.0m高的围墙，使项目运营期产生的噪声对外界的影响降到最低。</w:t>
            </w:r>
          </w:p>
          <w:p w14:paraId="0BDF76CA">
            <w:pPr>
              <w:ind w:firstLine="480" w:firstLineChars="200"/>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lang w:eastAsia="zh-CN"/>
              </w:rPr>
              <w:t>③夜间22时至次日8时禁止生产，如建设单位因特殊情况需要夜间加班生产，则必须向德宏州生态环境局芒市分局提出申请，经德宏州生态环境局芒市分局同意后方可进行生产。</w:t>
            </w:r>
          </w:p>
          <w:p w14:paraId="42C49A0A">
            <w:pPr>
              <w:ind w:firstLine="480" w:firstLineChars="200"/>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lang w:eastAsia="zh-CN"/>
              </w:rPr>
              <w:t>④对生产车间进行半封闭隔声，对高噪声、高振动设备底部设置减震基础进行降噪。</w:t>
            </w:r>
          </w:p>
          <w:p w14:paraId="7F46F503">
            <w:pPr>
              <w:ind w:firstLine="480" w:firstLineChars="200"/>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lang w:eastAsia="zh-CN"/>
              </w:rPr>
              <w:t>通过环评提出的降噪措施后，可降噪10-20dB（A），本次环评按照同时运行最大数量来进行预测，降噪后的噪声源强及距各厂界的距离见表</w:t>
            </w:r>
            <w:r>
              <w:rPr>
                <w:rFonts w:hint="eastAsia" w:asciiTheme="majorEastAsia" w:hAnsiTheme="majorEastAsia" w:eastAsiaTheme="majorEastAsia" w:cstheme="majorEastAsia"/>
                <w:color w:val="auto"/>
                <w:lang w:val="en-US" w:eastAsia="zh-CN"/>
              </w:rPr>
              <w:t>4-13</w:t>
            </w:r>
            <w:r>
              <w:rPr>
                <w:rFonts w:hint="eastAsia" w:asciiTheme="majorEastAsia" w:hAnsiTheme="majorEastAsia" w:eastAsiaTheme="majorEastAsia" w:cstheme="majorEastAsia"/>
                <w:color w:val="auto"/>
                <w:lang w:eastAsia="zh-CN"/>
              </w:rPr>
              <w:t>。</w:t>
            </w:r>
          </w:p>
          <w:p w14:paraId="696E5FD2">
            <w:pPr>
              <w:keepNext w:val="0"/>
              <w:keepLines w:val="0"/>
              <w:widowControl/>
              <w:suppressLineNumbers w:val="0"/>
              <w:jc w:val="center"/>
              <w:rPr>
                <w:rFonts w:ascii="Times New Roman" w:hAnsi="Times New Roman"/>
                <w:color w:val="auto"/>
              </w:rPr>
            </w:pPr>
            <w:r>
              <w:rPr>
                <w:rFonts w:hint="eastAsia" w:ascii="Times New Roman" w:hAnsi="Times New Roman" w:eastAsia="宋体" w:cs="宋体"/>
                <w:b/>
                <w:bCs/>
                <w:color w:val="auto"/>
                <w:kern w:val="0"/>
                <w:sz w:val="24"/>
                <w:szCs w:val="24"/>
                <w:lang w:val="en-US" w:eastAsia="zh-CN" w:bidi="ar"/>
              </w:rPr>
              <w:t>表</w:t>
            </w:r>
            <w:r>
              <w:rPr>
                <w:rFonts w:hint="default" w:ascii="Times New Roman" w:hAnsi="Times New Roman" w:eastAsia="宋体" w:cs="Times New Roman"/>
                <w:b/>
                <w:bCs/>
                <w:color w:val="auto"/>
                <w:kern w:val="0"/>
                <w:sz w:val="24"/>
                <w:szCs w:val="24"/>
                <w:lang w:val="en-US" w:eastAsia="zh-CN" w:bidi="ar"/>
              </w:rPr>
              <w:t>4-</w:t>
            </w:r>
            <w:r>
              <w:rPr>
                <w:rFonts w:hint="eastAsia" w:ascii="Times New Roman" w:hAnsi="Times New Roman" w:cs="Times New Roman"/>
                <w:b/>
                <w:bCs/>
                <w:color w:val="auto"/>
                <w:kern w:val="0"/>
                <w:sz w:val="24"/>
                <w:szCs w:val="24"/>
                <w:lang w:val="en-US" w:eastAsia="zh-CN" w:bidi="ar"/>
              </w:rPr>
              <w:t>13</w:t>
            </w:r>
            <w:r>
              <w:rPr>
                <w:rFonts w:hint="eastAsia" w:ascii="Times New Roman" w:hAnsi="Times New Roman" w:eastAsia="宋体" w:cs="Times New Roman"/>
                <w:b/>
                <w:bCs/>
                <w:color w:val="auto"/>
                <w:kern w:val="0"/>
                <w:sz w:val="24"/>
                <w:szCs w:val="24"/>
                <w:lang w:val="en-US" w:eastAsia="zh-CN" w:bidi="ar"/>
              </w:rPr>
              <w:t xml:space="preserve"> </w:t>
            </w:r>
            <w:r>
              <w:rPr>
                <w:rFonts w:hint="default" w:ascii="Times New Roman" w:hAnsi="Times New Roman" w:eastAsia="宋体" w:cs="Times New Roman"/>
                <w:b/>
                <w:bCs/>
                <w:color w:val="auto"/>
                <w:kern w:val="0"/>
                <w:sz w:val="24"/>
                <w:szCs w:val="24"/>
                <w:lang w:val="en-US" w:eastAsia="zh-CN" w:bidi="ar"/>
              </w:rPr>
              <w:t xml:space="preserve"> </w:t>
            </w:r>
            <w:r>
              <w:rPr>
                <w:rFonts w:hint="eastAsia" w:ascii="Times New Roman" w:hAnsi="Times New Roman" w:eastAsia="宋体" w:cs="宋体"/>
                <w:b/>
                <w:bCs/>
                <w:color w:val="auto"/>
                <w:kern w:val="0"/>
                <w:sz w:val="24"/>
                <w:szCs w:val="24"/>
                <w:lang w:val="en-US" w:eastAsia="zh-CN" w:bidi="ar"/>
              </w:rPr>
              <w:t>降噪后的噪声源强及距各厂界的距离</w:t>
            </w: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795"/>
              <w:gridCol w:w="1024"/>
              <w:gridCol w:w="1348"/>
              <w:gridCol w:w="1150"/>
              <w:gridCol w:w="1150"/>
              <w:gridCol w:w="719"/>
              <w:gridCol w:w="702"/>
              <w:gridCol w:w="702"/>
              <w:gridCol w:w="685"/>
            </w:tblGrid>
            <w:tr w14:paraId="3767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29" w:type="pct"/>
                  <w:vMerge w:val="restart"/>
                  <w:vAlign w:val="center"/>
                </w:tcPr>
                <w:p w14:paraId="13269648">
                  <w:pPr>
                    <w:spacing w:line="240" w:lineRule="auto"/>
                    <w:jc w:val="cente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声源</w:t>
                  </w:r>
                </w:p>
              </w:tc>
              <w:tc>
                <w:tcPr>
                  <w:tcW w:w="429" w:type="pct"/>
                  <w:vMerge w:val="restart"/>
                  <w:vAlign w:val="center"/>
                </w:tcPr>
                <w:p w14:paraId="05F4BD87">
                  <w:pPr>
                    <w:spacing w:line="240" w:lineRule="auto"/>
                    <w:jc w:val="cente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数量（台）</w:t>
                  </w:r>
                </w:p>
              </w:tc>
              <w:tc>
                <w:tcPr>
                  <w:tcW w:w="553" w:type="pct"/>
                  <w:vMerge w:val="restart"/>
                  <w:vAlign w:val="center"/>
                </w:tcPr>
                <w:p w14:paraId="2CA7BBB2">
                  <w:pPr>
                    <w:spacing w:line="240" w:lineRule="auto"/>
                    <w:jc w:val="cente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声功率等级（</w:t>
                  </w:r>
                  <w:r>
                    <w:rPr>
                      <w:rFonts w:hint="eastAsia" w:asciiTheme="minorEastAsia" w:hAnsiTheme="minorEastAsia" w:eastAsiaTheme="minorEastAsia" w:cstheme="minorEastAsia"/>
                      <w:b/>
                      <w:bCs/>
                      <w:color w:val="auto"/>
                      <w:sz w:val="21"/>
                      <w:szCs w:val="21"/>
                      <w:lang w:val="en-US" w:eastAsia="zh-CN"/>
                    </w:rPr>
                    <w:t>dB（A）</w:t>
                  </w:r>
                  <w:r>
                    <w:rPr>
                      <w:rFonts w:hint="eastAsia" w:asciiTheme="minorEastAsia" w:hAnsiTheme="minorEastAsia" w:eastAsiaTheme="minorEastAsia" w:cstheme="minorEastAsia"/>
                      <w:b/>
                      <w:bCs/>
                      <w:color w:val="auto"/>
                      <w:sz w:val="21"/>
                      <w:szCs w:val="21"/>
                      <w:lang w:eastAsia="zh-CN"/>
                    </w:rPr>
                    <w:t>）</w:t>
                  </w:r>
                </w:p>
              </w:tc>
              <w:tc>
                <w:tcPr>
                  <w:tcW w:w="728" w:type="pct"/>
                  <w:vMerge w:val="restart"/>
                  <w:vAlign w:val="center"/>
                </w:tcPr>
                <w:p w14:paraId="234992ED">
                  <w:pPr>
                    <w:spacing w:line="240" w:lineRule="auto"/>
                    <w:jc w:val="center"/>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降噪措施</w:t>
                  </w:r>
                </w:p>
              </w:tc>
              <w:tc>
                <w:tcPr>
                  <w:tcW w:w="621" w:type="pct"/>
                  <w:vMerge w:val="restart"/>
                  <w:vAlign w:val="center"/>
                </w:tcPr>
                <w:p w14:paraId="175FD8F3">
                  <w:pPr>
                    <w:spacing w:line="240" w:lineRule="auto"/>
                    <w:jc w:val="cente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降噪后的源强（</w:t>
                  </w:r>
                  <w:r>
                    <w:rPr>
                      <w:rFonts w:hint="eastAsia" w:asciiTheme="minorEastAsia" w:hAnsiTheme="minorEastAsia" w:eastAsiaTheme="minorEastAsia" w:cstheme="minorEastAsia"/>
                      <w:b/>
                      <w:bCs/>
                      <w:color w:val="auto"/>
                      <w:sz w:val="21"/>
                      <w:szCs w:val="21"/>
                      <w:lang w:val="en-US" w:eastAsia="zh-CN"/>
                    </w:rPr>
                    <w:t>dB（A）</w:t>
                  </w:r>
                  <w:r>
                    <w:rPr>
                      <w:rFonts w:hint="eastAsia" w:asciiTheme="minorEastAsia" w:hAnsiTheme="minorEastAsia" w:eastAsiaTheme="minorEastAsia" w:cstheme="minorEastAsia"/>
                      <w:b/>
                      <w:bCs/>
                      <w:color w:val="auto"/>
                      <w:sz w:val="21"/>
                      <w:szCs w:val="21"/>
                      <w:lang w:eastAsia="zh-CN"/>
                    </w:rPr>
                    <w:t>）</w:t>
                  </w:r>
                </w:p>
              </w:tc>
              <w:tc>
                <w:tcPr>
                  <w:tcW w:w="621" w:type="pct"/>
                  <w:vMerge w:val="restart"/>
                  <w:vAlign w:val="center"/>
                </w:tcPr>
                <w:p w14:paraId="0FAEC114">
                  <w:pPr>
                    <w:spacing w:line="240" w:lineRule="auto"/>
                    <w:jc w:val="cente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降噪后叠加源强（</w:t>
                  </w:r>
                  <w:r>
                    <w:rPr>
                      <w:rFonts w:hint="eastAsia" w:asciiTheme="minorEastAsia" w:hAnsiTheme="minorEastAsia" w:eastAsiaTheme="minorEastAsia" w:cstheme="minorEastAsia"/>
                      <w:b/>
                      <w:bCs/>
                      <w:color w:val="auto"/>
                      <w:sz w:val="21"/>
                      <w:szCs w:val="21"/>
                      <w:lang w:val="en-US" w:eastAsia="zh-CN"/>
                    </w:rPr>
                    <w:t>dB（A）</w:t>
                  </w:r>
                  <w:r>
                    <w:rPr>
                      <w:rFonts w:hint="eastAsia" w:asciiTheme="minorEastAsia" w:hAnsiTheme="minorEastAsia" w:eastAsiaTheme="minorEastAsia" w:cstheme="minorEastAsia"/>
                      <w:b/>
                      <w:bCs/>
                      <w:color w:val="auto"/>
                      <w:sz w:val="21"/>
                      <w:szCs w:val="21"/>
                      <w:lang w:eastAsia="zh-CN"/>
                    </w:rPr>
                    <w:t>）</w:t>
                  </w:r>
                </w:p>
              </w:tc>
              <w:tc>
                <w:tcPr>
                  <w:tcW w:w="1516" w:type="pct"/>
                  <w:gridSpan w:val="4"/>
                  <w:vAlign w:val="center"/>
                </w:tcPr>
                <w:p w14:paraId="2A7DAB7A">
                  <w:pPr>
                    <w:spacing w:line="240" w:lineRule="auto"/>
                    <w:jc w:val="cente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到厂界的距离（</w:t>
                  </w:r>
                  <w:r>
                    <w:rPr>
                      <w:rFonts w:hint="eastAsia" w:asciiTheme="minorEastAsia" w:hAnsiTheme="minorEastAsia" w:eastAsiaTheme="minorEastAsia" w:cstheme="minorEastAsia"/>
                      <w:b/>
                      <w:bCs/>
                      <w:color w:val="auto"/>
                      <w:sz w:val="21"/>
                      <w:szCs w:val="21"/>
                      <w:lang w:val="en-US" w:eastAsia="zh-CN"/>
                    </w:rPr>
                    <w:t>m</w:t>
                  </w:r>
                  <w:r>
                    <w:rPr>
                      <w:rFonts w:hint="eastAsia" w:asciiTheme="minorEastAsia" w:hAnsiTheme="minorEastAsia" w:eastAsiaTheme="minorEastAsia" w:cstheme="minorEastAsia"/>
                      <w:b/>
                      <w:bCs/>
                      <w:color w:val="auto"/>
                      <w:sz w:val="21"/>
                      <w:szCs w:val="21"/>
                      <w:lang w:eastAsia="zh-CN"/>
                    </w:rPr>
                    <w:t>）</w:t>
                  </w:r>
                </w:p>
              </w:tc>
            </w:tr>
            <w:tr w14:paraId="4938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 w:type="pct"/>
                  <w:vMerge w:val="continue"/>
                  <w:vAlign w:val="center"/>
                </w:tcPr>
                <w:p w14:paraId="1034EBEE">
                  <w:pPr>
                    <w:spacing w:line="240" w:lineRule="auto"/>
                    <w:jc w:val="center"/>
                    <w:rPr>
                      <w:rFonts w:hint="eastAsia" w:asciiTheme="minorEastAsia" w:hAnsiTheme="minorEastAsia" w:eastAsiaTheme="minorEastAsia" w:cstheme="minorEastAsia"/>
                      <w:color w:val="auto"/>
                      <w:sz w:val="21"/>
                      <w:szCs w:val="21"/>
                    </w:rPr>
                  </w:pPr>
                </w:p>
              </w:tc>
              <w:tc>
                <w:tcPr>
                  <w:tcW w:w="429" w:type="pct"/>
                  <w:vMerge w:val="continue"/>
                  <w:vAlign w:val="center"/>
                </w:tcPr>
                <w:p w14:paraId="6A2483A0">
                  <w:pPr>
                    <w:spacing w:line="240" w:lineRule="auto"/>
                    <w:jc w:val="center"/>
                    <w:rPr>
                      <w:rFonts w:hint="eastAsia" w:asciiTheme="minorEastAsia" w:hAnsiTheme="minorEastAsia" w:eastAsiaTheme="minorEastAsia" w:cstheme="minorEastAsia"/>
                      <w:color w:val="auto"/>
                      <w:sz w:val="21"/>
                      <w:szCs w:val="21"/>
                    </w:rPr>
                  </w:pPr>
                </w:p>
              </w:tc>
              <w:tc>
                <w:tcPr>
                  <w:tcW w:w="553" w:type="pct"/>
                  <w:vMerge w:val="continue"/>
                  <w:vAlign w:val="center"/>
                </w:tcPr>
                <w:p w14:paraId="75EDA0CD">
                  <w:pPr>
                    <w:spacing w:line="240" w:lineRule="auto"/>
                    <w:jc w:val="center"/>
                    <w:rPr>
                      <w:rFonts w:hint="eastAsia" w:asciiTheme="minorEastAsia" w:hAnsiTheme="minorEastAsia" w:eastAsiaTheme="minorEastAsia" w:cstheme="minorEastAsia"/>
                      <w:color w:val="auto"/>
                      <w:sz w:val="21"/>
                      <w:szCs w:val="21"/>
                    </w:rPr>
                  </w:pPr>
                </w:p>
              </w:tc>
              <w:tc>
                <w:tcPr>
                  <w:tcW w:w="728" w:type="pct"/>
                  <w:vMerge w:val="continue"/>
                  <w:vAlign w:val="center"/>
                </w:tcPr>
                <w:p w14:paraId="07293C95">
                  <w:pPr>
                    <w:spacing w:line="240" w:lineRule="auto"/>
                    <w:jc w:val="center"/>
                    <w:rPr>
                      <w:rFonts w:hint="eastAsia" w:asciiTheme="minorEastAsia" w:hAnsiTheme="minorEastAsia" w:eastAsiaTheme="minorEastAsia" w:cstheme="minorEastAsia"/>
                      <w:color w:val="auto"/>
                      <w:sz w:val="21"/>
                      <w:szCs w:val="21"/>
                    </w:rPr>
                  </w:pPr>
                </w:p>
              </w:tc>
              <w:tc>
                <w:tcPr>
                  <w:tcW w:w="621" w:type="pct"/>
                  <w:vMerge w:val="continue"/>
                  <w:vAlign w:val="center"/>
                </w:tcPr>
                <w:p w14:paraId="7FB69B45">
                  <w:pPr>
                    <w:spacing w:line="240" w:lineRule="auto"/>
                    <w:jc w:val="center"/>
                    <w:rPr>
                      <w:rFonts w:hint="eastAsia" w:asciiTheme="minorEastAsia" w:hAnsiTheme="minorEastAsia" w:eastAsiaTheme="minorEastAsia" w:cstheme="minorEastAsia"/>
                      <w:color w:val="auto"/>
                      <w:sz w:val="21"/>
                      <w:szCs w:val="21"/>
                    </w:rPr>
                  </w:pPr>
                </w:p>
              </w:tc>
              <w:tc>
                <w:tcPr>
                  <w:tcW w:w="621" w:type="pct"/>
                  <w:vMerge w:val="continue"/>
                  <w:vAlign w:val="center"/>
                </w:tcPr>
                <w:p w14:paraId="7EB95E31">
                  <w:pPr>
                    <w:spacing w:line="240" w:lineRule="auto"/>
                    <w:jc w:val="center"/>
                    <w:rPr>
                      <w:rFonts w:hint="eastAsia" w:asciiTheme="minorEastAsia" w:hAnsiTheme="minorEastAsia" w:eastAsiaTheme="minorEastAsia" w:cstheme="minorEastAsia"/>
                      <w:color w:val="auto"/>
                      <w:sz w:val="21"/>
                      <w:szCs w:val="21"/>
                    </w:rPr>
                  </w:pPr>
                </w:p>
              </w:tc>
              <w:tc>
                <w:tcPr>
                  <w:tcW w:w="388" w:type="pct"/>
                  <w:vAlign w:val="center"/>
                </w:tcPr>
                <w:p w14:paraId="56D7BCD4">
                  <w:pPr>
                    <w:spacing w:line="240" w:lineRule="auto"/>
                    <w:jc w:val="cente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东</w:t>
                  </w:r>
                </w:p>
              </w:tc>
              <w:tc>
                <w:tcPr>
                  <w:tcW w:w="379" w:type="pct"/>
                  <w:vAlign w:val="center"/>
                </w:tcPr>
                <w:p w14:paraId="31157E4B">
                  <w:pPr>
                    <w:spacing w:line="24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eastAsia="zh-CN"/>
                    </w:rPr>
                    <w:t>南</w:t>
                  </w:r>
                </w:p>
              </w:tc>
              <w:tc>
                <w:tcPr>
                  <w:tcW w:w="379" w:type="pct"/>
                  <w:vAlign w:val="center"/>
                </w:tcPr>
                <w:p w14:paraId="5F97EEBA">
                  <w:pPr>
                    <w:spacing w:line="24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eastAsia="zh-CN"/>
                    </w:rPr>
                    <w:t>西</w:t>
                  </w:r>
                </w:p>
              </w:tc>
              <w:tc>
                <w:tcPr>
                  <w:tcW w:w="370" w:type="pct"/>
                  <w:vAlign w:val="center"/>
                </w:tcPr>
                <w:p w14:paraId="60E40980">
                  <w:pPr>
                    <w:spacing w:line="24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eastAsia="zh-CN"/>
                    </w:rPr>
                    <w:t>北</w:t>
                  </w:r>
                </w:p>
              </w:tc>
            </w:tr>
            <w:tr w14:paraId="7B736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29" w:type="pct"/>
                  <w:vAlign w:val="center"/>
                </w:tcPr>
                <w:p w14:paraId="73D942FB">
                  <w:pPr>
                    <w:pStyle w:val="11"/>
                    <w:spacing w:line="24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kern w:val="2"/>
                      <w:sz w:val="21"/>
                      <w:szCs w:val="21"/>
                      <w:lang w:val="en-US" w:eastAsia="zh-CN" w:bidi="ar-SA"/>
                    </w:rPr>
                    <w:t>搅拌机</w:t>
                  </w:r>
                </w:p>
              </w:tc>
              <w:tc>
                <w:tcPr>
                  <w:tcW w:w="429" w:type="pct"/>
                  <w:vAlign w:val="center"/>
                </w:tcPr>
                <w:p w14:paraId="3A951C82">
                  <w:pPr>
                    <w:pStyle w:val="11"/>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553" w:type="pct"/>
                  <w:vAlign w:val="center"/>
                </w:tcPr>
                <w:p w14:paraId="620017FD">
                  <w:pPr>
                    <w:pStyle w:val="11"/>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80</w:t>
                  </w:r>
                </w:p>
              </w:tc>
              <w:tc>
                <w:tcPr>
                  <w:tcW w:w="728" w:type="pct"/>
                  <w:vMerge w:val="restart"/>
                  <w:vAlign w:val="center"/>
                </w:tcPr>
                <w:p w14:paraId="056F574F">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厂房隔声、</w:t>
                  </w:r>
                </w:p>
                <w:p w14:paraId="36B4A9FF">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基础减震、</w:t>
                  </w:r>
                </w:p>
                <w:p w14:paraId="2EAE465C">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设备固定、采用软连接、减震垫</w:t>
                  </w:r>
                </w:p>
                <w:p w14:paraId="70CB14E6">
                  <w:pPr>
                    <w:pStyle w:val="11"/>
                    <w:spacing w:line="240" w:lineRule="auto"/>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减大气稀释扩散</w:t>
                  </w:r>
                </w:p>
                <w:p w14:paraId="6B90AFA3">
                  <w:pPr>
                    <w:pStyle w:val="11"/>
                    <w:spacing w:line="240" w:lineRule="auto"/>
                    <w:jc w:val="center"/>
                    <w:rPr>
                      <w:rFonts w:hint="eastAsia" w:asciiTheme="minorEastAsia" w:hAnsiTheme="minorEastAsia" w:eastAsiaTheme="minorEastAsia" w:cstheme="minorEastAsia"/>
                      <w:color w:val="auto"/>
                      <w:sz w:val="21"/>
                      <w:szCs w:val="21"/>
                      <w:lang w:val="en-US" w:eastAsia="zh-CN"/>
                    </w:rPr>
                  </w:pPr>
                </w:p>
              </w:tc>
              <w:tc>
                <w:tcPr>
                  <w:tcW w:w="621" w:type="pct"/>
                  <w:vAlign w:val="center"/>
                </w:tcPr>
                <w:p w14:paraId="1EE0B48A">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65</w:t>
                  </w:r>
                </w:p>
              </w:tc>
              <w:tc>
                <w:tcPr>
                  <w:tcW w:w="621" w:type="pct"/>
                  <w:vAlign w:val="center"/>
                </w:tcPr>
                <w:p w14:paraId="4C60C73B">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68</w:t>
                  </w:r>
                </w:p>
              </w:tc>
              <w:tc>
                <w:tcPr>
                  <w:tcW w:w="388" w:type="pct"/>
                  <w:vAlign w:val="center"/>
                </w:tcPr>
                <w:p w14:paraId="7C72E072">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28</w:t>
                  </w:r>
                </w:p>
              </w:tc>
              <w:tc>
                <w:tcPr>
                  <w:tcW w:w="379" w:type="pct"/>
                  <w:vAlign w:val="center"/>
                </w:tcPr>
                <w:p w14:paraId="3C045005">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13</w:t>
                  </w:r>
                </w:p>
              </w:tc>
              <w:tc>
                <w:tcPr>
                  <w:tcW w:w="379" w:type="pct"/>
                  <w:vAlign w:val="center"/>
                </w:tcPr>
                <w:p w14:paraId="27FB3377">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w:t>
                  </w:r>
                </w:p>
              </w:tc>
              <w:tc>
                <w:tcPr>
                  <w:tcW w:w="370" w:type="pct"/>
                  <w:vAlign w:val="center"/>
                </w:tcPr>
                <w:p w14:paraId="76738273">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36</w:t>
                  </w:r>
                </w:p>
              </w:tc>
            </w:tr>
            <w:tr w14:paraId="22DD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529" w:type="pct"/>
                  <w:vAlign w:val="center"/>
                </w:tcPr>
                <w:p w14:paraId="6D1037BA">
                  <w:pPr>
                    <w:pStyle w:val="11"/>
                    <w:spacing w:line="24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配料机</w:t>
                  </w:r>
                </w:p>
              </w:tc>
              <w:tc>
                <w:tcPr>
                  <w:tcW w:w="429" w:type="pct"/>
                  <w:vAlign w:val="center"/>
                </w:tcPr>
                <w:p w14:paraId="3AEB4296">
                  <w:pPr>
                    <w:pStyle w:val="11"/>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553" w:type="pct"/>
                  <w:vAlign w:val="center"/>
                </w:tcPr>
                <w:p w14:paraId="16190F62">
                  <w:pPr>
                    <w:pStyle w:val="11"/>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75</w:t>
                  </w:r>
                </w:p>
              </w:tc>
              <w:tc>
                <w:tcPr>
                  <w:tcW w:w="728" w:type="pct"/>
                  <w:vMerge w:val="continue"/>
                  <w:vAlign w:val="center"/>
                </w:tcPr>
                <w:p w14:paraId="4ABBE58A">
                  <w:pPr>
                    <w:spacing w:line="240" w:lineRule="auto"/>
                    <w:jc w:val="center"/>
                    <w:rPr>
                      <w:rFonts w:hint="eastAsia" w:asciiTheme="minorEastAsia" w:hAnsiTheme="minorEastAsia" w:eastAsiaTheme="minorEastAsia" w:cstheme="minorEastAsia"/>
                      <w:color w:val="auto"/>
                      <w:sz w:val="21"/>
                      <w:szCs w:val="21"/>
                    </w:rPr>
                  </w:pPr>
                </w:p>
              </w:tc>
              <w:tc>
                <w:tcPr>
                  <w:tcW w:w="621" w:type="pct"/>
                  <w:vAlign w:val="center"/>
                </w:tcPr>
                <w:p w14:paraId="7EC1EC39">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60</w:t>
                  </w:r>
                </w:p>
              </w:tc>
              <w:tc>
                <w:tcPr>
                  <w:tcW w:w="621" w:type="pct"/>
                  <w:vAlign w:val="center"/>
                </w:tcPr>
                <w:p w14:paraId="17090E35">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63</w:t>
                  </w:r>
                </w:p>
              </w:tc>
              <w:tc>
                <w:tcPr>
                  <w:tcW w:w="388" w:type="pct"/>
                  <w:vAlign w:val="center"/>
                </w:tcPr>
                <w:p w14:paraId="52149677">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27</w:t>
                  </w:r>
                </w:p>
              </w:tc>
              <w:tc>
                <w:tcPr>
                  <w:tcW w:w="379" w:type="pct"/>
                  <w:vAlign w:val="center"/>
                </w:tcPr>
                <w:p w14:paraId="5BC6EA2C">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14</w:t>
                  </w:r>
                </w:p>
              </w:tc>
              <w:tc>
                <w:tcPr>
                  <w:tcW w:w="379" w:type="pct"/>
                  <w:vAlign w:val="center"/>
                </w:tcPr>
                <w:p w14:paraId="15762766">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w:t>
                  </w:r>
                </w:p>
              </w:tc>
              <w:tc>
                <w:tcPr>
                  <w:tcW w:w="370" w:type="pct"/>
                  <w:vAlign w:val="center"/>
                </w:tcPr>
                <w:p w14:paraId="02D5FC5A">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32</w:t>
                  </w:r>
                </w:p>
              </w:tc>
            </w:tr>
            <w:tr w14:paraId="013F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 w:type="pct"/>
                  <w:vAlign w:val="center"/>
                </w:tcPr>
                <w:p w14:paraId="7D94ED95">
                  <w:pPr>
                    <w:pStyle w:val="11"/>
                    <w:spacing w:line="24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输送机</w:t>
                  </w:r>
                </w:p>
              </w:tc>
              <w:tc>
                <w:tcPr>
                  <w:tcW w:w="429" w:type="pct"/>
                  <w:vAlign w:val="center"/>
                </w:tcPr>
                <w:p w14:paraId="5C5AC8D7">
                  <w:pPr>
                    <w:pStyle w:val="11"/>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553" w:type="pct"/>
                  <w:vAlign w:val="center"/>
                </w:tcPr>
                <w:p w14:paraId="11E7CA1D">
                  <w:pPr>
                    <w:pStyle w:val="11"/>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70</w:t>
                  </w:r>
                </w:p>
              </w:tc>
              <w:tc>
                <w:tcPr>
                  <w:tcW w:w="728" w:type="pct"/>
                  <w:vMerge w:val="continue"/>
                  <w:vAlign w:val="center"/>
                </w:tcPr>
                <w:p w14:paraId="3FB0F6A8">
                  <w:pPr>
                    <w:spacing w:line="240" w:lineRule="auto"/>
                    <w:jc w:val="center"/>
                    <w:rPr>
                      <w:rFonts w:hint="eastAsia" w:asciiTheme="minorEastAsia" w:hAnsiTheme="minorEastAsia" w:eastAsiaTheme="minorEastAsia" w:cstheme="minorEastAsia"/>
                      <w:color w:val="auto"/>
                      <w:sz w:val="21"/>
                      <w:szCs w:val="21"/>
                    </w:rPr>
                  </w:pPr>
                </w:p>
              </w:tc>
              <w:tc>
                <w:tcPr>
                  <w:tcW w:w="621" w:type="pct"/>
                  <w:vAlign w:val="center"/>
                </w:tcPr>
                <w:p w14:paraId="4D02CEE1">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55</w:t>
                  </w:r>
                </w:p>
              </w:tc>
              <w:tc>
                <w:tcPr>
                  <w:tcW w:w="621" w:type="pct"/>
                  <w:vAlign w:val="center"/>
                </w:tcPr>
                <w:p w14:paraId="6D2B2338">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58</w:t>
                  </w:r>
                </w:p>
              </w:tc>
              <w:tc>
                <w:tcPr>
                  <w:tcW w:w="388" w:type="pct"/>
                  <w:vAlign w:val="center"/>
                </w:tcPr>
                <w:p w14:paraId="6C826CA9">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27</w:t>
                  </w:r>
                </w:p>
              </w:tc>
              <w:tc>
                <w:tcPr>
                  <w:tcW w:w="379" w:type="pct"/>
                  <w:vAlign w:val="center"/>
                </w:tcPr>
                <w:p w14:paraId="1E064A58">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15</w:t>
                  </w:r>
                </w:p>
              </w:tc>
              <w:tc>
                <w:tcPr>
                  <w:tcW w:w="379" w:type="pct"/>
                  <w:vAlign w:val="center"/>
                </w:tcPr>
                <w:p w14:paraId="6BFCFC7C">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370" w:type="pct"/>
                  <w:vAlign w:val="center"/>
                </w:tcPr>
                <w:p w14:paraId="7EF40E4F">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w:t>
                  </w:r>
                </w:p>
              </w:tc>
            </w:tr>
            <w:tr w14:paraId="7D24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29" w:type="pct"/>
                  <w:vAlign w:val="center"/>
                </w:tcPr>
                <w:p w14:paraId="06B8DFF5">
                  <w:pPr>
                    <w:pStyle w:val="11"/>
                    <w:spacing w:line="24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钢筋切割机</w:t>
                  </w:r>
                </w:p>
              </w:tc>
              <w:tc>
                <w:tcPr>
                  <w:tcW w:w="429" w:type="pct"/>
                  <w:vAlign w:val="center"/>
                </w:tcPr>
                <w:p w14:paraId="740DDB63">
                  <w:pPr>
                    <w:pStyle w:val="11"/>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553" w:type="pct"/>
                  <w:vAlign w:val="center"/>
                </w:tcPr>
                <w:p w14:paraId="2E2D1289">
                  <w:pPr>
                    <w:pStyle w:val="11"/>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85</w:t>
                  </w:r>
                </w:p>
              </w:tc>
              <w:tc>
                <w:tcPr>
                  <w:tcW w:w="728" w:type="pct"/>
                  <w:vMerge w:val="continue"/>
                  <w:vAlign w:val="center"/>
                </w:tcPr>
                <w:p w14:paraId="5D7432CB">
                  <w:pPr>
                    <w:spacing w:line="240" w:lineRule="auto"/>
                    <w:jc w:val="center"/>
                    <w:rPr>
                      <w:rFonts w:hint="eastAsia" w:asciiTheme="minorEastAsia" w:hAnsiTheme="minorEastAsia" w:eastAsiaTheme="minorEastAsia" w:cstheme="minorEastAsia"/>
                      <w:color w:val="auto"/>
                      <w:sz w:val="21"/>
                      <w:szCs w:val="21"/>
                    </w:rPr>
                  </w:pPr>
                </w:p>
              </w:tc>
              <w:tc>
                <w:tcPr>
                  <w:tcW w:w="621" w:type="pct"/>
                  <w:vAlign w:val="center"/>
                </w:tcPr>
                <w:p w14:paraId="1B6B8E37">
                  <w:pPr>
                    <w:spacing w:line="240" w:lineRule="auto"/>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70</w:t>
                  </w:r>
                </w:p>
              </w:tc>
              <w:tc>
                <w:tcPr>
                  <w:tcW w:w="621" w:type="pct"/>
                  <w:vAlign w:val="center"/>
                </w:tcPr>
                <w:p w14:paraId="43DE73C9">
                  <w:pPr>
                    <w:spacing w:line="240" w:lineRule="auto"/>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73</w:t>
                  </w:r>
                </w:p>
              </w:tc>
              <w:tc>
                <w:tcPr>
                  <w:tcW w:w="388" w:type="pct"/>
                  <w:vAlign w:val="center"/>
                </w:tcPr>
                <w:p w14:paraId="74C4AA1A">
                  <w:pPr>
                    <w:spacing w:line="240" w:lineRule="auto"/>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20</w:t>
                  </w:r>
                </w:p>
              </w:tc>
              <w:tc>
                <w:tcPr>
                  <w:tcW w:w="379" w:type="pct"/>
                  <w:vAlign w:val="center"/>
                </w:tcPr>
                <w:p w14:paraId="505D2376">
                  <w:pPr>
                    <w:spacing w:line="240" w:lineRule="auto"/>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13</w:t>
                  </w:r>
                </w:p>
              </w:tc>
              <w:tc>
                <w:tcPr>
                  <w:tcW w:w="379" w:type="pct"/>
                  <w:vAlign w:val="center"/>
                </w:tcPr>
                <w:p w14:paraId="57E64C92">
                  <w:pPr>
                    <w:spacing w:line="240" w:lineRule="auto"/>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10</w:t>
                  </w:r>
                </w:p>
              </w:tc>
              <w:tc>
                <w:tcPr>
                  <w:tcW w:w="370" w:type="pct"/>
                  <w:vAlign w:val="center"/>
                </w:tcPr>
                <w:p w14:paraId="4DD4BB68">
                  <w:pPr>
                    <w:spacing w:line="240" w:lineRule="auto"/>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28</w:t>
                  </w:r>
                </w:p>
              </w:tc>
            </w:tr>
            <w:tr w14:paraId="25D6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 w:type="pct"/>
                  <w:vAlign w:val="center"/>
                </w:tcPr>
                <w:p w14:paraId="187AE7C1">
                  <w:pPr>
                    <w:pStyle w:val="11"/>
                    <w:spacing w:line="24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电焊机</w:t>
                  </w:r>
                </w:p>
              </w:tc>
              <w:tc>
                <w:tcPr>
                  <w:tcW w:w="429" w:type="pct"/>
                  <w:vAlign w:val="center"/>
                </w:tcPr>
                <w:p w14:paraId="6AB99482">
                  <w:pPr>
                    <w:pStyle w:val="11"/>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553" w:type="pct"/>
                  <w:vAlign w:val="center"/>
                </w:tcPr>
                <w:p w14:paraId="31D294EB">
                  <w:pPr>
                    <w:pStyle w:val="11"/>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80</w:t>
                  </w:r>
                </w:p>
              </w:tc>
              <w:tc>
                <w:tcPr>
                  <w:tcW w:w="728" w:type="pct"/>
                  <w:vMerge w:val="continue"/>
                  <w:vAlign w:val="center"/>
                </w:tcPr>
                <w:p w14:paraId="35EF9390">
                  <w:pPr>
                    <w:spacing w:line="240" w:lineRule="auto"/>
                    <w:jc w:val="center"/>
                    <w:rPr>
                      <w:rFonts w:hint="eastAsia" w:asciiTheme="minorEastAsia" w:hAnsiTheme="minorEastAsia" w:eastAsiaTheme="minorEastAsia" w:cstheme="minorEastAsia"/>
                      <w:color w:val="auto"/>
                      <w:sz w:val="21"/>
                      <w:szCs w:val="21"/>
                    </w:rPr>
                  </w:pPr>
                </w:p>
              </w:tc>
              <w:tc>
                <w:tcPr>
                  <w:tcW w:w="621" w:type="pct"/>
                  <w:vAlign w:val="center"/>
                </w:tcPr>
                <w:p w14:paraId="643B3849">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65</w:t>
                  </w:r>
                </w:p>
              </w:tc>
              <w:tc>
                <w:tcPr>
                  <w:tcW w:w="621" w:type="pct"/>
                  <w:vAlign w:val="center"/>
                </w:tcPr>
                <w:p w14:paraId="192778A6">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68</w:t>
                  </w:r>
                </w:p>
              </w:tc>
              <w:tc>
                <w:tcPr>
                  <w:tcW w:w="388" w:type="pct"/>
                  <w:vAlign w:val="center"/>
                </w:tcPr>
                <w:p w14:paraId="75FA8ACD">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19</w:t>
                  </w:r>
                </w:p>
              </w:tc>
              <w:tc>
                <w:tcPr>
                  <w:tcW w:w="379" w:type="pct"/>
                  <w:vAlign w:val="center"/>
                </w:tcPr>
                <w:p w14:paraId="254D13F1">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w:t>
                  </w:r>
                </w:p>
              </w:tc>
              <w:tc>
                <w:tcPr>
                  <w:tcW w:w="379" w:type="pct"/>
                  <w:vAlign w:val="center"/>
                </w:tcPr>
                <w:p w14:paraId="4E91537D">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w:t>
                  </w:r>
                </w:p>
              </w:tc>
              <w:tc>
                <w:tcPr>
                  <w:tcW w:w="370" w:type="pct"/>
                  <w:vAlign w:val="center"/>
                </w:tcPr>
                <w:p w14:paraId="4470A9E1">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23</w:t>
                  </w:r>
                </w:p>
              </w:tc>
            </w:tr>
            <w:tr w14:paraId="48FD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529" w:type="pct"/>
                  <w:vAlign w:val="center"/>
                </w:tcPr>
                <w:p w14:paraId="1117EF20">
                  <w:pPr>
                    <w:pStyle w:val="11"/>
                    <w:spacing w:line="24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装载机</w:t>
                  </w:r>
                </w:p>
              </w:tc>
              <w:tc>
                <w:tcPr>
                  <w:tcW w:w="429" w:type="pct"/>
                  <w:vAlign w:val="center"/>
                </w:tcPr>
                <w:p w14:paraId="6374DA08">
                  <w:pPr>
                    <w:pStyle w:val="11"/>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553" w:type="pct"/>
                  <w:vAlign w:val="center"/>
                </w:tcPr>
                <w:p w14:paraId="1803DF27">
                  <w:pPr>
                    <w:pStyle w:val="11"/>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75</w:t>
                  </w:r>
                </w:p>
              </w:tc>
              <w:tc>
                <w:tcPr>
                  <w:tcW w:w="728" w:type="pct"/>
                  <w:vMerge w:val="continue"/>
                  <w:vAlign w:val="center"/>
                </w:tcPr>
                <w:p w14:paraId="4DC8A2EF">
                  <w:pPr>
                    <w:pStyle w:val="11"/>
                    <w:spacing w:line="240" w:lineRule="auto"/>
                    <w:jc w:val="center"/>
                    <w:rPr>
                      <w:rFonts w:hint="eastAsia" w:asciiTheme="minorEastAsia" w:hAnsiTheme="minorEastAsia" w:eastAsiaTheme="minorEastAsia" w:cstheme="minorEastAsia"/>
                      <w:color w:val="auto"/>
                      <w:sz w:val="21"/>
                      <w:szCs w:val="21"/>
                      <w:lang w:val="en-US" w:eastAsia="zh-CN"/>
                    </w:rPr>
                  </w:pPr>
                </w:p>
              </w:tc>
              <w:tc>
                <w:tcPr>
                  <w:tcW w:w="621" w:type="pct"/>
                  <w:vAlign w:val="center"/>
                </w:tcPr>
                <w:p w14:paraId="27E30D2D">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60</w:t>
                  </w:r>
                </w:p>
              </w:tc>
              <w:tc>
                <w:tcPr>
                  <w:tcW w:w="621" w:type="pct"/>
                  <w:vAlign w:val="center"/>
                </w:tcPr>
                <w:p w14:paraId="105FD7CF">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60</w:t>
                  </w:r>
                </w:p>
              </w:tc>
              <w:tc>
                <w:tcPr>
                  <w:tcW w:w="388" w:type="pct"/>
                  <w:vAlign w:val="center"/>
                </w:tcPr>
                <w:p w14:paraId="6BC46122">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17</w:t>
                  </w:r>
                </w:p>
              </w:tc>
              <w:tc>
                <w:tcPr>
                  <w:tcW w:w="379" w:type="pct"/>
                  <w:vAlign w:val="center"/>
                </w:tcPr>
                <w:p w14:paraId="782A8036">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w:t>
                  </w:r>
                </w:p>
              </w:tc>
              <w:tc>
                <w:tcPr>
                  <w:tcW w:w="379" w:type="pct"/>
                  <w:vAlign w:val="center"/>
                </w:tcPr>
                <w:p w14:paraId="413805FE">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12</w:t>
                  </w:r>
                </w:p>
              </w:tc>
              <w:tc>
                <w:tcPr>
                  <w:tcW w:w="370" w:type="pct"/>
                  <w:vAlign w:val="center"/>
                </w:tcPr>
                <w:p w14:paraId="51D8234A">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25</w:t>
                  </w:r>
                </w:p>
              </w:tc>
            </w:tr>
            <w:tr w14:paraId="26B0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 w:type="pct"/>
                  <w:vAlign w:val="center"/>
                </w:tcPr>
                <w:p w14:paraId="69016FC6">
                  <w:pPr>
                    <w:spacing w:line="240" w:lineRule="auto"/>
                    <w:ind w:left="-122" w:leftChars="-51" w:right="-122" w:rightChars="-51"/>
                    <w:jc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000000" w:themeColor="text1"/>
                      <w:spacing w:val="0"/>
                      <w:position w:val="0"/>
                      <w:sz w:val="21"/>
                      <w:shd w:val="clear" w:fill="auto"/>
                      <w:lang w:eastAsia="zh-CN"/>
                      <w14:textFill>
                        <w14:solidFill>
                          <w14:schemeClr w14:val="tx1"/>
                        </w14:solidFill>
                      </w14:textFill>
                    </w:rPr>
                    <w:t>滚焊</w:t>
                  </w:r>
                  <w:r>
                    <w:rPr>
                      <w:rFonts w:hint="eastAsia" w:asciiTheme="minorEastAsia" w:hAnsiTheme="minorEastAsia" w:eastAsiaTheme="minorEastAsia" w:cstheme="minorEastAsia"/>
                      <w:color w:val="000000" w:themeColor="text1"/>
                      <w:spacing w:val="0"/>
                      <w:position w:val="0"/>
                      <w:sz w:val="21"/>
                      <w:shd w:val="clear" w:fill="auto"/>
                      <w14:textFill>
                        <w14:solidFill>
                          <w14:schemeClr w14:val="tx1"/>
                        </w14:solidFill>
                      </w14:textFill>
                    </w:rPr>
                    <w:t>机</w:t>
                  </w:r>
                </w:p>
              </w:tc>
              <w:tc>
                <w:tcPr>
                  <w:tcW w:w="429" w:type="pct"/>
                  <w:vAlign w:val="center"/>
                </w:tcPr>
                <w:p w14:paraId="148F6B12">
                  <w:pPr>
                    <w:pStyle w:val="11"/>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553" w:type="pct"/>
                  <w:vAlign w:val="center"/>
                </w:tcPr>
                <w:p w14:paraId="3F6C0B5E">
                  <w:pPr>
                    <w:pStyle w:val="11"/>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80</w:t>
                  </w:r>
                </w:p>
              </w:tc>
              <w:tc>
                <w:tcPr>
                  <w:tcW w:w="728" w:type="pct"/>
                  <w:vMerge w:val="continue"/>
                  <w:vAlign w:val="center"/>
                </w:tcPr>
                <w:p w14:paraId="6D404323">
                  <w:pPr>
                    <w:spacing w:line="240" w:lineRule="auto"/>
                    <w:jc w:val="center"/>
                    <w:rPr>
                      <w:rFonts w:hint="eastAsia" w:asciiTheme="minorEastAsia" w:hAnsiTheme="minorEastAsia" w:eastAsiaTheme="minorEastAsia" w:cstheme="minorEastAsia"/>
                      <w:color w:val="auto"/>
                      <w:sz w:val="21"/>
                      <w:szCs w:val="21"/>
                    </w:rPr>
                  </w:pPr>
                </w:p>
              </w:tc>
              <w:tc>
                <w:tcPr>
                  <w:tcW w:w="621" w:type="pct"/>
                  <w:vAlign w:val="center"/>
                </w:tcPr>
                <w:p w14:paraId="6ABB85D5">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65</w:t>
                  </w:r>
                </w:p>
              </w:tc>
              <w:tc>
                <w:tcPr>
                  <w:tcW w:w="621" w:type="pct"/>
                  <w:vAlign w:val="center"/>
                </w:tcPr>
                <w:p w14:paraId="068C35EC">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65</w:t>
                  </w:r>
                </w:p>
              </w:tc>
              <w:tc>
                <w:tcPr>
                  <w:tcW w:w="388" w:type="pct"/>
                  <w:vAlign w:val="center"/>
                </w:tcPr>
                <w:p w14:paraId="173C7FE5">
                  <w:pPr>
                    <w:spacing w:line="240" w:lineRule="auto"/>
                    <w:jc w:val="center"/>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16</w:t>
                  </w:r>
                </w:p>
              </w:tc>
              <w:tc>
                <w:tcPr>
                  <w:tcW w:w="379" w:type="pct"/>
                  <w:vAlign w:val="center"/>
                </w:tcPr>
                <w:p w14:paraId="256F7482">
                  <w:pPr>
                    <w:spacing w:line="240" w:lineRule="auto"/>
                    <w:jc w:val="center"/>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14</w:t>
                  </w:r>
                </w:p>
              </w:tc>
              <w:tc>
                <w:tcPr>
                  <w:tcW w:w="379" w:type="pct"/>
                  <w:vAlign w:val="center"/>
                </w:tcPr>
                <w:p w14:paraId="6C3AD1EE">
                  <w:pPr>
                    <w:spacing w:line="240" w:lineRule="auto"/>
                    <w:jc w:val="center"/>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11</w:t>
                  </w:r>
                </w:p>
              </w:tc>
              <w:tc>
                <w:tcPr>
                  <w:tcW w:w="370" w:type="pct"/>
                  <w:vAlign w:val="center"/>
                </w:tcPr>
                <w:p w14:paraId="775B865C">
                  <w:pPr>
                    <w:spacing w:line="240" w:lineRule="auto"/>
                    <w:jc w:val="center"/>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21</w:t>
                  </w:r>
                </w:p>
              </w:tc>
            </w:tr>
            <w:tr w14:paraId="34F5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 w:type="pct"/>
                  <w:vAlign w:val="center"/>
                </w:tcPr>
                <w:p w14:paraId="3B9310EB">
                  <w:pPr>
                    <w:spacing w:line="240" w:lineRule="auto"/>
                    <w:ind w:left="-122" w:leftChars="-51" w:right="-122" w:rightChars="-51"/>
                    <w:jc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螺旋机</w:t>
                  </w:r>
                </w:p>
              </w:tc>
              <w:tc>
                <w:tcPr>
                  <w:tcW w:w="429" w:type="pct"/>
                  <w:vAlign w:val="center"/>
                </w:tcPr>
                <w:p w14:paraId="6BBB0E1C">
                  <w:pPr>
                    <w:pStyle w:val="11"/>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553" w:type="pct"/>
                  <w:vAlign w:val="center"/>
                </w:tcPr>
                <w:p w14:paraId="1245A038">
                  <w:pPr>
                    <w:pStyle w:val="11"/>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80</w:t>
                  </w:r>
                </w:p>
              </w:tc>
              <w:tc>
                <w:tcPr>
                  <w:tcW w:w="728" w:type="pct"/>
                  <w:vMerge w:val="continue"/>
                  <w:vAlign w:val="center"/>
                </w:tcPr>
                <w:p w14:paraId="7974FF1C">
                  <w:pPr>
                    <w:spacing w:line="240" w:lineRule="auto"/>
                    <w:jc w:val="center"/>
                    <w:rPr>
                      <w:rFonts w:hint="eastAsia" w:asciiTheme="minorEastAsia" w:hAnsiTheme="minorEastAsia" w:eastAsiaTheme="minorEastAsia" w:cstheme="minorEastAsia"/>
                      <w:color w:val="auto"/>
                      <w:sz w:val="21"/>
                      <w:szCs w:val="21"/>
                    </w:rPr>
                  </w:pPr>
                </w:p>
              </w:tc>
              <w:tc>
                <w:tcPr>
                  <w:tcW w:w="621" w:type="pct"/>
                  <w:vAlign w:val="center"/>
                </w:tcPr>
                <w:p w14:paraId="2E1F4E36">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65</w:t>
                  </w:r>
                </w:p>
              </w:tc>
              <w:tc>
                <w:tcPr>
                  <w:tcW w:w="621" w:type="pct"/>
                  <w:vAlign w:val="center"/>
                </w:tcPr>
                <w:p w14:paraId="36EF2E45">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68</w:t>
                  </w:r>
                </w:p>
              </w:tc>
              <w:tc>
                <w:tcPr>
                  <w:tcW w:w="388" w:type="pct"/>
                  <w:vAlign w:val="center"/>
                </w:tcPr>
                <w:p w14:paraId="067A18E3">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18</w:t>
                  </w:r>
                </w:p>
              </w:tc>
              <w:tc>
                <w:tcPr>
                  <w:tcW w:w="379" w:type="pct"/>
                  <w:vAlign w:val="center"/>
                </w:tcPr>
                <w:p w14:paraId="475C4F11">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15</w:t>
                  </w:r>
                </w:p>
              </w:tc>
              <w:tc>
                <w:tcPr>
                  <w:tcW w:w="379" w:type="pct"/>
                  <w:vAlign w:val="center"/>
                </w:tcPr>
                <w:p w14:paraId="19461EAB">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12</w:t>
                  </w:r>
                </w:p>
              </w:tc>
              <w:tc>
                <w:tcPr>
                  <w:tcW w:w="370" w:type="pct"/>
                  <w:vAlign w:val="center"/>
                </w:tcPr>
                <w:p w14:paraId="49E502E3">
                  <w:pPr>
                    <w:spacing w:line="240" w:lineRule="auto"/>
                    <w:jc w:val="center"/>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19</w:t>
                  </w:r>
                </w:p>
              </w:tc>
            </w:tr>
            <w:tr w14:paraId="76ED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 w:type="pct"/>
                  <w:vAlign w:val="center"/>
                </w:tcPr>
                <w:p w14:paraId="14653870">
                  <w:pPr>
                    <w:spacing w:line="240" w:lineRule="auto"/>
                    <w:ind w:left="-122" w:leftChars="-51" w:right="-122" w:rightChars="-51"/>
                    <w:jc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水泥罐</w:t>
                  </w:r>
                </w:p>
              </w:tc>
              <w:tc>
                <w:tcPr>
                  <w:tcW w:w="429" w:type="pct"/>
                  <w:vAlign w:val="center"/>
                </w:tcPr>
                <w:p w14:paraId="0A56F9C1">
                  <w:pPr>
                    <w:pStyle w:val="11"/>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553" w:type="pct"/>
                  <w:vAlign w:val="center"/>
                </w:tcPr>
                <w:p w14:paraId="05CDA6A1">
                  <w:pPr>
                    <w:pStyle w:val="11"/>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75</w:t>
                  </w:r>
                </w:p>
              </w:tc>
              <w:tc>
                <w:tcPr>
                  <w:tcW w:w="728" w:type="pct"/>
                  <w:vMerge w:val="continue"/>
                  <w:vAlign w:val="center"/>
                </w:tcPr>
                <w:p w14:paraId="19946ADA">
                  <w:pPr>
                    <w:spacing w:line="240" w:lineRule="auto"/>
                    <w:jc w:val="center"/>
                    <w:rPr>
                      <w:rFonts w:hint="eastAsia" w:asciiTheme="minorEastAsia" w:hAnsiTheme="minorEastAsia" w:eastAsiaTheme="minorEastAsia" w:cstheme="minorEastAsia"/>
                      <w:color w:val="auto"/>
                      <w:sz w:val="21"/>
                      <w:szCs w:val="21"/>
                    </w:rPr>
                  </w:pPr>
                </w:p>
              </w:tc>
              <w:tc>
                <w:tcPr>
                  <w:tcW w:w="621" w:type="pct"/>
                  <w:vAlign w:val="center"/>
                </w:tcPr>
                <w:p w14:paraId="50821A99">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60</w:t>
                  </w:r>
                </w:p>
              </w:tc>
              <w:tc>
                <w:tcPr>
                  <w:tcW w:w="621" w:type="pct"/>
                  <w:vAlign w:val="center"/>
                </w:tcPr>
                <w:p w14:paraId="4A46E7CB">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63</w:t>
                  </w:r>
                </w:p>
              </w:tc>
              <w:tc>
                <w:tcPr>
                  <w:tcW w:w="388" w:type="pct"/>
                  <w:vAlign w:val="center"/>
                </w:tcPr>
                <w:p w14:paraId="118EA3CF">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19</w:t>
                  </w:r>
                </w:p>
              </w:tc>
              <w:tc>
                <w:tcPr>
                  <w:tcW w:w="379" w:type="pct"/>
                  <w:vAlign w:val="center"/>
                </w:tcPr>
                <w:p w14:paraId="4FF209D3">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13</w:t>
                  </w:r>
                </w:p>
              </w:tc>
              <w:tc>
                <w:tcPr>
                  <w:tcW w:w="379" w:type="pct"/>
                  <w:vAlign w:val="center"/>
                </w:tcPr>
                <w:p w14:paraId="2AC1D4F2">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w:t>
                  </w:r>
                </w:p>
              </w:tc>
              <w:tc>
                <w:tcPr>
                  <w:tcW w:w="370" w:type="pct"/>
                  <w:vAlign w:val="center"/>
                </w:tcPr>
                <w:p w14:paraId="7D64F97F">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27</w:t>
                  </w:r>
                </w:p>
              </w:tc>
            </w:tr>
          </w:tbl>
          <w:p w14:paraId="30C773BA">
            <w:pPr>
              <w:ind w:firstLine="482" w:firstLineChars="200"/>
              <w:rPr>
                <w:rFonts w:hint="eastAsia" w:ascii="Times New Roman" w:hAnsi="Times New Roman"/>
                <w:b/>
                <w:bCs/>
                <w:color w:val="auto"/>
                <w:lang w:val="en-US" w:eastAsia="zh-CN"/>
              </w:rPr>
            </w:pPr>
            <w:r>
              <w:rPr>
                <w:rFonts w:hint="eastAsia" w:ascii="Times New Roman" w:hAnsi="Times New Roman"/>
                <w:b/>
                <w:bCs/>
                <w:color w:val="auto"/>
                <w:lang w:val="en-US" w:eastAsia="zh-CN"/>
              </w:rPr>
              <w:t>2、项目声环境影响分析</w:t>
            </w:r>
          </w:p>
          <w:p w14:paraId="032DFDA4">
            <w:pPr>
              <w:pStyle w:val="11"/>
              <w:ind w:firstLine="482" w:firstLineChars="200"/>
              <w:rPr>
                <w:rFonts w:hint="default" w:ascii="Times New Roman" w:hAnsi="Times New Roman"/>
                <w:b/>
                <w:bCs/>
                <w:color w:val="auto"/>
                <w:lang w:val="en-US" w:eastAsia="zh-CN"/>
              </w:rPr>
            </w:pPr>
            <w:r>
              <w:rPr>
                <w:rFonts w:hint="eastAsia" w:ascii="Times New Roman" w:hAnsi="Times New Roman"/>
                <w:b/>
                <w:bCs/>
                <w:color w:val="auto"/>
                <w:lang w:val="en-US" w:eastAsia="zh-CN"/>
              </w:rPr>
              <w:t>（1）预测模式</w:t>
            </w:r>
          </w:p>
          <w:p w14:paraId="7712D4BE">
            <w:pPr>
              <w:pStyle w:val="11"/>
              <w:adjustRightInd w:val="0"/>
              <w:snapToGrid w:val="0"/>
              <w:spacing w:line="360" w:lineRule="auto"/>
              <w:ind w:firstLine="480"/>
              <w:rPr>
                <w:rFonts w:ascii="Times New Roman" w:hAnsi="Times New Roman" w:eastAsia="宋体"/>
                <w:color w:val="auto"/>
                <w:sz w:val="24"/>
                <w:szCs w:val="24"/>
                <w:lang w:val="zh-CN" w:eastAsia="zh-CN" w:bidi="ar-SA"/>
              </w:rPr>
            </w:pPr>
            <w:r>
              <w:rPr>
                <w:rFonts w:hint="eastAsia" w:ascii="Times New Roman" w:hAnsi="Times New Roman" w:eastAsia="宋体" w:cs="宋体"/>
                <w:color w:val="auto"/>
                <w:sz w:val="24"/>
                <w:u w:val="none" w:color="auto"/>
              </w:rPr>
              <w:t>根据《环境影响评价技术导则 声环境》（</w:t>
            </w:r>
            <w:r>
              <w:rPr>
                <w:rFonts w:hint="eastAsia" w:ascii="Times New Roman" w:hAnsi="Times New Roman" w:cs="宋体"/>
                <w:color w:val="auto"/>
                <w:sz w:val="24"/>
                <w:u w:val="none" w:color="auto"/>
                <w:lang w:eastAsia="zh-CN"/>
              </w:rPr>
              <w:t>HJ2.4-2021</w:t>
            </w:r>
            <w:r>
              <w:rPr>
                <w:rFonts w:hint="eastAsia" w:ascii="Times New Roman" w:hAnsi="Times New Roman" w:eastAsia="宋体" w:cs="宋体"/>
                <w:color w:val="auto"/>
                <w:sz w:val="24"/>
                <w:u w:val="none" w:color="auto"/>
              </w:rPr>
              <w:t>）的技术要求</w:t>
            </w:r>
            <w:r>
              <w:rPr>
                <w:rFonts w:hint="eastAsia" w:ascii="Times New Roman" w:hAnsi="Times New Roman" w:cs="宋体"/>
                <w:color w:val="auto"/>
                <w:sz w:val="24"/>
                <w:u w:val="none" w:color="auto"/>
                <w:lang w:eastAsia="zh-CN"/>
              </w:rPr>
              <w:t>，</w:t>
            </w:r>
            <w:r>
              <w:rPr>
                <w:rFonts w:hint="default" w:ascii="Times New Roman" w:hAnsi="Times New Roman" w:cs="Times New Roman"/>
                <w:color w:val="auto"/>
                <w:sz w:val="24"/>
                <w:szCs w:val="24"/>
                <w:lang w:val="en-US" w:eastAsia="zh-CN" w:bidi="ar-SA"/>
              </w:rPr>
              <w:t>无指向性点声源几何发散衰减按下列公</w:t>
            </w:r>
            <w:r>
              <w:rPr>
                <w:rFonts w:ascii="Times New Roman" w:hAnsi="Times New Roman" w:cs="Times New Roman"/>
                <w:color w:val="auto"/>
                <w:sz w:val="24"/>
                <w:szCs w:val="24"/>
                <w:lang w:val="en-US" w:eastAsia="zh-CN" w:bidi="ar-SA"/>
              </w:rPr>
              <w:t>式计算：</w:t>
            </w:r>
          </w:p>
          <w:p w14:paraId="52D599AE">
            <w:pPr>
              <w:pStyle w:val="8"/>
              <w:rPr>
                <w:rFonts w:ascii="Times New Roman" w:hAnsi="Times New Roman"/>
                <w:color w:val="auto"/>
                <w:lang w:val="en-US" w:eastAsia="zh-CN"/>
              </w:rPr>
            </w:pPr>
            <w:r>
              <w:rPr>
                <w:rFonts w:hint="eastAsia" w:ascii="Times New Roman" w:hAnsi="Times New Roman"/>
                <w:color w:val="auto"/>
                <w:lang w:val="en-US" w:eastAsia="zh-CN"/>
              </w:rPr>
              <w:t xml:space="preserve">                      </w:t>
            </w:r>
            <w:r>
              <w:rPr>
                <w:rFonts w:ascii="Times New Roman" w:hAnsi="Times New Roman"/>
                <w:color w:val="auto"/>
              </w:rPr>
              <w:drawing>
                <wp:inline distT="0" distB="0" distL="114300" distR="114300">
                  <wp:extent cx="1609725" cy="476250"/>
                  <wp:effectExtent l="0" t="0" r="9525" b="0"/>
                  <wp:docPr id="13"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9"/>
                          <pic:cNvPicPr>
                            <a:picLocks noChangeAspect="1"/>
                          </pic:cNvPicPr>
                        </pic:nvPicPr>
                        <pic:blipFill>
                          <a:blip r:embed="rId15"/>
                          <a:stretch>
                            <a:fillRect/>
                          </a:stretch>
                        </pic:blipFill>
                        <pic:spPr>
                          <a:xfrm>
                            <a:off x="0" y="0"/>
                            <a:ext cx="1609725" cy="476250"/>
                          </a:xfrm>
                          <a:prstGeom prst="rect">
                            <a:avLst/>
                          </a:prstGeom>
                          <a:noFill/>
                          <a:ln>
                            <a:noFill/>
                          </a:ln>
                        </pic:spPr>
                      </pic:pic>
                    </a:graphicData>
                  </a:graphic>
                </wp:inline>
              </w:drawing>
            </w:r>
          </w:p>
          <w:p w14:paraId="58DACF1F">
            <w:pPr>
              <w:adjustRightInd w:val="0"/>
              <w:snapToGrid w:val="0"/>
              <w:spacing w:line="360" w:lineRule="auto"/>
              <w:ind w:firstLine="480"/>
              <w:rPr>
                <w:rFonts w:hint="default" w:ascii="Times New Roman" w:hAnsi="Times New Roman" w:eastAsia="宋体" w:cs="Times New Roman"/>
                <w:color w:val="auto"/>
                <w:sz w:val="24"/>
                <w:szCs w:val="24"/>
                <w:lang w:val="en-US" w:eastAsia="zh-CN" w:bidi="ar-SA"/>
              </w:rPr>
            </w:pPr>
            <w:r>
              <w:rPr>
                <w:rFonts w:ascii="Times New Roman" w:hAnsi="Times New Roman" w:eastAsia="宋体"/>
                <w:color w:val="auto"/>
                <w:sz w:val="24"/>
                <w:szCs w:val="24"/>
                <w:lang w:val="en-US" w:eastAsia="zh-CN" w:bidi="ar-SA"/>
              </w:rPr>
              <w:t>式</w:t>
            </w:r>
            <w:r>
              <w:rPr>
                <w:rFonts w:hint="default" w:ascii="Times New Roman" w:hAnsi="Times New Roman" w:eastAsia="宋体" w:cs="Times New Roman"/>
                <w:color w:val="auto"/>
                <w:sz w:val="24"/>
                <w:szCs w:val="24"/>
                <w:lang w:val="en-US" w:eastAsia="zh-CN" w:bidi="ar-SA"/>
              </w:rPr>
              <w:t>中：</w:t>
            </w:r>
            <w:r>
              <w:rPr>
                <w:rFonts w:ascii="Times New Roman" w:hAnsi="Times New Roman"/>
                <w:color w:val="auto"/>
              </w:rPr>
              <w:drawing>
                <wp:inline distT="0" distB="0" distL="114300" distR="114300">
                  <wp:extent cx="371475" cy="238125"/>
                  <wp:effectExtent l="0" t="0" r="9525" b="8255"/>
                  <wp:docPr id="12"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0"/>
                          <pic:cNvPicPr>
                            <a:picLocks noChangeAspect="1"/>
                          </pic:cNvPicPr>
                        </pic:nvPicPr>
                        <pic:blipFill>
                          <a:blip r:embed="rId16"/>
                          <a:stretch>
                            <a:fillRect/>
                          </a:stretch>
                        </pic:blipFill>
                        <pic:spPr>
                          <a:xfrm>
                            <a:off x="0" y="0"/>
                            <a:ext cx="371475" cy="238125"/>
                          </a:xfrm>
                          <a:prstGeom prst="rect">
                            <a:avLst/>
                          </a:prstGeom>
                          <a:noFill/>
                          <a:ln>
                            <a:noFill/>
                          </a:ln>
                        </pic:spPr>
                      </pic:pic>
                    </a:graphicData>
                  </a:graphic>
                </wp:inline>
              </w:drawing>
            </w:r>
            <w:r>
              <w:rPr>
                <w:rFonts w:hint="default" w:ascii="Times New Roman" w:hAnsi="Times New Roman" w:eastAsia="宋体" w:cs="Times New Roman"/>
                <w:color w:val="auto"/>
                <w:sz w:val="24"/>
                <w:szCs w:val="24"/>
                <w:lang w:val="en-US" w:eastAsia="zh-CN" w:bidi="ar-SA"/>
              </w:rPr>
              <w:t>──</w:t>
            </w:r>
            <w:r>
              <w:rPr>
                <w:rFonts w:hint="eastAsia" w:ascii="Times New Roman" w:hAnsi="Times New Roman" w:eastAsia="宋体" w:cs="Times New Roman"/>
                <w:color w:val="auto"/>
                <w:sz w:val="24"/>
                <w:szCs w:val="24"/>
                <w:lang w:val="en-US" w:eastAsia="zh-CN" w:bidi="ar-SA"/>
              </w:rPr>
              <w:t>预测点处声压级，</w:t>
            </w:r>
            <w:r>
              <w:rPr>
                <w:rFonts w:hint="default" w:ascii="Times New Roman" w:hAnsi="Times New Roman" w:eastAsia="宋体" w:cs="Times New Roman"/>
                <w:color w:val="auto"/>
                <w:sz w:val="24"/>
                <w:szCs w:val="24"/>
                <w:lang w:val="en-US" w:eastAsia="zh-CN" w:bidi="ar-SA"/>
              </w:rPr>
              <w:t>dB；</w:t>
            </w:r>
          </w:p>
          <w:p w14:paraId="226CEF04">
            <w:pPr>
              <w:adjustRightInd w:val="0"/>
              <w:snapToGrid w:val="0"/>
              <w:spacing w:line="360" w:lineRule="auto"/>
              <w:ind w:firstLine="1200" w:firstLineChars="500"/>
              <w:rPr>
                <w:rFonts w:hint="default" w:ascii="Times New Roman" w:hAnsi="Times New Roman" w:eastAsia="宋体" w:cs="Times New Roman"/>
                <w:color w:val="auto"/>
                <w:sz w:val="24"/>
                <w:szCs w:val="24"/>
                <w:lang w:val="en-US" w:eastAsia="zh-CN" w:bidi="ar-SA"/>
              </w:rPr>
            </w:pPr>
            <w:r>
              <w:rPr>
                <w:rFonts w:ascii="Times New Roman" w:hAnsi="Times New Roman"/>
                <w:color w:val="auto"/>
              </w:rPr>
              <w:drawing>
                <wp:inline distT="0" distB="0" distL="114300" distR="114300">
                  <wp:extent cx="409575" cy="238125"/>
                  <wp:effectExtent l="0" t="0" r="9525" b="8255"/>
                  <wp:docPr id="14"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1"/>
                          <pic:cNvPicPr>
                            <a:picLocks noChangeAspect="1"/>
                          </pic:cNvPicPr>
                        </pic:nvPicPr>
                        <pic:blipFill>
                          <a:blip r:embed="rId17"/>
                          <a:stretch>
                            <a:fillRect/>
                          </a:stretch>
                        </pic:blipFill>
                        <pic:spPr>
                          <a:xfrm>
                            <a:off x="0" y="0"/>
                            <a:ext cx="409575" cy="238125"/>
                          </a:xfrm>
                          <a:prstGeom prst="rect">
                            <a:avLst/>
                          </a:prstGeom>
                          <a:noFill/>
                          <a:ln>
                            <a:noFill/>
                          </a:ln>
                        </pic:spPr>
                      </pic:pic>
                    </a:graphicData>
                  </a:graphic>
                </wp:inline>
              </w:drawing>
            </w:r>
            <w:r>
              <w:rPr>
                <w:rFonts w:hint="default" w:ascii="Times New Roman" w:hAnsi="Times New Roman" w:eastAsia="宋体" w:cs="Times New Roman"/>
                <w:color w:val="auto"/>
                <w:sz w:val="24"/>
                <w:szCs w:val="24"/>
                <w:lang w:val="en-US" w:eastAsia="zh-CN" w:bidi="ar-SA"/>
              </w:rPr>
              <w:t>──参考位置</w:t>
            </w:r>
            <w:r>
              <w:rPr>
                <w:rFonts w:ascii="Times New Roman" w:hAnsi="Times New Roman"/>
                <w:color w:val="auto"/>
                <w:vertAlign w:val="subscript"/>
              </w:rPr>
              <w:drawing>
                <wp:inline distT="0" distB="0" distL="114300" distR="114300">
                  <wp:extent cx="133350" cy="228600"/>
                  <wp:effectExtent l="0" t="0" r="0" b="0"/>
                  <wp:docPr id="7"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2"/>
                          <pic:cNvPicPr>
                            <a:picLocks noChangeAspect="1"/>
                          </pic:cNvPicPr>
                        </pic:nvPicPr>
                        <pic:blipFill>
                          <a:blip r:embed="rId18"/>
                          <a:stretch>
                            <a:fillRect/>
                          </a:stretch>
                        </pic:blipFill>
                        <pic:spPr>
                          <a:xfrm>
                            <a:off x="0" y="0"/>
                            <a:ext cx="133350" cy="228600"/>
                          </a:xfrm>
                          <a:prstGeom prst="rect">
                            <a:avLst/>
                          </a:prstGeom>
                          <a:noFill/>
                          <a:ln>
                            <a:noFill/>
                          </a:ln>
                        </pic:spPr>
                      </pic:pic>
                    </a:graphicData>
                  </a:graphic>
                </wp:inline>
              </w:drawing>
            </w:r>
            <w:r>
              <w:rPr>
                <w:rFonts w:hint="default" w:ascii="Times New Roman" w:hAnsi="Times New Roman" w:eastAsia="宋体" w:cs="Times New Roman"/>
                <w:color w:val="auto"/>
                <w:sz w:val="24"/>
                <w:szCs w:val="24"/>
                <w:lang w:val="en-US" w:eastAsia="zh-CN" w:bidi="ar-SA"/>
              </w:rPr>
              <w:t>处的声压级，dB；</w:t>
            </w:r>
          </w:p>
          <w:p w14:paraId="45BA6ABB">
            <w:pPr>
              <w:pStyle w:val="51"/>
              <w:adjustRightInd w:val="0"/>
              <w:snapToGrid w:val="0"/>
              <w:spacing w:line="360" w:lineRule="auto"/>
              <w:ind w:left="1745" w:leftChars="727" w:firstLine="120" w:firstLineChars="50"/>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r──预测点距声源</w:t>
            </w:r>
            <w:r>
              <w:rPr>
                <w:rFonts w:hint="eastAsia" w:ascii="Times New Roman" w:hAnsi="Times New Roman" w:cs="Times New Roman"/>
                <w:color w:val="auto"/>
                <w:sz w:val="24"/>
                <w:szCs w:val="24"/>
                <w:lang w:val="en-US" w:eastAsia="zh-CN" w:bidi="ar-SA"/>
              </w:rPr>
              <w:t>的</w:t>
            </w:r>
            <w:r>
              <w:rPr>
                <w:rFonts w:hint="default" w:ascii="Times New Roman" w:hAnsi="Times New Roman" w:eastAsia="宋体" w:cs="Times New Roman"/>
                <w:color w:val="auto"/>
                <w:sz w:val="24"/>
                <w:szCs w:val="24"/>
                <w:lang w:val="en-US" w:eastAsia="zh-CN" w:bidi="ar-SA"/>
              </w:rPr>
              <w:t>距离</w:t>
            </w:r>
            <w:r>
              <w:rPr>
                <w:rFonts w:hint="eastAsia" w:ascii="Times New Roman" w:hAnsi="Times New Roman" w:cs="Times New Roman"/>
                <w:color w:val="auto"/>
                <w:sz w:val="24"/>
                <w:szCs w:val="24"/>
                <w:lang w:val="en-US" w:eastAsia="zh-CN" w:bidi="ar-SA"/>
              </w:rPr>
              <w:t>；</w:t>
            </w:r>
          </w:p>
          <w:p w14:paraId="1CA89EC8">
            <w:pPr>
              <w:pStyle w:val="51"/>
              <w:adjustRightInd w:val="0"/>
              <w:snapToGrid w:val="0"/>
              <w:spacing w:line="360" w:lineRule="auto"/>
              <w:ind w:left="0" w:leftChars="0" w:firstLine="1680" w:firstLineChars="700"/>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r</w:t>
            </w:r>
            <w:r>
              <w:rPr>
                <w:rFonts w:hint="default" w:ascii="Times New Roman" w:hAnsi="Times New Roman" w:eastAsia="宋体" w:cs="Times New Roman"/>
                <w:color w:val="auto"/>
                <w:sz w:val="24"/>
                <w:szCs w:val="24"/>
                <w:vertAlign w:val="subscript"/>
                <w:lang w:val="en-US" w:eastAsia="zh-CN" w:bidi="ar-SA"/>
              </w:rPr>
              <w:t>0</w:t>
            </w:r>
            <w:r>
              <w:rPr>
                <w:rFonts w:hint="default" w:ascii="Times New Roman" w:hAnsi="Times New Roman" w:eastAsia="宋体" w:cs="Times New Roman"/>
                <w:color w:val="auto"/>
                <w:sz w:val="24"/>
                <w:szCs w:val="24"/>
                <w:lang w:val="en-US" w:eastAsia="zh-CN" w:bidi="ar-SA"/>
              </w:rPr>
              <w:t>──参考位置距声源的距离，</w:t>
            </w:r>
          </w:p>
          <w:p w14:paraId="66DF280D">
            <w:pPr>
              <w:adjustRightInd w:val="0"/>
              <w:snapToGrid w:val="0"/>
              <w:spacing w:line="360" w:lineRule="auto"/>
              <w:ind w:firstLine="676" w:firstLineChars="282"/>
              <w:rPr>
                <w:rFonts w:hint="default" w:ascii="Times New Roman" w:hAnsi="Times New Roman"/>
                <w:color w:val="auto"/>
                <w:lang w:val="en-US" w:eastAsia="zh-CN"/>
              </w:rPr>
            </w:pPr>
            <w:r>
              <w:rPr>
                <w:rFonts w:hint="eastAsia" w:ascii="Times New Roman" w:hAnsi="Times New Roman" w:eastAsia="宋体" w:cs="Times New Roman"/>
                <w:color w:val="auto"/>
                <w:sz w:val="24"/>
                <w:szCs w:val="24"/>
                <w:lang w:val="en-US" w:eastAsia="zh-CN" w:bidi="ar-SA"/>
              </w:rPr>
              <w:t>噪声预测值：预测点的贡献值和背景值按能量叠加方法计算得到的声级。噪声预测值（</w:t>
            </w:r>
            <w:r>
              <w:rPr>
                <w:rFonts w:ascii="Times New Roman" w:hAnsi="Times New Roman"/>
                <w:color w:val="auto"/>
              </w:rPr>
              <w:drawing>
                <wp:inline distT="0" distB="0" distL="114300" distR="114300">
                  <wp:extent cx="215265" cy="244475"/>
                  <wp:effectExtent l="0" t="0" r="13335" b="2540"/>
                  <wp:docPr id="8"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3"/>
                          <pic:cNvPicPr>
                            <a:picLocks noChangeAspect="1"/>
                          </pic:cNvPicPr>
                        </pic:nvPicPr>
                        <pic:blipFill>
                          <a:blip r:embed="rId19"/>
                          <a:stretch>
                            <a:fillRect/>
                          </a:stretch>
                        </pic:blipFill>
                        <pic:spPr>
                          <a:xfrm>
                            <a:off x="0" y="0"/>
                            <a:ext cx="215265" cy="244475"/>
                          </a:xfrm>
                          <a:prstGeom prst="rect">
                            <a:avLst/>
                          </a:prstGeom>
                          <a:noFill/>
                          <a:ln>
                            <a:noFill/>
                          </a:ln>
                        </pic:spPr>
                      </pic:pic>
                    </a:graphicData>
                  </a:graphic>
                </wp:inline>
              </w:drawing>
            </w:r>
            <w:r>
              <w:rPr>
                <w:rFonts w:hint="eastAsia" w:ascii="Times New Roman" w:hAnsi="Times New Roman" w:eastAsia="宋体" w:cs="Times New Roman"/>
                <w:color w:val="auto"/>
                <w:sz w:val="24"/>
                <w:szCs w:val="24"/>
                <w:lang w:val="en-US" w:eastAsia="zh-CN" w:bidi="ar-SA"/>
              </w:rPr>
              <w:t>）计算公式为：</w:t>
            </w:r>
          </w:p>
          <w:p w14:paraId="04EB3B8E">
            <w:pPr>
              <w:adjustRightInd w:val="0"/>
              <w:snapToGrid w:val="0"/>
              <w:spacing w:line="360" w:lineRule="auto"/>
              <w:ind w:firstLine="480"/>
              <w:jc w:val="center"/>
              <w:rPr>
                <w:rFonts w:ascii="Times New Roman" w:hAnsi="Times New Roman" w:eastAsia="宋体"/>
                <w:color w:val="auto"/>
                <w:sz w:val="24"/>
                <w:szCs w:val="24"/>
                <w:lang w:val="en-US" w:eastAsia="zh-CN" w:bidi="ar-SA"/>
              </w:rPr>
            </w:pPr>
            <w:r>
              <w:rPr>
                <w:rFonts w:ascii="Times New Roman" w:hAnsi="Times New Roman" w:eastAsia="宋体"/>
                <w:color w:val="auto"/>
                <w:sz w:val="24"/>
                <w:szCs w:val="24"/>
                <w:lang w:val="zh-CN" w:eastAsia="zh-CN" w:bidi="ar-SA"/>
              </w:rPr>
              <w:object>
                <v:shape id="_x0000_i1027" o:spt="75" type="#_x0000_t75" style="height:23.6pt;width:152pt;" o:ole="t" filled="f" o:preferrelative="t" stroked="f" coordsize="21600,21600">
                  <v:path/>
                  <v:fill on="f" focussize="0,0"/>
                  <v:stroke on="f"/>
                  <v:imagedata r:id="rId21" o:title=""/>
                  <o:lock v:ext="edit" aspectratio="t"/>
                  <w10:wrap type="none"/>
                  <w10:anchorlock/>
                </v:shape>
                <o:OLEObject Type="Embed" ProgID="Equations" ShapeID="_x0000_i1027" DrawAspect="Content" ObjectID="_1468075727" r:id="rId20">
                  <o:LockedField>false</o:LockedField>
                </o:OLEObject>
              </w:object>
            </w:r>
          </w:p>
          <w:p w14:paraId="4DDD98C4">
            <w:pPr>
              <w:adjustRightInd w:val="0"/>
              <w:snapToGrid w:val="0"/>
              <w:ind w:firstLine="676" w:firstLineChars="282"/>
              <w:rPr>
                <w:rFonts w:ascii="Times New Roman" w:hAnsi="Times New Roman" w:eastAsia="宋体"/>
                <w:color w:val="auto"/>
                <w:sz w:val="24"/>
                <w:szCs w:val="24"/>
                <w:lang w:val="en-US" w:eastAsia="zh-CN" w:bidi="ar-SA"/>
              </w:rPr>
            </w:pPr>
            <w:r>
              <w:rPr>
                <w:rFonts w:ascii="Times New Roman" w:hAnsi="Times New Roman" w:eastAsia="宋体"/>
                <w:color w:val="auto"/>
                <w:sz w:val="24"/>
                <w:szCs w:val="24"/>
                <w:lang w:val="en-US" w:eastAsia="zh-CN" w:bidi="ar-SA"/>
              </w:rPr>
              <w:t>式中：</w:t>
            </w:r>
            <w:r>
              <w:rPr>
                <w:rFonts w:ascii="Times New Roman" w:hAnsi="Times New Roman"/>
                <w:color w:val="auto"/>
              </w:rPr>
              <w:drawing>
                <wp:inline distT="0" distB="0" distL="114300" distR="114300">
                  <wp:extent cx="243205" cy="276860"/>
                  <wp:effectExtent l="0" t="0" r="3810" b="6985"/>
                  <wp:docPr id="9"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5"/>
                          <pic:cNvPicPr>
                            <a:picLocks noChangeAspect="1"/>
                          </pic:cNvPicPr>
                        </pic:nvPicPr>
                        <pic:blipFill>
                          <a:blip r:embed="rId19"/>
                          <a:stretch>
                            <a:fillRect/>
                          </a:stretch>
                        </pic:blipFill>
                        <pic:spPr>
                          <a:xfrm>
                            <a:off x="0" y="0"/>
                            <a:ext cx="243205" cy="276860"/>
                          </a:xfrm>
                          <a:prstGeom prst="rect">
                            <a:avLst/>
                          </a:prstGeom>
                          <a:noFill/>
                          <a:ln>
                            <a:noFill/>
                          </a:ln>
                        </pic:spPr>
                      </pic:pic>
                    </a:graphicData>
                  </a:graphic>
                </wp:inline>
              </w:drawing>
            </w:r>
            <w:r>
              <w:rPr>
                <w:rFonts w:hint="default" w:ascii="Times New Roman" w:hAnsi="Times New Roman" w:eastAsia="宋体" w:cs="Times New Roman"/>
                <w:color w:val="auto"/>
                <w:sz w:val="24"/>
                <w:szCs w:val="24"/>
                <w:lang w:val="en-US" w:eastAsia="zh-CN" w:bidi="ar-SA"/>
              </w:rPr>
              <w:t>──</w:t>
            </w:r>
            <w:r>
              <w:rPr>
                <w:rFonts w:ascii="Times New Roman" w:hAnsi="Times New Roman" w:eastAsia="宋体"/>
                <w:color w:val="auto"/>
                <w:sz w:val="24"/>
                <w:szCs w:val="24"/>
                <w:lang w:val="en-US" w:eastAsia="zh-CN" w:bidi="ar-SA"/>
              </w:rPr>
              <w:t>预测点总声压级，</w:t>
            </w:r>
            <w:r>
              <w:rPr>
                <w:rFonts w:hint="default" w:ascii="Times New Roman" w:hAnsi="Times New Roman" w:eastAsia="宋体" w:cs="Times New Roman"/>
                <w:color w:val="auto"/>
                <w:sz w:val="24"/>
                <w:szCs w:val="24"/>
                <w:lang w:val="en-US" w:eastAsia="zh-CN" w:bidi="ar-SA"/>
              </w:rPr>
              <w:t>dB（A）；</w:t>
            </w:r>
          </w:p>
          <w:p w14:paraId="1E2D3824">
            <w:pPr>
              <w:adjustRightInd w:val="0"/>
              <w:snapToGrid w:val="0"/>
              <w:spacing w:line="360" w:lineRule="auto"/>
              <w:ind w:firstLine="1440" w:firstLineChars="600"/>
              <w:rPr>
                <w:rFonts w:hint="default" w:ascii="Times New Roman" w:hAnsi="Times New Roman" w:eastAsia="宋体" w:cs="Times New Roman"/>
                <w:color w:val="auto"/>
                <w:sz w:val="24"/>
                <w:szCs w:val="24"/>
                <w:lang w:val="en-US" w:eastAsia="zh-CN" w:bidi="ar-SA"/>
              </w:rPr>
            </w:pPr>
            <w:r>
              <w:rPr>
                <w:rFonts w:ascii="Times New Roman" w:hAnsi="Times New Roman"/>
                <w:color w:val="auto"/>
              </w:rPr>
              <w:drawing>
                <wp:inline distT="0" distB="0" distL="114300" distR="114300">
                  <wp:extent cx="311785" cy="175260"/>
                  <wp:effectExtent l="0" t="0" r="12065" b="15875"/>
                  <wp:docPr id="10"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6"/>
                          <pic:cNvPicPr>
                            <a:picLocks noChangeAspect="1"/>
                          </pic:cNvPicPr>
                        </pic:nvPicPr>
                        <pic:blipFill>
                          <a:blip r:embed="rId22"/>
                          <a:stretch>
                            <a:fillRect/>
                          </a:stretch>
                        </pic:blipFill>
                        <pic:spPr>
                          <a:xfrm>
                            <a:off x="0" y="0"/>
                            <a:ext cx="311785" cy="175260"/>
                          </a:xfrm>
                          <a:prstGeom prst="rect">
                            <a:avLst/>
                          </a:prstGeom>
                          <a:noFill/>
                          <a:ln>
                            <a:noFill/>
                          </a:ln>
                        </pic:spPr>
                      </pic:pic>
                    </a:graphicData>
                  </a:graphic>
                </wp:inline>
              </w:drawing>
            </w:r>
            <w:r>
              <w:rPr>
                <w:rFonts w:hint="default" w:ascii="Times New Roman" w:hAnsi="Times New Roman" w:eastAsia="宋体" w:cs="Times New Roman"/>
                <w:color w:val="auto"/>
                <w:sz w:val="24"/>
                <w:szCs w:val="24"/>
                <w:lang w:val="en-US" w:eastAsia="zh-CN" w:bidi="ar-SA"/>
              </w:rPr>
              <w:t>──建设项目声源在预测点产生的噪声贡献值，dB；</w:t>
            </w:r>
          </w:p>
          <w:p w14:paraId="6F373611">
            <w:pPr>
              <w:keepNext w:val="0"/>
              <w:keepLines w:val="0"/>
              <w:pageBreakBefore w:val="0"/>
              <w:widowControl w:val="0"/>
              <w:kinsoku/>
              <w:wordWrap/>
              <w:overflowPunct/>
              <w:topLinePunct w:val="0"/>
              <w:autoSpaceDE/>
              <w:autoSpaceDN/>
              <w:bidi w:val="0"/>
              <w:adjustRightInd w:val="0"/>
              <w:snapToGrid w:val="0"/>
              <w:spacing w:line="360" w:lineRule="auto"/>
              <w:ind w:firstLine="1440" w:firstLineChars="600"/>
              <w:jc w:val="both"/>
              <w:textAlignment w:val="auto"/>
              <w:outlineLvl w:val="1"/>
              <w:rPr>
                <w:rFonts w:hint="default" w:ascii="Times New Roman" w:hAnsi="Times New Roman" w:eastAsia="宋体" w:cs="Times New Roman"/>
                <w:color w:val="auto"/>
                <w:sz w:val="24"/>
                <w:szCs w:val="24"/>
                <w:lang w:val="en-US" w:eastAsia="zh-CN" w:bidi="ar-SA"/>
              </w:rPr>
            </w:pPr>
            <w:r>
              <w:rPr>
                <w:rFonts w:ascii="Times New Roman" w:hAnsi="Times New Roman"/>
                <w:color w:val="auto"/>
              </w:rPr>
              <w:drawing>
                <wp:inline distT="0" distB="0" distL="114300" distR="114300">
                  <wp:extent cx="320675" cy="231775"/>
                  <wp:effectExtent l="0" t="0" r="0" b="0"/>
                  <wp:docPr id="11"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7"/>
                          <pic:cNvPicPr>
                            <a:picLocks noChangeAspect="1"/>
                          </pic:cNvPicPr>
                        </pic:nvPicPr>
                        <pic:blipFill>
                          <a:blip r:embed="rId23"/>
                          <a:stretch>
                            <a:fillRect/>
                          </a:stretch>
                        </pic:blipFill>
                        <pic:spPr>
                          <a:xfrm>
                            <a:off x="0" y="0"/>
                            <a:ext cx="320675" cy="231775"/>
                          </a:xfrm>
                          <a:prstGeom prst="rect">
                            <a:avLst/>
                          </a:prstGeom>
                          <a:noFill/>
                          <a:ln>
                            <a:noFill/>
                          </a:ln>
                        </pic:spPr>
                      </pic:pic>
                    </a:graphicData>
                  </a:graphic>
                </wp:inline>
              </w:drawing>
            </w:r>
            <w:r>
              <w:rPr>
                <w:rFonts w:hint="default" w:ascii="Times New Roman" w:hAnsi="Times New Roman" w:eastAsia="宋体" w:cs="Times New Roman"/>
                <w:color w:val="auto"/>
                <w:sz w:val="24"/>
                <w:szCs w:val="24"/>
                <w:lang w:val="en-US" w:eastAsia="zh-CN" w:bidi="ar-SA"/>
              </w:rPr>
              <w:t>──预测点的背景噪声值，dB。</w:t>
            </w:r>
          </w:p>
          <w:p w14:paraId="5BB34631">
            <w:pPr>
              <w:spacing w:line="360" w:lineRule="auto"/>
              <w:ind w:firstLine="440" w:firstLineChars="200"/>
              <w:rPr>
                <w:rFonts w:hint="eastAsia" w:ascii="Times New Roman" w:hAnsi="Times New Roman" w:eastAsia="宋体" w:cs="宋体"/>
                <w:color w:val="auto"/>
                <w:sz w:val="24"/>
                <w:u w:val="none" w:color="auto"/>
              </w:rPr>
            </w:pPr>
            <w:r>
              <w:rPr>
                <w:rFonts w:hint="default" w:ascii="Times New Roman" w:hAnsi="Times New Roman" w:eastAsia="宋体" w:cs="Times New Roman"/>
                <w:bCs/>
                <w:color w:val="auto"/>
                <w:spacing w:val="-10"/>
                <w:sz w:val="24"/>
                <w:szCs w:val="24"/>
                <w:lang w:val="en-US" w:eastAsia="zh-CN"/>
              </w:rPr>
              <w:t>机场航空器噪声评价时，不叠加其他噪声源产生的噪声影响</w:t>
            </w:r>
            <w:r>
              <w:rPr>
                <w:rFonts w:hint="eastAsia" w:ascii="Times New Roman" w:hAnsi="Times New Roman" w:eastAsia="宋体" w:cs="宋体"/>
                <w:color w:val="auto"/>
                <w:sz w:val="24"/>
                <w:u w:val="none" w:color="auto"/>
              </w:rPr>
              <w:t>。</w:t>
            </w:r>
          </w:p>
          <w:p w14:paraId="0645AE1A">
            <w:pPr>
              <w:spacing w:line="360" w:lineRule="auto"/>
              <w:ind w:firstLine="482" w:firstLineChars="200"/>
              <w:rPr>
                <w:rFonts w:hint="eastAsia" w:asciiTheme="minorEastAsia" w:hAnsiTheme="minorEastAsia" w:eastAsiaTheme="minorEastAsia" w:cstheme="minorEastAsia"/>
                <w:b/>
                <w:bCs/>
                <w:color w:val="auto"/>
                <w:sz w:val="24"/>
                <w:u w:val="none" w:color="auto"/>
              </w:rPr>
            </w:pPr>
            <w:r>
              <w:rPr>
                <w:rFonts w:hint="eastAsia" w:asciiTheme="minorEastAsia" w:hAnsiTheme="minorEastAsia" w:eastAsiaTheme="minorEastAsia" w:cstheme="minorEastAsia"/>
                <w:b/>
                <w:bCs/>
                <w:color w:val="auto"/>
                <w:sz w:val="24"/>
                <w:u w:val="none" w:color="auto"/>
              </w:rPr>
              <w:t>（</w:t>
            </w:r>
            <w:r>
              <w:rPr>
                <w:rFonts w:hint="eastAsia" w:asciiTheme="minorEastAsia" w:hAnsiTheme="minorEastAsia" w:eastAsiaTheme="minorEastAsia" w:cstheme="minorEastAsia"/>
                <w:b/>
                <w:bCs/>
                <w:color w:val="auto"/>
                <w:sz w:val="24"/>
                <w:u w:val="none" w:color="auto"/>
                <w:lang w:val="en-US" w:eastAsia="zh-CN"/>
              </w:rPr>
              <w:t>2</w:t>
            </w:r>
            <w:r>
              <w:rPr>
                <w:rFonts w:hint="eastAsia" w:asciiTheme="minorEastAsia" w:hAnsiTheme="minorEastAsia" w:eastAsiaTheme="minorEastAsia" w:cstheme="minorEastAsia"/>
                <w:b/>
                <w:bCs/>
                <w:color w:val="auto"/>
                <w:sz w:val="24"/>
                <w:u w:val="none" w:color="auto"/>
              </w:rPr>
              <w:t>）预测结果及评价</w:t>
            </w:r>
          </w:p>
          <w:p w14:paraId="05E73B2D">
            <w:pPr>
              <w:spacing w:line="360" w:lineRule="auto"/>
              <w:ind w:firstLine="480" w:firstLineChars="200"/>
              <w:rPr>
                <w:rFonts w:hint="eastAsia" w:ascii="宋体" w:hAnsi="宋体" w:eastAsia="宋体" w:cs="宋体"/>
                <w:b/>
                <w:bCs/>
                <w:color w:val="auto"/>
                <w:sz w:val="21"/>
                <w:szCs w:val="21"/>
                <w:u w:val="none" w:color="auto"/>
              </w:rPr>
            </w:pPr>
            <w:r>
              <w:rPr>
                <w:rFonts w:hint="eastAsia" w:asciiTheme="minorEastAsia" w:hAnsiTheme="minorEastAsia" w:eastAsiaTheme="minorEastAsia" w:cstheme="minorEastAsia"/>
                <w:color w:val="auto"/>
                <w:sz w:val="24"/>
                <w:u w:val="none" w:color="auto"/>
              </w:rPr>
              <w:t>利用上述的预测评价数学模型</w:t>
            </w:r>
            <w:r>
              <w:rPr>
                <w:rFonts w:hint="eastAsia" w:asciiTheme="minorEastAsia" w:hAnsiTheme="minorEastAsia" w:eastAsiaTheme="minorEastAsia" w:cstheme="minorEastAsia"/>
                <w:color w:val="auto"/>
                <w:sz w:val="24"/>
                <w:u w:val="none" w:color="auto"/>
                <w:lang w:eastAsia="zh-CN"/>
              </w:rPr>
              <w:t>，</w:t>
            </w:r>
            <w:r>
              <w:rPr>
                <w:rFonts w:hint="eastAsia" w:asciiTheme="minorEastAsia" w:hAnsiTheme="minorEastAsia" w:eastAsiaTheme="minorEastAsia" w:cstheme="minorEastAsia"/>
                <w:color w:val="auto"/>
                <w:sz w:val="24"/>
                <w:u w:val="none" w:color="auto"/>
              </w:rPr>
              <w:t>将有关参数带入公式计算、预测厂界噪声</w:t>
            </w:r>
            <w:r>
              <w:rPr>
                <w:rFonts w:hint="eastAsia" w:asciiTheme="minorEastAsia" w:hAnsiTheme="minorEastAsia" w:eastAsiaTheme="minorEastAsia" w:cstheme="minorEastAsia"/>
                <w:color w:val="auto"/>
                <w:sz w:val="24"/>
                <w:u w:val="none" w:color="auto"/>
                <w:lang w:eastAsia="zh-CN"/>
              </w:rPr>
              <w:t>，本项目预测结果详</w:t>
            </w:r>
            <w:r>
              <w:rPr>
                <w:rFonts w:hint="eastAsia" w:asciiTheme="minorEastAsia" w:hAnsiTheme="minorEastAsia" w:eastAsiaTheme="minorEastAsia" w:cstheme="minorEastAsia"/>
                <w:color w:val="auto"/>
                <w:sz w:val="24"/>
                <w:u w:val="none" w:color="auto"/>
              </w:rPr>
              <w:t>见下</w:t>
            </w:r>
            <w:r>
              <w:rPr>
                <w:rFonts w:hint="eastAsia" w:ascii="宋体" w:hAnsi="宋体" w:eastAsia="宋体" w:cs="宋体"/>
                <w:color w:val="auto"/>
                <w:sz w:val="21"/>
                <w:szCs w:val="21"/>
                <w:u w:val="none" w:color="auto"/>
              </w:rPr>
              <w:t>表。</w:t>
            </w:r>
          </w:p>
          <w:p w14:paraId="63FA1B65">
            <w:pPr>
              <w:pStyle w:val="46"/>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b/>
                <w:bCs/>
                <w:color w:val="auto"/>
                <w:sz w:val="24"/>
                <w:szCs w:val="24"/>
                <w:u w:val="none" w:color="auto"/>
              </w:rPr>
            </w:pPr>
            <w:r>
              <w:rPr>
                <w:rFonts w:hint="eastAsia" w:ascii="宋体" w:hAnsi="宋体" w:eastAsia="宋体" w:cs="宋体"/>
                <w:b/>
                <w:bCs/>
                <w:color w:val="auto"/>
                <w:sz w:val="24"/>
                <w:szCs w:val="24"/>
                <w:u w:val="none" w:color="auto"/>
              </w:rPr>
              <w:t>表4-</w:t>
            </w:r>
            <w:r>
              <w:rPr>
                <w:rFonts w:hint="eastAsia" w:ascii="宋体" w:hAnsi="宋体" w:eastAsia="宋体" w:cs="宋体"/>
                <w:b/>
                <w:bCs/>
                <w:color w:val="auto"/>
                <w:sz w:val="24"/>
                <w:szCs w:val="24"/>
                <w:u w:val="none" w:color="auto"/>
                <w:lang w:val="en-US" w:eastAsia="zh-CN"/>
              </w:rPr>
              <w:t xml:space="preserve">14  </w:t>
            </w:r>
            <w:r>
              <w:rPr>
                <w:rFonts w:hint="eastAsia" w:ascii="宋体" w:hAnsi="宋体" w:eastAsia="宋体" w:cs="宋体"/>
                <w:b/>
                <w:bCs/>
                <w:color w:val="auto"/>
                <w:sz w:val="24"/>
                <w:szCs w:val="24"/>
                <w:u w:val="none" w:color="auto"/>
                <w:lang w:eastAsia="zh-CN"/>
              </w:rPr>
              <w:t>运营期</w:t>
            </w:r>
            <w:r>
              <w:rPr>
                <w:rFonts w:hint="eastAsia" w:ascii="宋体" w:hAnsi="宋体" w:eastAsia="宋体" w:cs="宋体"/>
                <w:b/>
                <w:bCs/>
                <w:color w:val="auto"/>
                <w:sz w:val="24"/>
                <w:szCs w:val="24"/>
                <w:u w:val="none" w:color="auto"/>
              </w:rPr>
              <w:t>厂界噪声预测结果一览表（单位：dB）</w:t>
            </w:r>
          </w:p>
          <w:tbl>
            <w:tblPr>
              <w:tblStyle w:val="20"/>
              <w:tblW w:w="5014"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05"/>
              <w:gridCol w:w="1149"/>
              <w:gridCol w:w="646"/>
              <w:gridCol w:w="687"/>
              <w:gridCol w:w="824"/>
              <w:gridCol w:w="850"/>
              <w:gridCol w:w="884"/>
              <w:gridCol w:w="960"/>
              <w:gridCol w:w="976"/>
              <w:gridCol w:w="898"/>
            </w:tblGrid>
            <w:tr w14:paraId="06677C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3" w:hRule="atLeast"/>
                <w:jc w:val="center"/>
              </w:trPr>
              <w:tc>
                <w:tcPr>
                  <w:tcW w:w="757" w:type="pct"/>
                  <w:vMerge w:val="restart"/>
                  <w:noWrap w:val="0"/>
                  <w:vAlign w:val="center"/>
                </w:tcPr>
                <w:p w14:paraId="58223D64">
                  <w:pPr>
                    <w:adjustRightInd w:val="0"/>
                    <w:snapToGrid w:val="0"/>
                    <w:spacing w:line="24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设备名称</w:t>
                  </w:r>
                </w:p>
              </w:tc>
              <w:tc>
                <w:tcPr>
                  <w:tcW w:w="619" w:type="pct"/>
                  <w:vMerge w:val="restart"/>
                  <w:noWrap w:val="0"/>
                  <w:vAlign w:val="center"/>
                </w:tcPr>
                <w:p w14:paraId="4846BB98">
                  <w:pPr>
                    <w:adjustRightInd w:val="0"/>
                    <w:snapToGrid w:val="0"/>
                    <w:spacing w:line="24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pacing w:val="6"/>
                      <w:sz w:val="21"/>
                      <w:szCs w:val="21"/>
                      <w14:textFill>
                        <w14:solidFill>
                          <w14:schemeClr w14:val="tx1"/>
                        </w14:solidFill>
                      </w14:textFill>
                    </w:rPr>
                    <w:t>降噪后源强dB</w:t>
                  </w:r>
                  <w:r>
                    <w:rPr>
                      <w:rFonts w:hint="eastAsia" w:ascii="宋体" w:hAnsi="宋体" w:eastAsia="宋体" w:cs="宋体"/>
                      <w:b/>
                      <w:bCs/>
                      <w:color w:val="000000" w:themeColor="text1"/>
                      <w:spacing w:val="6"/>
                      <w:sz w:val="21"/>
                      <w:szCs w:val="21"/>
                      <w:lang w:eastAsia="zh-CN"/>
                      <w14:textFill>
                        <w14:solidFill>
                          <w14:schemeClr w14:val="tx1"/>
                        </w14:solidFill>
                      </w14:textFill>
                    </w:rPr>
                    <w:t>（</w:t>
                  </w:r>
                  <w:r>
                    <w:rPr>
                      <w:rFonts w:hint="eastAsia" w:ascii="宋体" w:hAnsi="宋体" w:eastAsia="宋体" w:cs="宋体"/>
                      <w:b/>
                      <w:bCs/>
                      <w:color w:val="000000" w:themeColor="text1"/>
                      <w:spacing w:val="6"/>
                      <w:sz w:val="21"/>
                      <w:szCs w:val="21"/>
                      <w14:textFill>
                        <w14:solidFill>
                          <w14:schemeClr w14:val="tx1"/>
                        </w14:solidFill>
                      </w14:textFill>
                    </w:rPr>
                    <w:t>A</w:t>
                  </w:r>
                  <w:r>
                    <w:rPr>
                      <w:rFonts w:hint="eastAsia" w:ascii="宋体" w:hAnsi="宋体" w:eastAsia="宋体" w:cs="宋体"/>
                      <w:b/>
                      <w:bCs/>
                      <w:color w:val="000000" w:themeColor="text1"/>
                      <w:spacing w:val="6"/>
                      <w:sz w:val="21"/>
                      <w:szCs w:val="21"/>
                      <w:lang w:eastAsia="zh-CN"/>
                      <w14:textFill>
                        <w14:solidFill>
                          <w14:schemeClr w14:val="tx1"/>
                        </w14:solidFill>
                      </w14:textFill>
                    </w:rPr>
                    <w:t>）</w:t>
                  </w:r>
                </w:p>
              </w:tc>
              <w:tc>
                <w:tcPr>
                  <w:tcW w:w="1619" w:type="pct"/>
                  <w:gridSpan w:val="4"/>
                  <w:noWrap w:val="0"/>
                  <w:vAlign w:val="center"/>
                </w:tcPr>
                <w:p w14:paraId="3366B80E">
                  <w:pPr>
                    <w:adjustRightInd w:val="0"/>
                    <w:snapToGrid w:val="0"/>
                    <w:spacing w:line="240" w:lineRule="auto"/>
                    <w:jc w:val="center"/>
                    <w:rPr>
                      <w:rFonts w:hint="eastAsia" w:ascii="宋体" w:hAnsi="宋体" w:eastAsia="宋体" w:cs="宋体"/>
                      <w:b/>
                      <w:bCs/>
                      <w:color w:val="000000" w:themeColor="text1"/>
                      <w:spacing w:val="6"/>
                      <w:sz w:val="21"/>
                      <w:szCs w:val="21"/>
                      <w:lang w:eastAsia="zh-CN"/>
                      <w14:textFill>
                        <w14:solidFill>
                          <w14:schemeClr w14:val="tx1"/>
                        </w14:solidFill>
                      </w14:textFill>
                    </w:rPr>
                  </w:pPr>
                  <w:r>
                    <w:rPr>
                      <w:rFonts w:hint="eastAsia" w:ascii="宋体" w:hAnsi="宋体" w:eastAsia="宋体" w:cs="宋体"/>
                      <w:b/>
                      <w:bCs/>
                      <w:color w:val="000000" w:themeColor="text1"/>
                      <w:spacing w:val="6"/>
                      <w:sz w:val="21"/>
                      <w:szCs w:val="21"/>
                      <w:lang w:eastAsia="zh-CN"/>
                      <w14:textFill>
                        <w14:solidFill>
                          <w14:schemeClr w14:val="tx1"/>
                        </w14:solidFill>
                      </w14:textFill>
                    </w:rPr>
                    <w:t>各噪声源与厂界噪声的距离（</w:t>
                  </w:r>
                  <w:r>
                    <w:rPr>
                      <w:rFonts w:hint="eastAsia" w:ascii="宋体" w:hAnsi="宋体" w:eastAsia="宋体" w:cs="宋体"/>
                      <w:b/>
                      <w:bCs/>
                      <w:color w:val="000000" w:themeColor="text1"/>
                      <w:spacing w:val="6"/>
                      <w:sz w:val="21"/>
                      <w:szCs w:val="21"/>
                      <w:lang w:val="en-US" w:eastAsia="zh-CN"/>
                      <w14:textFill>
                        <w14:solidFill>
                          <w14:schemeClr w14:val="tx1"/>
                        </w14:solidFill>
                      </w14:textFill>
                    </w:rPr>
                    <w:t>m</w:t>
                  </w:r>
                  <w:r>
                    <w:rPr>
                      <w:rFonts w:hint="eastAsia" w:ascii="宋体" w:hAnsi="宋体" w:eastAsia="宋体" w:cs="宋体"/>
                      <w:b/>
                      <w:bCs/>
                      <w:color w:val="000000" w:themeColor="text1"/>
                      <w:spacing w:val="6"/>
                      <w:sz w:val="21"/>
                      <w:szCs w:val="21"/>
                      <w:lang w:eastAsia="zh-CN"/>
                      <w14:textFill>
                        <w14:solidFill>
                          <w14:schemeClr w14:val="tx1"/>
                        </w14:solidFill>
                      </w14:textFill>
                    </w:rPr>
                    <w:t>）</w:t>
                  </w:r>
                </w:p>
              </w:tc>
              <w:tc>
                <w:tcPr>
                  <w:tcW w:w="2003" w:type="pct"/>
                  <w:gridSpan w:val="4"/>
                  <w:noWrap w:val="0"/>
                  <w:vAlign w:val="center"/>
                </w:tcPr>
                <w:p w14:paraId="42A0674E">
                  <w:pPr>
                    <w:adjustRightInd w:val="0"/>
                    <w:snapToGrid w:val="0"/>
                    <w:spacing w:line="240" w:lineRule="auto"/>
                    <w:jc w:val="center"/>
                    <w:rPr>
                      <w:rFonts w:hint="eastAsia" w:ascii="宋体" w:hAnsi="宋体" w:eastAsia="宋体" w:cs="宋体"/>
                      <w:b/>
                      <w:bCs/>
                      <w:color w:val="000000" w:themeColor="text1"/>
                      <w:spacing w:val="6"/>
                      <w:sz w:val="21"/>
                      <w:szCs w:val="21"/>
                      <w:lang w:val="en-US" w:eastAsia="zh-CN"/>
                      <w14:textFill>
                        <w14:solidFill>
                          <w14:schemeClr w14:val="tx1"/>
                        </w14:solidFill>
                      </w14:textFill>
                    </w:rPr>
                  </w:pPr>
                  <w:r>
                    <w:rPr>
                      <w:rFonts w:hint="eastAsia" w:ascii="宋体" w:hAnsi="宋体" w:eastAsia="宋体" w:cs="宋体"/>
                      <w:b/>
                      <w:bCs/>
                      <w:color w:val="000000" w:themeColor="text1"/>
                      <w:spacing w:val="6"/>
                      <w:sz w:val="21"/>
                      <w:szCs w:val="21"/>
                      <w:lang w:val="en-US" w:eastAsia="zh-CN"/>
                      <w14:textFill>
                        <w14:solidFill>
                          <w14:schemeClr w14:val="tx1"/>
                        </w14:solidFill>
                      </w14:textFill>
                    </w:rPr>
                    <w:t>厂界噪声各噪声值dB（A）</w:t>
                  </w:r>
                </w:p>
              </w:tc>
            </w:tr>
            <w:tr w14:paraId="141F31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57" w:type="pct"/>
                  <w:vMerge w:val="continue"/>
                  <w:noWrap w:val="0"/>
                  <w:vAlign w:val="top"/>
                </w:tcPr>
                <w:p w14:paraId="02701604">
                  <w:pPr>
                    <w:pStyle w:val="47"/>
                    <w:spacing w:before="19" w:line="240" w:lineRule="auto"/>
                    <w:ind w:right="395"/>
                    <w:jc w:val="center"/>
                    <w:rPr>
                      <w:rFonts w:hint="eastAsia" w:ascii="宋体" w:hAnsi="宋体" w:eastAsia="宋体" w:cs="宋体"/>
                      <w:color w:val="000000" w:themeColor="text1"/>
                      <w:sz w:val="21"/>
                      <w:szCs w:val="21"/>
                      <w:lang w:eastAsia="zh-CN"/>
                      <w14:textFill>
                        <w14:solidFill>
                          <w14:schemeClr w14:val="tx1"/>
                        </w14:solidFill>
                      </w14:textFill>
                    </w:rPr>
                  </w:pPr>
                </w:p>
              </w:tc>
              <w:tc>
                <w:tcPr>
                  <w:tcW w:w="619" w:type="pct"/>
                  <w:vMerge w:val="continue"/>
                  <w:noWrap w:val="0"/>
                  <w:vAlign w:val="center"/>
                </w:tcPr>
                <w:p w14:paraId="3936A764">
                  <w:pPr>
                    <w:pStyle w:val="47"/>
                    <w:spacing w:before="35" w:line="240" w:lineRule="auto"/>
                    <w:ind w:left="11" w:right="5"/>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348" w:type="pct"/>
                  <w:tcBorders>
                    <w:right w:val="single" w:color="auto" w:sz="4" w:space="0"/>
                  </w:tcBorders>
                  <w:noWrap w:val="0"/>
                  <w:vAlign w:val="center"/>
                </w:tcPr>
                <w:p w14:paraId="10DD9085">
                  <w:pPr>
                    <w:pStyle w:val="47"/>
                    <w:spacing w:before="35" w:line="240" w:lineRule="auto"/>
                    <w:ind w:left="11" w:right="5"/>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东</w:t>
                  </w:r>
                </w:p>
              </w:tc>
              <w:tc>
                <w:tcPr>
                  <w:tcW w:w="370" w:type="pct"/>
                  <w:tcBorders>
                    <w:left w:val="single" w:color="auto" w:sz="4" w:space="0"/>
                    <w:right w:val="single" w:color="auto" w:sz="4" w:space="0"/>
                  </w:tcBorders>
                  <w:noWrap w:val="0"/>
                  <w:vAlign w:val="center"/>
                </w:tcPr>
                <w:p w14:paraId="785CCD12">
                  <w:pPr>
                    <w:pStyle w:val="47"/>
                    <w:spacing w:before="35" w:line="240" w:lineRule="auto"/>
                    <w:ind w:left="11" w:right="5"/>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南</w:t>
                  </w:r>
                </w:p>
              </w:tc>
              <w:tc>
                <w:tcPr>
                  <w:tcW w:w="444" w:type="pct"/>
                  <w:tcBorders>
                    <w:left w:val="single" w:color="auto" w:sz="4" w:space="0"/>
                    <w:right w:val="single" w:color="auto" w:sz="4" w:space="0"/>
                  </w:tcBorders>
                  <w:noWrap w:val="0"/>
                  <w:vAlign w:val="center"/>
                </w:tcPr>
                <w:p w14:paraId="21EBB836">
                  <w:pPr>
                    <w:pStyle w:val="47"/>
                    <w:spacing w:before="35" w:line="240" w:lineRule="auto"/>
                    <w:ind w:left="11" w:right="5"/>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西</w:t>
                  </w:r>
                </w:p>
              </w:tc>
              <w:tc>
                <w:tcPr>
                  <w:tcW w:w="456" w:type="pct"/>
                  <w:tcBorders>
                    <w:left w:val="single" w:color="auto" w:sz="4" w:space="0"/>
                  </w:tcBorders>
                  <w:noWrap w:val="0"/>
                  <w:vAlign w:val="center"/>
                </w:tcPr>
                <w:p w14:paraId="6355C86C">
                  <w:pPr>
                    <w:pStyle w:val="47"/>
                    <w:spacing w:before="35" w:line="240" w:lineRule="auto"/>
                    <w:ind w:left="11" w:right="5"/>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北</w:t>
                  </w:r>
                </w:p>
              </w:tc>
              <w:tc>
                <w:tcPr>
                  <w:tcW w:w="476" w:type="pct"/>
                  <w:tcBorders>
                    <w:right w:val="single" w:color="auto" w:sz="4" w:space="0"/>
                  </w:tcBorders>
                  <w:noWrap w:val="0"/>
                  <w:vAlign w:val="center"/>
                </w:tcPr>
                <w:p w14:paraId="2533F61C">
                  <w:pPr>
                    <w:pStyle w:val="47"/>
                    <w:spacing w:before="35" w:line="240" w:lineRule="auto"/>
                    <w:ind w:left="11" w:leftChars="0" w:right="5" w:righ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东</w:t>
                  </w:r>
                </w:p>
              </w:tc>
              <w:tc>
                <w:tcPr>
                  <w:tcW w:w="517" w:type="pct"/>
                  <w:tcBorders>
                    <w:left w:val="single" w:color="auto" w:sz="4" w:space="0"/>
                    <w:right w:val="single" w:color="auto" w:sz="4" w:space="0"/>
                  </w:tcBorders>
                  <w:noWrap w:val="0"/>
                  <w:vAlign w:val="center"/>
                </w:tcPr>
                <w:p w14:paraId="2A037D37">
                  <w:pPr>
                    <w:pStyle w:val="47"/>
                    <w:spacing w:before="35" w:line="240" w:lineRule="auto"/>
                    <w:ind w:left="11" w:leftChars="0" w:right="5" w:righ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南</w:t>
                  </w:r>
                </w:p>
              </w:tc>
              <w:tc>
                <w:tcPr>
                  <w:tcW w:w="526" w:type="pct"/>
                  <w:tcBorders>
                    <w:left w:val="single" w:color="auto" w:sz="4" w:space="0"/>
                    <w:right w:val="single" w:color="auto" w:sz="4" w:space="0"/>
                  </w:tcBorders>
                  <w:noWrap w:val="0"/>
                  <w:vAlign w:val="center"/>
                </w:tcPr>
                <w:p w14:paraId="5312AB35">
                  <w:pPr>
                    <w:pStyle w:val="47"/>
                    <w:spacing w:before="35" w:line="240" w:lineRule="auto"/>
                    <w:ind w:left="11" w:leftChars="0" w:right="5" w:righ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西</w:t>
                  </w:r>
                </w:p>
              </w:tc>
              <w:tc>
                <w:tcPr>
                  <w:tcW w:w="483" w:type="pct"/>
                  <w:tcBorders>
                    <w:left w:val="single" w:color="auto" w:sz="4" w:space="0"/>
                  </w:tcBorders>
                  <w:noWrap w:val="0"/>
                  <w:vAlign w:val="center"/>
                </w:tcPr>
                <w:p w14:paraId="5805EA57">
                  <w:pPr>
                    <w:pStyle w:val="47"/>
                    <w:spacing w:before="35" w:line="240" w:lineRule="auto"/>
                    <w:ind w:left="11" w:leftChars="0" w:right="5" w:righ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北</w:t>
                  </w:r>
                </w:p>
              </w:tc>
            </w:tr>
            <w:tr w14:paraId="74F309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 w:hRule="atLeast"/>
                <w:jc w:val="center"/>
              </w:trPr>
              <w:tc>
                <w:tcPr>
                  <w:tcW w:w="757" w:type="pct"/>
                  <w:noWrap w:val="0"/>
                  <w:vAlign w:val="center"/>
                </w:tcPr>
                <w:p w14:paraId="1C440188">
                  <w:pPr>
                    <w:pStyle w:val="11"/>
                    <w:spacing w:line="240" w:lineRule="auto"/>
                    <w:jc w:val="center"/>
                    <w:rPr>
                      <w:rFonts w:hint="eastAsia" w:ascii="宋体" w:hAnsi="宋体" w:eastAsia="宋体" w:cs="宋体"/>
                      <w:color w:val="000000" w:themeColor="text1"/>
                      <w:kern w:val="2"/>
                      <w:sz w:val="21"/>
                      <w:szCs w:val="21"/>
                      <w:lang w:val="zh-CN"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搅拌机</w:t>
                  </w:r>
                </w:p>
              </w:tc>
              <w:tc>
                <w:tcPr>
                  <w:tcW w:w="619" w:type="pct"/>
                  <w:noWrap w:val="0"/>
                  <w:vAlign w:val="center"/>
                </w:tcPr>
                <w:p w14:paraId="39C42A46">
                  <w:pPr>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68</w:t>
                  </w:r>
                </w:p>
              </w:tc>
              <w:tc>
                <w:tcPr>
                  <w:tcW w:w="348" w:type="pct"/>
                  <w:tcBorders>
                    <w:right w:val="single" w:color="auto" w:sz="4" w:space="0"/>
                  </w:tcBorders>
                  <w:noWrap w:val="0"/>
                  <w:vAlign w:val="center"/>
                </w:tcPr>
                <w:p w14:paraId="5E0FB778">
                  <w:pPr>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28</w:t>
                  </w:r>
                </w:p>
              </w:tc>
              <w:tc>
                <w:tcPr>
                  <w:tcW w:w="370" w:type="pct"/>
                  <w:tcBorders>
                    <w:left w:val="single" w:color="auto" w:sz="4" w:space="0"/>
                    <w:right w:val="single" w:color="auto" w:sz="4" w:space="0"/>
                  </w:tcBorders>
                  <w:noWrap w:val="0"/>
                  <w:vAlign w:val="center"/>
                </w:tcPr>
                <w:p w14:paraId="697158A0">
                  <w:pPr>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w:t>
                  </w:r>
                </w:p>
              </w:tc>
              <w:tc>
                <w:tcPr>
                  <w:tcW w:w="444" w:type="pct"/>
                  <w:tcBorders>
                    <w:left w:val="single" w:color="auto" w:sz="4" w:space="0"/>
                    <w:right w:val="single" w:color="auto" w:sz="4" w:space="0"/>
                  </w:tcBorders>
                  <w:noWrap w:val="0"/>
                  <w:vAlign w:val="center"/>
                </w:tcPr>
                <w:p w14:paraId="7A8C39E6">
                  <w:pPr>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p>
              </w:tc>
              <w:tc>
                <w:tcPr>
                  <w:tcW w:w="456" w:type="pct"/>
                  <w:tcBorders>
                    <w:left w:val="single" w:color="auto" w:sz="4" w:space="0"/>
                  </w:tcBorders>
                  <w:noWrap w:val="0"/>
                  <w:vAlign w:val="center"/>
                </w:tcPr>
                <w:p w14:paraId="3A61F4D7">
                  <w:pPr>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36</w:t>
                  </w:r>
                </w:p>
              </w:tc>
              <w:tc>
                <w:tcPr>
                  <w:tcW w:w="476" w:type="pct"/>
                  <w:tcBorders>
                    <w:right w:val="single" w:color="auto" w:sz="4" w:space="0"/>
                  </w:tcBorders>
                  <w:noWrap w:val="0"/>
                  <w:vAlign w:val="center"/>
                </w:tcPr>
                <w:p w14:paraId="02495C19">
                  <w:pPr>
                    <w:pStyle w:val="47"/>
                    <w:spacing w:before="35" w:line="240" w:lineRule="auto"/>
                    <w:ind w:left="11" w:right="5"/>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39.05</w:t>
                  </w:r>
                </w:p>
              </w:tc>
              <w:tc>
                <w:tcPr>
                  <w:tcW w:w="517" w:type="pct"/>
                  <w:tcBorders>
                    <w:left w:val="single" w:color="auto" w:sz="4" w:space="0"/>
                    <w:right w:val="single" w:color="auto" w:sz="4" w:space="0"/>
                  </w:tcBorders>
                  <w:noWrap w:val="0"/>
                  <w:vAlign w:val="center"/>
                </w:tcPr>
                <w:p w14:paraId="1FDB85BA">
                  <w:pPr>
                    <w:pStyle w:val="47"/>
                    <w:spacing w:before="35" w:line="240" w:lineRule="auto"/>
                    <w:ind w:left="11" w:right="5"/>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45.72</w:t>
                  </w:r>
                </w:p>
              </w:tc>
              <w:tc>
                <w:tcPr>
                  <w:tcW w:w="526" w:type="pct"/>
                  <w:tcBorders>
                    <w:left w:val="single" w:color="auto" w:sz="4" w:space="0"/>
                    <w:right w:val="single" w:color="auto" w:sz="4" w:space="0"/>
                  </w:tcBorders>
                  <w:noWrap w:val="0"/>
                  <w:vAlign w:val="center"/>
                </w:tcPr>
                <w:p w14:paraId="2B27B415">
                  <w:pPr>
                    <w:pStyle w:val="47"/>
                    <w:spacing w:before="35" w:line="240" w:lineRule="auto"/>
                    <w:ind w:left="11" w:right="5"/>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49.93</w:t>
                  </w:r>
                </w:p>
              </w:tc>
              <w:tc>
                <w:tcPr>
                  <w:tcW w:w="483" w:type="pct"/>
                  <w:tcBorders>
                    <w:left w:val="single" w:color="auto" w:sz="4" w:space="0"/>
                  </w:tcBorders>
                  <w:noWrap w:val="0"/>
                  <w:vAlign w:val="center"/>
                </w:tcPr>
                <w:p w14:paraId="43E02351">
                  <w:pPr>
                    <w:pStyle w:val="47"/>
                    <w:spacing w:before="35" w:line="240" w:lineRule="auto"/>
                    <w:ind w:left="11" w:right="5"/>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36.87</w:t>
                  </w:r>
                </w:p>
              </w:tc>
            </w:tr>
            <w:tr w14:paraId="0BB62C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9" w:hRule="atLeast"/>
                <w:jc w:val="center"/>
              </w:trPr>
              <w:tc>
                <w:tcPr>
                  <w:tcW w:w="757" w:type="pct"/>
                  <w:noWrap w:val="0"/>
                  <w:vAlign w:val="center"/>
                </w:tcPr>
                <w:p w14:paraId="55FFF256">
                  <w:pPr>
                    <w:pStyle w:val="11"/>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配料机</w:t>
                  </w:r>
                </w:p>
              </w:tc>
              <w:tc>
                <w:tcPr>
                  <w:tcW w:w="619" w:type="pct"/>
                  <w:noWrap w:val="0"/>
                  <w:vAlign w:val="center"/>
                </w:tcPr>
                <w:p w14:paraId="131E40CF">
                  <w:pPr>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63</w:t>
                  </w:r>
                </w:p>
              </w:tc>
              <w:tc>
                <w:tcPr>
                  <w:tcW w:w="348" w:type="pct"/>
                  <w:tcBorders>
                    <w:right w:val="single" w:color="auto" w:sz="4" w:space="0"/>
                  </w:tcBorders>
                  <w:noWrap w:val="0"/>
                  <w:vAlign w:val="center"/>
                </w:tcPr>
                <w:p w14:paraId="71442AC1">
                  <w:pPr>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27</w:t>
                  </w:r>
                </w:p>
              </w:tc>
              <w:tc>
                <w:tcPr>
                  <w:tcW w:w="370" w:type="pct"/>
                  <w:tcBorders>
                    <w:left w:val="single" w:color="auto" w:sz="4" w:space="0"/>
                    <w:right w:val="single" w:color="auto" w:sz="4" w:space="0"/>
                  </w:tcBorders>
                  <w:noWrap w:val="0"/>
                  <w:vAlign w:val="center"/>
                </w:tcPr>
                <w:p w14:paraId="4524FE6A">
                  <w:pPr>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14</w:t>
                  </w:r>
                </w:p>
              </w:tc>
              <w:tc>
                <w:tcPr>
                  <w:tcW w:w="444" w:type="pct"/>
                  <w:tcBorders>
                    <w:left w:val="single" w:color="auto" w:sz="4" w:space="0"/>
                    <w:right w:val="single" w:color="auto" w:sz="4" w:space="0"/>
                  </w:tcBorders>
                  <w:noWrap w:val="0"/>
                  <w:vAlign w:val="center"/>
                </w:tcPr>
                <w:p w14:paraId="583C847B">
                  <w:pPr>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w:t>
                  </w:r>
                </w:p>
              </w:tc>
              <w:tc>
                <w:tcPr>
                  <w:tcW w:w="456" w:type="pct"/>
                  <w:tcBorders>
                    <w:left w:val="single" w:color="auto" w:sz="4" w:space="0"/>
                  </w:tcBorders>
                  <w:noWrap w:val="0"/>
                  <w:vAlign w:val="center"/>
                </w:tcPr>
                <w:p w14:paraId="229505A9">
                  <w:pPr>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32</w:t>
                  </w:r>
                </w:p>
              </w:tc>
              <w:tc>
                <w:tcPr>
                  <w:tcW w:w="476" w:type="pct"/>
                  <w:tcBorders>
                    <w:right w:val="single" w:color="auto" w:sz="4" w:space="0"/>
                  </w:tcBorders>
                  <w:noWrap w:val="0"/>
                  <w:vAlign w:val="center"/>
                </w:tcPr>
                <w:p w14:paraId="76714543">
                  <w:pPr>
                    <w:pStyle w:val="47"/>
                    <w:spacing w:before="35" w:line="240" w:lineRule="auto"/>
                    <w:ind w:left="11" w:right="5"/>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34.37</w:t>
                  </w:r>
                </w:p>
              </w:tc>
              <w:tc>
                <w:tcPr>
                  <w:tcW w:w="517" w:type="pct"/>
                  <w:tcBorders>
                    <w:left w:val="single" w:color="auto" w:sz="4" w:space="0"/>
                    <w:right w:val="single" w:color="auto" w:sz="4" w:space="0"/>
                  </w:tcBorders>
                  <w:noWrap w:val="0"/>
                  <w:vAlign w:val="center"/>
                </w:tcPr>
                <w:p w14:paraId="32863960">
                  <w:pPr>
                    <w:pStyle w:val="47"/>
                    <w:spacing w:before="35" w:line="240" w:lineRule="auto"/>
                    <w:ind w:left="11" w:right="5"/>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40.07</w:t>
                  </w:r>
                </w:p>
              </w:tc>
              <w:tc>
                <w:tcPr>
                  <w:tcW w:w="526" w:type="pct"/>
                  <w:tcBorders>
                    <w:left w:val="single" w:color="auto" w:sz="4" w:space="0"/>
                    <w:right w:val="single" w:color="auto" w:sz="4" w:space="0"/>
                  </w:tcBorders>
                  <w:noWrap w:val="0"/>
                  <w:vAlign w:val="center"/>
                </w:tcPr>
                <w:p w14:paraId="6C01FD1D">
                  <w:pPr>
                    <w:pStyle w:val="47"/>
                    <w:spacing w:before="35" w:line="240" w:lineRule="auto"/>
                    <w:ind w:left="11" w:right="5"/>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43.91</w:t>
                  </w:r>
                </w:p>
              </w:tc>
              <w:tc>
                <w:tcPr>
                  <w:tcW w:w="483" w:type="pct"/>
                  <w:tcBorders>
                    <w:left w:val="single" w:color="auto" w:sz="4" w:space="0"/>
                  </w:tcBorders>
                  <w:noWrap w:val="0"/>
                  <w:vAlign w:val="center"/>
                </w:tcPr>
                <w:p w14:paraId="6EB3DE67">
                  <w:pPr>
                    <w:pStyle w:val="47"/>
                    <w:spacing w:before="35" w:line="240" w:lineRule="auto"/>
                    <w:ind w:left="11" w:right="5"/>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32.89</w:t>
                  </w:r>
                </w:p>
              </w:tc>
            </w:tr>
            <w:tr w14:paraId="5F6605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4" w:hRule="atLeast"/>
                <w:jc w:val="center"/>
              </w:trPr>
              <w:tc>
                <w:tcPr>
                  <w:tcW w:w="757" w:type="pct"/>
                  <w:noWrap w:val="0"/>
                  <w:vAlign w:val="center"/>
                </w:tcPr>
                <w:p w14:paraId="7D1639C7">
                  <w:pPr>
                    <w:pStyle w:val="11"/>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输送机</w:t>
                  </w:r>
                </w:p>
              </w:tc>
              <w:tc>
                <w:tcPr>
                  <w:tcW w:w="619" w:type="pct"/>
                  <w:noWrap w:val="0"/>
                  <w:vAlign w:val="center"/>
                </w:tcPr>
                <w:p w14:paraId="7D189568">
                  <w:pPr>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58</w:t>
                  </w:r>
                </w:p>
              </w:tc>
              <w:tc>
                <w:tcPr>
                  <w:tcW w:w="348" w:type="pct"/>
                  <w:tcBorders>
                    <w:right w:val="single" w:color="auto" w:sz="4" w:space="0"/>
                  </w:tcBorders>
                  <w:noWrap w:val="0"/>
                  <w:vAlign w:val="center"/>
                </w:tcPr>
                <w:p w14:paraId="3226D257">
                  <w:pPr>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27</w:t>
                  </w:r>
                </w:p>
              </w:tc>
              <w:tc>
                <w:tcPr>
                  <w:tcW w:w="370" w:type="pct"/>
                  <w:tcBorders>
                    <w:left w:val="single" w:color="auto" w:sz="4" w:space="0"/>
                    <w:right w:val="single" w:color="auto" w:sz="4" w:space="0"/>
                  </w:tcBorders>
                  <w:noWrap w:val="0"/>
                  <w:vAlign w:val="center"/>
                </w:tcPr>
                <w:p w14:paraId="08F926F5">
                  <w:pPr>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15</w:t>
                  </w:r>
                </w:p>
              </w:tc>
              <w:tc>
                <w:tcPr>
                  <w:tcW w:w="444" w:type="pct"/>
                  <w:tcBorders>
                    <w:left w:val="single" w:color="auto" w:sz="4" w:space="0"/>
                    <w:right w:val="single" w:color="auto" w:sz="4" w:space="0"/>
                  </w:tcBorders>
                  <w:noWrap w:val="0"/>
                  <w:vAlign w:val="center"/>
                </w:tcPr>
                <w:p w14:paraId="7D5B845A">
                  <w:pPr>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456" w:type="pct"/>
                  <w:tcBorders>
                    <w:left w:val="single" w:color="auto" w:sz="4" w:space="0"/>
                  </w:tcBorders>
                  <w:noWrap w:val="0"/>
                  <w:vAlign w:val="center"/>
                </w:tcPr>
                <w:p w14:paraId="73192C2A">
                  <w:pPr>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w:t>
                  </w:r>
                </w:p>
              </w:tc>
              <w:tc>
                <w:tcPr>
                  <w:tcW w:w="476" w:type="pct"/>
                  <w:tcBorders>
                    <w:right w:val="single" w:color="auto" w:sz="4" w:space="0"/>
                  </w:tcBorders>
                  <w:noWrap w:val="0"/>
                  <w:vAlign w:val="center"/>
                </w:tcPr>
                <w:p w14:paraId="3536EA2E">
                  <w:pPr>
                    <w:pStyle w:val="47"/>
                    <w:spacing w:before="35" w:line="240" w:lineRule="auto"/>
                    <w:ind w:left="11" w:right="5"/>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29.37</w:t>
                  </w:r>
                </w:p>
              </w:tc>
              <w:tc>
                <w:tcPr>
                  <w:tcW w:w="517" w:type="pct"/>
                  <w:tcBorders>
                    <w:left w:val="single" w:color="auto" w:sz="4" w:space="0"/>
                    <w:right w:val="single" w:color="auto" w:sz="4" w:space="0"/>
                  </w:tcBorders>
                  <w:noWrap w:val="0"/>
                  <w:vAlign w:val="center"/>
                </w:tcPr>
                <w:p w14:paraId="53F8FD54">
                  <w:pPr>
                    <w:pStyle w:val="47"/>
                    <w:spacing w:before="35" w:line="240" w:lineRule="auto"/>
                    <w:ind w:left="11" w:right="5"/>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34.47</w:t>
                  </w:r>
                </w:p>
              </w:tc>
              <w:tc>
                <w:tcPr>
                  <w:tcW w:w="526" w:type="pct"/>
                  <w:tcBorders>
                    <w:left w:val="single" w:color="auto" w:sz="4" w:space="0"/>
                    <w:right w:val="single" w:color="auto" w:sz="4" w:space="0"/>
                  </w:tcBorders>
                  <w:noWrap w:val="0"/>
                  <w:vAlign w:val="center"/>
                </w:tcPr>
                <w:p w14:paraId="3AE9C11B">
                  <w:pPr>
                    <w:pStyle w:val="47"/>
                    <w:spacing w:before="35" w:line="240" w:lineRule="auto"/>
                    <w:ind w:left="11" w:right="5"/>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42.43</w:t>
                  </w:r>
                </w:p>
              </w:tc>
              <w:tc>
                <w:tcPr>
                  <w:tcW w:w="483" w:type="pct"/>
                  <w:tcBorders>
                    <w:left w:val="single" w:color="auto" w:sz="4" w:space="0"/>
                  </w:tcBorders>
                  <w:noWrap w:val="0"/>
                  <w:vAlign w:val="center"/>
                </w:tcPr>
                <w:p w14:paraId="4DC30F48">
                  <w:pPr>
                    <w:pStyle w:val="47"/>
                    <w:spacing w:before="35" w:line="240" w:lineRule="auto"/>
                    <w:ind w:left="11" w:right="5"/>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31.97</w:t>
                  </w:r>
                </w:p>
              </w:tc>
            </w:tr>
            <w:tr w14:paraId="2BA96A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9" w:hRule="atLeast"/>
                <w:jc w:val="center"/>
              </w:trPr>
              <w:tc>
                <w:tcPr>
                  <w:tcW w:w="757" w:type="pct"/>
                  <w:noWrap w:val="0"/>
                  <w:vAlign w:val="center"/>
                </w:tcPr>
                <w:p w14:paraId="5072B186">
                  <w:pPr>
                    <w:pStyle w:val="11"/>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钢筋切割机</w:t>
                  </w:r>
                </w:p>
              </w:tc>
              <w:tc>
                <w:tcPr>
                  <w:tcW w:w="619" w:type="pct"/>
                  <w:noWrap w:val="0"/>
                  <w:vAlign w:val="center"/>
                </w:tcPr>
                <w:p w14:paraId="3E244173">
                  <w:pPr>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73</w:t>
                  </w:r>
                </w:p>
              </w:tc>
              <w:tc>
                <w:tcPr>
                  <w:tcW w:w="348" w:type="pct"/>
                  <w:tcBorders>
                    <w:right w:val="single" w:color="auto" w:sz="4" w:space="0"/>
                  </w:tcBorders>
                  <w:noWrap w:val="0"/>
                  <w:vAlign w:val="center"/>
                </w:tcPr>
                <w:p w14:paraId="11033F26">
                  <w:pPr>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w:t>
                  </w:r>
                </w:p>
              </w:tc>
              <w:tc>
                <w:tcPr>
                  <w:tcW w:w="370" w:type="pct"/>
                  <w:tcBorders>
                    <w:left w:val="single" w:color="auto" w:sz="4" w:space="0"/>
                    <w:right w:val="single" w:color="auto" w:sz="4" w:space="0"/>
                  </w:tcBorders>
                  <w:noWrap w:val="0"/>
                  <w:vAlign w:val="center"/>
                </w:tcPr>
                <w:p w14:paraId="0103C3BC">
                  <w:pPr>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w:t>
                  </w:r>
                </w:p>
              </w:tc>
              <w:tc>
                <w:tcPr>
                  <w:tcW w:w="444" w:type="pct"/>
                  <w:tcBorders>
                    <w:left w:val="single" w:color="auto" w:sz="4" w:space="0"/>
                    <w:right w:val="single" w:color="auto" w:sz="4" w:space="0"/>
                  </w:tcBorders>
                  <w:noWrap w:val="0"/>
                  <w:vAlign w:val="center"/>
                </w:tcPr>
                <w:p w14:paraId="75C5DAA1">
                  <w:pPr>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456" w:type="pct"/>
                  <w:tcBorders>
                    <w:left w:val="single" w:color="auto" w:sz="4" w:space="0"/>
                  </w:tcBorders>
                  <w:noWrap w:val="0"/>
                  <w:vAlign w:val="center"/>
                </w:tcPr>
                <w:p w14:paraId="184E3BF1">
                  <w:pPr>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28</w:t>
                  </w:r>
                </w:p>
              </w:tc>
              <w:tc>
                <w:tcPr>
                  <w:tcW w:w="476" w:type="pct"/>
                  <w:tcBorders>
                    <w:right w:val="single" w:color="auto" w:sz="4" w:space="0"/>
                  </w:tcBorders>
                  <w:noWrap w:val="0"/>
                  <w:vAlign w:val="center"/>
                </w:tcPr>
                <w:p w14:paraId="70EDC5C5">
                  <w:pPr>
                    <w:pStyle w:val="47"/>
                    <w:spacing w:before="35" w:line="240" w:lineRule="auto"/>
                    <w:ind w:left="11" w:right="5"/>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46.97</w:t>
                  </w:r>
                </w:p>
              </w:tc>
              <w:tc>
                <w:tcPr>
                  <w:tcW w:w="517" w:type="pct"/>
                  <w:tcBorders>
                    <w:left w:val="single" w:color="auto" w:sz="4" w:space="0"/>
                    <w:right w:val="single" w:color="auto" w:sz="4" w:space="0"/>
                  </w:tcBorders>
                  <w:noWrap w:val="0"/>
                  <w:vAlign w:val="center"/>
                </w:tcPr>
                <w:p w14:paraId="21312DA9">
                  <w:pPr>
                    <w:pStyle w:val="47"/>
                    <w:spacing w:before="35" w:line="240" w:lineRule="auto"/>
                    <w:ind w:left="11" w:right="5"/>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50.72</w:t>
                  </w:r>
                </w:p>
              </w:tc>
              <w:tc>
                <w:tcPr>
                  <w:tcW w:w="526" w:type="pct"/>
                  <w:tcBorders>
                    <w:left w:val="single" w:color="auto" w:sz="4" w:space="0"/>
                    <w:right w:val="single" w:color="auto" w:sz="4" w:space="0"/>
                  </w:tcBorders>
                  <w:noWrap w:val="0"/>
                  <w:vAlign w:val="center"/>
                </w:tcPr>
                <w:p w14:paraId="25507B08">
                  <w:pPr>
                    <w:pStyle w:val="47"/>
                    <w:spacing w:before="35" w:line="240" w:lineRule="auto"/>
                    <w:ind w:left="11" w:right="5"/>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53.0</w:t>
                  </w:r>
                </w:p>
              </w:tc>
              <w:tc>
                <w:tcPr>
                  <w:tcW w:w="483" w:type="pct"/>
                  <w:tcBorders>
                    <w:left w:val="single" w:color="auto" w:sz="4" w:space="0"/>
                  </w:tcBorders>
                  <w:noWrap w:val="0"/>
                  <w:vAlign w:val="center"/>
                </w:tcPr>
                <w:p w14:paraId="56774F23">
                  <w:pPr>
                    <w:pStyle w:val="47"/>
                    <w:spacing w:before="35" w:line="240" w:lineRule="auto"/>
                    <w:ind w:left="11" w:right="5"/>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44.08</w:t>
                  </w:r>
                </w:p>
              </w:tc>
            </w:tr>
            <w:tr w14:paraId="6BA4A5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9" w:hRule="atLeast"/>
                <w:jc w:val="center"/>
              </w:trPr>
              <w:tc>
                <w:tcPr>
                  <w:tcW w:w="757" w:type="pct"/>
                  <w:noWrap w:val="0"/>
                  <w:vAlign w:val="center"/>
                </w:tcPr>
                <w:p w14:paraId="47AE9F7C">
                  <w:pPr>
                    <w:pStyle w:val="11"/>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电焊机</w:t>
                  </w:r>
                </w:p>
              </w:tc>
              <w:tc>
                <w:tcPr>
                  <w:tcW w:w="619" w:type="pct"/>
                  <w:noWrap w:val="0"/>
                  <w:vAlign w:val="center"/>
                </w:tcPr>
                <w:p w14:paraId="6B3FDE57">
                  <w:pPr>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68</w:t>
                  </w:r>
                </w:p>
              </w:tc>
              <w:tc>
                <w:tcPr>
                  <w:tcW w:w="348" w:type="pct"/>
                  <w:tcBorders>
                    <w:right w:val="single" w:color="auto" w:sz="4" w:space="0"/>
                  </w:tcBorders>
                  <w:noWrap w:val="0"/>
                  <w:vAlign w:val="center"/>
                </w:tcPr>
                <w:p w14:paraId="2884659E">
                  <w:pPr>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19</w:t>
                  </w:r>
                </w:p>
              </w:tc>
              <w:tc>
                <w:tcPr>
                  <w:tcW w:w="370" w:type="pct"/>
                  <w:tcBorders>
                    <w:left w:val="single" w:color="auto" w:sz="4" w:space="0"/>
                    <w:right w:val="single" w:color="auto" w:sz="4" w:space="0"/>
                  </w:tcBorders>
                  <w:noWrap w:val="0"/>
                  <w:vAlign w:val="center"/>
                </w:tcPr>
                <w:p w14:paraId="7D6BD6FD">
                  <w:pPr>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w:t>
                  </w:r>
                </w:p>
              </w:tc>
              <w:tc>
                <w:tcPr>
                  <w:tcW w:w="444" w:type="pct"/>
                  <w:tcBorders>
                    <w:left w:val="single" w:color="auto" w:sz="4" w:space="0"/>
                    <w:right w:val="single" w:color="auto" w:sz="4" w:space="0"/>
                  </w:tcBorders>
                  <w:noWrap w:val="0"/>
                  <w:vAlign w:val="center"/>
                </w:tcPr>
                <w:p w14:paraId="56A4C865">
                  <w:pPr>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456" w:type="pct"/>
                  <w:tcBorders>
                    <w:left w:val="single" w:color="auto" w:sz="4" w:space="0"/>
                  </w:tcBorders>
                  <w:noWrap w:val="0"/>
                  <w:vAlign w:val="center"/>
                </w:tcPr>
                <w:p w14:paraId="6B863708">
                  <w:pPr>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23</w:t>
                  </w:r>
                </w:p>
              </w:tc>
              <w:tc>
                <w:tcPr>
                  <w:tcW w:w="476" w:type="pct"/>
                  <w:tcBorders>
                    <w:right w:val="single" w:color="auto" w:sz="4" w:space="0"/>
                  </w:tcBorders>
                  <w:noWrap w:val="0"/>
                  <w:vAlign w:val="center"/>
                </w:tcPr>
                <w:p w14:paraId="752D3232">
                  <w:pPr>
                    <w:pStyle w:val="47"/>
                    <w:spacing w:before="35" w:line="240" w:lineRule="auto"/>
                    <w:ind w:left="11" w:right="5"/>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42.42</w:t>
                  </w:r>
                </w:p>
              </w:tc>
              <w:tc>
                <w:tcPr>
                  <w:tcW w:w="517" w:type="pct"/>
                  <w:tcBorders>
                    <w:left w:val="single" w:color="auto" w:sz="4" w:space="0"/>
                    <w:right w:val="single" w:color="auto" w:sz="4" w:space="0"/>
                  </w:tcBorders>
                  <w:noWrap w:val="0"/>
                  <w:vAlign w:val="center"/>
                </w:tcPr>
                <w:p w14:paraId="56F0F306">
                  <w:pPr>
                    <w:pStyle w:val="47"/>
                    <w:spacing w:before="35" w:line="240" w:lineRule="auto"/>
                    <w:ind w:left="11" w:right="5"/>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47.17</w:t>
                  </w:r>
                </w:p>
              </w:tc>
              <w:tc>
                <w:tcPr>
                  <w:tcW w:w="526" w:type="pct"/>
                  <w:tcBorders>
                    <w:left w:val="single" w:color="auto" w:sz="4" w:space="0"/>
                    <w:right w:val="single" w:color="auto" w:sz="4" w:space="0"/>
                  </w:tcBorders>
                  <w:noWrap w:val="0"/>
                  <w:vAlign w:val="center"/>
                </w:tcPr>
                <w:p w14:paraId="560BADAA">
                  <w:pPr>
                    <w:pStyle w:val="47"/>
                    <w:spacing w:before="35" w:line="240" w:lineRule="auto"/>
                    <w:ind w:left="11" w:right="5"/>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48</w:t>
                  </w:r>
                </w:p>
              </w:tc>
              <w:tc>
                <w:tcPr>
                  <w:tcW w:w="483" w:type="pct"/>
                  <w:tcBorders>
                    <w:left w:val="single" w:color="auto" w:sz="4" w:space="0"/>
                  </w:tcBorders>
                  <w:noWrap w:val="0"/>
                  <w:vAlign w:val="center"/>
                </w:tcPr>
                <w:p w14:paraId="66B31819">
                  <w:pPr>
                    <w:pStyle w:val="47"/>
                    <w:spacing w:before="35" w:line="240" w:lineRule="auto"/>
                    <w:ind w:left="11" w:right="5"/>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40.76</w:t>
                  </w:r>
                </w:p>
              </w:tc>
            </w:tr>
            <w:tr w14:paraId="7E9385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4" w:hRule="atLeast"/>
                <w:jc w:val="center"/>
              </w:trPr>
              <w:tc>
                <w:tcPr>
                  <w:tcW w:w="757" w:type="pct"/>
                  <w:noWrap w:val="0"/>
                  <w:vAlign w:val="center"/>
                </w:tcPr>
                <w:p w14:paraId="0C81C9E8">
                  <w:pPr>
                    <w:pStyle w:val="11"/>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装载机</w:t>
                  </w:r>
                </w:p>
              </w:tc>
              <w:tc>
                <w:tcPr>
                  <w:tcW w:w="619" w:type="pct"/>
                  <w:noWrap w:val="0"/>
                  <w:vAlign w:val="center"/>
                </w:tcPr>
                <w:p w14:paraId="065E0B24">
                  <w:pPr>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60</w:t>
                  </w:r>
                </w:p>
              </w:tc>
              <w:tc>
                <w:tcPr>
                  <w:tcW w:w="348" w:type="pct"/>
                  <w:tcBorders>
                    <w:right w:val="single" w:color="auto" w:sz="4" w:space="0"/>
                  </w:tcBorders>
                  <w:noWrap w:val="0"/>
                  <w:vAlign w:val="center"/>
                </w:tcPr>
                <w:p w14:paraId="6E091D3E">
                  <w:pPr>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17</w:t>
                  </w:r>
                </w:p>
              </w:tc>
              <w:tc>
                <w:tcPr>
                  <w:tcW w:w="370" w:type="pct"/>
                  <w:tcBorders>
                    <w:left w:val="single" w:color="auto" w:sz="4" w:space="0"/>
                    <w:right w:val="single" w:color="auto" w:sz="4" w:space="0"/>
                  </w:tcBorders>
                  <w:noWrap w:val="0"/>
                  <w:vAlign w:val="center"/>
                </w:tcPr>
                <w:p w14:paraId="2647ACFF">
                  <w:pPr>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10</w:t>
                  </w:r>
                </w:p>
              </w:tc>
              <w:tc>
                <w:tcPr>
                  <w:tcW w:w="444" w:type="pct"/>
                  <w:tcBorders>
                    <w:left w:val="single" w:color="auto" w:sz="4" w:space="0"/>
                    <w:right w:val="single" w:color="auto" w:sz="4" w:space="0"/>
                  </w:tcBorders>
                  <w:noWrap w:val="0"/>
                  <w:vAlign w:val="center"/>
                </w:tcPr>
                <w:p w14:paraId="6F34CBD2">
                  <w:pPr>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12</w:t>
                  </w:r>
                </w:p>
              </w:tc>
              <w:tc>
                <w:tcPr>
                  <w:tcW w:w="456" w:type="pct"/>
                  <w:tcBorders>
                    <w:left w:val="single" w:color="auto" w:sz="4" w:space="0"/>
                  </w:tcBorders>
                  <w:noWrap w:val="0"/>
                  <w:vAlign w:val="center"/>
                </w:tcPr>
                <w:p w14:paraId="00CCE3E1">
                  <w:pPr>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25</w:t>
                  </w:r>
                </w:p>
              </w:tc>
              <w:tc>
                <w:tcPr>
                  <w:tcW w:w="476" w:type="pct"/>
                  <w:tcBorders>
                    <w:right w:val="single" w:color="auto" w:sz="4" w:space="0"/>
                  </w:tcBorders>
                  <w:noWrap w:val="0"/>
                  <w:vAlign w:val="center"/>
                </w:tcPr>
                <w:p w14:paraId="233822BF">
                  <w:pPr>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35.39</w:t>
                  </w:r>
                </w:p>
              </w:tc>
              <w:tc>
                <w:tcPr>
                  <w:tcW w:w="517" w:type="pct"/>
                  <w:tcBorders>
                    <w:left w:val="single" w:color="auto" w:sz="4" w:space="0"/>
                    <w:right w:val="single" w:color="auto" w:sz="4" w:space="0"/>
                  </w:tcBorders>
                  <w:noWrap w:val="0"/>
                  <w:vAlign w:val="center"/>
                </w:tcPr>
                <w:p w14:paraId="4880EEB5">
                  <w:pPr>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40.0</w:t>
                  </w:r>
                </w:p>
              </w:tc>
              <w:tc>
                <w:tcPr>
                  <w:tcW w:w="526" w:type="pct"/>
                  <w:tcBorders>
                    <w:left w:val="single" w:color="auto" w:sz="4" w:space="0"/>
                    <w:right w:val="single" w:color="auto" w:sz="4" w:space="0"/>
                  </w:tcBorders>
                  <w:noWrap w:val="0"/>
                  <w:vAlign w:val="center"/>
                </w:tcPr>
                <w:p w14:paraId="055B86DA">
                  <w:pPr>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38.41</w:t>
                  </w:r>
                </w:p>
              </w:tc>
              <w:tc>
                <w:tcPr>
                  <w:tcW w:w="483" w:type="pct"/>
                  <w:tcBorders>
                    <w:left w:val="single" w:color="auto" w:sz="4" w:space="0"/>
                  </w:tcBorders>
                  <w:noWrap w:val="0"/>
                  <w:vAlign w:val="center"/>
                </w:tcPr>
                <w:p w14:paraId="1E18BE08">
                  <w:pPr>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32.04</w:t>
                  </w:r>
                </w:p>
              </w:tc>
            </w:tr>
            <w:tr w14:paraId="4D57D5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4" w:hRule="atLeast"/>
                <w:jc w:val="center"/>
              </w:trPr>
              <w:tc>
                <w:tcPr>
                  <w:tcW w:w="757" w:type="pct"/>
                  <w:noWrap w:val="0"/>
                  <w:vAlign w:val="center"/>
                </w:tcPr>
                <w:p w14:paraId="40EC5460">
                  <w:pPr>
                    <w:spacing w:line="240" w:lineRule="auto"/>
                    <w:ind w:left="-122" w:leftChars="-51" w:right="-122" w:rightChars="-51"/>
                    <w:jc w:val="center"/>
                    <w:rPr>
                      <w:rFonts w:hint="eastAsia" w:ascii="宋体" w:hAnsi="宋体" w:eastAsia="宋体" w:cs="宋体"/>
                      <w:color w:val="auto"/>
                      <w:sz w:val="21"/>
                      <w:szCs w:val="21"/>
                      <w:lang w:eastAsia="zh-CN"/>
                    </w:rPr>
                  </w:pPr>
                  <w:r>
                    <w:rPr>
                      <w:rFonts w:hint="eastAsia" w:ascii="宋体" w:hAnsi="宋体" w:eastAsia="宋体" w:cs="宋体"/>
                      <w:color w:val="000000" w:themeColor="text1"/>
                      <w:spacing w:val="0"/>
                      <w:position w:val="0"/>
                      <w:sz w:val="21"/>
                      <w:szCs w:val="21"/>
                      <w:shd w:val="clear" w:fill="auto"/>
                      <w:lang w:eastAsia="zh-CN"/>
                      <w14:textFill>
                        <w14:solidFill>
                          <w14:schemeClr w14:val="tx1"/>
                        </w14:solidFill>
                      </w14:textFill>
                    </w:rPr>
                    <w:t>滚焊</w:t>
                  </w:r>
                  <w:r>
                    <w:rPr>
                      <w:rFonts w:hint="eastAsia" w:ascii="宋体" w:hAnsi="宋体" w:eastAsia="宋体" w:cs="宋体"/>
                      <w:color w:val="000000" w:themeColor="text1"/>
                      <w:spacing w:val="0"/>
                      <w:position w:val="0"/>
                      <w:sz w:val="21"/>
                      <w:szCs w:val="21"/>
                      <w:shd w:val="clear" w:fill="auto"/>
                      <w14:textFill>
                        <w14:solidFill>
                          <w14:schemeClr w14:val="tx1"/>
                        </w14:solidFill>
                      </w14:textFill>
                    </w:rPr>
                    <w:t>机</w:t>
                  </w:r>
                </w:p>
              </w:tc>
              <w:tc>
                <w:tcPr>
                  <w:tcW w:w="619" w:type="pct"/>
                  <w:noWrap w:val="0"/>
                  <w:vAlign w:val="center"/>
                </w:tcPr>
                <w:p w14:paraId="1A70FC4B">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65</w:t>
                  </w:r>
                </w:p>
              </w:tc>
              <w:tc>
                <w:tcPr>
                  <w:tcW w:w="348" w:type="pct"/>
                  <w:tcBorders>
                    <w:right w:val="single" w:color="auto" w:sz="4" w:space="0"/>
                  </w:tcBorders>
                  <w:noWrap w:val="0"/>
                  <w:vAlign w:val="center"/>
                </w:tcPr>
                <w:p w14:paraId="393049FD">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w:t>
                  </w:r>
                </w:p>
              </w:tc>
              <w:tc>
                <w:tcPr>
                  <w:tcW w:w="370" w:type="pct"/>
                  <w:tcBorders>
                    <w:left w:val="single" w:color="auto" w:sz="4" w:space="0"/>
                    <w:right w:val="single" w:color="auto" w:sz="4" w:space="0"/>
                  </w:tcBorders>
                  <w:noWrap w:val="0"/>
                  <w:vAlign w:val="center"/>
                </w:tcPr>
                <w:p w14:paraId="4165F78B">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w:t>
                  </w:r>
                </w:p>
              </w:tc>
              <w:tc>
                <w:tcPr>
                  <w:tcW w:w="444" w:type="pct"/>
                  <w:tcBorders>
                    <w:left w:val="single" w:color="auto" w:sz="4" w:space="0"/>
                    <w:right w:val="single" w:color="auto" w:sz="4" w:space="0"/>
                  </w:tcBorders>
                  <w:noWrap w:val="0"/>
                  <w:vAlign w:val="center"/>
                </w:tcPr>
                <w:p w14:paraId="754D189A">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456" w:type="pct"/>
                  <w:tcBorders>
                    <w:left w:val="single" w:color="auto" w:sz="4" w:space="0"/>
                  </w:tcBorders>
                  <w:noWrap w:val="0"/>
                  <w:vAlign w:val="center"/>
                </w:tcPr>
                <w:p w14:paraId="37AE93BC">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w:t>
                  </w:r>
                </w:p>
              </w:tc>
              <w:tc>
                <w:tcPr>
                  <w:tcW w:w="476" w:type="pct"/>
                  <w:tcBorders>
                    <w:right w:val="single" w:color="auto" w:sz="4" w:space="0"/>
                  </w:tcBorders>
                  <w:noWrap w:val="0"/>
                  <w:vAlign w:val="center"/>
                </w:tcPr>
                <w:p w14:paraId="562D5F64">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40.91</w:t>
                  </w:r>
                </w:p>
              </w:tc>
              <w:tc>
                <w:tcPr>
                  <w:tcW w:w="517" w:type="pct"/>
                  <w:tcBorders>
                    <w:left w:val="single" w:color="auto" w:sz="4" w:space="0"/>
                    <w:right w:val="single" w:color="auto" w:sz="4" w:space="0"/>
                  </w:tcBorders>
                  <w:noWrap w:val="0"/>
                  <w:vAlign w:val="center"/>
                </w:tcPr>
                <w:p w14:paraId="5D1F829B">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42.07</w:t>
                  </w:r>
                </w:p>
              </w:tc>
              <w:tc>
                <w:tcPr>
                  <w:tcW w:w="526" w:type="pct"/>
                  <w:tcBorders>
                    <w:left w:val="single" w:color="auto" w:sz="4" w:space="0"/>
                    <w:right w:val="single" w:color="auto" w:sz="4" w:space="0"/>
                  </w:tcBorders>
                  <w:noWrap w:val="0"/>
                  <w:vAlign w:val="center"/>
                </w:tcPr>
                <w:p w14:paraId="659F9F0B">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44.17</w:t>
                  </w:r>
                </w:p>
              </w:tc>
              <w:tc>
                <w:tcPr>
                  <w:tcW w:w="483" w:type="pct"/>
                  <w:tcBorders>
                    <w:left w:val="single" w:color="auto" w:sz="4" w:space="0"/>
                  </w:tcBorders>
                  <w:noWrap w:val="0"/>
                  <w:vAlign w:val="center"/>
                </w:tcPr>
                <w:p w14:paraId="66EA0EA2">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38.55</w:t>
                  </w:r>
                </w:p>
              </w:tc>
            </w:tr>
            <w:tr w14:paraId="0EA697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4" w:hRule="atLeast"/>
                <w:jc w:val="center"/>
              </w:trPr>
              <w:tc>
                <w:tcPr>
                  <w:tcW w:w="757" w:type="pct"/>
                  <w:noWrap w:val="0"/>
                  <w:vAlign w:val="center"/>
                </w:tcPr>
                <w:p w14:paraId="1D771F83">
                  <w:pPr>
                    <w:spacing w:line="240" w:lineRule="auto"/>
                    <w:ind w:left="-122" w:leftChars="-51" w:right="-122" w:rightChars="-51"/>
                    <w:jc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bidi="ar"/>
                    </w:rPr>
                    <w:t>螺旋机</w:t>
                  </w:r>
                </w:p>
              </w:tc>
              <w:tc>
                <w:tcPr>
                  <w:tcW w:w="619" w:type="pct"/>
                  <w:noWrap w:val="0"/>
                  <w:vAlign w:val="center"/>
                </w:tcPr>
                <w:p w14:paraId="45C92E31">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68</w:t>
                  </w:r>
                </w:p>
              </w:tc>
              <w:tc>
                <w:tcPr>
                  <w:tcW w:w="348" w:type="pct"/>
                  <w:tcBorders>
                    <w:right w:val="single" w:color="auto" w:sz="4" w:space="0"/>
                  </w:tcBorders>
                  <w:noWrap w:val="0"/>
                  <w:vAlign w:val="center"/>
                </w:tcPr>
                <w:p w14:paraId="2CFBFD2A">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w:t>
                  </w:r>
                </w:p>
              </w:tc>
              <w:tc>
                <w:tcPr>
                  <w:tcW w:w="370" w:type="pct"/>
                  <w:tcBorders>
                    <w:left w:val="single" w:color="auto" w:sz="4" w:space="0"/>
                    <w:right w:val="single" w:color="auto" w:sz="4" w:space="0"/>
                  </w:tcBorders>
                  <w:noWrap w:val="0"/>
                  <w:vAlign w:val="center"/>
                </w:tcPr>
                <w:p w14:paraId="3380B09E">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444" w:type="pct"/>
                  <w:tcBorders>
                    <w:left w:val="single" w:color="auto" w:sz="4" w:space="0"/>
                    <w:right w:val="single" w:color="auto" w:sz="4" w:space="0"/>
                  </w:tcBorders>
                  <w:noWrap w:val="0"/>
                  <w:vAlign w:val="center"/>
                </w:tcPr>
                <w:p w14:paraId="22994473">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456" w:type="pct"/>
                  <w:tcBorders>
                    <w:left w:val="single" w:color="auto" w:sz="4" w:space="0"/>
                  </w:tcBorders>
                  <w:noWrap w:val="0"/>
                  <w:vAlign w:val="center"/>
                </w:tcPr>
                <w:p w14:paraId="473FA5A1">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w:t>
                  </w:r>
                </w:p>
              </w:tc>
              <w:tc>
                <w:tcPr>
                  <w:tcW w:w="476" w:type="pct"/>
                  <w:tcBorders>
                    <w:right w:val="single" w:color="auto" w:sz="4" w:space="0"/>
                  </w:tcBorders>
                  <w:noWrap w:val="0"/>
                  <w:vAlign w:val="center"/>
                </w:tcPr>
                <w:p w14:paraId="066813B2">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42.89</w:t>
                  </w:r>
                </w:p>
              </w:tc>
              <w:tc>
                <w:tcPr>
                  <w:tcW w:w="517" w:type="pct"/>
                  <w:tcBorders>
                    <w:left w:val="single" w:color="auto" w:sz="4" w:space="0"/>
                    <w:right w:val="single" w:color="auto" w:sz="4" w:space="0"/>
                  </w:tcBorders>
                  <w:noWrap w:val="0"/>
                  <w:vAlign w:val="center"/>
                </w:tcPr>
                <w:p w14:paraId="59536E98">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44.47</w:t>
                  </w:r>
                </w:p>
              </w:tc>
              <w:tc>
                <w:tcPr>
                  <w:tcW w:w="526" w:type="pct"/>
                  <w:tcBorders>
                    <w:left w:val="single" w:color="auto" w:sz="4" w:space="0"/>
                    <w:right w:val="single" w:color="auto" w:sz="4" w:space="0"/>
                  </w:tcBorders>
                  <w:noWrap w:val="0"/>
                  <w:vAlign w:val="center"/>
                </w:tcPr>
                <w:p w14:paraId="53006A76">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46.41</w:t>
                  </w:r>
                </w:p>
              </w:tc>
              <w:tc>
                <w:tcPr>
                  <w:tcW w:w="483" w:type="pct"/>
                  <w:tcBorders>
                    <w:left w:val="single" w:color="auto" w:sz="4" w:space="0"/>
                  </w:tcBorders>
                  <w:noWrap w:val="0"/>
                  <w:vAlign w:val="center"/>
                </w:tcPr>
                <w:p w14:paraId="1D4EEA6C">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42.42</w:t>
                  </w:r>
                </w:p>
              </w:tc>
            </w:tr>
            <w:tr w14:paraId="5F2A98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4" w:hRule="atLeast"/>
                <w:jc w:val="center"/>
              </w:trPr>
              <w:tc>
                <w:tcPr>
                  <w:tcW w:w="757" w:type="pct"/>
                  <w:noWrap w:val="0"/>
                  <w:vAlign w:val="center"/>
                </w:tcPr>
                <w:p w14:paraId="4C6118A5">
                  <w:pPr>
                    <w:spacing w:line="240" w:lineRule="auto"/>
                    <w:ind w:left="-122" w:leftChars="-51" w:right="-122" w:rightChars="-51"/>
                    <w:jc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bidi="ar"/>
                    </w:rPr>
                    <w:t>水泥罐</w:t>
                  </w:r>
                </w:p>
              </w:tc>
              <w:tc>
                <w:tcPr>
                  <w:tcW w:w="619" w:type="pct"/>
                  <w:noWrap w:val="0"/>
                  <w:vAlign w:val="center"/>
                </w:tcPr>
                <w:p w14:paraId="55DC96CE">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63</w:t>
                  </w:r>
                </w:p>
              </w:tc>
              <w:tc>
                <w:tcPr>
                  <w:tcW w:w="348" w:type="pct"/>
                  <w:tcBorders>
                    <w:right w:val="single" w:color="auto" w:sz="4" w:space="0"/>
                  </w:tcBorders>
                  <w:noWrap w:val="0"/>
                  <w:vAlign w:val="center"/>
                </w:tcPr>
                <w:p w14:paraId="268FD3EB">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w:t>
                  </w:r>
                </w:p>
              </w:tc>
              <w:tc>
                <w:tcPr>
                  <w:tcW w:w="370" w:type="pct"/>
                  <w:tcBorders>
                    <w:left w:val="single" w:color="auto" w:sz="4" w:space="0"/>
                    <w:right w:val="single" w:color="auto" w:sz="4" w:space="0"/>
                  </w:tcBorders>
                  <w:noWrap w:val="0"/>
                  <w:vAlign w:val="center"/>
                </w:tcPr>
                <w:p w14:paraId="29E95880">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444" w:type="pct"/>
                  <w:tcBorders>
                    <w:left w:val="single" w:color="auto" w:sz="4" w:space="0"/>
                    <w:right w:val="single" w:color="auto" w:sz="4" w:space="0"/>
                  </w:tcBorders>
                  <w:noWrap w:val="0"/>
                  <w:vAlign w:val="center"/>
                </w:tcPr>
                <w:p w14:paraId="3946637A">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456" w:type="pct"/>
                  <w:tcBorders>
                    <w:left w:val="single" w:color="auto" w:sz="4" w:space="0"/>
                  </w:tcBorders>
                  <w:noWrap w:val="0"/>
                  <w:vAlign w:val="center"/>
                </w:tcPr>
                <w:p w14:paraId="74EF2B03">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27</w:t>
                  </w:r>
                </w:p>
              </w:tc>
              <w:tc>
                <w:tcPr>
                  <w:tcW w:w="476" w:type="pct"/>
                  <w:tcBorders>
                    <w:right w:val="single" w:color="auto" w:sz="4" w:space="0"/>
                  </w:tcBorders>
                  <w:noWrap w:val="0"/>
                  <w:vAlign w:val="center"/>
                </w:tcPr>
                <w:p w14:paraId="73ED5012">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37.42</w:t>
                  </w:r>
                </w:p>
              </w:tc>
              <w:tc>
                <w:tcPr>
                  <w:tcW w:w="517" w:type="pct"/>
                  <w:tcBorders>
                    <w:left w:val="single" w:color="auto" w:sz="4" w:space="0"/>
                    <w:right w:val="single" w:color="auto" w:sz="4" w:space="0"/>
                  </w:tcBorders>
                  <w:noWrap w:val="0"/>
                  <w:vAlign w:val="center"/>
                </w:tcPr>
                <w:p w14:paraId="2D79BF69">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40.72</w:t>
                  </w:r>
                </w:p>
              </w:tc>
              <w:tc>
                <w:tcPr>
                  <w:tcW w:w="526" w:type="pct"/>
                  <w:tcBorders>
                    <w:left w:val="single" w:color="auto" w:sz="4" w:space="0"/>
                    <w:right w:val="single" w:color="auto" w:sz="4" w:space="0"/>
                  </w:tcBorders>
                  <w:noWrap w:val="0"/>
                  <w:vAlign w:val="center"/>
                </w:tcPr>
                <w:p w14:paraId="45C68E8C">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43.91</w:t>
                  </w:r>
                </w:p>
              </w:tc>
              <w:tc>
                <w:tcPr>
                  <w:tcW w:w="483" w:type="pct"/>
                  <w:tcBorders>
                    <w:left w:val="single" w:color="auto" w:sz="4" w:space="0"/>
                  </w:tcBorders>
                  <w:noWrap w:val="0"/>
                  <w:vAlign w:val="center"/>
                </w:tcPr>
                <w:p w14:paraId="0D41BF96">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34.37</w:t>
                  </w:r>
                </w:p>
              </w:tc>
            </w:tr>
            <w:tr w14:paraId="233B52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1" w:hRule="atLeast"/>
                <w:jc w:val="center"/>
              </w:trPr>
              <w:tc>
                <w:tcPr>
                  <w:tcW w:w="2996" w:type="pct"/>
                  <w:gridSpan w:val="6"/>
                  <w:noWrap w:val="0"/>
                  <w:vAlign w:val="top"/>
                </w:tcPr>
                <w:p w14:paraId="0B165B25">
                  <w:pPr>
                    <w:pStyle w:val="47"/>
                    <w:spacing w:before="35" w:line="240" w:lineRule="auto"/>
                    <w:ind w:left="11" w:right="5"/>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项目噪声贡献值</w:t>
                  </w:r>
                  <w:r>
                    <w:rPr>
                      <w:rFonts w:hint="eastAsia" w:ascii="宋体" w:hAnsi="宋体" w:eastAsia="宋体" w:cs="宋体"/>
                      <w:b w:val="0"/>
                      <w:bCs w:val="0"/>
                      <w:color w:val="auto"/>
                      <w:spacing w:val="6"/>
                      <w:sz w:val="21"/>
                      <w:szCs w:val="21"/>
                      <w:lang w:val="en-US" w:eastAsia="zh-CN"/>
                    </w:rPr>
                    <w:t>dB（A）</w:t>
                  </w:r>
                </w:p>
              </w:tc>
              <w:tc>
                <w:tcPr>
                  <w:tcW w:w="476" w:type="pct"/>
                  <w:tcBorders>
                    <w:right w:val="single" w:color="auto" w:sz="4" w:space="0"/>
                  </w:tcBorders>
                  <w:noWrap w:val="0"/>
                  <w:vAlign w:val="center"/>
                </w:tcPr>
                <w:p w14:paraId="78E8ADAF">
                  <w:pPr>
                    <w:pStyle w:val="47"/>
                    <w:spacing w:before="35" w:line="240" w:lineRule="auto"/>
                    <w:ind w:left="11" w:right="5"/>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50.78</w:t>
                  </w:r>
                </w:p>
              </w:tc>
              <w:tc>
                <w:tcPr>
                  <w:tcW w:w="517" w:type="pct"/>
                  <w:tcBorders>
                    <w:left w:val="single" w:color="auto" w:sz="4" w:space="0"/>
                    <w:right w:val="single" w:color="auto" w:sz="4" w:space="0"/>
                  </w:tcBorders>
                  <w:noWrap w:val="0"/>
                  <w:vAlign w:val="center"/>
                </w:tcPr>
                <w:p w14:paraId="1C29E474">
                  <w:pPr>
                    <w:pStyle w:val="47"/>
                    <w:spacing w:before="35" w:line="240" w:lineRule="auto"/>
                    <w:ind w:left="11" w:right="5"/>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54.57</w:t>
                  </w:r>
                </w:p>
              </w:tc>
              <w:tc>
                <w:tcPr>
                  <w:tcW w:w="526" w:type="pct"/>
                  <w:tcBorders>
                    <w:left w:val="single" w:color="auto" w:sz="4" w:space="0"/>
                    <w:right w:val="single" w:color="auto" w:sz="4" w:space="0"/>
                  </w:tcBorders>
                  <w:noWrap w:val="0"/>
                  <w:vAlign w:val="center"/>
                </w:tcPr>
                <w:p w14:paraId="3F6EC115">
                  <w:pPr>
                    <w:pStyle w:val="47"/>
                    <w:spacing w:before="35" w:line="240" w:lineRule="auto"/>
                    <w:ind w:left="11" w:right="5"/>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57.03</w:t>
                  </w:r>
                </w:p>
              </w:tc>
              <w:tc>
                <w:tcPr>
                  <w:tcW w:w="483" w:type="pct"/>
                  <w:tcBorders>
                    <w:left w:val="single" w:color="auto" w:sz="4" w:space="0"/>
                  </w:tcBorders>
                  <w:noWrap w:val="0"/>
                  <w:vAlign w:val="center"/>
                </w:tcPr>
                <w:p w14:paraId="69A35FC3">
                  <w:pPr>
                    <w:pStyle w:val="47"/>
                    <w:spacing w:before="35" w:line="240" w:lineRule="auto"/>
                    <w:ind w:left="11" w:right="5"/>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48.74</w:t>
                  </w:r>
                </w:p>
              </w:tc>
            </w:tr>
          </w:tbl>
          <w:p w14:paraId="05C5405E">
            <w:pPr>
              <w:widowControl/>
              <w:ind w:firstLine="480" w:firstLineChars="20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z w:val="24"/>
                <w:u w:val="none" w:color="auto"/>
                <w:lang w:eastAsia="zh-CN"/>
              </w:rPr>
              <w:t>本项目夜间不生产，根据</w:t>
            </w:r>
            <w:r>
              <w:rPr>
                <w:rFonts w:hint="eastAsia" w:asciiTheme="majorEastAsia" w:hAnsiTheme="majorEastAsia" w:eastAsiaTheme="majorEastAsia" w:cstheme="majorEastAsia"/>
                <w:color w:val="auto"/>
                <w:sz w:val="24"/>
                <w:u w:val="none" w:color="auto"/>
              </w:rPr>
              <w:t>上表预测结果显示</w:t>
            </w:r>
            <w:r>
              <w:rPr>
                <w:rFonts w:hint="eastAsia" w:asciiTheme="majorEastAsia" w:hAnsiTheme="majorEastAsia" w:eastAsiaTheme="majorEastAsia" w:cstheme="majorEastAsia"/>
                <w:color w:val="auto"/>
                <w:sz w:val="24"/>
                <w:u w:val="none" w:color="auto"/>
                <w:lang w:eastAsia="zh-CN"/>
              </w:rPr>
              <w:t>，项目</w:t>
            </w:r>
            <w:r>
              <w:rPr>
                <w:rFonts w:hint="eastAsia" w:asciiTheme="majorEastAsia" w:hAnsiTheme="majorEastAsia" w:eastAsiaTheme="majorEastAsia" w:cstheme="majorEastAsia"/>
                <w:color w:val="auto"/>
                <w:sz w:val="24"/>
                <w:u w:val="none" w:color="auto"/>
              </w:rPr>
              <w:t>经过采取厂房隔声、基础减震、设备固定、采用软连接、减震垫</w:t>
            </w:r>
            <w:r>
              <w:rPr>
                <w:rFonts w:hint="eastAsia" w:asciiTheme="majorEastAsia" w:hAnsiTheme="majorEastAsia" w:eastAsiaTheme="majorEastAsia" w:cstheme="majorEastAsia"/>
                <w:color w:val="auto"/>
                <w:sz w:val="24"/>
                <w:szCs w:val="24"/>
                <w:vertAlign w:val="baseline"/>
                <w:lang w:val="zh-CN" w:eastAsia="zh-CN"/>
              </w:rPr>
              <w:t>设备减震、</w:t>
            </w:r>
            <w:r>
              <w:rPr>
                <w:rFonts w:hint="eastAsia" w:asciiTheme="majorEastAsia" w:hAnsiTheme="majorEastAsia" w:eastAsiaTheme="majorEastAsia" w:cstheme="majorEastAsia"/>
                <w:color w:val="auto"/>
                <w:sz w:val="24"/>
                <w:u w:val="none" w:color="auto"/>
                <w:lang w:eastAsia="zh-CN"/>
              </w:rPr>
              <w:t>大气稀释扩散</w:t>
            </w:r>
            <w:r>
              <w:rPr>
                <w:rFonts w:hint="eastAsia" w:asciiTheme="majorEastAsia" w:hAnsiTheme="majorEastAsia" w:eastAsiaTheme="majorEastAsia" w:cstheme="majorEastAsia"/>
                <w:color w:val="auto"/>
                <w:sz w:val="24"/>
                <w:u w:val="none" w:color="auto"/>
              </w:rPr>
              <w:t>等降噪措施后</w:t>
            </w:r>
            <w:r>
              <w:rPr>
                <w:rFonts w:hint="eastAsia" w:asciiTheme="majorEastAsia" w:hAnsiTheme="majorEastAsia" w:eastAsiaTheme="majorEastAsia" w:cstheme="majorEastAsia"/>
                <w:color w:val="auto"/>
                <w:sz w:val="24"/>
                <w:u w:val="none" w:color="auto"/>
                <w:lang w:eastAsia="zh-CN"/>
              </w:rPr>
              <w:t>，</w:t>
            </w:r>
            <w:r>
              <w:rPr>
                <w:rFonts w:hint="eastAsia" w:asciiTheme="majorEastAsia" w:hAnsiTheme="majorEastAsia" w:eastAsiaTheme="majorEastAsia" w:cstheme="majorEastAsia"/>
                <w:color w:val="auto"/>
                <w:sz w:val="24"/>
                <w:u w:val="none" w:color="auto"/>
              </w:rPr>
              <w:t>厂界东、西、北侧噪声排放符合《工业企业厂界环境噪声排放标准》（GB12348-2008）中</w:t>
            </w:r>
            <w:r>
              <w:rPr>
                <w:rFonts w:hint="eastAsia" w:asciiTheme="majorEastAsia" w:hAnsiTheme="majorEastAsia" w:eastAsiaTheme="majorEastAsia" w:cstheme="majorEastAsia"/>
                <w:color w:val="auto"/>
                <w:sz w:val="24"/>
                <w:u w:val="none" w:color="auto"/>
                <w:lang w:val="en-US" w:eastAsia="zh-CN"/>
              </w:rPr>
              <w:t>2</w:t>
            </w:r>
            <w:r>
              <w:rPr>
                <w:rFonts w:hint="eastAsia" w:asciiTheme="majorEastAsia" w:hAnsiTheme="majorEastAsia" w:eastAsiaTheme="majorEastAsia" w:cstheme="majorEastAsia"/>
                <w:color w:val="auto"/>
                <w:sz w:val="24"/>
                <w:u w:val="none" w:color="auto"/>
              </w:rPr>
              <w:t>类区厂界</w:t>
            </w:r>
            <w:r>
              <w:rPr>
                <w:rFonts w:hint="eastAsia" w:asciiTheme="majorEastAsia" w:hAnsiTheme="majorEastAsia" w:eastAsiaTheme="majorEastAsia" w:cstheme="majorEastAsia"/>
                <w:color w:val="auto"/>
                <w:sz w:val="24"/>
                <w:u w:val="none" w:color="auto"/>
                <w:lang w:eastAsia="zh-CN"/>
              </w:rPr>
              <w:t>昼间</w:t>
            </w:r>
            <w:r>
              <w:rPr>
                <w:rFonts w:hint="eastAsia" w:asciiTheme="majorEastAsia" w:hAnsiTheme="majorEastAsia" w:eastAsiaTheme="majorEastAsia" w:cstheme="majorEastAsia"/>
                <w:color w:val="auto"/>
                <w:sz w:val="24"/>
                <w:u w:val="none" w:color="auto"/>
              </w:rPr>
              <w:t>排放标准限值</w:t>
            </w:r>
            <w:r>
              <w:rPr>
                <w:rFonts w:hint="eastAsia" w:asciiTheme="majorEastAsia" w:hAnsiTheme="majorEastAsia" w:eastAsiaTheme="majorEastAsia" w:cstheme="majorEastAsia"/>
                <w:color w:val="auto"/>
                <w:sz w:val="24"/>
                <w:u w:val="none" w:color="auto"/>
                <w:lang w:eastAsia="zh-CN"/>
              </w:rPr>
              <w:t>，厂界南侧</w:t>
            </w:r>
            <w:r>
              <w:rPr>
                <w:rFonts w:hint="eastAsia" w:asciiTheme="majorEastAsia" w:hAnsiTheme="majorEastAsia" w:eastAsiaTheme="majorEastAsia" w:cstheme="majorEastAsia"/>
                <w:color w:val="auto"/>
                <w:sz w:val="24"/>
                <w:u w:val="none" w:color="auto"/>
              </w:rPr>
              <w:t>噪声排放符合《工业企业厂界环境噪声排放标准》（GB12348-2008）中</w:t>
            </w:r>
            <w:r>
              <w:rPr>
                <w:rFonts w:hint="eastAsia" w:asciiTheme="majorEastAsia" w:hAnsiTheme="majorEastAsia" w:eastAsiaTheme="majorEastAsia" w:cstheme="majorEastAsia"/>
                <w:color w:val="auto"/>
                <w:sz w:val="24"/>
                <w:u w:val="none" w:color="auto"/>
                <w:lang w:val="en-US" w:eastAsia="zh-CN"/>
              </w:rPr>
              <w:t>4a</w:t>
            </w:r>
            <w:r>
              <w:rPr>
                <w:rFonts w:hint="eastAsia" w:asciiTheme="majorEastAsia" w:hAnsiTheme="majorEastAsia" w:eastAsiaTheme="majorEastAsia" w:cstheme="majorEastAsia"/>
                <w:color w:val="auto"/>
                <w:sz w:val="24"/>
                <w:u w:val="none" w:color="auto"/>
              </w:rPr>
              <w:t>类区厂界</w:t>
            </w:r>
            <w:r>
              <w:rPr>
                <w:rFonts w:hint="eastAsia" w:asciiTheme="majorEastAsia" w:hAnsiTheme="majorEastAsia" w:eastAsiaTheme="majorEastAsia" w:cstheme="majorEastAsia"/>
                <w:color w:val="auto"/>
                <w:sz w:val="24"/>
                <w:u w:val="none" w:color="auto"/>
                <w:lang w:eastAsia="zh-CN"/>
              </w:rPr>
              <w:t>昼间</w:t>
            </w:r>
            <w:r>
              <w:rPr>
                <w:rFonts w:hint="eastAsia" w:asciiTheme="majorEastAsia" w:hAnsiTheme="majorEastAsia" w:eastAsiaTheme="majorEastAsia" w:cstheme="majorEastAsia"/>
                <w:color w:val="auto"/>
                <w:sz w:val="24"/>
                <w:u w:val="none" w:color="auto"/>
              </w:rPr>
              <w:t>排放标准限值</w:t>
            </w:r>
            <w:r>
              <w:rPr>
                <w:rFonts w:hint="eastAsia" w:asciiTheme="majorEastAsia" w:hAnsiTheme="majorEastAsia" w:eastAsiaTheme="majorEastAsia" w:cstheme="majorEastAsia"/>
                <w:color w:val="auto"/>
                <w:sz w:val="24"/>
                <w:u w:val="none" w:color="auto"/>
                <w:lang w:eastAsia="zh-CN"/>
              </w:rPr>
              <w:t>。</w:t>
            </w:r>
            <w:r>
              <w:rPr>
                <w:rFonts w:hint="eastAsia" w:asciiTheme="majorEastAsia" w:hAnsiTheme="majorEastAsia" w:eastAsiaTheme="majorEastAsia" w:cstheme="majorEastAsia"/>
                <w:color w:val="auto"/>
                <w:sz w:val="24"/>
                <w:szCs w:val="24"/>
                <w:lang w:val="en-US" w:eastAsia="zh-CN" w:bidi="ar-SA"/>
              </w:rPr>
              <w:t>项目运营期</w:t>
            </w:r>
            <w:r>
              <w:rPr>
                <w:rFonts w:hint="eastAsia" w:asciiTheme="majorEastAsia" w:hAnsiTheme="majorEastAsia" w:eastAsiaTheme="majorEastAsia" w:cstheme="majorEastAsia"/>
                <w:color w:val="auto"/>
                <w:sz w:val="24"/>
                <w:szCs w:val="24"/>
                <w:lang w:val="en-GB" w:eastAsia="zh-CN" w:bidi="ar-SA"/>
              </w:rPr>
              <w:t>设备</w:t>
            </w:r>
            <w:r>
              <w:rPr>
                <w:rFonts w:hint="eastAsia" w:asciiTheme="majorEastAsia" w:hAnsiTheme="majorEastAsia" w:eastAsiaTheme="majorEastAsia" w:cstheme="majorEastAsia"/>
                <w:color w:val="auto"/>
                <w:sz w:val="24"/>
                <w:szCs w:val="24"/>
                <w:lang w:val="en-GB" w:eastAsia="zh-TW" w:bidi="ar-SA"/>
              </w:rPr>
              <w:t>在正常运营情况下，经以上措施及远距离衰减后对</w:t>
            </w:r>
            <w:r>
              <w:rPr>
                <w:rFonts w:hint="eastAsia" w:asciiTheme="majorEastAsia" w:hAnsiTheme="majorEastAsia" w:eastAsiaTheme="majorEastAsia" w:cstheme="majorEastAsia"/>
                <w:color w:val="auto"/>
                <w:sz w:val="24"/>
                <w:lang w:val="en-GB" w:eastAsia="zh-TW" w:bidi="ar-SA"/>
              </w:rPr>
              <w:t>周边</w:t>
            </w:r>
            <w:r>
              <w:rPr>
                <w:rFonts w:hint="eastAsia" w:asciiTheme="majorEastAsia" w:hAnsiTheme="majorEastAsia" w:eastAsiaTheme="majorEastAsia" w:cstheme="majorEastAsia"/>
                <w:color w:val="auto"/>
                <w:sz w:val="24"/>
                <w:lang w:val="en-GB" w:eastAsia="zh-CN" w:bidi="ar-SA"/>
              </w:rPr>
              <w:t>环境</w:t>
            </w:r>
            <w:r>
              <w:rPr>
                <w:rFonts w:hint="eastAsia" w:asciiTheme="majorEastAsia" w:hAnsiTheme="majorEastAsia" w:eastAsiaTheme="majorEastAsia" w:cstheme="majorEastAsia"/>
                <w:color w:val="auto"/>
                <w:sz w:val="24"/>
                <w:lang w:val="en-GB" w:eastAsia="zh-TW" w:bidi="ar-SA"/>
              </w:rPr>
              <w:t>影响不大</w:t>
            </w:r>
            <w:r>
              <w:rPr>
                <w:rFonts w:hint="eastAsia" w:asciiTheme="majorEastAsia" w:hAnsiTheme="majorEastAsia" w:eastAsiaTheme="majorEastAsia" w:cstheme="majorEastAsia"/>
                <w:color w:val="auto"/>
                <w:sz w:val="24"/>
                <w:u w:val="none" w:color="auto"/>
              </w:rPr>
              <w:t>。</w:t>
            </w:r>
          </w:p>
          <w:p w14:paraId="3572FCB8">
            <w:pPr>
              <w:ind w:firstLine="482" w:firstLineChars="200"/>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b/>
                <w:bCs/>
                <w:color w:val="auto"/>
                <w:lang w:val="en-US" w:eastAsia="zh-CN"/>
              </w:rPr>
              <w:t>3、噪声监测要求</w:t>
            </w:r>
          </w:p>
          <w:p w14:paraId="50FA97A1">
            <w:pPr>
              <w:ind w:firstLine="480" w:firstLineChars="200"/>
              <w:rPr>
                <w:rFonts w:hint="eastAsia" w:asciiTheme="majorEastAsia" w:hAnsiTheme="majorEastAsia" w:eastAsiaTheme="majorEastAsia" w:cstheme="majorEastAsia"/>
                <w:b/>
                <w:bCs/>
                <w:color w:val="auto"/>
                <w:kern w:val="0"/>
                <w:lang w:bidi="ar"/>
              </w:rPr>
            </w:pPr>
            <w:r>
              <w:rPr>
                <w:rFonts w:hint="eastAsia" w:asciiTheme="majorEastAsia" w:hAnsiTheme="majorEastAsia" w:eastAsiaTheme="majorEastAsia" w:cstheme="majorEastAsia"/>
                <w:bCs/>
                <w:color w:val="auto"/>
                <w:sz w:val="24"/>
                <w:highlight w:val="none"/>
              </w:rPr>
              <w:t>根据《排污单位自行监测技术指南 总则》（HJ 819-2017</w:t>
            </w:r>
            <w:r>
              <w:rPr>
                <w:rFonts w:hint="eastAsia" w:asciiTheme="majorEastAsia" w:hAnsiTheme="majorEastAsia" w:eastAsiaTheme="majorEastAsia" w:cstheme="majorEastAsia"/>
                <w:bCs/>
                <w:color w:val="auto"/>
                <w:sz w:val="24"/>
                <w:highlight w:val="none"/>
                <w:lang w:eastAsia="zh-CN"/>
              </w:rPr>
              <w:t>）</w:t>
            </w:r>
            <w:r>
              <w:rPr>
                <w:rFonts w:hint="eastAsia" w:asciiTheme="majorEastAsia" w:hAnsiTheme="majorEastAsia" w:eastAsiaTheme="majorEastAsia" w:cstheme="majorEastAsia"/>
                <w:bCs/>
                <w:color w:val="auto"/>
                <w:sz w:val="24"/>
                <w:highlight w:val="none"/>
                <w:lang w:val="en-US" w:eastAsia="zh-CN"/>
              </w:rPr>
              <w:t>相关</w:t>
            </w:r>
            <w:r>
              <w:rPr>
                <w:rFonts w:hint="eastAsia" w:asciiTheme="majorEastAsia" w:hAnsiTheme="majorEastAsia" w:eastAsiaTheme="majorEastAsia" w:cstheme="majorEastAsia"/>
                <w:bCs/>
                <w:color w:val="auto"/>
                <w:sz w:val="24"/>
                <w:highlight w:val="none"/>
              </w:rPr>
              <w:t>要求，项目运营期噪声污染源自行监测计划见</w:t>
            </w:r>
            <w:r>
              <w:rPr>
                <w:rFonts w:hint="eastAsia" w:asciiTheme="majorEastAsia" w:hAnsiTheme="majorEastAsia" w:eastAsiaTheme="majorEastAsia" w:cstheme="majorEastAsia"/>
                <w:color w:val="auto"/>
                <w:lang w:eastAsia="zh-CN"/>
              </w:rPr>
              <w:t>表</w:t>
            </w:r>
            <w:r>
              <w:rPr>
                <w:rFonts w:hint="eastAsia" w:asciiTheme="majorEastAsia" w:hAnsiTheme="majorEastAsia" w:eastAsiaTheme="majorEastAsia" w:cstheme="majorEastAsia"/>
                <w:color w:val="auto"/>
                <w:lang w:val="en-US" w:eastAsia="zh-CN"/>
              </w:rPr>
              <w:t>4-15。</w:t>
            </w:r>
            <w:r>
              <w:rPr>
                <w:rFonts w:hint="eastAsia" w:asciiTheme="majorEastAsia" w:hAnsiTheme="majorEastAsia" w:eastAsiaTheme="majorEastAsia" w:cstheme="majorEastAsia"/>
                <w:color w:val="auto"/>
              </w:rPr>
              <w:t xml:space="preserve">   </w:t>
            </w:r>
          </w:p>
          <w:p w14:paraId="0299624B">
            <w:pPr>
              <w:widowControl/>
              <w:jc w:val="center"/>
              <w:rPr>
                <w:rFonts w:hint="eastAsia" w:asciiTheme="minorEastAsia" w:hAnsiTheme="minorEastAsia" w:eastAsiaTheme="minorEastAsia" w:cstheme="minorEastAsia"/>
                <w:b/>
                <w:bCs/>
                <w:color w:val="auto"/>
                <w:kern w:val="0"/>
                <w:lang w:bidi="ar"/>
              </w:rPr>
            </w:pPr>
            <w:r>
              <w:rPr>
                <w:rFonts w:hint="eastAsia" w:asciiTheme="minorEastAsia" w:hAnsiTheme="minorEastAsia" w:eastAsiaTheme="minorEastAsia" w:cstheme="minorEastAsia"/>
                <w:b/>
                <w:bCs/>
                <w:color w:val="auto"/>
                <w:kern w:val="0"/>
                <w:lang w:bidi="ar"/>
              </w:rPr>
              <w:t>表4-</w:t>
            </w:r>
            <w:r>
              <w:rPr>
                <w:rFonts w:hint="eastAsia" w:asciiTheme="minorEastAsia" w:hAnsiTheme="minorEastAsia" w:eastAsiaTheme="minorEastAsia" w:cstheme="minorEastAsia"/>
                <w:b/>
                <w:bCs/>
                <w:color w:val="auto"/>
                <w:kern w:val="0"/>
                <w:lang w:val="en-US" w:eastAsia="zh-CN" w:bidi="ar"/>
              </w:rPr>
              <w:t>15</w:t>
            </w:r>
            <w:r>
              <w:rPr>
                <w:rFonts w:hint="eastAsia" w:asciiTheme="minorEastAsia" w:hAnsiTheme="minorEastAsia" w:eastAsiaTheme="minorEastAsia" w:cstheme="minorEastAsia"/>
                <w:b/>
                <w:bCs/>
                <w:color w:val="auto"/>
                <w:kern w:val="0"/>
                <w:lang w:bidi="ar"/>
              </w:rPr>
              <w:t xml:space="preserve">  噪声监测计划一览表</w:t>
            </w: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098"/>
              <w:gridCol w:w="1166"/>
              <w:gridCol w:w="2160"/>
              <w:gridCol w:w="3534"/>
            </w:tblGrid>
            <w:tr w14:paraId="0743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701" w:type="pct"/>
                  <w:vAlign w:val="center"/>
                </w:tcPr>
                <w:p w14:paraId="46534796">
                  <w:pPr>
                    <w:spacing w:line="240" w:lineRule="auto"/>
                    <w:jc w:val="center"/>
                    <w:rPr>
                      <w:rFonts w:hint="eastAsia" w:asciiTheme="minorEastAsia" w:hAnsiTheme="minorEastAsia" w:eastAsiaTheme="minorEastAsia" w:cstheme="minorEastAsia"/>
                      <w:b/>
                      <w:bCs/>
                      <w:color w:val="auto"/>
                      <w:kern w:val="0"/>
                      <w:sz w:val="21"/>
                      <w:szCs w:val="21"/>
                      <w:lang w:bidi="ar"/>
                    </w:rPr>
                  </w:pPr>
                  <w:r>
                    <w:rPr>
                      <w:rFonts w:hint="eastAsia" w:asciiTheme="minorEastAsia" w:hAnsiTheme="minorEastAsia" w:eastAsiaTheme="minorEastAsia" w:cstheme="minorEastAsia"/>
                      <w:b/>
                      <w:bCs/>
                      <w:color w:val="auto"/>
                      <w:kern w:val="0"/>
                      <w:sz w:val="21"/>
                      <w:szCs w:val="21"/>
                      <w:lang w:bidi="ar"/>
                    </w:rPr>
                    <w:t>监测项目</w:t>
                  </w:r>
                </w:p>
              </w:tc>
              <w:tc>
                <w:tcPr>
                  <w:tcW w:w="593" w:type="pct"/>
                  <w:vAlign w:val="center"/>
                </w:tcPr>
                <w:p w14:paraId="67F6FDB0">
                  <w:pPr>
                    <w:spacing w:line="240" w:lineRule="auto"/>
                    <w:jc w:val="cente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rPr>
                    <w:t>监测</w:t>
                  </w:r>
                  <w:r>
                    <w:rPr>
                      <w:rFonts w:hint="eastAsia" w:asciiTheme="minorEastAsia" w:hAnsiTheme="minorEastAsia" w:eastAsiaTheme="minorEastAsia" w:cstheme="minorEastAsia"/>
                      <w:b/>
                      <w:bCs/>
                      <w:color w:val="auto"/>
                      <w:sz w:val="21"/>
                      <w:szCs w:val="21"/>
                      <w:lang w:eastAsia="zh-CN"/>
                    </w:rPr>
                    <w:t>点位</w:t>
                  </w:r>
                </w:p>
              </w:tc>
              <w:tc>
                <w:tcPr>
                  <w:tcW w:w="629" w:type="pct"/>
                  <w:vAlign w:val="center"/>
                </w:tcPr>
                <w:p w14:paraId="0E807F22">
                  <w:pPr>
                    <w:spacing w:line="240" w:lineRule="auto"/>
                    <w:jc w:val="center"/>
                    <w:rPr>
                      <w:rFonts w:hint="eastAsia" w:asciiTheme="minorEastAsia" w:hAnsiTheme="minorEastAsia" w:eastAsiaTheme="minorEastAsia" w:cstheme="minorEastAsia"/>
                      <w:b/>
                      <w:bCs/>
                      <w:color w:val="auto"/>
                      <w:kern w:val="0"/>
                      <w:sz w:val="21"/>
                      <w:szCs w:val="21"/>
                      <w:lang w:bidi="ar"/>
                    </w:rPr>
                  </w:pPr>
                  <w:r>
                    <w:rPr>
                      <w:rFonts w:hint="eastAsia" w:asciiTheme="minorEastAsia" w:hAnsiTheme="minorEastAsia" w:eastAsiaTheme="minorEastAsia" w:cstheme="minorEastAsia"/>
                      <w:b/>
                      <w:bCs/>
                      <w:color w:val="auto"/>
                      <w:sz w:val="21"/>
                      <w:szCs w:val="21"/>
                    </w:rPr>
                    <w:t>监测项目</w:t>
                  </w:r>
                </w:p>
              </w:tc>
              <w:tc>
                <w:tcPr>
                  <w:tcW w:w="1166" w:type="pct"/>
                  <w:vAlign w:val="center"/>
                </w:tcPr>
                <w:p w14:paraId="67B1BD4D">
                  <w:pPr>
                    <w:spacing w:line="240" w:lineRule="auto"/>
                    <w:jc w:val="center"/>
                    <w:rPr>
                      <w:rFonts w:hint="eastAsia" w:asciiTheme="minorEastAsia" w:hAnsiTheme="minorEastAsia" w:eastAsiaTheme="minorEastAsia" w:cstheme="minorEastAsia"/>
                      <w:b/>
                      <w:bCs/>
                      <w:color w:val="auto"/>
                      <w:kern w:val="0"/>
                      <w:sz w:val="21"/>
                      <w:szCs w:val="21"/>
                      <w:lang w:bidi="ar"/>
                    </w:rPr>
                  </w:pPr>
                  <w:r>
                    <w:rPr>
                      <w:rFonts w:hint="eastAsia" w:asciiTheme="minorEastAsia" w:hAnsiTheme="minorEastAsia" w:eastAsiaTheme="minorEastAsia" w:cstheme="minorEastAsia"/>
                      <w:b/>
                      <w:bCs/>
                      <w:color w:val="auto"/>
                      <w:sz w:val="21"/>
                      <w:szCs w:val="21"/>
                    </w:rPr>
                    <w:t>监测频率</w:t>
                  </w:r>
                </w:p>
              </w:tc>
              <w:tc>
                <w:tcPr>
                  <w:tcW w:w="1909" w:type="pct"/>
                  <w:vAlign w:val="center"/>
                </w:tcPr>
                <w:p w14:paraId="4D1CF1A3">
                  <w:pPr>
                    <w:spacing w:line="240" w:lineRule="auto"/>
                    <w:jc w:val="center"/>
                    <w:rPr>
                      <w:rFonts w:hint="eastAsia" w:asciiTheme="minorEastAsia" w:hAnsiTheme="minorEastAsia" w:eastAsiaTheme="minorEastAsia" w:cstheme="minorEastAsia"/>
                      <w:b/>
                      <w:bCs/>
                      <w:color w:val="auto"/>
                      <w:kern w:val="0"/>
                      <w:sz w:val="21"/>
                      <w:szCs w:val="21"/>
                      <w:lang w:bidi="ar"/>
                    </w:rPr>
                  </w:pPr>
                  <w:r>
                    <w:rPr>
                      <w:rFonts w:hint="eastAsia" w:asciiTheme="minorEastAsia" w:hAnsiTheme="minorEastAsia" w:eastAsiaTheme="minorEastAsia" w:cstheme="minorEastAsia"/>
                      <w:b/>
                      <w:bCs/>
                      <w:color w:val="auto"/>
                      <w:sz w:val="21"/>
                      <w:szCs w:val="21"/>
                    </w:rPr>
                    <w:t>执行标准</w:t>
                  </w:r>
                </w:p>
              </w:tc>
            </w:tr>
            <w:tr w14:paraId="6D08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01" w:type="pct"/>
                  <w:vAlign w:val="center"/>
                </w:tcPr>
                <w:p w14:paraId="37C7485F">
                  <w:pPr>
                    <w:widowControl/>
                    <w:spacing w:line="240" w:lineRule="auto"/>
                    <w:jc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噪声</w:t>
                  </w:r>
                </w:p>
              </w:tc>
              <w:tc>
                <w:tcPr>
                  <w:tcW w:w="593" w:type="pct"/>
                  <w:vAlign w:val="center"/>
                </w:tcPr>
                <w:p w14:paraId="68AFDFFD">
                  <w:pPr>
                    <w:widowControl/>
                    <w:spacing w:line="240" w:lineRule="auto"/>
                    <w:jc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厂界四周</w:t>
                  </w:r>
                  <w:r>
                    <w:rPr>
                      <w:rFonts w:hint="eastAsia" w:asciiTheme="minorEastAsia" w:hAnsiTheme="minorEastAsia" w:eastAsiaTheme="minorEastAsia" w:cstheme="minorEastAsia"/>
                      <w:color w:val="auto"/>
                      <w:kern w:val="0"/>
                      <w:sz w:val="21"/>
                      <w:szCs w:val="21"/>
                      <w:lang w:eastAsia="zh-CN" w:bidi="ar"/>
                    </w:rPr>
                    <w:t>外</w:t>
                  </w:r>
                  <w:r>
                    <w:rPr>
                      <w:rFonts w:hint="eastAsia" w:asciiTheme="minorEastAsia" w:hAnsiTheme="minorEastAsia" w:eastAsiaTheme="minorEastAsia" w:cstheme="minorEastAsia"/>
                      <w:color w:val="auto"/>
                      <w:kern w:val="0"/>
                      <w:sz w:val="21"/>
                      <w:szCs w:val="21"/>
                      <w:lang w:bidi="ar"/>
                    </w:rPr>
                    <w:t>1m处</w:t>
                  </w:r>
                </w:p>
              </w:tc>
              <w:tc>
                <w:tcPr>
                  <w:tcW w:w="629" w:type="pct"/>
                  <w:vAlign w:val="center"/>
                </w:tcPr>
                <w:p w14:paraId="57AD707F">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连续等效A声级</w:t>
                  </w:r>
                </w:p>
              </w:tc>
              <w:tc>
                <w:tcPr>
                  <w:tcW w:w="1166" w:type="pct"/>
                  <w:vAlign w:val="center"/>
                </w:tcPr>
                <w:p w14:paraId="10E22B0F">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竣工验收时连续监测2天，昼夜各1次</w:t>
                  </w:r>
                </w:p>
              </w:tc>
              <w:tc>
                <w:tcPr>
                  <w:tcW w:w="1909" w:type="pct"/>
                  <w:vAlign w:val="center"/>
                </w:tcPr>
                <w:p w14:paraId="70DB37D2">
                  <w:pPr>
                    <w:widowControl/>
                    <w:spacing w:line="240" w:lineRule="auto"/>
                    <w:jc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sz w:val="21"/>
                      <w:szCs w:val="21"/>
                    </w:rPr>
                    <w:t>《工业企业厂界环境噪声排放标准》（GB12348-2008）2类</w:t>
                  </w:r>
                  <w:r>
                    <w:rPr>
                      <w:rFonts w:hint="eastAsia" w:asciiTheme="minorEastAsia" w:hAnsiTheme="minorEastAsia" w:eastAsiaTheme="minorEastAsia" w:cstheme="minorEastAsia"/>
                      <w:color w:val="auto"/>
                      <w:sz w:val="21"/>
                      <w:szCs w:val="21"/>
                      <w:lang w:eastAsia="zh-CN"/>
                    </w:rPr>
                    <w:t>和</w:t>
                  </w:r>
                  <w:r>
                    <w:rPr>
                      <w:rFonts w:hint="eastAsia" w:asciiTheme="minorEastAsia" w:hAnsiTheme="minorEastAsia" w:eastAsiaTheme="minorEastAsia" w:cstheme="minorEastAsia"/>
                      <w:color w:val="auto"/>
                      <w:sz w:val="21"/>
                      <w:szCs w:val="21"/>
                      <w:lang w:val="en-US" w:eastAsia="zh-CN"/>
                    </w:rPr>
                    <w:t>4a类</w:t>
                  </w:r>
                  <w:r>
                    <w:rPr>
                      <w:rFonts w:hint="eastAsia" w:asciiTheme="minorEastAsia" w:hAnsiTheme="minorEastAsia" w:eastAsiaTheme="minorEastAsia" w:cstheme="minorEastAsia"/>
                      <w:color w:val="auto"/>
                      <w:sz w:val="21"/>
                      <w:szCs w:val="21"/>
                    </w:rPr>
                    <w:t>标准</w:t>
                  </w:r>
                </w:p>
              </w:tc>
            </w:tr>
          </w:tbl>
          <w:p w14:paraId="2EFAC964">
            <w:pPr>
              <w:numPr>
                <w:ilvl w:val="0"/>
                <w:numId w:val="0"/>
              </w:numPr>
              <w:ind w:firstLine="241" w:firstLineChars="100"/>
              <w:rPr>
                <w:rFonts w:ascii="Times New Roman" w:hAnsi="Times New Roman"/>
                <w:b/>
                <w:bCs/>
                <w:color w:val="auto"/>
              </w:rPr>
            </w:pPr>
            <w:r>
              <w:rPr>
                <w:rFonts w:hint="eastAsia"/>
                <w:b/>
                <w:bCs/>
                <w:color w:val="auto"/>
                <w:lang w:eastAsia="zh-CN"/>
              </w:rPr>
              <w:t>二、</w:t>
            </w:r>
            <w:r>
              <w:rPr>
                <w:rFonts w:hint="eastAsia" w:ascii="Times New Roman" w:hAnsi="Times New Roman"/>
                <w:b/>
                <w:bCs/>
                <w:color w:val="auto"/>
              </w:rPr>
              <w:t>固体废物环境影响分析</w:t>
            </w:r>
          </w:p>
          <w:p w14:paraId="297B874B">
            <w:pPr>
              <w:ind w:firstLine="480" w:firstLineChars="200"/>
              <w:rPr>
                <w:rFonts w:ascii="Times New Roman" w:hAnsi="Times New Roman"/>
                <w:color w:val="auto"/>
              </w:rPr>
            </w:pPr>
            <w:r>
              <w:rPr>
                <w:rFonts w:hint="eastAsia" w:ascii="Times New Roman" w:hAnsi="Times New Roman"/>
                <w:color w:val="auto"/>
              </w:rPr>
              <w:t>本项目产生的</w:t>
            </w:r>
            <w:r>
              <w:rPr>
                <w:rFonts w:hint="eastAsia" w:ascii="Times New Roman" w:hAnsi="Times New Roman"/>
                <w:color w:val="auto"/>
                <w:lang w:eastAsia="zh-CN"/>
              </w:rPr>
              <w:t>固体废物</w:t>
            </w:r>
            <w:r>
              <w:rPr>
                <w:rFonts w:hint="eastAsia" w:ascii="Times New Roman" w:hAnsi="Times New Roman"/>
                <w:color w:val="auto"/>
              </w:rPr>
              <w:t>主要来自生产和办公生活过程。项目的设备维修主要是更换设备，其有关车辆、设备的维修、更换机油、更换零部件等均委托乡镇专门的维修单位进行维修，建设单位不自行进行更换，同时维修产生的相应废物由维修人员进行一并处理。项目产生的</w:t>
            </w:r>
            <w:r>
              <w:rPr>
                <w:rFonts w:hint="eastAsia" w:ascii="Times New Roman" w:hAnsi="Times New Roman"/>
                <w:color w:val="auto"/>
                <w:lang w:eastAsia="zh-CN"/>
              </w:rPr>
              <w:t>固体废物</w:t>
            </w:r>
            <w:r>
              <w:rPr>
                <w:rFonts w:hint="eastAsia" w:ascii="Times New Roman" w:hAnsi="Times New Roman"/>
                <w:color w:val="auto"/>
              </w:rPr>
              <w:t>属于一般</w:t>
            </w:r>
            <w:r>
              <w:rPr>
                <w:rFonts w:hint="eastAsia" w:ascii="Times New Roman" w:hAnsi="Times New Roman"/>
                <w:color w:val="auto"/>
                <w:lang w:eastAsia="zh-CN"/>
              </w:rPr>
              <w:t>固体废物</w:t>
            </w:r>
            <w:r>
              <w:rPr>
                <w:rFonts w:hint="eastAsia" w:ascii="Times New Roman" w:hAnsi="Times New Roman"/>
                <w:color w:val="auto"/>
              </w:rPr>
              <w:t>。</w:t>
            </w:r>
          </w:p>
          <w:p w14:paraId="13D4E30B">
            <w:pPr>
              <w:ind w:firstLine="480" w:firstLineChars="200"/>
              <w:rPr>
                <w:rFonts w:ascii="Times New Roman" w:hAnsi="Times New Roman"/>
                <w:color w:val="auto"/>
              </w:rPr>
            </w:pPr>
            <w:r>
              <w:rPr>
                <w:rFonts w:hint="eastAsia" w:ascii="Times New Roman" w:hAnsi="Times New Roman"/>
                <w:color w:val="auto"/>
              </w:rPr>
              <w:t>项目运营期</w:t>
            </w:r>
            <w:r>
              <w:rPr>
                <w:rFonts w:hint="eastAsia" w:ascii="Times New Roman" w:hAnsi="Times New Roman"/>
                <w:color w:val="auto"/>
                <w:lang w:eastAsia="zh-CN"/>
              </w:rPr>
              <w:t>固体废物</w:t>
            </w:r>
            <w:r>
              <w:rPr>
                <w:rFonts w:hint="eastAsia" w:ascii="Times New Roman" w:hAnsi="Times New Roman"/>
                <w:color w:val="auto"/>
              </w:rPr>
              <w:t>分为生产</w:t>
            </w:r>
            <w:r>
              <w:rPr>
                <w:rFonts w:hint="eastAsia" w:ascii="Times New Roman" w:hAnsi="Times New Roman"/>
                <w:color w:val="auto"/>
                <w:lang w:eastAsia="zh-CN"/>
              </w:rPr>
              <w:t>固体废物</w:t>
            </w:r>
            <w:r>
              <w:rPr>
                <w:rFonts w:hint="eastAsia" w:ascii="Times New Roman" w:hAnsi="Times New Roman"/>
                <w:color w:val="auto"/>
              </w:rPr>
              <w:t>和生活</w:t>
            </w:r>
            <w:r>
              <w:rPr>
                <w:rFonts w:hint="eastAsia" w:ascii="Times New Roman" w:hAnsi="Times New Roman"/>
                <w:color w:val="auto"/>
                <w:lang w:eastAsia="zh-CN"/>
              </w:rPr>
              <w:t>固体废物</w:t>
            </w:r>
            <w:r>
              <w:rPr>
                <w:rFonts w:hint="eastAsia" w:ascii="Times New Roman" w:hAnsi="Times New Roman"/>
                <w:color w:val="auto"/>
              </w:rPr>
              <w:t>。</w:t>
            </w:r>
          </w:p>
          <w:p w14:paraId="4EAB9382">
            <w:pPr>
              <w:numPr>
                <w:ilvl w:val="0"/>
                <w:numId w:val="16"/>
              </w:numPr>
              <w:ind w:firstLine="482" w:firstLineChars="200"/>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生产</w:t>
            </w:r>
            <w:r>
              <w:rPr>
                <w:rFonts w:hint="eastAsia" w:asciiTheme="minorEastAsia" w:hAnsiTheme="minorEastAsia" w:eastAsiaTheme="minorEastAsia" w:cstheme="minorEastAsia"/>
                <w:b/>
                <w:bCs/>
                <w:color w:val="auto"/>
                <w:lang w:eastAsia="zh-CN"/>
              </w:rPr>
              <w:t>固体废物</w:t>
            </w:r>
          </w:p>
          <w:p w14:paraId="7B28E868">
            <w:pPr>
              <w:ind w:firstLine="482" w:firstLineChars="200"/>
              <w:rPr>
                <w:rFonts w:hint="eastAsia"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rPr>
              <w:t>（1）</w:t>
            </w:r>
            <w:r>
              <w:rPr>
                <w:rFonts w:hint="eastAsia" w:asciiTheme="minorEastAsia" w:hAnsiTheme="minorEastAsia" w:eastAsiaTheme="minorEastAsia" w:cstheme="minorEastAsia"/>
                <w:b/>
                <w:bCs/>
                <w:color w:val="auto"/>
                <w:lang w:eastAsia="zh-CN"/>
              </w:rPr>
              <w:t>水泥储罐收集粉尘</w:t>
            </w:r>
          </w:p>
          <w:p w14:paraId="5C8E190D">
            <w:pPr>
              <w:widowControl/>
              <w:ind w:firstLine="480" w:firstLineChars="200"/>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val="0"/>
                <w:bCs w:val="0"/>
                <w:color w:val="auto"/>
                <w:lang w:eastAsia="zh-CN"/>
              </w:rPr>
              <w:t>根据本章节大气环境影响分析可知，</w:t>
            </w:r>
            <w:r>
              <w:rPr>
                <w:rFonts w:hint="eastAsia" w:asciiTheme="minorEastAsia" w:hAnsiTheme="minorEastAsia" w:eastAsiaTheme="minorEastAsia" w:cstheme="minorEastAsia"/>
                <w:color w:val="auto"/>
              </w:rPr>
              <w:t>本项目设置有</w:t>
            </w: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rPr>
              <w:t>个水泥储罐，</w:t>
            </w:r>
            <w:r>
              <w:rPr>
                <w:rFonts w:hint="eastAsia" w:asciiTheme="minorEastAsia" w:hAnsiTheme="minorEastAsia" w:eastAsiaTheme="minorEastAsia" w:cstheme="minorEastAsia"/>
                <w:color w:val="auto"/>
                <w:spacing w:val="-1"/>
                <w:sz w:val="24"/>
              </w:rPr>
              <w:t>经布袋除尘器处理后（除尘效率为9</w:t>
            </w:r>
            <w:r>
              <w:rPr>
                <w:rFonts w:hint="eastAsia" w:asciiTheme="minorEastAsia" w:hAnsiTheme="minorEastAsia" w:eastAsiaTheme="minorEastAsia" w:cstheme="minorEastAsia"/>
                <w:color w:val="auto"/>
                <w:spacing w:val="-1"/>
                <w:sz w:val="24"/>
                <w:lang w:val="en-US" w:eastAsia="zh-CN"/>
              </w:rPr>
              <w:t>5</w:t>
            </w:r>
            <w:r>
              <w:rPr>
                <w:rFonts w:hint="eastAsia" w:asciiTheme="minorEastAsia" w:hAnsiTheme="minorEastAsia" w:eastAsiaTheme="minorEastAsia" w:cstheme="minorEastAsia"/>
                <w:color w:val="auto"/>
                <w:spacing w:val="-1"/>
                <w:sz w:val="24"/>
              </w:rPr>
              <w:t>%）排放量为</w:t>
            </w:r>
            <w:r>
              <w:rPr>
                <w:rFonts w:hint="eastAsia" w:asciiTheme="minorEastAsia" w:hAnsiTheme="minorEastAsia" w:eastAsiaTheme="minorEastAsia" w:cstheme="minorEastAsia"/>
                <w:color w:val="auto"/>
                <w:spacing w:val="-1"/>
                <w:sz w:val="24"/>
                <w:lang w:val="en-US" w:eastAsia="zh-CN"/>
              </w:rPr>
              <w:t>0.0516</w:t>
            </w:r>
            <w:r>
              <w:rPr>
                <w:rFonts w:hint="eastAsia" w:asciiTheme="minorEastAsia" w:hAnsiTheme="minorEastAsia" w:eastAsiaTheme="minorEastAsia" w:cstheme="minorEastAsia"/>
                <w:color w:val="auto"/>
                <w:spacing w:val="-1"/>
                <w:sz w:val="24"/>
              </w:rPr>
              <w:t>t/a，排放速率为</w:t>
            </w:r>
            <w:r>
              <w:rPr>
                <w:rFonts w:hint="eastAsia" w:asciiTheme="minorEastAsia" w:hAnsiTheme="minorEastAsia" w:eastAsiaTheme="minorEastAsia" w:cstheme="minorEastAsia"/>
                <w:color w:val="auto"/>
                <w:spacing w:val="-1"/>
                <w:sz w:val="24"/>
                <w:lang w:val="en-US" w:eastAsia="zh-CN"/>
              </w:rPr>
              <w:t>0.043</w:t>
            </w:r>
            <w:r>
              <w:rPr>
                <w:rFonts w:hint="eastAsia" w:asciiTheme="minorEastAsia" w:hAnsiTheme="minorEastAsia" w:eastAsiaTheme="minorEastAsia" w:cstheme="minorEastAsia"/>
                <w:color w:val="auto"/>
                <w:spacing w:val="-1"/>
                <w:sz w:val="24"/>
              </w:rPr>
              <w:t>kg/h，呈无组织排放，布袋除尘器收集后的粉尘（</w:t>
            </w:r>
            <w:r>
              <w:rPr>
                <w:rFonts w:hint="eastAsia" w:asciiTheme="minorEastAsia" w:hAnsiTheme="minorEastAsia" w:eastAsiaTheme="minorEastAsia" w:cstheme="minorEastAsia"/>
                <w:color w:val="auto"/>
                <w:spacing w:val="-1"/>
                <w:sz w:val="24"/>
                <w:lang w:val="en-US" w:eastAsia="zh-CN"/>
              </w:rPr>
              <w:t>0.9804</w:t>
            </w:r>
            <w:r>
              <w:rPr>
                <w:rFonts w:hint="eastAsia" w:asciiTheme="minorEastAsia" w:hAnsiTheme="minorEastAsia" w:eastAsiaTheme="minorEastAsia" w:cstheme="minorEastAsia"/>
                <w:color w:val="auto"/>
                <w:spacing w:val="-1"/>
                <w:sz w:val="24"/>
              </w:rPr>
              <w:t>t/a）回用于生产</w:t>
            </w:r>
            <w:r>
              <w:rPr>
                <w:rFonts w:hint="eastAsia" w:asciiTheme="minorEastAsia" w:hAnsiTheme="minorEastAsia" w:eastAsiaTheme="minorEastAsia" w:cstheme="minorEastAsia"/>
                <w:color w:val="auto"/>
                <w:spacing w:val="-1"/>
                <w:sz w:val="24"/>
                <w:lang w:eastAsia="zh-CN"/>
              </w:rPr>
              <w:t>。</w:t>
            </w:r>
          </w:p>
          <w:p w14:paraId="5C8B701E">
            <w:pPr>
              <w:ind w:firstLine="482"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bCs/>
                <w:color w:val="auto"/>
                <w:lang w:eastAsia="zh-CN"/>
              </w:rPr>
              <w:t>（</w:t>
            </w:r>
            <w:r>
              <w:rPr>
                <w:rFonts w:hint="eastAsia" w:asciiTheme="minorEastAsia" w:hAnsiTheme="minorEastAsia" w:eastAsiaTheme="minorEastAsia" w:cstheme="minorEastAsia"/>
                <w:b/>
                <w:bCs/>
                <w:color w:val="auto"/>
                <w:lang w:val="en-US" w:eastAsia="zh-CN"/>
              </w:rPr>
              <w:t>2</w:t>
            </w:r>
            <w:r>
              <w:rPr>
                <w:rFonts w:hint="eastAsia" w:asciiTheme="minorEastAsia" w:hAnsiTheme="minorEastAsia" w:eastAsiaTheme="minorEastAsia" w:cstheme="minorEastAsia"/>
                <w:b/>
                <w:bCs/>
                <w:color w:val="auto"/>
                <w:lang w:eastAsia="zh-CN"/>
              </w:rPr>
              <w:t>）</w:t>
            </w:r>
            <w:r>
              <w:rPr>
                <w:rFonts w:hint="eastAsia" w:asciiTheme="minorEastAsia" w:hAnsiTheme="minorEastAsia" w:eastAsiaTheme="minorEastAsia" w:cstheme="minorEastAsia"/>
                <w:b/>
                <w:bCs/>
                <w:color w:val="auto"/>
              </w:rPr>
              <w:t>不合格的</w:t>
            </w:r>
            <w:r>
              <w:rPr>
                <w:rFonts w:hint="eastAsia" w:asciiTheme="minorEastAsia" w:hAnsiTheme="minorEastAsia" w:eastAsiaTheme="minorEastAsia" w:cstheme="minorEastAsia"/>
                <w:b/>
                <w:bCs/>
                <w:color w:val="auto"/>
                <w:lang w:eastAsia="zh-CN"/>
              </w:rPr>
              <w:t>产品</w:t>
            </w:r>
          </w:p>
          <w:p w14:paraId="1930865C">
            <w:pPr>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根据《第二次全国污染源普查工业污染源普查产排污系数手册——30 非金属矿物制品业系数手册》中</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3021 水泥制品制造（含 3022 砼结构构件制造、3029其他水泥类似制品制造）行业系数手册</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，水泥制品制造在成型养护过程中产生的废砖产污系数为 0.45kg/吨-产品计算，</w:t>
            </w:r>
            <w:r>
              <w:rPr>
                <w:rFonts w:hint="eastAsia" w:asciiTheme="minorEastAsia" w:hAnsiTheme="minorEastAsia" w:eastAsiaTheme="minorEastAsia" w:cstheme="minorEastAsia"/>
                <w:color w:val="000000" w:themeColor="text1"/>
                <w14:textFill>
                  <w14:solidFill>
                    <w14:schemeClr w14:val="tx1"/>
                  </w14:solidFill>
                </w14:textFill>
              </w:rPr>
              <w:t>项目水泥管年产5000根；</w:t>
            </w:r>
            <w:r>
              <w:rPr>
                <w:rFonts w:hint="eastAsia" w:asciiTheme="minorEastAsia" w:hAnsiTheme="minorEastAsia" w:eastAsiaTheme="minorEastAsia" w:cstheme="minorEastAsia"/>
                <w:color w:val="000000" w:themeColor="text1"/>
                <w:lang w:eastAsia="zh-CN"/>
                <w14:textFill>
                  <w14:solidFill>
                    <w14:schemeClr w14:val="tx1"/>
                  </w14:solidFill>
                </w14:textFill>
              </w:rPr>
              <w:t>彩砖、植草砖分别年产</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20万块；</w:t>
            </w:r>
            <w:r>
              <w:rPr>
                <w:rFonts w:hint="eastAsia" w:asciiTheme="minorEastAsia" w:hAnsiTheme="minorEastAsia" w:eastAsiaTheme="minorEastAsia" w:cstheme="minorEastAsia"/>
                <w:color w:val="000000" w:themeColor="text1"/>
                <w14:textFill>
                  <w14:solidFill>
                    <w14:schemeClr w14:val="tx1"/>
                  </w14:solidFill>
                </w14:textFill>
              </w:rPr>
              <w:t>检查井年产800座；井盖年产1万块</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涵管年产</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5000</w:t>
            </w:r>
            <w:r>
              <w:rPr>
                <w:rFonts w:hint="eastAsia" w:asciiTheme="minorEastAsia" w:hAnsiTheme="minorEastAsia" w:eastAsiaTheme="minorEastAsia" w:cstheme="minorEastAsia"/>
                <w:color w:val="000000" w:themeColor="text1"/>
                <w14:textFill>
                  <w14:solidFill>
                    <w14:schemeClr w14:val="tx1"/>
                  </w14:solidFill>
                </w14:textFill>
              </w:rPr>
              <w:t>根</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预制板年产1万块。</w:t>
            </w:r>
            <w:r>
              <w:rPr>
                <w:rFonts w:hint="eastAsia" w:asciiTheme="minorEastAsia" w:hAnsiTheme="minorEastAsia" w:eastAsiaTheme="minorEastAsia" w:cstheme="minorEastAsia"/>
                <w:color w:val="000000" w:themeColor="text1"/>
                <w:lang w:eastAsia="zh-CN"/>
                <w14:textFill>
                  <w14:solidFill>
                    <w14:schemeClr w14:val="tx1"/>
                  </w14:solidFill>
                </w14:textFill>
              </w:rPr>
              <w:t>产品重量约为</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10.67342万t</w:t>
            </w:r>
            <w:r>
              <w:rPr>
                <w:rFonts w:hint="eastAsia" w:asciiTheme="minorEastAsia" w:hAnsiTheme="minorEastAsia" w:eastAsiaTheme="minorEastAsia" w:cstheme="minorEastAsia"/>
                <w:color w:val="auto"/>
              </w:rPr>
              <w:t>，因此本项目在成型养护</w:t>
            </w:r>
            <w:r>
              <w:rPr>
                <w:rFonts w:hint="eastAsia" w:asciiTheme="minorEastAsia" w:hAnsiTheme="minorEastAsia" w:eastAsiaTheme="minorEastAsia" w:cstheme="minorEastAsia"/>
                <w:color w:val="auto"/>
                <w:lang w:eastAsia="zh-CN"/>
              </w:rPr>
              <w:t>固体废物</w:t>
            </w:r>
            <w:r>
              <w:rPr>
                <w:rFonts w:hint="eastAsia" w:asciiTheme="minorEastAsia" w:hAnsiTheme="minorEastAsia" w:eastAsiaTheme="minorEastAsia" w:cstheme="minorEastAsia"/>
                <w:color w:val="auto"/>
              </w:rPr>
              <w:t>产生量为</w:t>
            </w:r>
            <w:r>
              <w:rPr>
                <w:rFonts w:hint="eastAsia" w:asciiTheme="minorEastAsia" w:hAnsiTheme="minorEastAsia" w:eastAsiaTheme="minorEastAsia" w:cstheme="minorEastAsia"/>
                <w:color w:val="auto"/>
                <w:lang w:val="en-US" w:eastAsia="zh-CN"/>
              </w:rPr>
              <w:t>48.030</w:t>
            </w:r>
            <w:r>
              <w:rPr>
                <w:rFonts w:hint="eastAsia" w:asciiTheme="minorEastAsia" w:hAnsiTheme="minorEastAsia" w:eastAsiaTheme="minorEastAsia" w:cstheme="minorEastAsia"/>
                <w:color w:val="auto"/>
              </w:rPr>
              <w:t>t/a，其中未干化的废</w:t>
            </w:r>
            <w:r>
              <w:rPr>
                <w:rFonts w:hint="eastAsia" w:asciiTheme="minorEastAsia" w:hAnsiTheme="minorEastAsia" w:eastAsiaTheme="minorEastAsia" w:cstheme="minorEastAsia"/>
                <w:color w:val="auto"/>
                <w:lang w:eastAsia="zh-CN"/>
              </w:rPr>
              <w:t>产品</w:t>
            </w:r>
            <w:r>
              <w:rPr>
                <w:rFonts w:hint="eastAsia" w:asciiTheme="minorEastAsia" w:hAnsiTheme="minorEastAsia" w:eastAsiaTheme="minorEastAsia" w:cstheme="minorEastAsia"/>
                <w:color w:val="auto"/>
              </w:rPr>
              <w:t>则返回生产工艺使用；固化的废</w:t>
            </w:r>
            <w:r>
              <w:rPr>
                <w:rFonts w:hint="eastAsia" w:asciiTheme="minorEastAsia" w:hAnsiTheme="minorEastAsia" w:eastAsiaTheme="minorEastAsia" w:cstheme="minorEastAsia"/>
                <w:color w:val="auto"/>
                <w:lang w:eastAsia="zh-CN"/>
              </w:rPr>
              <w:t>产品</w:t>
            </w:r>
            <w:r>
              <w:rPr>
                <w:rFonts w:hint="eastAsia" w:asciiTheme="minorEastAsia" w:hAnsiTheme="minorEastAsia" w:eastAsiaTheme="minorEastAsia" w:cstheme="minorEastAsia"/>
                <w:color w:val="auto"/>
              </w:rPr>
              <w:t>需要先经过人工敲碎后再返回生产工艺使用。</w:t>
            </w:r>
          </w:p>
          <w:p w14:paraId="7E778721">
            <w:pPr>
              <w:pStyle w:val="8"/>
              <w:ind w:firstLine="482" w:firstLineChars="20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w:t>
            </w:r>
            <w:r>
              <w:rPr>
                <w:rFonts w:hint="eastAsia" w:asciiTheme="minorEastAsia" w:hAnsiTheme="minorEastAsia" w:eastAsiaTheme="minorEastAsia" w:cstheme="minorEastAsia"/>
                <w:b/>
                <w:bCs/>
                <w:color w:val="auto"/>
                <w:sz w:val="24"/>
                <w:lang w:val="en-US" w:eastAsia="zh-CN"/>
              </w:rPr>
              <w:t>3</w:t>
            </w:r>
            <w:r>
              <w:rPr>
                <w:rFonts w:hint="eastAsia" w:asciiTheme="minorEastAsia" w:hAnsiTheme="minorEastAsia" w:eastAsiaTheme="minorEastAsia" w:cstheme="minorEastAsia"/>
                <w:b/>
                <w:bCs/>
                <w:color w:val="auto"/>
                <w:sz w:val="24"/>
              </w:rPr>
              <w:t>）废料渣</w:t>
            </w:r>
          </w:p>
          <w:p w14:paraId="6154FB81">
            <w:pPr>
              <w:ind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kern w:val="0"/>
                <w:sz w:val="24"/>
                <w:szCs w:val="24"/>
                <w:lang w:val="en-US" w:eastAsia="zh-CN" w:bidi="ar"/>
              </w:rPr>
              <w:t>混</w:t>
            </w:r>
            <w:r>
              <w:rPr>
                <w:rFonts w:hint="eastAsia" w:asciiTheme="minorEastAsia" w:hAnsiTheme="minorEastAsia" w:eastAsiaTheme="minorEastAsia" w:cstheme="minorEastAsia"/>
                <w:color w:val="auto"/>
                <w:lang w:val="en-US" w:eastAsia="zh-CN"/>
              </w:rPr>
              <w:t>凝土边角料产生于搅拌机搅拌过程中和制作产品的过程中，搅拌机每天停工后对搅拌机内壁粘附的少量混凝土进行清理，清理方式是用锤子将混凝土块敲落。</w:t>
            </w:r>
          </w:p>
          <w:p w14:paraId="3EC8DB17">
            <w:pPr>
              <w:ind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根据《第二次全国污染源普查工业污染源普查产排污系数手册-30 非金属矿物制品业系数手册》中“3021 水泥制品制造（含 3022 砼结构构件制造、3029 其他水泥类似制品制造）行业系数手册”，水泥制品制造在混合搅拌过程中产生的固体废物产污系数为0.04kg/吨-产品计算，</w:t>
            </w:r>
            <w:r>
              <w:rPr>
                <w:rFonts w:hint="eastAsia" w:asciiTheme="minorEastAsia" w:hAnsiTheme="minorEastAsia" w:eastAsiaTheme="minorEastAsia" w:cstheme="minorEastAsia"/>
                <w:color w:val="000000" w:themeColor="text1"/>
                <w14:textFill>
                  <w14:solidFill>
                    <w14:schemeClr w14:val="tx1"/>
                  </w14:solidFill>
                </w14:textFill>
              </w:rPr>
              <w:t>本项目水泥管年产5000根；</w:t>
            </w:r>
            <w:r>
              <w:rPr>
                <w:rFonts w:hint="eastAsia" w:asciiTheme="minorEastAsia" w:hAnsiTheme="minorEastAsia" w:eastAsiaTheme="minorEastAsia" w:cstheme="minorEastAsia"/>
                <w:color w:val="000000" w:themeColor="text1"/>
                <w:lang w:eastAsia="zh-CN"/>
                <w14:textFill>
                  <w14:solidFill>
                    <w14:schemeClr w14:val="tx1"/>
                  </w14:solidFill>
                </w14:textFill>
              </w:rPr>
              <w:t>彩砖、植草砖分别年产</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20万块；</w:t>
            </w:r>
            <w:r>
              <w:rPr>
                <w:rFonts w:hint="eastAsia" w:asciiTheme="minorEastAsia" w:hAnsiTheme="minorEastAsia" w:eastAsiaTheme="minorEastAsia" w:cstheme="minorEastAsia"/>
                <w:color w:val="000000" w:themeColor="text1"/>
                <w14:textFill>
                  <w14:solidFill>
                    <w14:schemeClr w14:val="tx1"/>
                  </w14:solidFill>
                </w14:textFill>
              </w:rPr>
              <w:t>检查井年产800座；井盖年产1万块</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涵管年产</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5000</w:t>
            </w:r>
            <w:r>
              <w:rPr>
                <w:rFonts w:hint="eastAsia" w:asciiTheme="minorEastAsia" w:hAnsiTheme="minorEastAsia" w:eastAsiaTheme="minorEastAsia" w:cstheme="minorEastAsia"/>
                <w:color w:val="000000" w:themeColor="text1"/>
                <w14:textFill>
                  <w14:solidFill>
                    <w14:schemeClr w14:val="tx1"/>
                  </w14:solidFill>
                </w14:textFill>
              </w:rPr>
              <w:t>根</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预制板年产1万块。</w:t>
            </w:r>
            <w:r>
              <w:rPr>
                <w:rFonts w:hint="eastAsia" w:asciiTheme="minorEastAsia" w:hAnsiTheme="minorEastAsia" w:eastAsiaTheme="minorEastAsia" w:cstheme="minorEastAsia"/>
                <w:color w:val="000000" w:themeColor="text1"/>
                <w:lang w:eastAsia="zh-CN"/>
                <w14:textFill>
                  <w14:solidFill>
                    <w14:schemeClr w14:val="tx1"/>
                  </w14:solidFill>
                </w14:textFill>
              </w:rPr>
              <w:t>产品重量约为</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10.67342万t</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因此本项目在混合搅拌固体废物产生量为4.269t/a，产生的废料渣敲碎回用于生产。</w:t>
            </w:r>
          </w:p>
          <w:p w14:paraId="0E3FFE8B">
            <w:pPr>
              <w:keepNext w:val="0"/>
              <w:keepLines w:val="0"/>
              <w:pageBreakBefore w:val="0"/>
              <w:widowControl w:val="0"/>
              <w:kinsoku/>
              <w:wordWrap/>
              <w:overflowPunct/>
              <w:topLinePunct w:val="0"/>
              <w:autoSpaceDE/>
              <w:autoSpaceDN/>
              <w:bidi w:val="0"/>
              <w:adjustRightInd w:val="0"/>
              <w:snapToGrid w:val="0"/>
              <w:spacing w:line="360" w:lineRule="auto"/>
              <w:ind w:left="0" w:right="0" w:rightChars="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lang w:val="en-US" w:eastAsia="zh-CN"/>
              </w:rPr>
              <w:t>（4）</w:t>
            </w:r>
            <w:r>
              <w:rPr>
                <w:rFonts w:hint="eastAsia" w:asciiTheme="minorEastAsia" w:hAnsiTheme="minorEastAsia" w:eastAsiaTheme="minorEastAsia" w:cstheme="minorEastAsia"/>
                <w:b/>
                <w:bCs/>
                <w:color w:val="auto"/>
                <w:kern w:val="0"/>
                <w:sz w:val="24"/>
                <w:szCs w:val="24"/>
                <w:highlight w:val="none"/>
                <w:lang w:val="en-US" w:eastAsia="zh-CN"/>
              </w:rPr>
              <w:t>废弃焊头</w:t>
            </w:r>
          </w:p>
          <w:p w14:paraId="58D60636">
            <w:pPr>
              <w:ind w:firstLine="480" w:firstLineChars="200"/>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钢筋焊接过程中会产生少量的废弃焊头，预计产生量约为焊条用量的10%，</w:t>
            </w:r>
            <w:r>
              <w:rPr>
                <w:rFonts w:hint="eastAsia" w:asciiTheme="minorEastAsia" w:hAnsiTheme="minorEastAsia" w:eastAsiaTheme="minorEastAsia" w:cstheme="minorEastAsia"/>
                <w:b w:val="0"/>
                <w:bCs w:val="0"/>
                <w:color w:val="auto"/>
              </w:rPr>
              <w:t>本项目焊条用量为0.</w:t>
            </w:r>
            <w:r>
              <w:rPr>
                <w:rFonts w:hint="eastAsia" w:asciiTheme="minorEastAsia" w:hAnsiTheme="minorEastAsia" w:eastAsiaTheme="minorEastAsia" w:cstheme="minorEastAsia"/>
                <w:b w:val="0"/>
                <w:bCs w:val="0"/>
                <w:color w:val="auto"/>
                <w:lang w:val="en-US" w:eastAsia="zh-CN"/>
              </w:rPr>
              <w:t>4</w:t>
            </w:r>
            <w:r>
              <w:rPr>
                <w:rFonts w:hint="eastAsia" w:asciiTheme="minorEastAsia" w:hAnsiTheme="minorEastAsia" w:eastAsiaTheme="minorEastAsia" w:cstheme="minorEastAsia"/>
                <w:b w:val="0"/>
                <w:bCs w:val="0"/>
                <w:color w:val="auto"/>
              </w:rPr>
              <w:t>t/a，</w:t>
            </w:r>
            <w:r>
              <w:rPr>
                <w:rFonts w:hint="eastAsia" w:asciiTheme="minorEastAsia" w:hAnsiTheme="minorEastAsia" w:eastAsiaTheme="minorEastAsia" w:cstheme="minorEastAsia"/>
                <w:b w:val="0"/>
                <w:bCs w:val="0"/>
                <w:color w:val="auto"/>
                <w:kern w:val="0"/>
                <w:sz w:val="24"/>
                <w:szCs w:val="24"/>
                <w:highlight w:val="none"/>
                <w:lang w:val="en-US" w:eastAsia="zh-CN"/>
              </w:rPr>
              <w:t xml:space="preserve"> 即废气焊头产生量为0.04t/a，统一收集后定期外售。</w:t>
            </w:r>
          </w:p>
          <w:p w14:paraId="1848B5F6">
            <w:pPr>
              <w:ind w:firstLine="482" w:firstLineChars="200"/>
              <w:rPr>
                <w:rFonts w:hint="eastAsia"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val="en-US" w:eastAsia="zh-CN"/>
              </w:rPr>
              <w:t>（5）废脱模剂桶</w:t>
            </w:r>
          </w:p>
          <w:p w14:paraId="1E2FF3C0">
            <w:pPr>
              <w:ind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由于脱模剂种类繁多，使用更新较快，不是固定不变的。因此本项目以液压油的容积、性质来计算脱模剂年使用量。本项目脱模剂年用量为5桶，规格为200L/桶，则本项目废脱模剂桶为5个，每个约20kg，则建设单位废脱模剂桶 0.1t/a，使用后集中存放在脱模剂储存间统一处置，待收集到一定数量后交由厂家回收处置。</w:t>
            </w:r>
          </w:p>
          <w:p w14:paraId="41515522">
            <w:pPr>
              <w:ind w:firstLine="482" w:firstLineChars="200"/>
              <w:rPr>
                <w:rFonts w:hint="eastAsia"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rPr>
              <w:t>2、生活</w:t>
            </w:r>
            <w:r>
              <w:rPr>
                <w:rFonts w:hint="eastAsia" w:asciiTheme="minorEastAsia" w:hAnsiTheme="minorEastAsia" w:eastAsiaTheme="minorEastAsia" w:cstheme="minorEastAsia"/>
                <w:b/>
                <w:bCs/>
                <w:color w:val="auto"/>
                <w:lang w:eastAsia="zh-CN"/>
              </w:rPr>
              <w:t>固体废物</w:t>
            </w:r>
          </w:p>
          <w:p w14:paraId="3255B56E">
            <w:pPr>
              <w:pStyle w:val="36"/>
              <w:ind w:firstLine="482"/>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color w:val="auto"/>
              </w:rPr>
              <w:t>（1）</w:t>
            </w:r>
            <w:r>
              <w:rPr>
                <w:rFonts w:hint="eastAsia" w:asciiTheme="minorEastAsia" w:hAnsiTheme="minorEastAsia" w:eastAsiaTheme="minorEastAsia" w:cstheme="minorEastAsia"/>
                <w:b/>
                <w:bCs/>
                <w:color w:val="auto"/>
              </w:rPr>
              <w:t>餐厨垃圾</w:t>
            </w:r>
          </w:p>
          <w:p w14:paraId="56C21E47">
            <w:pPr>
              <w:pStyle w:val="36"/>
              <w:ind w:firstLine="480"/>
              <w:rPr>
                <w:rFonts w:hint="eastAsia" w:asciiTheme="minorEastAsia" w:hAnsiTheme="minorEastAsia" w:eastAsiaTheme="minorEastAsia" w:cstheme="minorEastAsia"/>
                <w:bCs/>
                <w:color w:val="auto"/>
              </w:rPr>
            </w:pPr>
            <w:r>
              <w:rPr>
                <w:rFonts w:hint="eastAsia" w:asciiTheme="minorEastAsia" w:hAnsiTheme="minorEastAsia" w:eastAsiaTheme="minorEastAsia" w:cstheme="minorEastAsia"/>
                <w:color w:val="auto"/>
              </w:rPr>
              <w:t>本项目劳动定员</w:t>
            </w:r>
            <w:r>
              <w:rPr>
                <w:rFonts w:hint="eastAsia" w:asciiTheme="minorEastAsia" w:hAnsiTheme="minorEastAsia" w:eastAsiaTheme="minorEastAsia" w:cstheme="minorEastAsia"/>
                <w:color w:val="auto"/>
                <w:lang w:val="en-US" w:eastAsia="zh-CN"/>
              </w:rPr>
              <w:t>8</w:t>
            </w:r>
            <w:r>
              <w:rPr>
                <w:rFonts w:hint="eastAsia" w:asciiTheme="minorEastAsia" w:hAnsiTheme="minorEastAsia" w:eastAsiaTheme="minorEastAsia" w:cstheme="minorEastAsia"/>
                <w:color w:val="auto"/>
              </w:rPr>
              <w:t>人，餐厨垃圾产生量按0.2kg/人·d计，则餐厨垃圾产生量为</w:t>
            </w:r>
            <w:r>
              <w:rPr>
                <w:rFonts w:hint="eastAsia" w:asciiTheme="minorEastAsia" w:hAnsiTheme="minorEastAsia" w:eastAsiaTheme="minorEastAsia" w:cstheme="minorEastAsia"/>
                <w:color w:val="auto"/>
                <w:lang w:val="en-US" w:eastAsia="zh-CN"/>
              </w:rPr>
              <w:t>1.6</w:t>
            </w:r>
            <w:r>
              <w:rPr>
                <w:rFonts w:hint="eastAsia" w:asciiTheme="minorEastAsia" w:hAnsiTheme="minorEastAsia" w:eastAsiaTheme="minorEastAsia" w:cstheme="minorEastAsia"/>
                <w:color w:val="auto"/>
              </w:rPr>
              <w:t>kg/d、</w:t>
            </w:r>
            <w:r>
              <w:rPr>
                <w:rFonts w:hint="eastAsia" w:asciiTheme="minorEastAsia" w:hAnsiTheme="minorEastAsia" w:eastAsiaTheme="minorEastAsia" w:cstheme="minorEastAsia"/>
                <w:color w:val="auto"/>
                <w:lang w:val="en-US" w:eastAsia="zh-CN"/>
              </w:rPr>
              <w:t>0.32</w:t>
            </w:r>
            <w:r>
              <w:rPr>
                <w:rFonts w:hint="eastAsia" w:asciiTheme="minorEastAsia" w:hAnsiTheme="minorEastAsia" w:eastAsiaTheme="minorEastAsia" w:cstheme="minorEastAsia"/>
                <w:color w:val="auto"/>
              </w:rPr>
              <w:t>t/a，用带盖泔水收集桶收集后清运至相关部门指定地点处置</w:t>
            </w:r>
            <w:r>
              <w:rPr>
                <w:rFonts w:hint="eastAsia" w:asciiTheme="minorEastAsia" w:hAnsiTheme="minorEastAsia" w:eastAsiaTheme="minorEastAsia" w:cstheme="minorEastAsia"/>
                <w:bCs/>
                <w:color w:val="auto"/>
              </w:rPr>
              <w:t>。</w:t>
            </w:r>
          </w:p>
          <w:p w14:paraId="50532105">
            <w:pPr>
              <w:pStyle w:val="36"/>
              <w:ind w:firstLine="4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rPr>
              <w:t>（2）生</w:t>
            </w:r>
            <w:r>
              <w:rPr>
                <w:rFonts w:hint="eastAsia" w:asciiTheme="minorEastAsia" w:hAnsiTheme="minorEastAsia" w:eastAsiaTheme="minorEastAsia" w:cstheme="minorEastAsia"/>
                <w:b/>
                <w:bCs/>
                <w:color w:val="auto"/>
              </w:rPr>
              <w:t>活垃圾</w:t>
            </w:r>
          </w:p>
          <w:p w14:paraId="6F37DD07">
            <w:pPr>
              <w:ind w:firstLine="48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本项目劳动定员</w:t>
            </w:r>
            <w:r>
              <w:rPr>
                <w:rFonts w:hint="eastAsia" w:asciiTheme="minorEastAsia" w:hAnsiTheme="minorEastAsia" w:eastAsiaTheme="minorEastAsia" w:cstheme="minorEastAsia"/>
                <w:color w:val="auto"/>
                <w:lang w:val="en-US" w:eastAsia="zh-CN"/>
              </w:rPr>
              <w:t>8</w:t>
            </w:r>
            <w:r>
              <w:rPr>
                <w:rFonts w:hint="eastAsia" w:asciiTheme="minorEastAsia" w:hAnsiTheme="minorEastAsia" w:eastAsiaTheme="minorEastAsia" w:cstheme="minorEastAsia"/>
                <w:color w:val="auto"/>
              </w:rPr>
              <w:t>人，根据《第一次全国污染物普查-城镇生活源产排污系数手册》（2008年3月）第一分册 城镇居民生活源污染物产生、排放系数中的附表1 各区域对应系数表和城市分类，芒市为四区5类城市，生活垃圾产生量按0.35kg/人·d计，则生活垃圾产生量为</w:t>
            </w:r>
            <w:r>
              <w:rPr>
                <w:rFonts w:hint="eastAsia" w:asciiTheme="minorEastAsia" w:hAnsiTheme="minorEastAsia" w:eastAsiaTheme="minorEastAsia" w:cstheme="minorEastAsia"/>
                <w:color w:val="auto"/>
                <w:lang w:val="en-US" w:eastAsia="zh-CN"/>
              </w:rPr>
              <w:t>2.8</w:t>
            </w:r>
            <w:r>
              <w:rPr>
                <w:rFonts w:hint="eastAsia" w:asciiTheme="minorEastAsia" w:hAnsiTheme="minorEastAsia" w:eastAsiaTheme="minorEastAsia" w:cstheme="minorEastAsia"/>
                <w:color w:val="auto"/>
              </w:rPr>
              <w:t>kg/d、</w:t>
            </w:r>
            <w:r>
              <w:rPr>
                <w:rFonts w:hint="eastAsia" w:asciiTheme="minorEastAsia" w:hAnsiTheme="minorEastAsia" w:eastAsiaTheme="minorEastAsia" w:cstheme="minorEastAsia"/>
                <w:color w:val="auto"/>
                <w:lang w:val="en-US" w:eastAsia="zh-CN"/>
              </w:rPr>
              <w:t>0.56</w:t>
            </w:r>
            <w:r>
              <w:rPr>
                <w:rFonts w:hint="eastAsia" w:asciiTheme="minorEastAsia" w:hAnsiTheme="minorEastAsia" w:eastAsiaTheme="minorEastAsia" w:cstheme="minorEastAsia"/>
                <w:color w:val="auto"/>
              </w:rPr>
              <w:t>t/a，收集后由</w:t>
            </w:r>
            <w:r>
              <w:rPr>
                <w:rFonts w:hint="eastAsia" w:asciiTheme="minorEastAsia" w:hAnsiTheme="minorEastAsia" w:eastAsiaTheme="minorEastAsia" w:cstheme="minorEastAsia"/>
                <w:color w:val="auto"/>
                <w:lang w:eastAsia="zh-CN"/>
              </w:rPr>
              <w:t>环卫部门</w:t>
            </w:r>
            <w:r>
              <w:rPr>
                <w:rFonts w:hint="eastAsia" w:asciiTheme="minorEastAsia" w:hAnsiTheme="minorEastAsia" w:eastAsiaTheme="minorEastAsia" w:cstheme="minorEastAsia"/>
                <w:color w:val="auto"/>
              </w:rPr>
              <w:t>定期清运处置</w:t>
            </w:r>
            <w:r>
              <w:rPr>
                <w:rFonts w:hint="eastAsia" w:asciiTheme="minorEastAsia" w:hAnsiTheme="minorEastAsia" w:eastAsiaTheme="minorEastAsia" w:cstheme="minorEastAsia"/>
                <w:color w:val="auto"/>
                <w:lang w:eastAsia="zh-CN"/>
              </w:rPr>
              <w:t>。</w:t>
            </w:r>
          </w:p>
          <w:p w14:paraId="6D103FFE">
            <w:pPr>
              <w:ind w:firstLine="480" w:firstLineChars="200"/>
              <w:rPr>
                <w:rFonts w:hint="eastAsia"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color w:val="auto"/>
                <w:lang w:eastAsia="zh-CN"/>
              </w:rPr>
              <w:t>综上所述，项目固体废物处置率</w:t>
            </w:r>
            <w:r>
              <w:rPr>
                <w:rFonts w:hint="eastAsia" w:asciiTheme="minorEastAsia" w:hAnsiTheme="minorEastAsia" w:eastAsiaTheme="minorEastAsia" w:cstheme="minorEastAsia"/>
                <w:color w:val="auto"/>
                <w:lang w:val="en-US" w:eastAsia="zh-CN"/>
              </w:rPr>
              <w:t>100%，具体产生情况见表4-16。</w:t>
            </w:r>
          </w:p>
          <w:p w14:paraId="5E1EE253">
            <w:pPr>
              <w:ind w:firstLine="482" w:firstLineChars="200"/>
              <w:jc w:val="center"/>
              <w:rPr>
                <w:rFonts w:hint="eastAsia"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eastAsia="zh-CN"/>
              </w:rPr>
              <w:t>表</w:t>
            </w:r>
            <w:r>
              <w:rPr>
                <w:rFonts w:hint="eastAsia" w:asciiTheme="minorEastAsia" w:hAnsiTheme="minorEastAsia" w:eastAsiaTheme="minorEastAsia" w:cstheme="minorEastAsia"/>
                <w:b/>
                <w:bCs/>
                <w:color w:val="auto"/>
                <w:lang w:val="en-US" w:eastAsia="zh-CN"/>
              </w:rPr>
              <w:t>4-16  项目固体废物产生情况一览表</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897"/>
              <w:gridCol w:w="1326"/>
              <w:gridCol w:w="1397"/>
              <w:gridCol w:w="1156"/>
              <w:gridCol w:w="2727"/>
            </w:tblGrid>
            <w:tr w14:paraId="781F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7" w:type="pct"/>
                  <w:vAlign w:val="center"/>
                </w:tcPr>
                <w:p w14:paraId="7F0A7DF9">
                  <w:pPr>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属性</w:t>
                  </w:r>
                </w:p>
              </w:tc>
              <w:tc>
                <w:tcPr>
                  <w:tcW w:w="1024" w:type="pct"/>
                  <w:vAlign w:val="center"/>
                </w:tcPr>
                <w:p w14:paraId="3E899CA0">
                  <w:pPr>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名称</w:t>
                  </w:r>
                </w:p>
              </w:tc>
              <w:tc>
                <w:tcPr>
                  <w:tcW w:w="716" w:type="pct"/>
                  <w:vAlign w:val="center"/>
                </w:tcPr>
                <w:p w14:paraId="0C316956">
                  <w:pPr>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产生环节</w:t>
                  </w:r>
                </w:p>
              </w:tc>
              <w:tc>
                <w:tcPr>
                  <w:tcW w:w="754" w:type="pct"/>
                  <w:vAlign w:val="center"/>
                </w:tcPr>
                <w:p w14:paraId="5C0D952D">
                  <w:pPr>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产生量（t/a）</w:t>
                  </w:r>
                </w:p>
              </w:tc>
              <w:tc>
                <w:tcPr>
                  <w:tcW w:w="624" w:type="pct"/>
                  <w:vAlign w:val="center"/>
                </w:tcPr>
                <w:p w14:paraId="55433CA9">
                  <w:pPr>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物理状态</w:t>
                  </w:r>
                </w:p>
              </w:tc>
              <w:tc>
                <w:tcPr>
                  <w:tcW w:w="1472" w:type="pct"/>
                  <w:vAlign w:val="center"/>
                </w:tcPr>
                <w:p w14:paraId="6F8C79B8">
                  <w:pPr>
                    <w:spacing w:line="24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处置利用、管理情况</w:t>
                  </w:r>
                </w:p>
              </w:tc>
            </w:tr>
            <w:tr w14:paraId="299C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Merge w:val="restart"/>
                  <w:vAlign w:val="center"/>
                </w:tcPr>
                <w:p w14:paraId="3240DC22">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一般工业固体废物</w:t>
                  </w:r>
                </w:p>
              </w:tc>
              <w:tc>
                <w:tcPr>
                  <w:tcW w:w="1024" w:type="pct"/>
                  <w:vAlign w:val="center"/>
                </w:tcPr>
                <w:p w14:paraId="1978D05F">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水泥储罐收集粉尘</w:t>
                  </w:r>
                </w:p>
              </w:tc>
              <w:tc>
                <w:tcPr>
                  <w:tcW w:w="716" w:type="pct"/>
                  <w:vAlign w:val="center"/>
                </w:tcPr>
                <w:p w14:paraId="273B0D5A">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配料</w:t>
                  </w:r>
                </w:p>
              </w:tc>
              <w:tc>
                <w:tcPr>
                  <w:tcW w:w="754" w:type="pct"/>
                  <w:vAlign w:val="center"/>
                </w:tcPr>
                <w:p w14:paraId="5D9FED66">
                  <w:pPr>
                    <w:spacing w:line="240" w:lineRule="auto"/>
                    <w:jc w:val="center"/>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0.9804</w:t>
                  </w:r>
                </w:p>
              </w:tc>
              <w:tc>
                <w:tcPr>
                  <w:tcW w:w="624" w:type="pct"/>
                  <w:vAlign w:val="center"/>
                </w:tcPr>
                <w:p w14:paraId="7895FF5A">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固态</w:t>
                  </w:r>
                </w:p>
              </w:tc>
              <w:tc>
                <w:tcPr>
                  <w:tcW w:w="1472" w:type="pct"/>
                  <w:vAlign w:val="center"/>
                </w:tcPr>
                <w:p w14:paraId="2F6D6721">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回用于生产</w:t>
                  </w:r>
                </w:p>
              </w:tc>
            </w:tr>
            <w:tr w14:paraId="555F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Merge w:val="continue"/>
                  <w:vAlign w:val="center"/>
                </w:tcPr>
                <w:p w14:paraId="555054DA">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p>
              </w:tc>
              <w:tc>
                <w:tcPr>
                  <w:tcW w:w="1024" w:type="pct"/>
                  <w:vAlign w:val="center"/>
                </w:tcPr>
                <w:p w14:paraId="104F1DF3">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不合格的</w:t>
                  </w:r>
                  <w:r>
                    <w:rPr>
                      <w:rFonts w:hint="eastAsia" w:asciiTheme="minorEastAsia" w:hAnsiTheme="minorEastAsia" w:eastAsiaTheme="minorEastAsia" w:cstheme="minorEastAsia"/>
                      <w:color w:val="auto"/>
                      <w:sz w:val="21"/>
                      <w:szCs w:val="21"/>
                      <w:lang w:eastAsia="zh-CN"/>
                    </w:rPr>
                    <w:t>产品</w:t>
                  </w:r>
                </w:p>
              </w:tc>
              <w:tc>
                <w:tcPr>
                  <w:tcW w:w="716" w:type="pct"/>
                  <w:vAlign w:val="center"/>
                </w:tcPr>
                <w:p w14:paraId="4FE5C600">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脱模、养护</w:t>
                  </w:r>
                </w:p>
              </w:tc>
              <w:tc>
                <w:tcPr>
                  <w:tcW w:w="754" w:type="pct"/>
                  <w:vAlign w:val="center"/>
                </w:tcPr>
                <w:p w14:paraId="69E3B378">
                  <w:pPr>
                    <w:spacing w:line="240" w:lineRule="auto"/>
                    <w:jc w:val="center"/>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48.030</w:t>
                  </w:r>
                </w:p>
              </w:tc>
              <w:tc>
                <w:tcPr>
                  <w:tcW w:w="624" w:type="pct"/>
                  <w:vAlign w:val="center"/>
                </w:tcPr>
                <w:p w14:paraId="08C8B107">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固态</w:t>
                  </w:r>
                </w:p>
              </w:tc>
              <w:tc>
                <w:tcPr>
                  <w:tcW w:w="1472" w:type="pct"/>
                  <w:vAlign w:val="center"/>
                </w:tcPr>
                <w:p w14:paraId="3CD21AF1">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未干化的废产品返回生产工艺使用；已固化的废产品需要先经过人工敲碎后再返回生产工艺使用</w:t>
                  </w:r>
                </w:p>
              </w:tc>
            </w:tr>
            <w:tr w14:paraId="0CA1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Merge w:val="continue"/>
                  <w:vAlign w:val="center"/>
                </w:tcPr>
                <w:p w14:paraId="07F11756">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p>
              </w:tc>
              <w:tc>
                <w:tcPr>
                  <w:tcW w:w="1024" w:type="pct"/>
                  <w:vAlign w:val="center"/>
                </w:tcPr>
                <w:p w14:paraId="3BB427C0">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废料渣</w:t>
                  </w:r>
                </w:p>
              </w:tc>
              <w:tc>
                <w:tcPr>
                  <w:tcW w:w="716" w:type="pct"/>
                  <w:vAlign w:val="center"/>
                </w:tcPr>
                <w:p w14:paraId="3B3651DF">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清理</w:t>
                  </w:r>
                </w:p>
              </w:tc>
              <w:tc>
                <w:tcPr>
                  <w:tcW w:w="754" w:type="pct"/>
                  <w:vAlign w:val="center"/>
                </w:tcPr>
                <w:p w14:paraId="0831B99F">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4.269</w:t>
                  </w:r>
                </w:p>
              </w:tc>
              <w:tc>
                <w:tcPr>
                  <w:tcW w:w="624" w:type="pct"/>
                  <w:vAlign w:val="center"/>
                </w:tcPr>
                <w:p w14:paraId="053CCE15">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固态</w:t>
                  </w:r>
                </w:p>
              </w:tc>
              <w:tc>
                <w:tcPr>
                  <w:tcW w:w="1472" w:type="pct"/>
                  <w:vAlign w:val="center"/>
                </w:tcPr>
                <w:p w14:paraId="4CDCF215">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敲碎回用于生产</w:t>
                  </w:r>
                </w:p>
              </w:tc>
            </w:tr>
            <w:tr w14:paraId="2E71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Merge w:val="continue"/>
                  <w:vAlign w:val="center"/>
                </w:tcPr>
                <w:p w14:paraId="4D3D53E8">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p>
              </w:tc>
              <w:tc>
                <w:tcPr>
                  <w:tcW w:w="1024" w:type="pct"/>
                  <w:vAlign w:val="center"/>
                </w:tcPr>
                <w:p w14:paraId="3A89E951">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废弃焊头</w:t>
                  </w:r>
                </w:p>
              </w:tc>
              <w:tc>
                <w:tcPr>
                  <w:tcW w:w="716" w:type="pct"/>
                  <w:vAlign w:val="center"/>
                </w:tcPr>
                <w:p w14:paraId="6C570E70">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焊接</w:t>
                  </w:r>
                </w:p>
              </w:tc>
              <w:tc>
                <w:tcPr>
                  <w:tcW w:w="754" w:type="pct"/>
                  <w:vAlign w:val="center"/>
                </w:tcPr>
                <w:p w14:paraId="7B429736">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0.04</w:t>
                  </w:r>
                </w:p>
              </w:tc>
              <w:tc>
                <w:tcPr>
                  <w:tcW w:w="624" w:type="pct"/>
                  <w:vAlign w:val="center"/>
                </w:tcPr>
                <w:p w14:paraId="28F2306A">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固态</w:t>
                  </w:r>
                </w:p>
              </w:tc>
              <w:tc>
                <w:tcPr>
                  <w:tcW w:w="1472" w:type="pct"/>
                  <w:vAlign w:val="center"/>
                </w:tcPr>
                <w:p w14:paraId="4F5A8F3D">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统一收集后定期外售</w:t>
                  </w:r>
                </w:p>
              </w:tc>
            </w:tr>
            <w:tr w14:paraId="5808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Merge w:val="continue"/>
                  <w:vAlign w:val="center"/>
                </w:tcPr>
                <w:p w14:paraId="66B9EFD1">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p>
              </w:tc>
              <w:tc>
                <w:tcPr>
                  <w:tcW w:w="1024" w:type="pct"/>
                  <w:vAlign w:val="center"/>
                </w:tcPr>
                <w:p w14:paraId="5B87ED1D">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废脱模剂桶</w:t>
                  </w:r>
                </w:p>
              </w:tc>
              <w:tc>
                <w:tcPr>
                  <w:tcW w:w="716" w:type="pct"/>
                  <w:vAlign w:val="center"/>
                </w:tcPr>
                <w:p w14:paraId="3ADCD0F9">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脱模剂包装</w:t>
                  </w:r>
                </w:p>
              </w:tc>
              <w:tc>
                <w:tcPr>
                  <w:tcW w:w="754" w:type="pct"/>
                  <w:vAlign w:val="center"/>
                </w:tcPr>
                <w:p w14:paraId="5F08E4C1">
                  <w:pPr>
                    <w:spacing w:line="240" w:lineRule="auto"/>
                    <w:jc w:val="center"/>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0.1</w:t>
                  </w:r>
                </w:p>
              </w:tc>
              <w:tc>
                <w:tcPr>
                  <w:tcW w:w="624" w:type="pct"/>
                  <w:vAlign w:val="center"/>
                </w:tcPr>
                <w:p w14:paraId="369F8655">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固态</w:t>
                  </w:r>
                </w:p>
              </w:tc>
              <w:tc>
                <w:tcPr>
                  <w:tcW w:w="1472" w:type="pct"/>
                  <w:vAlign w:val="center"/>
                </w:tcPr>
                <w:p w14:paraId="2AE67041">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集中存放在脱模剂储存间统一处置，待收集到一定数量后交由厂家回收处置</w:t>
                  </w:r>
                </w:p>
              </w:tc>
            </w:tr>
            <w:tr w14:paraId="10AA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Merge w:val="restart"/>
                  <w:vAlign w:val="center"/>
                </w:tcPr>
                <w:p w14:paraId="4A730756">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一般固体废物</w:t>
                  </w:r>
                </w:p>
              </w:tc>
              <w:tc>
                <w:tcPr>
                  <w:tcW w:w="1024" w:type="pct"/>
                  <w:vAlign w:val="center"/>
                </w:tcPr>
                <w:p w14:paraId="70FCDBF7">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餐厨垃圾</w:t>
                  </w:r>
                </w:p>
              </w:tc>
              <w:tc>
                <w:tcPr>
                  <w:tcW w:w="716" w:type="pct"/>
                  <w:vAlign w:val="center"/>
                </w:tcPr>
                <w:p w14:paraId="779A619D">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工作人员</w:t>
                  </w:r>
                </w:p>
              </w:tc>
              <w:tc>
                <w:tcPr>
                  <w:tcW w:w="754" w:type="pct"/>
                  <w:vAlign w:val="center"/>
                </w:tcPr>
                <w:p w14:paraId="38D40851">
                  <w:pPr>
                    <w:spacing w:line="240" w:lineRule="auto"/>
                    <w:jc w:val="center"/>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0.32</w:t>
                  </w:r>
                </w:p>
              </w:tc>
              <w:tc>
                <w:tcPr>
                  <w:tcW w:w="624" w:type="pct"/>
                  <w:vAlign w:val="center"/>
                </w:tcPr>
                <w:p w14:paraId="68BF7844">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固态</w:t>
                  </w:r>
                </w:p>
              </w:tc>
              <w:tc>
                <w:tcPr>
                  <w:tcW w:w="1472" w:type="pct"/>
                  <w:vAlign w:val="center"/>
                </w:tcPr>
                <w:p w14:paraId="4C80BF38">
                  <w:pPr>
                    <w:widowControl/>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1个带盖泔水收集桶收集餐厨垃圾</w:t>
                  </w:r>
                </w:p>
              </w:tc>
            </w:tr>
            <w:tr w14:paraId="1A0C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Merge w:val="continue"/>
                  <w:vAlign w:val="center"/>
                </w:tcPr>
                <w:p w14:paraId="48334C4E">
                  <w:pPr>
                    <w:widowControl/>
                    <w:spacing w:line="240" w:lineRule="auto"/>
                    <w:jc w:val="center"/>
                    <w:rPr>
                      <w:rFonts w:hint="eastAsia" w:asciiTheme="minorEastAsia" w:hAnsiTheme="minorEastAsia" w:eastAsiaTheme="minorEastAsia" w:cstheme="minorEastAsia"/>
                      <w:color w:val="auto"/>
                      <w:kern w:val="2"/>
                      <w:sz w:val="21"/>
                      <w:szCs w:val="21"/>
                      <w:lang w:val="en-US" w:eastAsia="zh-CN" w:bidi="ar-SA"/>
                    </w:rPr>
                  </w:pPr>
                </w:p>
              </w:tc>
              <w:tc>
                <w:tcPr>
                  <w:tcW w:w="1024" w:type="pct"/>
                  <w:vAlign w:val="center"/>
                </w:tcPr>
                <w:p w14:paraId="461030E8">
                  <w:pPr>
                    <w:widowControl/>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生活垃圾</w:t>
                  </w:r>
                </w:p>
              </w:tc>
              <w:tc>
                <w:tcPr>
                  <w:tcW w:w="716" w:type="pct"/>
                  <w:vAlign w:val="center"/>
                </w:tcPr>
                <w:p w14:paraId="22053E2A">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工作人员</w:t>
                  </w:r>
                </w:p>
              </w:tc>
              <w:tc>
                <w:tcPr>
                  <w:tcW w:w="754" w:type="pct"/>
                  <w:vAlign w:val="center"/>
                </w:tcPr>
                <w:p w14:paraId="675BB949">
                  <w:pPr>
                    <w:spacing w:line="240" w:lineRule="auto"/>
                    <w:jc w:val="center"/>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0.56</w:t>
                  </w:r>
                </w:p>
              </w:tc>
              <w:tc>
                <w:tcPr>
                  <w:tcW w:w="624" w:type="pct"/>
                  <w:vAlign w:val="center"/>
                </w:tcPr>
                <w:p w14:paraId="39092302">
                  <w:pPr>
                    <w:spacing w:line="24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固态</w:t>
                  </w:r>
                </w:p>
              </w:tc>
              <w:tc>
                <w:tcPr>
                  <w:tcW w:w="1472" w:type="pct"/>
                  <w:vAlign w:val="center"/>
                </w:tcPr>
                <w:p w14:paraId="6003FAF8">
                  <w:pPr>
                    <w:widowControl/>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设置</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个垃圾桶集中收集垃圾</w:t>
                  </w:r>
                </w:p>
              </w:tc>
            </w:tr>
          </w:tbl>
          <w:p w14:paraId="7309FE9E">
            <w:pPr>
              <w:ind w:firstLine="482" w:firstLineChars="200"/>
              <w:rPr>
                <w:rFonts w:hint="eastAsia"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val="en-US" w:eastAsia="zh-CN"/>
              </w:rPr>
              <w:t>3、环境管理要求</w:t>
            </w:r>
          </w:p>
          <w:p w14:paraId="5B8C9DC4">
            <w:pPr>
              <w:ind w:firstLine="48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1</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 xml:space="preserve">固体废物贮存、处置场按《环境保护图形标志 固体废物贮存（处置）场（GB15562.2-1995）》设置图形标志。标识标志正确、清晰、完好。 </w:t>
            </w:r>
          </w:p>
          <w:p w14:paraId="534F0B53">
            <w:pPr>
              <w:ind w:firstLine="48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2）本环评建议企业将干化不合格产品及时敲碎回用于生产，不得露天存放，并且合理的安排清运周期，减少在厂区的存放时间，可避免二次污染。根据《一般工业固体废物贮存和填埋污染控制标准》（GB18599-2020）的相关要求，为防止雨水径流进入固体废物堆放区内，则堆放区周边应合理设置雨水沟渠；企业加强监督管理，禁止和生活垃圾混入；企业应建立检查维护制度，发现厂区固体废物堆放混乱，应及时采取必要措施，以保障正常运行。设置脱模剂储存间，做好三防（防雨、防渗、防漏）措施工作。</w:t>
            </w:r>
          </w:p>
          <w:p w14:paraId="010C6FA0">
            <w:pPr>
              <w:ind w:firstLine="482" w:firstLineChars="200"/>
              <w:rPr>
                <w:rFonts w:hint="eastAsia"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val="en-US" w:eastAsia="zh-CN"/>
              </w:rPr>
              <w:t>4、固体废物环境影响结论</w:t>
            </w:r>
          </w:p>
          <w:p w14:paraId="2911B544">
            <w:pPr>
              <w:ind w:firstLine="48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综上所述，项目产生的固体废物能够做到处置率 100%，固体废物对环境影响较小。建设单位在运行过程中应严格按照环境管理的要求执行，保证固体废物合理处置，不会对周边环境产生影响</w:t>
            </w:r>
            <w:r>
              <w:rPr>
                <w:rFonts w:hint="eastAsia" w:asciiTheme="minorEastAsia" w:hAnsiTheme="minorEastAsia" w:eastAsiaTheme="minorEastAsia" w:cstheme="minorEastAsia"/>
                <w:color w:val="auto"/>
                <w:lang w:eastAsia="zh-CN"/>
              </w:rPr>
              <w:t>。</w:t>
            </w:r>
          </w:p>
          <w:p w14:paraId="6B825F8E">
            <w:pPr>
              <w:widowControl/>
              <w:ind w:firstLine="482" w:firstLineChars="200"/>
              <w:jc w:val="left"/>
              <w:rPr>
                <w:rFonts w:hint="eastAsia" w:asciiTheme="minorEastAsia" w:hAnsiTheme="minorEastAsia" w:eastAsiaTheme="minorEastAsia" w:cstheme="minorEastAsia"/>
                <w:b/>
                <w:bCs/>
                <w:color w:val="auto"/>
                <w:kern w:val="0"/>
                <w:lang w:bidi="ar"/>
              </w:rPr>
            </w:pPr>
            <w:r>
              <w:rPr>
                <w:rFonts w:hint="eastAsia" w:asciiTheme="minorEastAsia" w:hAnsiTheme="minorEastAsia" w:eastAsiaTheme="minorEastAsia" w:cstheme="minorEastAsia"/>
                <w:b/>
                <w:bCs/>
                <w:color w:val="auto"/>
                <w:kern w:val="0"/>
                <w:lang w:bidi="ar"/>
              </w:rPr>
              <w:t>五、地下水环境影响分析</w:t>
            </w:r>
          </w:p>
          <w:p w14:paraId="557FF44C">
            <w:pPr>
              <w:widowControl/>
              <w:ind w:firstLine="48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lang w:bidi="ar"/>
              </w:rPr>
              <w:t>对照《环境影响评价技术导则 地下水环境》（HJ610-2016）附录 A</w:t>
            </w:r>
            <w:r>
              <w:rPr>
                <w:rFonts w:hint="eastAsia" w:asciiTheme="minorEastAsia" w:hAnsiTheme="minorEastAsia" w:eastAsiaTheme="minorEastAsia" w:cstheme="minorEastAsia"/>
                <w:color w:val="auto"/>
                <w:kern w:val="0"/>
                <w:lang w:eastAsia="zh-CN" w:bidi="ar"/>
              </w:rPr>
              <w:t>“</w:t>
            </w:r>
            <w:r>
              <w:rPr>
                <w:rFonts w:hint="eastAsia" w:asciiTheme="minorEastAsia" w:hAnsiTheme="minorEastAsia" w:eastAsiaTheme="minorEastAsia" w:cstheme="minorEastAsia"/>
                <w:color w:val="auto"/>
                <w:kern w:val="0"/>
                <w:lang w:bidi="ar"/>
              </w:rPr>
              <w:t>地下水环境影响评价行业分类表</w:t>
            </w:r>
            <w:r>
              <w:rPr>
                <w:rFonts w:hint="eastAsia" w:asciiTheme="minorEastAsia" w:hAnsiTheme="minorEastAsia" w:eastAsiaTheme="minorEastAsia" w:cstheme="minorEastAsia"/>
                <w:color w:val="auto"/>
                <w:kern w:val="0"/>
                <w:lang w:eastAsia="zh-CN" w:bidi="ar"/>
              </w:rPr>
              <w:t>”</w:t>
            </w:r>
            <w:r>
              <w:rPr>
                <w:rFonts w:hint="eastAsia" w:asciiTheme="minorEastAsia" w:hAnsiTheme="minorEastAsia" w:eastAsiaTheme="minorEastAsia" w:cstheme="minorEastAsia"/>
                <w:color w:val="auto"/>
                <w:kern w:val="0"/>
                <w:lang w:bidi="ar"/>
              </w:rPr>
              <w:t>，项目为IV类项目；根据导则要求，IV类项目可不开展地下水环境影响评价工作。</w:t>
            </w:r>
          </w:p>
          <w:p w14:paraId="3AEABF90">
            <w:pPr>
              <w:adjustRightInd w:val="0"/>
              <w:snapToGrid w:val="0"/>
              <w:ind w:left="480"/>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六、土壤环境影响分析</w:t>
            </w:r>
          </w:p>
          <w:p w14:paraId="34A0CBB7">
            <w:pPr>
              <w:widowControl/>
              <w:ind w:firstLine="480" w:firstLineChars="200"/>
              <w:jc w:val="left"/>
              <w:rPr>
                <w:rFonts w:hint="eastAsia" w:asciiTheme="minorEastAsia" w:hAnsiTheme="minorEastAsia" w:eastAsiaTheme="minorEastAsia" w:cstheme="minorEastAsia"/>
                <w:color w:val="auto"/>
                <w:kern w:val="0"/>
                <w:lang w:eastAsia="zh-CN" w:bidi="ar"/>
              </w:rPr>
            </w:pPr>
            <w:r>
              <w:rPr>
                <w:rFonts w:hint="eastAsia" w:asciiTheme="minorEastAsia" w:hAnsiTheme="minorEastAsia" w:eastAsiaTheme="minorEastAsia" w:cstheme="minorEastAsia"/>
                <w:color w:val="auto"/>
                <w:kern w:val="0"/>
                <w:lang w:bidi="ar"/>
              </w:rPr>
              <w:t>对照《环境影响评价技术导则 土壤环境（试行）》（HJ964-2018）附录A表A.1，项目为IV类项目。按照导则要求</w:t>
            </w:r>
            <w:r>
              <w:rPr>
                <w:rFonts w:hint="eastAsia" w:asciiTheme="minorEastAsia" w:hAnsiTheme="minorEastAsia" w:eastAsiaTheme="minorEastAsia" w:cstheme="minorEastAsia"/>
                <w:color w:val="auto"/>
                <w:kern w:val="0"/>
                <w:lang w:eastAsia="zh-CN" w:bidi="ar"/>
              </w:rPr>
              <w:t>“</w:t>
            </w:r>
            <w:r>
              <w:rPr>
                <w:rFonts w:hint="eastAsia" w:asciiTheme="minorEastAsia" w:hAnsiTheme="minorEastAsia" w:eastAsiaTheme="minorEastAsia" w:cstheme="minorEastAsia"/>
                <w:color w:val="auto"/>
                <w:kern w:val="0"/>
                <w:lang w:bidi="ar"/>
              </w:rPr>
              <w:t>IV类建设项目可不开展土壤环境影响评价</w:t>
            </w:r>
            <w:r>
              <w:rPr>
                <w:rFonts w:hint="eastAsia" w:asciiTheme="minorEastAsia" w:hAnsiTheme="minorEastAsia" w:eastAsiaTheme="minorEastAsia" w:cstheme="minorEastAsia"/>
                <w:color w:val="auto"/>
                <w:kern w:val="0"/>
                <w:lang w:eastAsia="zh-CN" w:bidi="ar"/>
              </w:rPr>
              <w:t>”</w:t>
            </w:r>
            <w:r>
              <w:rPr>
                <w:rFonts w:hint="eastAsia" w:asciiTheme="minorEastAsia" w:hAnsiTheme="minorEastAsia" w:eastAsiaTheme="minorEastAsia" w:cstheme="minorEastAsia"/>
                <w:color w:val="auto"/>
                <w:kern w:val="0"/>
                <w:lang w:bidi="ar"/>
              </w:rPr>
              <w:t>，因此本项目不进行土壤环境影响评价</w:t>
            </w:r>
            <w:r>
              <w:rPr>
                <w:rFonts w:hint="eastAsia" w:asciiTheme="minorEastAsia" w:hAnsiTheme="minorEastAsia" w:eastAsiaTheme="minorEastAsia" w:cstheme="minorEastAsia"/>
                <w:color w:val="auto"/>
                <w:kern w:val="0"/>
                <w:lang w:eastAsia="zh-CN" w:bidi="ar"/>
              </w:rPr>
              <w:t>。</w:t>
            </w:r>
          </w:p>
          <w:p w14:paraId="5D4D77D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七、生态影响分析</w:t>
            </w:r>
          </w:p>
          <w:p w14:paraId="30D1DAD8">
            <w:pPr>
              <w:widowControl/>
              <w:ind w:firstLine="480" w:firstLineChars="200"/>
              <w:jc w:val="left"/>
              <w:rPr>
                <w:rFonts w:hint="eastAsia" w:asciiTheme="minorEastAsia" w:hAnsiTheme="minorEastAsia" w:eastAsiaTheme="minorEastAsia" w:cstheme="minorEastAsia"/>
                <w:b/>
                <w:bCs/>
                <w:color w:val="auto"/>
                <w:kern w:val="0"/>
                <w:lang w:bidi="ar"/>
              </w:rPr>
            </w:pPr>
            <w:r>
              <w:rPr>
                <w:rFonts w:hint="eastAsia" w:asciiTheme="minorEastAsia" w:hAnsiTheme="minorEastAsia" w:eastAsiaTheme="minorEastAsia" w:cstheme="minorEastAsia"/>
                <w:b w:val="0"/>
                <w:bCs w:val="0"/>
                <w:color w:val="auto"/>
                <w:kern w:val="0"/>
                <w:sz w:val="24"/>
                <w:szCs w:val="24"/>
                <w:highlight w:val="none"/>
                <w:lang w:val="en-US" w:eastAsia="zh-CN"/>
              </w:rPr>
              <w:t>项目位于云南省德宏州芒市风平镇帕底村芒市糖厂内，</w:t>
            </w:r>
            <w:r>
              <w:rPr>
                <w:rFonts w:hint="eastAsia" w:asciiTheme="minorEastAsia" w:hAnsiTheme="minorEastAsia" w:eastAsiaTheme="minorEastAsia" w:cstheme="minorEastAsia"/>
                <w:bCs/>
                <w:color w:val="auto"/>
                <w:sz w:val="24"/>
                <w:lang w:val="en-US" w:eastAsia="zh-CN"/>
              </w:rPr>
              <w:t>厂区占地范围现状为已平整土地，根据现场踏勘，厂</w:t>
            </w:r>
            <w:r>
              <w:rPr>
                <w:rFonts w:hint="eastAsia" w:asciiTheme="minorEastAsia" w:hAnsiTheme="minorEastAsia" w:eastAsiaTheme="minorEastAsia" w:cstheme="minorEastAsia"/>
                <w:color w:val="auto"/>
                <w:sz w:val="24"/>
              </w:rPr>
              <w:t>区内无天然植被分布，</w:t>
            </w:r>
            <w:r>
              <w:rPr>
                <w:rFonts w:hint="eastAsia" w:asciiTheme="minorEastAsia" w:hAnsiTheme="minorEastAsia" w:eastAsiaTheme="minorEastAsia" w:cstheme="minorEastAsia"/>
                <w:color w:val="auto"/>
                <w:sz w:val="24"/>
                <w:lang w:val="en-US" w:eastAsia="zh-CN"/>
              </w:rPr>
              <w:t>项目建设及营运对生态环境影响较小</w:t>
            </w:r>
            <w:r>
              <w:rPr>
                <w:rFonts w:hint="eastAsia" w:asciiTheme="minorEastAsia" w:hAnsiTheme="minorEastAsia" w:eastAsiaTheme="minorEastAsia" w:cstheme="minorEastAsia"/>
                <w:color w:val="auto"/>
                <w:kern w:val="0"/>
                <w:lang w:bidi="ar"/>
              </w:rPr>
              <w:t>。</w:t>
            </w:r>
          </w:p>
          <w:p w14:paraId="4023AB16">
            <w:pPr>
              <w:widowControl/>
              <w:numPr>
                <w:ilvl w:val="0"/>
                <w:numId w:val="0"/>
              </w:numPr>
              <w:ind w:firstLine="482" w:firstLineChars="200"/>
              <w:jc w:val="left"/>
              <w:rPr>
                <w:rFonts w:hint="eastAsia" w:asciiTheme="minorEastAsia" w:hAnsiTheme="minorEastAsia" w:eastAsiaTheme="minorEastAsia" w:cstheme="minorEastAsia"/>
                <w:b/>
                <w:bCs/>
                <w:color w:val="auto"/>
                <w:kern w:val="0"/>
                <w:lang w:bidi="ar"/>
              </w:rPr>
            </w:pPr>
            <w:r>
              <w:rPr>
                <w:rFonts w:hint="eastAsia" w:asciiTheme="minorEastAsia" w:hAnsiTheme="minorEastAsia" w:eastAsiaTheme="minorEastAsia" w:cstheme="minorEastAsia"/>
                <w:b/>
                <w:bCs/>
                <w:color w:val="auto"/>
                <w:kern w:val="0"/>
                <w:lang w:eastAsia="zh-CN" w:bidi="ar"/>
              </w:rPr>
              <w:t>八、</w:t>
            </w:r>
            <w:r>
              <w:rPr>
                <w:rFonts w:hint="eastAsia" w:asciiTheme="minorEastAsia" w:hAnsiTheme="minorEastAsia" w:eastAsiaTheme="minorEastAsia" w:cstheme="minorEastAsia"/>
                <w:b/>
                <w:bCs/>
                <w:color w:val="auto"/>
                <w:kern w:val="0"/>
                <w:lang w:bidi="ar"/>
              </w:rPr>
              <w:t>环境风险</w:t>
            </w:r>
          </w:p>
          <w:p w14:paraId="7D5580FE">
            <w:pPr>
              <w:ind w:firstLine="482" w:firstLineChars="200"/>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1、风险潜势初判</w:t>
            </w:r>
          </w:p>
          <w:p w14:paraId="46348E64">
            <w:pPr>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（1）Q值的确定</w:t>
            </w:r>
          </w:p>
          <w:p w14:paraId="74AFC710">
            <w:pPr>
              <w:ind w:firstLine="48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根据《建设项目环境风险评价技术导则》（HJ169－2018）附录 C，Q 按下式进行计算</w:t>
            </w:r>
            <w:r>
              <w:rPr>
                <w:rFonts w:hint="eastAsia" w:asciiTheme="minorEastAsia" w:hAnsiTheme="minorEastAsia" w:eastAsiaTheme="minorEastAsia" w:cstheme="minorEastAsia"/>
                <w:color w:val="auto"/>
                <w:lang w:eastAsia="zh-CN"/>
              </w:rPr>
              <w:t>。</w:t>
            </w:r>
          </w:p>
          <w:p w14:paraId="03D183DC">
            <w:pPr>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Q=</w:t>
            </w:r>
            <w:r>
              <w:rPr>
                <w:rFonts w:hint="eastAsia" w:asciiTheme="minorEastAsia" w:hAnsiTheme="minorEastAsia" w:eastAsiaTheme="minorEastAsia" w:cstheme="minorEastAsia"/>
                <w:color w:val="auto"/>
                <w:sz w:val="24"/>
                <w:szCs w:val="24"/>
                <w:lang w:val="en-US" w:eastAsia="zh-CN"/>
              </w:rPr>
              <w:t>q</w:t>
            </w:r>
            <w:r>
              <w:rPr>
                <w:rFonts w:hint="eastAsia" w:asciiTheme="minorEastAsia" w:hAnsiTheme="minorEastAsia" w:eastAsiaTheme="minorEastAsia" w:cstheme="minorEastAsia"/>
                <w:color w:val="auto"/>
                <w:sz w:val="24"/>
                <w:szCs w:val="24"/>
                <w:vertAlign w:val="subscript"/>
              </w:rPr>
              <w:t>1</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Q</w:t>
            </w:r>
            <w:r>
              <w:rPr>
                <w:rFonts w:hint="eastAsia" w:asciiTheme="minorEastAsia" w:hAnsiTheme="minorEastAsia" w:eastAsiaTheme="minorEastAsia" w:cstheme="minorEastAsia"/>
                <w:color w:val="auto"/>
                <w:sz w:val="24"/>
                <w:szCs w:val="24"/>
                <w:vertAlign w:val="subscript"/>
              </w:rPr>
              <w:t>1</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q</w:t>
            </w:r>
            <w:r>
              <w:rPr>
                <w:rFonts w:hint="eastAsia" w:asciiTheme="minorEastAsia" w:hAnsiTheme="minorEastAsia" w:eastAsiaTheme="minorEastAsia" w:cstheme="minorEastAsia"/>
                <w:color w:val="auto"/>
                <w:sz w:val="24"/>
                <w:szCs w:val="24"/>
                <w:vertAlign w:val="subscript"/>
              </w:rPr>
              <w:t>2</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Q</w:t>
            </w:r>
            <w:r>
              <w:rPr>
                <w:rFonts w:hint="eastAsia" w:asciiTheme="minorEastAsia" w:hAnsiTheme="minorEastAsia" w:eastAsiaTheme="minorEastAsia" w:cstheme="minorEastAsia"/>
                <w:color w:val="auto"/>
                <w:sz w:val="24"/>
                <w:szCs w:val="24"/>
                <w:vertAlign w:val="subscript"/>
              </w:rPr>
              <w:t>2</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q</w:t>
            </w:r>
            <w:r>
              <w:rPr>
                <w:rFonts w:hint="eastAsia" w:asciiTheme="minorEastAsia" w:hAnsiTheme="minorEastAsia" w:eastAsiaTheme="minorEastAsia" w:cstheme="minorEastAsia"/>
                <w:color w:val="auto"/>
                <w:sz w:val="24"/>
                <w:szCs w:val="24"/>
              </w:rPr>
              <w:t xml:space="preserve">n/ </w:t>
            </w:r>
            <w:r>
              <w:rPr>
                <w:rFonts w:hint="eastAsia" w:asciiTheme="minorEastAsia" w:hAnsiTheme="minorEastAsia" w:eastAsiaTheme="minorEastAsia" w:cstheme="minorEastAsia"/>
                <w:color w:val="auto"/>
                <w:sz w:val="24"/>
                <w:szCs w:val="24"/>
                <w:lang w:val="en-US" w:eastAsia="zh-CN"/>
              </w:rPr>
              <w:t>Q</w:t>
            </w:r>
            <w:r>
              <w:rPr>
                <w:rFonts w:hint="eastAsia" w:asciiTheme="minorEastAsia" w:hAnsiTheme="minorEastAsia" w:eastAsiaTheme="minorEastAsia" w:cstheme="minorEastAsia"/>
                <w:color w:val="auto"/>
                <w:sz w:val="24"/>
                <w:szCs w:val="24"/>
              </w:rPr>
              <w:t xml:space="preserve">n                 </w:t>
            </w:r>
          </w:p>
          <w:p w14:paraId="6CCB4FC8">
            <w:pPr>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式中：</w:t>
            </w:r>
            <w:r>
              <w:rPr>
                <w:rFonts w:hint="eastAsia" w:asciiTheme="minorEastAsia" w:hAnsiTheme="minorEastAsia" w:eastAsiaTheme="minorEastAsia" w:cstheme="minorEastAsia"/>
                <w:color w:val="auto"/>
                <w:sz w:val="24"/>
                <w:szCs w:val="24"/>
                <w:lang w:val="en-US" w:eastAsia="zh-CN"/>
              </w:rPr>
              <w:t>q</w:t>
            </w:r>
            <w:r>
              <w:rPr>
                <w:rFonts w:hint="eastAsia" w:asciiTheme="minorEastAsia" w:hAnsiTheme="minorEastAsia" w:eastAsiaTheme="minorEastAsia" w:cstheme="minorEastAsia"/>
                <w:color w:val="auto"/>
                <w:sz w:val="24"/>
                <w:szCs w:val="24"/>
                <w:vertAlign w:val="subscript"/>
              </w:rPr>
              <w:t>1</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q</w:t>
            </w:r>
            <w:r>
              <w:rPr>
                <w:rFonts w:hint="eastAsia" w:asciiTheme="minorEastAsia" w:hAnsiTheme="minorEastAsia" w:eastAsiaTheme="minorEastAsia" w:cstheme="minorEastAsia"/>
                <w:color w:val="auto"/>
                <w:sz w:val="24"/>
                <w:szCs w:val="24"/>
                <w:vertAlign w:val="subscript"/>
              </w:rPr>
              <w:t>2</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q</w:t>
            </w:r>
            <w:r>
              <w:rPr>
                <w:rFonts w:hint="eastAsia" w:asciiTheme="minorEastAsia" w:hAnsiTheme="minorEastAsia" w:eastAsiaTheme="minorEastAsia" w:cstheme="minorEastAsia"/>
                <w:color w:val="auto"/>
                <w:sz w:val="24"/>
                <w:szCs w:val="24"/>
              </w:rPr>
              <w:t>n—每种风险物质的存在量，t；</w:t>
            </w:r>
          </w:p>
          <w:p w14:paraId="1D87A27C">
            <w:pPr>
              <w:ind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sz w:val="24"/>
                <w:szCs w:val="24"/>
                <w:lang w:val="en-US" w:eastAsia="zh-CN"/>
              </w:rPr>
              <w:t>Q</w:t>
            </w:r>
            <w:r>
              <w:rPr>
                <w:rFonts w:hint="eastAsia" w:asciiTheme="minorEastAsia" w:hAnsiTheme="minorEastAsia" w:eastAsiaTheme="minorEastAsia" w:cstheme="minorEastAsia"/>
                <w:color w:val="auto"/>
                <w:sz w:val="24"/>
                <w:szCs w:val="24"/>
                <w:vertAlign w:val="subscript"/>
              </w:rPr>
              <w:t>1</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Q</w:t>
            </w:r>
            <w:r>
              <w:rPr>
                <w:rFonts w:hint="eastAsia" w:asciiTheme="minorEastAsia" w:hAnsiTheme="minorEastAsia" w:eastAsiaTheme="minorEastAsia" w:cstheme="minorEastAsia"/>
                <w:color w:val="auto"/>
                <w:sz w:val="24"/>
                <w:szCs w:val="24"/>
                <w:vertAlign w:val="subscript"/>
              </w:rPr>
              <w:t>2</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Q</w:t>
            </w:r>
            <w:r>
              <w:rPr>
                <w:rFonts w:hint="eastAsia" w:asciiTheme="minorEastAsia" w:hAnsiTheme="minorEastAsia" w:eastAsiaTheme="minorEastAsia" w:cstheme="minorEastAsia"/>
                <w:color w:val="auto"/>
                <w:sz w:val="24"/>
                <w:szCs w:val="24"/>
              </w:rPr>
              <w:t>n—每种风险物质的临界量，t</w:t>
            </w:r>
            <w:r>
              <w:rPr>
                <w:rFonts w:hint="eastAsia" w:asciiTheme="minorEastAsia" w:hAnsiTheme="minorEastAsia" w:eastAsiaTheme="minorEastAsia" w:cstheme="minorEastAsia"/>
                <w:color w:val="auto"/>
                <w:sz w:val="24"/>
                <w:szCs w:val="24"/>
                <w:lang w:val="en-US" w:eastAsia="zh-CN"/>
              </w:rPr>
              <w:t>.</w:t>
            </w:r>
          </w:p>
          <w:p w14:paraId="66F88967">
            <w:pPr>
              <w:ind w:firstLine="48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当 Q＜1 时，该项目环境风险潜势为I。</w:t>
            </w:r>
          </w:p>
          <w:p w14:paraId="3BAFFC72">
            <w:pPr>
              <w:ind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eastAsia="zh-CN"/>
              </w:rPr>
              <w:t>当 Q≥1 时，将 Q 值划分为：（1）1≤Q＜10；（2）10≤Q＜100；（3）Q≥100。</w:t>
            </w:r>
          </w:p>
          <w:p w14:paraId="110A86DF">
            <w:pPr>
              <w:ind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eastAsia="zh-CN"/>
              </w:rPr>
              <w:t>本项目设置1间脱模剂储存间，可放</w:t>
            </w: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lang w:eastAsia="zh-CN"/>
              </w:rPr>
              <w:t>桶200L/桶脱模剂，最大储存量为</w:t>
            </w:r>
            <w:r>
              <w:rPr>
                <w:rFonts w:hint="eastAsia" w:asciiTheme="minorEastAsia" w:hAnsiTheme="minorEastAsia" w:eastAsiaTheme="minorEastAsia" w:cstheme="minorEastAsia"/>
                <w:color w:val="auto"/>
                <w:lang w:val="en-US" w:eastAsia="zh-CN"/>
              </w:rPr>
              <w:t>4</w:t>
            </w:r>
            <w:r>
              <w:rPr>
                <w:rFonts w:hint="eastAsia" w:asciiTheme="minorEastAsia" w:hAnsiTheme="minorEastAsia" w:eastAsiaTheme="minorEastAsia" w:cstheme="minorEastAsia"/>
                <w:color w:val="auto"/>
                <w:lang w:eastAsia="zh-CN"/>
              </w:rPr>
              <w:t>00L。液压油的密度范围约为0.7-0.9g/ml（t/m³），本次取0.855g/m</w:t>
            </w:r>
            <w:r>
              <w:rPr>
                <w:rFonts w:hint="eastAsia" w:asciiTheme="minorEastAsia" w:hAnsiTheme="minorEastAsia" w:eastAsiaTheme="minorEastAsia" w:cstheme="minorEastAsia"/>
                <w:color w:val="auto"/>
                <w:lang w:val="en-US" w:eastAsia="zh-CN"/>
              </w:rPr>
              <w:t>L</w:t>
            </w:r>
            <w:r>
              <w:rPr>
                <w:rFonts w:hint="eastAsia" w:asciiTheme="minorEastAsia" w:hAnsiTheme="minorEastAsia" w:eastAsiaTheme="minorEastAsia" w:cstheme="minorEastAsia"/>
                <w:color w:val="auto"/>
                <w:lang w:eastAsia="zh-CN"/>
              </w:rPr>
              <w:t>（t/m</w:t>
            </w:r>
            <w:r>
              <w:rPr>
                <w:rFonts w:hint="eastAsia" w:asciiTheme="minorEastAsia" w:hAnsiTheme="minorEastAsia" w:eastAsiaTheme="minorEastAsia" w:cstheme="minorEastAsia"/>
                <w:color w:val="auto"/>
                <w:vertAlign w:val="superscript"/>
                <w:lang w:val="en-US" w:eastAsia="zh-CN"/>
              </w:rPr>
              <w:t>3</w:t>
            </w:r>
            <w:r>
              <w:rPr>
                <w:rFonts w:hint="eastAsia" w:asciiTheme="minorEastAsia" w:hAnsiTheme="minorEastAsia" w:eastAsiaTheme="minorEastAsia" w:cstheme="minorEastAsia"/>
                <w:color w:val="auto"/>
                <w:lang w:eastAsia="zh-CN"/>
              </w:rPr>
              <w:t>），临界量及其最大贮存量见表4-1</w:t>
            </w:r>
            <w:r>
              <w:rPr>
                <w:rFonts w:hint="eastAsia" w:asciiTheme="minorEastAsia" w:hAnsiTheme="minorEastAsia" w:eastAsiaTheme="minorEastAsia" w:cstheme="minorEastAsia"/>
                <w:color w:val="auto"/>
                <w:lang w:val="en-US" w:eastAsia="zh-CN"/>
              </w:rPr>
              <w:t>7。</w:t>
            </w:r>
          </w:p>
          <w:p w14:paraId="7D53C347">
            <w:pPr>
              <w:ind w:firstLine="0" w:firstLineChars="0"/>
              <w:jc w:val="center"/>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color w:val="auto"/>
                <w:lang w:eastAsia="zh-CN"/>
              </w:rPr>
              <w:t>表</w:t>
            </w:r>
            <w:r>
              <w:rPr>
                <w:rFonts w:hint="eastAsia" w:asciiTheme="minorEastAsia" w:hAnsiTheme="minorEastAsia" w:eastAsiaTheme="minorEastAsia" w:cstheme="minorEastAsia"/>
                <w:b/>
                <w:bCs/>
                <w:color w:val="auto"/>
                <w:lang w:val="en-US" w:eastAsia="zh-CN"/>
              </w:rPr>
              <w:t xml:space="preserve">4-17  </w:t>
            </w:r>
            <w:r>
              <w:rPr>
                <w:rFonts w:hint="eastAsia" w:asciiTheme="minorEastAsia" w:hAnsiTheme="minorEastAsia" w:eastAsiaTheme="minorEastAsia" w:cstheme="minorEastAsia"/>
                <w:b/>
                <w:bCs/>
                <w:color w:val="auto"/>
                <w:sz w:val="24"/>
                <w:szCs w:val="24"/>
              </w:rPr>
              <w:t>境风险</w:t>
            </w:r>
            <w:r>
              <w:rPr>
                <w:rFonts w:hint="eastAsia" w:asciiTheme="minorEastAsia" w:hAnsiTheme="minorEastAsia" w:eastAsiaTheme="minorEastAsia" w:cstheme="minorEastAsia"/>
                <w:b/>
                <w:bCs w:val="0"/>
                <w:color w:val="auto"/>
                <w:sz w:val="24"/>
                <w:szCs w:val="24"/>
              </w:rPr>
              <w:t>物质Q值计算</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9"/>
              <w:gridCol w:w="2203"/>
              <w:gridCol w:w="1783"/>
              <w:gridCol w:w="2162"/>
            </w:tblGrid>
            <w:tr w14:paraId="633A6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679" w:type="pct"/>
                  <w:tcBorders>
                    <w:bottom w:val="single" w:color="auto" w:sz="4" w:space="0"/>
                  </w:tcBorders>
                  <w:vAlign w:val="center"/>
                </w:tcPr>
                <w:p w14:paraId="5DF1A187">
                  <w:pPr>
                    <w:spacing w:line="240" w:lineRule="auto"/>
                    <w:ind w:firstLine="0" w:firstLineChars="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环境风险物质</w:t>
                  </w:r>
                </w:p>
              </w:tc>
              <w:tc>
                <w:tcPr>
                  <w:tcW w:w="1190" w:type="pct"/>
                  <w:tcBorders>
                    <w:bottom w:val="single" w:color="auto" w:sz="4" w:space="0"/>
                  </w:tcBorders>
                  <w:vAlign w:val="center"/>
                </w:tcPr>
                <w:p w14:paraId="7CEEF3F4">
                  <w:pPr>
                    <w:spacing w:line="240" w:lineRule="auto"/>
                    <w:ind w:firstLine="0" w:firstLineChars="0"/>
                    <w:jc w:val="cente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rPr>
                    <w:t>厂区最大储存量</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lang w:val="en-US" w:eastAsia="zh-CN"/>
                    </w:rPr>
                    <w:t>t</w:t>
                  </w:r>
                  <w:r>
                    <w:rPr>
                      <w:rFonts w:hint="eastAsia" w:asciiTheme="minorEastAsia" w:hAnsiTheme="minorEastAsia" w:eastAsiaTheme="minorEastAsia" w:cstheme="minorEastAsia"/>
                      <w:b/>
                      <w:bCs/>
                      <w:color w:val="auto"/>
                      <w:sz w:val="21"/>
                      <w:szCs w:val="21"/>
                      <w:lang w:eastAsia="zh-CN"/>
                    </w:rPr>
                    <w:t>）</w:t>
                  </w:r>
                </w:p>
              </w:tc>
              <w:tc>
                <w:tcPr>
                  <w:tcW w:w="963" w:type="pct"/>
                  <w:tcBorders>
                    <w:bottom w:val="single" w:color="auto" w:sz="4" w:space="0"/>
                  </w:tcBorders>
                  <w:vAlign w:val="center"/>
                </w:tcPr>
                <w:p w14:paraId="0ED14497">
                  <w:pPr>
                    <w:spacing w:line="240" w:lineRule="auto"/>
                    <w:ind w:firstLine="0" w:firstLineChars="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临界量</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lang w:val="en-US" w:eastAsia="zh-CN"/>
                    </w:rPr>
                    <w:t>t</w:t>
                  </w:r>
                  <w:r>
                    <w:rPr>
                      <w:rFonts w:hint="eastAsia" w:asciiTheme="minorEastAsia" w:hAnsiTheme="minorEastAsia" w:eastAsiaTheme="minorEastAsia" w:cstheme="minorEastAsia"/>
                      <w:b/>
                      <w:bCs/>
                      <w:color w:val="auto"/>
                      <w:sz w:val="21"/>
                      <w:szCs w:val="21"/>
                      <w:lang w:eastAsia="zh-CN"/>
                    </w:rPr>
                    <w:t>）</w:t>
                  </w:r>
                </w:p>
              </w:tc>
              <w:tc>
                <w:tcPr>
                  <w:tcW w:w="1165" w:type="pct"/>
                  <w:tcBorders>
                    <w:bottom w:val="single" w:color="auto" w:sz="4" w:space="0"/>
                  </w:tcBorders>
                  <w:vAlign w:val="center"/>
                </w:tcPr>
                <w:p w14:paraId="4AC9206E">
                  <w:pPr>
                    <w:spacing w:line="240" w:lineRule="auto"/>
                    <w:ind w:firstLine="0" w:firstLineChars="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q</w:t>
                  </w:r>
                  <w:r>
                    <w:rPr>
                      <w:rFonts w:hint="eastAsia" w:asciiTheme="minorEastAsia" w:hAnsiTheme="minorEastAsia" w:eastAsiaTheme="minorEastAsia" w:cstheme="minorEastAsia"/>
                      <w:b/>
                      <w:bCs/>
                      <w:color w:val="auto"/>
                      <w:sz w:val="21"/>
                      <w:szCs w:val="21"/>
                      <w:vertAlign w:val="subscript"/>
                    </w:rPr>
                    <w:t>1</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val="en-US" w:eastAsia="zh-CN"/>
                    </w:rPr>
                    <w:t>Q</w:t>
                  </w:r>
                  <w:r>
                    <w:rPr>
                      <w:rFonts w:hint="eastAsia" w:asciiTheme="minorEastAsia" w:hAnsiTheme="minorEastAsia" w:eastAsiaTheme="minorEastAsia" w:cstheme="minorEastAsia"/>
                      <w:b/>
                      <w:bCs/>
                      <w:color w:val="auto"/>
                      <w:sz w:val="21"/>
                      <w:szCs w:val="21"/>
                      <w:vertAlign w:val="subscript"/>
                    </w:rPr>
                    <w:t>1</w:t>
                  </w:r>
                </w:p>
              </w:tc>
            </w:tr>
            <w:tr w14:paraId="11D32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9" w:type="pct"/>
                  <w:tcBorders>
                    <w:top w:val="single" w:color="auto" w:sz="4" w:space="0"/>
                    <w:bottom w:val="single" w:color="auto" w:sz="4" w:space="0"/>
                  </w:tcBorders>
                  <w:vAlign w:val="center"/>
                </w:tcPr>
                <w:p w14:paraId="4C2F9D00">
                  <w:pPr>
                    <w:tabs>
                      <w:tab w:val="center" w:pos="4153"/>
                    </w:tabs>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脱模剂</w:t>
                  </w:r>
                </w:p>
              </w:tc>
              <w:tc>
                <w:tcPr>
                  <w:tcW w:w="1190" w:type="pct"/>
                  <w:tcBorders>
                    <w:top w:val="single" w:color="auto" w:sz="4" w:space="0"/>
                    <w:bottom w:val="single" w:color="auto" w:sz="4" w:space="0"/>
                  </w:tcBorders>
                  <w:vAlign w:val="center"/>
                </w:tcPr>
                <w:p w14:paraId="5D2F393D">
                  <w:pPr>
                    <w:tabs>
                      <w:tab w:val="center" w:pos="4153"/>
                    </w:tabs>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0.342</w:t>
                  </w:r>
                </w:p>
              </w:tc>
              <w:tc>
                <w:tcPr>
                  <w:tcW w:w="963" w:type="pct"/>
                  <w:tcBorders>
                    <w:bottom w:val="single" w:color="auto" w:sz="4" w:space="0"/>
                  </w:tcBorders>
                  <w:vAlign w:val="center"/>
                </w:tcPr>
                <w:p w14:paraId="5CC8462B">
                  <w:pPr>
                    <w:tabs>
                      <w:tab w:val="center" w:pos="4153"/>
                    </w:tabs>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2500</w:t>
                  </w:r>
                </w:p>
              </w:tc>
              <w:tc>
                <w:tcPr>
                  <w:tcW w:w="1165" w:type="pct"/>
                  <w:tcBorders>
                    <w:top w:val="single" w:color="auto" w:sz="4" w:space="0"/>
                    <w:bottom w:val="single" w:color="auto" w:sz="4" w:space="0"/>
                  </w:tcBorders>
                  <w:vAlign w:val="center"/>
                </w:tcPr>
                <w:p w14:paraId="50666722">
                  <w:pPr>
                    <w:tabs>
                      <w:tab w:val="center" w:pos="4153"/>
                    </w:tabs>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0.0002</w:t>
                  </w:r>
                </w:p>
              </w:tc>
            </w:tr>
            <w:tr w14:paraId="74AF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5000" w:type="pct"/>
                  <w:gridSpan w:val="4"/>
                  <w:vAlign w:val="center"/>
                </w:tcPr>
                <w:p w14:paraId="41505306">
                  <w:pPr>
                    <w:tabs>
                      <w:tab w:val="center" w:pos="4153"/>
                    </w:tabs>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Q=</w:t>
                  </w:r>
                  <w:r>
                    <w:rPr>
                      <w:rFonts w:hint="eastAsia" w:asciiTheme="minorEastAsia" w:hAnsiTheme="minorEastAsia" w:eastAsiaTheme="minorEastAsia" w:cstheme="minorEastAsia"/>
                      <w:color w:val="auto"/>
                      <w:sz w:val="21"/>
                      <w:szCs w:val="21"/>
                      <w:lang w:val="en-US" w:eastAsia="zh-CN"/>
                    </w:rPr>
                    <w:t>0.00013＜1</w:t>
                  </w:r>
                </w:p>
              </w:tc>
            </w:tr>
          </w:tbl>
          <w:p w14:paraId="7C12466B">
            <w:pPr>
              <w:ind w:firstLine="48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 xml:space="preserve">（2）环境风险评价等级 </w:t>
            </w:r>
          </w:p>
          <w:p w14:paraId="2EC4BC25">
            <w:pPr>
              <w:ind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由表4-17可知，本厂内Q=0.00013&lt;1。</w:t>
            </w:r>
          </w:p>
          <w:p w14:paraId="3DEA9998">
            <w:pPr>
              <w:ind w:firstLine="48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根据《建设项目环境风险评价技术导则》（HJ169-2018），项目Q＜1 ，故本项目</w:t>
            </w:r>
            <w:r>
              <w:rPr>
                <w:rFonts w:hint="eastAsia" w:asciiTheme="minorEastAsia" w:hAnsiTheme="minorEastAsia" w:eastAsiaTheme="minorEastAsia" w:cstheme="minorEastAsia"/>
                <w:b w:val="0"/>
                <w:bCs w:val="0"/>
                <w:color w:val="auto"/>
                <w:sz w:val="24"/>
                <w:szCs w:val="24"/>
                <w:u w:val="none"/>
                <w:lang w:eastAsia="zh-CN"/>
              </w:rPr>
              <w:t>直接评为一般环境风险等级</w:t>
            </w:r>
            <w:r>
              <w:rPr>
                <w:rFonts w:hint="eastAsia" w:asciiTheme="minorEastAsia" w:hAnsiTheme="minorEastAsia" w:eastAsiaTheme="minorEastAsia" w:cstheme="minorEastAsia"/>
                <w:color w:val="auto"/>
                <w:lang w:val="en-US" w:eastAsia="zh-CN"/>
              </w:rPr>
              <w:t>，仅进行简单分析。</w:t>
            </w:r>
          </w:p>
          <w:p w14:paraId="617D8900">
            <w:pPr>
              <w:ind w:firstLine="482" w:firstLineChars="200"/>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2、风险事故分析</w:t>
            </w:r>
          </w:p>
          <w:p w14:paraId="03EE7B43">
            <w:pPr>
              <w:ind w:firstLine="48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本项目暂以液压油作为脱模剂，具有潜在危险的液压油物质，这些物质一旦发生事故泄露等会弥散至周围环境对人员造成伤害等。本项目风险类型指油料泄漏、火灾爆炸等事故，不考虑自然灾害如地震、洪水等引起的事故风险。</w:t>
            </w:r>
          </w:p>
          <w:p w14:paraId="3447FE7E">
            <w:pPr>
              <w:ind w:firstLine="48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（1）对地表水环境影响分析</w:t>
            </w:r>
          </w:p>
          <w:p w14:paraId="47F52C93">
            <w:pPr>
              <w:ind w:firstLine="48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①泄漏影响分析</w:t>
            </w:r>
          </w:p>
          <w:p w14:paraId="3C6D00F0">
            <w:pPr>
              <w:ind w:firstLine="48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泄漏或渗漏的成品油一旦进入地表河流，将造成地表河流的污染，影响范围小到几公里大到几十公里。污染首先将造成地表河流的景观破坏，产生严重的刺鼻性气味；其次，由于有机烃类物质难溶于水，大部分上浮在水层表面，形成一层油膜使空气隔离，造成水中溶解氧浓度降低，逐渐形成死水，致使水中生物死亡；再次，成品油的主要成分是 C4</w:t>
            </w:r>
            <w:r>
              <w:rPr>
                <w:rFonts w:hint="eastAsia" w:ascii="Times New Roman" w:hAnsi="Times New Roman" w:cs="Times New Roman"/>
                <w:color w:val="auto"/>
                <w:lang w:val="en-US" w:eastAsia="zh-CN"/>
              </w:rPr>
              <w:t>-</w:t>
            </w:r>
            <w:r>
              <w:rPr>
                <w:rFonts w:hint="eastAsia" w:ascii="Times New Roman" w:hAnsi="Times New Roman" w:eastAsia="宋体" w:cs="Times New Roman"/>
                <w:color w:val="auto"/>
                <w:lang w:val="en-US" w:eastAsia="zh-CN"/>
              </w:rPr>
              <w:t>C9 的烃类、芳烃类、醇酮类以及卤代烃类有机物，一旦进入水体环境，由于可生化性较差，造成被污染水体长时间得不到净化，完全恢复则需十几年、甚至几十年的时间。</w:t>
            </w:r>
          </w:p>
          <w:p w14:paraId="7EA260A0">
            <w:pPr>
              <w:ind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②火灾、爆炸引发次生污染影响分析</w:t>
            </w:r>
          </w:p>
          <w:p w14:paraId="35782345">
            <w:pPr>
              <w:ind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液压油燃烧、爆炸产生污染物主要为CO和CO</w:t>
            </w:r>
            <w:r>
              <w:rPr>
                <w:rFonts w:hint="eastAsia" w:asciiTheme="minorEastAsia" w:hAnsiTheme="minorEastAsia" w:eastAsiaTheme="minorEastAsia" w:cstheme="minorEastAsia"/>
                <w:color w:val="auto"/>
                <w:vertAlign w:val="subscript"/>
                <w:lang w:val="en-US" w:eastAsia="zh-CN"/>
              </w:rPr>
              <w:t>2</w:t>
            </w:r>
            <w:r>
              <w:rPr>
                <w:rFonts w:hint="eastAsia" w:asciiTheme="minorEastAsia" w:hAnsiTheme="minorEastAsia" w:eastAsiaTheme="minorEastAsia" w:cstheme="minorEastAsia"/>
                <w:color w:val="auto"/>
                <w:lang w:val="en-US" w:eastAsia="zh-CN"/>
              </w:rPr>
              <w:t>，两种物质均不溶于水。项目区内拟布设干粉灭火器，发生火灾及灭火过程中项目内不会产生废水。因此项目发生火灾、爆炸事故后对周围水环境影响不大。</w:t>
            </w:r>
          </w:p>
          <w:p w14:paraId="5560F3C1">
            <w:pPr>
              <w:ind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（2）对地下水环境的影响分析</w:t>
            </w:r>
          </w:p>
          <w:p w14:paraId="5AA6D52F">
            <w:pPr>
              <w:ind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液压油桶的泄漏或渗漏对地下水的污染较为严重，地下水一旦遭到成品油的污染，将使地下水产生严重异味，并具有较强的致畸致癌性，无法饮用，又由于这种渗漏必然穿过较厚的土层，使土壤层中吸附有大量的燃油料，土壤层吸附的燃料油不仅会造成植物生物的死亡，而且土壤层吸附的燃料还会随着地表水的下渗对土壤层的冲刷补充到地下水，这样即便污染源得到及时控制，地下水要完全恢复也需几十年甚至上百年的时间。</w:t>
            </w:r>
          </w:p>
          <w:p w14:paraId="5B857378">
            <w:pPr>
              <w:ind w:firstLine="480" w:firstLineChars="200"/>
              <w:rPr>
                <w:rFonts w:hint="eastAsia" w:asciiTheme="majorEastAsia" w:hAnsiTheme="majorEastAsia" w:eastAsiaTheme="majorEastAsia" w:cstheme="majorEastAsia"/>
                <w:color w:val="auto"/>
                <w:lang w:eastAsia="zh-CN"/>
              </w:rPr>
            </w:pPr>
            <w:r>
              <w:rPr>
                <w:rFonts w:hint="eastAsia" w:asciiTheme="minorEastAsia" w:hAnsiTheme="minorEastAsia" w:eastAsiaTheme="minorEastAsia" w:cstheme="minorEastAsia"/>
                <w:color w:val="auto"/>
                <w:lang w:eastAsia="zh-CN"/>
              </w:rPr>
              <w:t>（</w:t>
            </w:r>
            <w:r>
              <w:rPr>
                <w:rFonts w:hint="eastAsia" w:asciiTheme="majorEastAsia" w:hAnsiTheme="majorEastAsia" w:eastAsiaTheme="majorEastAsia" w:cstheme="majorEastAsia"/>
                <w:color w:val="auto"/>
                <w:lang w:eastAsia="zh-CN"/>
              </w:rPr>
              <w:t>3）对大气环境影响分析</w:t>
            </w:r>
          </w:p>
          <w:p w14:paraId="699FDA6B">
            <w:pPr>
              <w:ind w:firstLine="480" w:firstLineChars="200"/>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lang w:eastAsia="zh-CN"/>
              </w:rPr>
              <w:t>①泄漏影响分析</w:t>
            </w:r>
          </w:p>
          <w:p w14:paraId="0D8610BF">
            <w:pPr>
              <w:ind w:firstLine="480" w:firstLineChars="200"/>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lang w:eastAsia="zh-CN"/>
              </w:rPr>
              <w:t>根据国内外的研究，对于突发性的事故溢油，油品溢出后在地面呈不规则的面源分布，油品的挥发速度重要影响因素为油品蒸汽压、现场风速、油品溢出面积、油品蒸汽分子平均重度。液压油主要通过油桶口挥发，不会造成大面积的扩散，对大气环境影响较小。</w:t>
            </w:r>
          </w:p>
          <w:p w14:paraId="0422F3B6">
            <w:pPr>
              <w:ind w:firstLine="480" w:firstLineChars="200"/>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lang w:eastAsia="zh-CN"/>
              </w:rPr>
              <w:t>②火灾、爆炸产生的次生污染对人和环境的影响分析</w:t>
            </w:r>
          </w:p>
          <w:p w14:paraId="309EAE43">
            <w:pPr>
              <w:ind w:firstLine="480" w:firstLineChars="200"/>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lang w:eastAsia="zh-CN"/>
              </w:rPr>
              <w:t>汽油、液压油为碳氢化合物，分解产物为一氧化碳、二氧化碳及水，其中完全燃烧时产生二氧化碳，不完全燃烧时产生 CO。CO在大气中比较稳定，不易与其他物质产生化学反应，其在进入大气后，由于大气的扩散稀释作用和氧化作用，一般不会造成危害，所以吸入时不为人门所察觉，是室内外空气中常见的污染物。当其浓度过高时，人在这种环境下待的时间较长，就会出现晕眩、头痛、怠倦的现象，CO对人的主要危害就是引起组织缺氧，导致急性或者慢性中毒甚至有死亡的威胁。</w:t>
            </w:r>
          </w:p>
          <w:p w14:paraId="52198E8D">
            <w:pPr>
              <w:ind w:firstLine="480" w:firstLineChars="200"/>
              <w:rPr>
                <w:rFonts w:hint="eastAsia" w:ascii="Times New Roman" w:hAnsi="Times New Roman" w:eastAsia="宋体" w:cs="Times New Roman"/>
                <w:color w:val="auto"/>
                <w:lang w:eastAsia="zh-CN"/>
              </w:rPr>
            </w:pPr>
            <w:r>
              <w:rPr>
                <w:rFonts w:hint="eastAsia" w:asciiTheme="majorEastAsia" w:hAnsiTheme="majorEastAsia" w:eastAsiaTheme="majorEastAsia" w:cstheme="majorEastAsia"/>
                <w:color w:val="auto"/>
                <w:lang w:eastAsia="zh-CN"/>
              </w:rPr>
              <w:t>此外，CO还可能造成听力与视力的损害，比如视</w:t>
            </w:r>
            <w:r>
              <w:rPr>
                <w:rFonts w:hint="eastAsia" w:ascii="Times New Roman" w:hAnsi="Times New Roman" w:eastAsia="宋体" w:cs="Times New Roman"/>
                <w:color w:val="auto"/>
                <w:lang w:eastAsia="zh-CN"/>
              </w:rPr>
              <w:t>野的减小或者听力的丧失。二氧化碳对环境影响主要为温室效应。根据前面分析，本项目出现火灾、爆炸事故概率较小，排放的一氧化碳、二氧化碳经大气稀释、扩散后对周边大气环境影响较小。</w:t>
            </w:r>
          </w:p>
          <w:p w14:paraId="60CDDEA6">
            <w:pPr>
              <w:ind w:firstLine="480" w:firstLineChars="20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（4）对周边敏感点影响分析</w:t>
            </w:r>
          </w:p>
          <w:p w14:paraId="7B33F9B9">
            <w:pPr>
              <w:ind w:firstLine="480" w:firstLineChars="200"/>
              <w:rPr>
                <w:rFonts w:hint="eastAsia" w:asciiTheme="minorEastAsia" w:hAnsiTheme="minorEastAsia" w:eastAsiaTheme="minorEastAsia" w:cstheme="minorEastAsia"/>
                <w:color w:val="auto"/>
                <w:lang w:val="en-US" w:eastAsia="zh-CN"/>
              </w:rPr>
            </w:pPr>
            <w:r>
              <w:rPr>
                <w:rFonts w:hint="eastAsia" w:ascii="Times New Roman" w:hAnsi="Times New Roman" w:eastAsia="宋体" w:cs="Times New Roman"/>
                <w:color w:val="auto"/>
                <w:lang w:eastAsia="zh-CN"/>
              </w:rPr>
              <w:t>项</w:t>
            </w:r>
            <w:r>
              <w:rPr>
                <w:rFonts w:hint="eastAsia" w:asciiTheme="minorEastAsia" w:hAnsiTheme="minorEastAsia" w:eastAsiaTheme="minorEastAsia" w:cstheme="minorEastAsia"/>
                <w:color w:val="auto"/>
                <w:lang w:eastAsia="zh-CN"/>
              </w:rPr>
              <w:t>目一旦发生渗漏与溢出事故，其影响范围均能控制在项目场地范围内。根据同类型项目发生火灾及爆炸事故影响结果，液压油储存间发生火灾、爆炸事故排放CO的影响范围主要集中在厂内，下风向影响范围在30m范围内，30m外CO浓度可以达到《工业企业设计卫生标准》（TJ36-79）中居住区大气中有害物质的最高容许浓度要求，即CO一次最高容许浓度≤3.0mg/m</w:t>
            </w:r>
            <w:r>
              <w:rPr>
                <w:rFonts w:hint="eastAsia" w:asciiTheme="minorEastAsia" w:hAnsiTheme="minorEastAsia" w:eastAsiaTheme="minorEastAsia" w:cstheme="minorEastAsia"/>
                <w:color w:val="auto"/>
                <w:vertAlign w:val="superscript"/>
                <w:lang w:eastAsia="zh-CN"/>
              </w:rPr>
              <w:t>3</w:t>
            </w:r>
            <w:r>
              <w:rPr>
                <w:rFonts w:hint="eastAsia" w:asciiTheme="minorEastAsia" w:hAnsiTheme="minorEastAsia" w:eastAsiaTheme="minorEastAsia" w:cstheme="minorEastAsia"/>
                <w:color w:val="auto"/>
                <w:lang w:eastAsia="zh-CN"/>
              </w:rPr>
              <w:t>。项目区主导风向为西南风，项目下风向30m范围内为农田，发生火宅爆炸事故后产生的CO对农田有一定的影响，项目周边比较空旷，通风条件较好，CO能迅速扩散，对周围敏感目标的影响不大。</w:t>
            </w:r>
          </w:p>
          <w:p w14:paraId="14A49F42">
            <w:pPr>
              <w:ind w:firstLine="482" w:firstLineChars="200"/>
              <w:rPr>
                <w:rFonts w:hint="eastAsia"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val="en-US" w:eastAsia="zh-CN"/>
              </w:rPr>
              <w:t>3、风险防范措施</w:t>
            </w:r>
          </w:p>
          <w:p w14:paraId="42C1CBC1">
            <w:pPr>
              <w:ind w:firstLine="48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①对液压油储存间做防渗防腐、地面围堰处理（本项目最大暂存量为</w:t>
            </w: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lang w:eastAsia="zh-CN"/>
              </w:rPr>
              <w:t>桶液压油，200L/桶，容量为</w:t>
            </w:r>
            <w:r>
              <w:rPr>
                <w:rFonts w:hint="eastAsia" w:asciiTheme="minorEastAsia" w:hAnsiTheme="minorEastAsia" w:eastAsiaTheme="minorEastAsia" w:cstheme="minorEastAsia"/>
                <w:color w:val="auto"/>
                <w:lang w:val="en-US" w:eastAsia="zh-CN"/>
              </w:rPr>
              <w:t>4</w:t>
            </w:r>
            <w:r>
              <w:rPr>
                <w:rFonts w:hint="eastAsia" w:asciiTheme="minorEastAsia" w:hAnsiTheme="minorEastAsia" w:eastAsiaTheme="minorEastAsia" w:cstheme="minorEastAsia"/>
                <w:color w:val="auto"/>
                <w:lang w:eastAsia="zh-CN"/>
              </w:rPr>
              <w:t>00L、</w:t>
            </w:r>
            <w:r>
              <w:rPr>
                <w:rFonts w:hint="eastAsia" w:asciiTheme="minorEastAsia" w:hAnsiTheme="minorEastAsia" w:eastAsiaTheme="minorEastAsia" w:cstheme="minorEastAsia"/>
                <w:color w:val="auto"/>
                <w:lang w:val="en-US" w:eastAsia="zh-CN"/>
              </w:rPr>
              <w:t>0.4</w:t>
            </w:r>
            <w:r>
              <w:rPr>
                <w:rFonts w:hint="eastAsia" w:asciiTheme="minorEastAsia" w:hAnsiTheme="minorEastAsia" w:eastAsiaTheme="minorEastAsia" w:cstheme="minorEastAsia"/>
                <w:color w:val="auto"/>
                <w:lang w:eastAsia="zh-CN"/>
              </w:rPr>
              <w:t>m</w:t>
            </w:r>
            <w:r>
              <w:rPr>
                <w:rFonts w:hint="eastAsia" w:asciiTheme="minorEastAsia" w:hAnsiTheme="minorEastAsia" w:eastAsiaTheme="minorEastAsia" w:cstheme="minorEastAsia"/>
                <w:color w:val="auto"/>
                <w:vertAlign w:val="superscript"/>
                <w:lang w:eastAsia="zh-CN"/>
              </w:rPr>
              <w:t>3</w:t>
            </w:r>
            <w:r>
              <w:rPr>
                <w:rFonts w:hint="eastAsia" w:asciiTheme="minorEastAsia" w:hAnsiTheme="minorEastAsia" w:eastAsiaTheme="minorEastAsia" w:cstheme="minorEastAsia"/>
                <w:color w:val="auto"/>
                <w:lang w:eastAsia="zh-CN"/>
              </w:rPr>
              <w:t>，设计长1.</w:t>
            </w:r>
            <w:r>
              <w:rPr>
                <w:rFonts w:hint="eastAsia" w:asciiTheme="minorEastAsia" w:hAnsiTheme="minorEastAsia" w:eastAsiaTheme="minorEastAsia" w:cstheme="minorEastAsia"/>
                <w:color w:val="auto"/>
                <w:lang w:val="en-US" w:eastAsia="zh-CN"/>
              </w:rPr>
              <w:t>0</w:t>
            </w:r>
            <w:r>
              <w:rPr>
                <w:rFonts w:hint="eastAsia" w:asciiTheme="minorEastAsia" w:hAnsiTheme="minorEastAsia" w:eastAsiaTheme="minorEastAsia" w:cstheme="minorEastAsia"/>
                <w:color w:val="auto"/>
                <w:lang w:eastAsia="zh-CN"/>
              </w:rPr>
              <w:t>m、宽1.</w:t>
            </w:r>
            <w:r>
              <w:rPr>
                <w:rFonts w:hint="eastAsia" w:asciiTheme="minorEastAsia" w:hAnsiTheme="minorEastAsia" w:eastAsiaTheme="minorEastAsia" w:cstheme="minorEastAsia"/>
                <w:color w:val="auto"/>
                <w:lang w:val="en-US" w:eastAsia="zh-CN"/>
              </w:rPr>
              <w:t>0</w:t>
            </w:r>
            <w:r>
              <w:rPr>
                <w:rFonts w:hint="eastAsia" w:asciiTheme="minorEastAsia" w:hAnsiTheme="minorEastAsia" w:eastAsiaTheme="minorEastAsia" w:cstheme="minorEastAsia"/>
                <w:color w:val="auto"/>
                <w:lang w:eastAsia="zh-CN"/>
              </w:rPr>
              <w:t>m、高0.</w:t>
            </w:r>
            <w:r>
              <w:rPr>
                <w:rFonts w:hint="eastAsia" w:asciiTheme="minorEastAsia" w:hAnsiTheme="minorEastAsia" w:eastAsiaTheme="minorEastAsia" w:cstheme="minorEastAsia"/>
                <w:color w:val="auto"/>
                <w:lang w:val="en-US" w:eastAsia="zh-CN"/>
              </w:rPr>
              <w:t>5</w:t>
            </w:r>
            <w:r>
              <w:rPr>
                <w:rFonts w:hint="eastAsia" w:asciiTheme="minorEastAsia" w:hAnsiTheme="minorEastAsia" w:eastAsiaTheme="minorEastAsia" w:cstheme="minorEastAsia"/>
                <w:color w:val="auto"/>
                <w:lang w:eastAsia="zh-CN"/>
              </w:rPr>
              <w:t>m，则围堰容积为</w:t>
            </w:r>
            <w:r>
              <w:rPr>
                <w:rFonts w:hint="eastAsia" w:asciiTheme="minorEastAsia" w:hAnsiTheme="minorEastAsia" w:eastAsiaTheme="minorEastAsia" w:cstheme="minorEastAsia"/>
                <w:color w:val="auto"/>
                <w:lang w:val="en-US" w:eastAsia="zh-CN"/>
              </w:rPr>
              <w:t>0.5</w:t>
            </w:r>
            <w:r>
              <w:rPr>
                <w:rFonts w:hint="eastAsia" w:asciiTheme="minorEastAsia" w:hAnsiTheme="minorEastAsia" w:eastAsiaTheme="minorEastAsia" w:cstheme="minorEastAsia"/>
                <w:color w:val="auto"/>
                <w:lang w:eastAsia="zh-CN"/>
              </w:rPr>
              <w:t>m</w:t>
            </w:r>
            <w:r>
              <w:rPr>
                <w:rFonts w:hint="eastAsia" w:asciiTheme="minorEastAsia" w:hAnsiTheme="minorEastAsia" w:eastAsiaTheme="minorEastAsia" w:cstheme="minorEastAsia"/>
                <w:color w:val="auto"/>
                <w:vertAlign w:val="superscript"/>
                <w:lang w:eastAsia="zh-CN"/>
              </w:rPr>
              <w:t>3</w:t>
            </w:r>
            <w:r>
              <w:rPr>
                <w:rFonts w:hint="eastAsia" w:asciiTheme="minorEastAsia" w:hAnsiTheme="minorEastAsia" w:eastAsiaTheme="minorEastAsia" w:cstheme="minorEastAsia"/>
                <w:color w:val="auto"/>
                <w:lang w:eastAsia="zh-CN"/>
              </w:rPr>
              <w:t>，地面围堰容积能够满足液压油泄漏时全部停留在围堰区域，不外漏）一旦发生溢出与渗漏事故，油品由于防渗层的保护，积聚在储油区，不溢出厂外，也不会直接进入地表水对地表水、地下水造成影响。</w:t>
            </w:r>
          </w:p>
          <w:p w14:paraId="16283E3F">
            <w:pPr>
              <w:ind w:firstLine="480" w:firstLineChars="200"/>
              <w:rPr>
                <w:rFonts w:hint="eastAsia" w:ascii="Times New Roman" w:hAnsi="Times New Roman"/>
                <w:color w:val="auto"/>
                <w:lang w:eastAsia="zh-CN"/>
              </w:rPr>
            </w:pPr>
            <w:r>
              <w:rPr>
                <w:rFonts w:hint="eastAsia" w:ascii="Times New Roman" w:hAnsi="Times New Roman"/>
                <w:color w:val="auto"/>
                <w:lang w:eastAsia="zh-CN"/>
              </w:rPr>
              <w:t>②加强员工上岗前安全知识和技能培训，定期开展员工培训。组织演习，使每个职工都会使用消防器材，有效地扑救初期火灾。要求员工定期查看液压油储存间渗漏溢出情况，及时发现液压油储存间渗漏溢出情况。</w:t>
            </w:r>
          </w:p>
          <w:p w14:paraId="6FF4895D">
            <w:pPr>
              <w:ind w:firstLine="480" w:firstLineChars="200"/>
              <w:rPr>
                <w:rFonts w:hint="eastAsia" w:ascii="Times New Roman" w:hAnsi="Times New Roman"/>
                <w:color w:val="auto"/>
                <w:lang w:eastAsia="zh-CN"/>
              </w:rPr>
            </w:pPr>
            <w:r>
              <w:rPr>
                <w:rFonts w:hint="eastAsia" w:ascii="Times New Roman" w:hAnsi="Times New Roman"/>
                <w:color w:val="auto"/>
                <w:lang w:eastAsia="zh-CN"/>
              </w:rPr>
              <w:t>③为了保证消防器材处于可用状态，应做到消防器材定点摆放、定人管理。定时检查、定期更新。在液压油储存间设置安全警示标志（如禁止烟火），应加强维护，定期更换，使之清晰可辨。</w:t>
            </w:r>
          </w:p>
          <w:p w14:paraId="3FAA7D98">
            <w:pPr>
              <w:ind w:firstLine="480" w:firstLineChars="200"/>
              <w:rPr>
                <w:rFonts w:hint="eastAsia" w:ascii="Times New Roman" w:hAnsi="Times New Roman"/>
                <w:color w:val="auto"/>
                <w:lang w:eastAsia="zh-CN"/>
              </w:rPr>
            </w:pPr>
            <w:r>
              <w:rPr>
                <w:rFonts w:hint="eastAsia" w:ascii="Times New Roman" w:hAnsi="Times New Roman"/>
                <w:color w:val="auto"/>
                <w:lang w:eastAsia="zh-CN"/>
              </w:rPr>
              <w:t>④规范用电、用火管理，不得随意装接临时用电设备，不得在站房内使用易引起火灾的电气设备。</w:t>
            </w:r>
          </w:p>
          <w:p w14:paraId="38C02406">
            <w:pPr>
              <w:ind w:firstLine="480" w:firstLineChars="200"/>
              <w:rPr>
                <w:rFonts w:hint="eastAsia" w:ascii="Times New Roman" w:hAnsi="Times New Roman"/>
                <w:color w:val="auto"/>
                <w:lang w:eastAsia="zh-CN"/>
              </w:rPr>
            </w:pPr>
            <w:r>
              <w:rPr>
                <w:rFonts w:hint="eastAsia" w:ascii="Times New Roman" w:hAnsi="Times New Roman"/>
                <w:color w:val="auto"/>
                <w:lang w:eastAsia="zh-CN"/>
              </w:rPr>
              <w:t>综上，本项目存在的环境风险，通过建设单位采取的控制措施，可将本项目的环境风险降到最低限度，属于可接受范围。</w:t>
            </w:r>
          </w:p>
          <w:p w14:paraId="48CE787C">
            <w:pPr>
              <w:ind w:firstLine="482" w:firstLineChars="200"/>
              <w:rPr>
                <w:rFonts w:hint="default" w:ascii="Times New Roman" w:hAnsi="Times New Roman"/>
                <w:b/>
                <w:bCs/>
                <w:color w:val="auto"/>
                <w:lang w:val="en-US" w:eastAsia="zh-CN"/>
              </w:rPr>
            </w:pPr>
            <w:r>
              <w:rPr>
                <w:rFonts w:hint="eastAsia" w:ascii="Times New Roman" w:hAnsi="Times New Roman"/>
                <w:b/>
                <w:bCs/>
                <w:color w:val="auto"/>
                <w:lang w:val="en-US" w:eastAsia="zh-CN"/>
              </w:rPr>
              <w:t>4、突发环境事件应急预案</w:t>
            </w:r>
          </w:p>
          <w:p w14:paraId="23B157A1">
            <w:pPr>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由于自然灾害或人为原因，当事故灾害不可避免的时候，有效的应急救援行动是唯一可以抵御事故灾害蔓延和减缓灾害后果的有力措施。所以，如果在事故灾害发生前建立完善的应急救援系统，制定周密的救援计划，而在灾害发生的时候采取及时有效的应急救援行动，以及系统的恢复和善后处理，可以拯救生命、保护财产、保护环境。</w:t>
            </w:r>
          </w:p>
          <w:p w14:paraId="03A044C1">
            <w:pPr>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的建设必然伴随着潜在的危害，如果安全措施水平高，则事故的概率必然会降低，但不会为零。一旦发生事故，需要采取工程应急措施，控制和减小事故危害。一旦有毒有害物质泄漏至环境，就需要实施社会救援，因此必须制定与该项目特点合适的突发环境事件应急预案，上报</w:t>
            </w:r>
            <w:r>
              <w:rPr>
                <w:rFonts w:hint="eastAsia" w:asciiTheme="minorEastAsia" w:hAnsiTheme="minorEastAsia" w:eastAsiaTheme="minorEastAsia" w:cstheme="minorEastAsia"/>
                <w:color w:val="auto"/>
                <w:lang w:eastAsia="zh-CN"/>
              </w:rPr>
              <w:t>德宏州生态环境局芒市分局</w:t>
            </w:r>
            <w:r>
              <w:rPr>
                <w:rFonts w:hint="eastAsia" w:asciiTheme="minorEastAsia" w:hAnsiTheme="minorEastAsia" w:eastAsiaTheme="minorEastAsia" w:cstheme="minorEastAsia"/>
                <w:color w:val="auto"/>
              </w:rPr>
              <w:t>备案，定期开展全员培训和演练。</w:t>
            </w:r>
          </w:p>
          <w:p w14:paraId="2FE0933A">
            <w:pPr>
              <w:ind w:firstLine="48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突发环境事件应急预案内容及要求见表 4-1</w:t>
            </w:r>
            <w:r>
              <w:rPr>
                <w:rFonts w:hint="eastAsia" w:asciiTheme="minorEastAsia" w:hAnsiTheme="minorEastAsia" w:eastAsiaTheme="minorEastAsia" w:cstheme="minorEastAsia"/>
                <w:color w:val="auto"/>
                <w:lang w:val="en-US" w:eastAsia="zh-CN"/>
              </w:rPr>
              <w:t>8</w:t>
            </w:r>
            <w:r>
              <w:rPr>
                <w:rFonts w:hint="eastAsia" w:asciiTheme="minorEastAsia" w:hAnsiTheme="minorEastAsia" w:eastAsiaTheme="minorEastAsia" w:cstheme="minorEastAsia"/>
                <w:color w:val="auto"/>
                <w:lang w:eastAsia="zh-CN"/>
              </w:rPr>
              <w:t>。</w:t>
            </w:r>
          </w:p>
          <w:p w14:paraId="2FC1C769">
            <w:pPr>
              <w:spacing w:line="276" w:lineRule="auto"/>
              <w:ind w:leftChars="-1" w:hanging="2" w:hangingChars="1"/>
              <w:jc w:val="center"/>
              <w:rPr>
                <w:rFonts w:hint="eastAsia" w:asciiTheme="minorEastAsia" w:hAnsiTheme="minorEastAsia" w:eastAsiaTheme="minorEastAsia" w:cstheme="minorEastAsia"/>
                <w:b/>
                <w:color w:val="auto"/>
                <w:kern w:val="0"/>
              </w:rPr>
            </w:pPr>
            <w:r>
              <w:rPr>
                <w:rFonts w:hint="eastAsia" w:asciiTheme="minorEastAsia" w:hAnsiTheme="minorEastAsia" w:eastAsiaTheme="minorEastAsia" w:cstheme="minorEastAsia"/>
                <w:b/>
                <w:color w:val="auto"/>
                <w:kern w:val="0"/>
                <w:lang w:bidi="ar"/>
              </w:rPr>
              <w:t>表4-1</w:t>
            </w:r>
            <w:r>
              <w:rPr>
                <w:rFonts w:hint="eastAsia" w:asciiTheme="minorEastAsia" w:hAnsiTheme="minorEastAsia" w:eastAsiaTheme="minorEastAsia" w:cstheme="minorEastAsia"/>
                <w:b/>
                <w:color w:val="auto"/>
                <w:kern w:val="0"/>
                <w:lang w:val="en-US" w:eastAsia="zh-CN" w:bidi="ar"/>
              </w:rPr>
              <w:t>8</w:t>
            </w:r>
            <w:r>
              <w:rPr>
                <w:rFonts w:hint="eastAsia" w:asciiTheme="minorEastAsia" w:hAnsiTheme="minorEastAsia" w:eastAsiaTheme="minorEastAsia" w:cstheme="minorEastAsia"/>
                <w:b/>
                <w:color w:val="auto"/>
                <w:kern w:val="0"/>
                <w:lang w:bidi="ar"/>
              </w:rPr>
              <w:t xml:space="preserve">  突发环境事件应急预案内容及要求</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582"/>
              <w:gridCol w:w="5909"/>
            </w:tblGrid>
            <w:tr w14:paraId="0749A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415" w:type="pct"/>
                  <w:tcBorders>
                    <w:top w:val="single" w:color="auto" w:sz="4" w:space="0"/>
                    <w:left w:val="single" w:color="auto" w:sz="4" w:space="0"/>
                    <w:bottom w:val="single" w:color="auto" w:sz="4" w:space="0"/>
                    <w:right w:val="single" w:color="auto" w:sz="4" w:space="0"/>
                  </w:tcBorders>
                  <w:vAlign w:val="center"/>
                </w:tcPr>
                <w:p w14:paraId="75BAC627">
                  <w:pPr>
                    <w:spacing w:line="240" w:lineRule="auto"/>
                    <w:jc w:val="center"/>
                    <w:rPr>
                      <w:rFonts w:ascii="Times New Roman" w:hAnsi="Times New Roman"/>
                      <w:b/>
                      <w:bCs/>
                      <w:color w:val="auto"/>
                      <w:sz w:val="21"/>
                      <w:szCs w:val="21"/>
                    </w:rPr>
                  </w:pPr>
                  <w:r>
                    <w:rPr>
                      <w:rFonts w:ascii="Times New Roman" w:hAnsi="Times New Roman"/>
                      <w:b/>
                      <w:bCs/>
                      <w:color w:val="auto"/>
                      <w:sz w:val="21"/>
                      <w:szCs w:val="21"/>
                      <w:lang w:bidi="ar"/>
                    </w:rPr>
                    <w:t>序号</w:t>
                  </w:r>
                </w:p>
              </w:tc>
              <w:tc>
                <w:tcPr>
                  <w:tcW w:w="1394" w:type="pct"/>
                  <w:tcBorders>
                    <w:top w:val="single" w:color="auto" w:sz="4" w:space="0"/>
                    <w:left w:val="single" w:color="auto" w:sz="4" w:space="0"/>
                    <w:bottom w:val="single" w:color="auto" w:sz="4" w:space="0"/>
                    <w:right w:val="single" w:color="auto" w:sz="4" w:space="0"/>
                  </w:tcBorders>
                  <w:vAlign w:val="center"/>
                </w:tcPr>
                <w:p w14:paraId="76AF55C7">
                  <w:pPr>
                    <w:spacing w:line="240" w:lineRule="auto"/>
                    <w:jc w:val="center"/>
                    <w:rPr>
                      <w:rFonts w:ascii="Times New Roman" w:hAnsi="Times New Roman"/>
                      <w:b/>
                      <w:bCs/>
                      <w:color w:val="auto"/>
                      <w:sz w:val="21"/>
                      <w:szCs w:val="21"/>
                    </w:rPr>
                  </w:pPr>
                  <w:r>
                    <w:rPr>
                      <w:rFonts w:ascii="Times New Roman" w:hAnsi="Times New Roman"/>
                      <w:b/>
                      <w:bCs/>
                      <w:color w:val="auto"/>
                      <w:sz w:val="21"/>
                      <w:szCs w:val="21"/>
                      <w:lang w:bidi="ar"/>
                    </w:rPr>
                    <w:t>项目</w:t>
                  </w:r>
                </w:p>
              </w:tc>
              <w:tc>
                <w:tcPr>
                  <w:tcW w:w="3190" w:type="pct"/>
                  <w:tcBorders>
                    <w:top w:val="single" w:color="auto" w:sz="4" w:space="0"/>
                    <w:left w:val="single" w:color="auto" w:sz="4" w:space="0"/>
                    <w:bottom w:val="single" w:color="auto" w:sz="4" w:space="0"/>
                    <w:right w:val="single" w:color="auto" w:sz="4" w:space="0"/>
                  </w:tcBorders>
                  <w:vAlign w:val="center"/>
                </w:tcPr>
                <w:p w14:paraId="695F37A1">
                  <w:pPr>
                    <w:spacing w:line="240" w:lineRule="auto"/>
                    <w:jc w:val="center"/>
                    <w:rPr>
                      <w:rFonts w:ascii="Times New Roman" w:hAnsi="Times New Roman"/>
                      <w:b/>
                      <w:bCs/>
                      <w:color w:val="auto"/>
                      <w:sz w:val="21"/>
                      <w:szCs w:val="21"/>
                    </w:rPr>
                  </w:pPr>
                  <w:r>
                    <w:rPr>
                      <w:rFonts w:ascii="Times New Roman" w:hAnsi="Times New Roman"/>
                      <w:b/>
                      <w:bCs/>
                      <w:color w:val="auto"/>
                      <w:sz w:val="21"/>
                      <w:szCs w:val="21"/>
                      <w:lang w:bidi="ar"/>
                    </w:rPr>
                    <w:t>内容及要求</w:t>
                  </w:r>
                </w:p>
              </w:tc>
            </w:tr>
            <w:tr w14:paraId="29B7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415" w:type="pct"/>
                  <w:tcBorders>
                    <w:top w:val="single" w:color="auto" w:sz="4" w:space="0"/>
                    <w:left w:val="single" w:color="auto" w:sz="4" w:space="0"/>
                    <w:bottom w:val="single" w:color="auto" w:sz="4" w:space="0"/>
                    <w:right w:val="single" w:color="auto" w:sz="4" w:space="0"/>
                  </w:tcBorders>
                  <w:vAlign w:val="center"/>
                </w:tcPr>
                <w:p w14:paraId="5705884B">
                  <w:pPr>
                    <w:spacing w:line="240" w:lineRule="auto"/>
                    <w:jc w:val="center"/>
                    <w:rPr>
                      <w:rFonts w:ascii="Times New Roman" w:hAnsi="Times New Roman"/>
                      <w:color w:val="auto"/>
                      <w:sz w:val="21"/>
                      <w:szCs w:val="21"/>
                    </w:rPr>
                  </w:pPr>
                  <w:r>
                    <w:rPr>
                      <w:rFonts w:ascii="Times New Roman" w:hAnsi="Times New Roman"/>
                      <w:color w:val="auto"/>
                      <w:sz w:val="21"/>
                      <w:szCs w:val="21"/>
                      <w:lang w:bidi="ar"/>
                    </w:rPr>
                    <w:t>1</w:t>
                  </w:r>
                </w:p>
              </w:tc>
              <w:tc>
                <w:tcPr>
                  <w:tcW w:w="1394" w:type="pct"/>
                  <w:tcBorders>
                    <w:top w:val="single" w:color="auto" w:sz="4" w:space="0"/>
                    <w:left w:val="single" w:color="auto" w:sz="4" w:space="0"/>
                    <w:bottom w:val="single" w:color="auto" w:sz="4" w:space="0"/>
                    <w:right w:val="single" w:color="auto" w:sz="4" w:space="0"/>
                  </w:tcBorders>
                  <w:vAlign w:val="center"/>
                </w:tcPr>
                <w:p w14:paraId="12655D7A">
                  <w:pPr>
                    <w:spacing w:line="240" w:lineRule="auto"/>
                    <w:jc w:val="left"/>
                    <w:rPr>
                      <w:rFonts w:ascii="Times New Roman" w:hAnsi="Times New Roman"/>
                      <w:color w:val="auto"/>
                      <w:sz w:val="21"/>
                      <w:szCs w:val="21"/>
                    </w:rPr>
                  </w:pPr>
                  <w:r>
                    <w:rPr>
                      <w:rFonts w:ascii="Times New Roman" w:hAnsi="Times New Roman"/>
                      <w:color w:val="auto"/>
                      <w:sz w:val="21"/>
                      <w:szCs w:val="21"/>
                      <w:lang w:bidi="ar"/>
                    </w:rPr>
                    <w:t>应急计划区</w:t>
                  </w:r>
                </w:p>
              </w:tc>
              <w:tc>
                <w:tcPr>
                  <w:tcW w:w="3190" w:type="pct"/>
                  <w:tcBorders>
                    <w:top w:val="single" w:color="auto" w:sz="4" w:space="0"/>
                    <w:left w:val="single" w:color="auto" w:sz="4" w:space="0"/>
                    <w:bottom w:val="single" w:color="auto" w:sz="4" w:space="0"/>
                    <w:right w:val="single" w:color="auto" w:sz="4" w:space="0"/>
                  </w:tcBorders>
                  <w:vAlign w:val="center"/>
                </w:tcPr>
                <w:p w14:paraId="60295C43">
                  <w:pPr>
                    <w:spacing w:line="240" w:lineRule="auto"/>
                    <w:jc w:val="left"/>
                    <w:rPr>
                      <w:rFonts w:ascii="Times New Roman" w:hAnsi="Times New Roman"/>
                      <w:color w:val="auto"/>
                      <w:sz w:val="21"/>
                      <w:szCs w:val="21"/>
                    </w:rPr>
                  </w:pPr>
                  <w:r>
                    <w:rPr>
                      <w:rFonts w:ascii="Times New Roman" w:hAnsi="Times New Roman"/>
                      <w:color w:val="auto"/>
                      <w:sz w:val="21"/>
                      <w:szCs w:val="21"/>
                      <w:lang w:bidi="ar"/>
                    </w:rPr>
                    <w:t>危险目标：</w:t>
                  </w:r>
                  <w:r>
                    <w:rPr>
                      <w:rFonts w:hint="eastAsia" w:ascii="Times New Roman" w:hAnsi="Times New Roman"/>
                      <w:color w:val="auto"/>
                      <w:sz w:val="21"/>
                      <w:szCs w:val="21"/>
                      <w:lang w:bidi="ar"/>
                    </w:rPr>
                    <w:t>生产区</w:t>
                  </w:r>
                  <w:r>
                    <w:rPr>
                      <w:rFonts w:ascii="Times New Roman" w:hAnsi="Times New Roman"/>
                      <w:color w:val="auto"/>
                      <w:sz w:val="21"/>
                      <w:szCs w:val="21"/>
                      <w:lang w:bidi="ar"/>
                    </w:rPr>
                    <w:t>、环境保护目标</w:t>
                  </w:r>
                </w:p>
              </w:tc>
            </w:tr>
            <w:tr w14:paraId="0207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15" w:type="pct"/>
                  <w:tcBorders>
                    <w:top w:val="single" w:color="auto" w:sz="4" w:space="0"/>
                    <w:left w:val="single" w:color="auto" w:sz="4" w:space="0"/>
                    <w:bottom w:val="single" w:color="auto" w:sz="4" w:space="0"/>
                    <w:right w:val="single" w:color="auto" w:sz="4" w:space="0"/>
                  </w:tcBorders>
                  <w:vAlign w:val="center"/>
                </w:tcPr>
                <w:p w14:paraId="0836FF23">
                  <w:pPr>
                    <w:spacing w:line="240" w:lineRule="auto"/>
                    <w:jc w:val="center"/>
                    <w:rPr>
                      <w:rFonts w:ascii="Times New Roman" w:hAnsi="Times New Roman"/>
                      <w:color w:val="auto"/>
                      <w:sz w:val="21"/>
                      <w:szCs w:val="21"/>
                    </w:rPr>
                  </w:pPr>
                  <w:r>
                    <w:rPr>
                      <w:rFonts w:ascii="Times New Roman" w:hAnsi="Times New Roman"/>
                      <w:color w:val="auto"/>
                      <w:sz w:val="21"/>
                      <w:szCs w:val="21"/>
                      <w:lang w:bidi="ar"/>
                    </w:rPr>
                    <w:t>2</w:t>
                  </w:r>
                </w:p>
              </w:tc>
              <w:tc>
                <w:tcPr>
                  <w:tcW w:w="1394" w:type="pct"/>
                  <w:tcBorders>
                    <w:top w:val="single" w:color="auto" w:sz="4" w:space="0"/>
                    <w:left w:val="single" w:color="auto" w:sz="4" w:space="0"/>
                    <w:bottom w:val="single" w:color="auto" w:sz="4" w:space="0"/>
                    <w:right w:val="single" w:color="auto" w:sz="4" w:space="0"/>
                  </w:tcBorders>
                  <w:vAlign w:val="center"/>
                </w:tcPr>
                <w:p w14:paraId="6BFF2622">
                  <w:pPr>
                    <w:spacing w:line="240" w:lineRule="auto"/>
                    <w:jc w:val="left"/>
                    <w:rPr>
                      <w:rFonts w:ascii="Times New Roman" w:hAnsi="Times New Roman"/>
                      <w:color w:val="auto"/>
                      <w:sz w:val="21"/>
                      <w:szCs w:val="21"/>
                    </w:rPr>
                  </w:pPr>
                  <w:r>
                    <w:rPr>
                      <w:rFonts w:ascii="Times New Roman" w:hAnsi="Times New Roman"/>
                      <w:color w:val="auto"/>
                      <w:sz w:val="21"/>
                      <w:szCs w:val="21"/>
                      <w:lang w:bidi="ar"/>
                    </w:rPr>
                    <w:t>应急组织机构、人员</w:t>
                  </w:r>
                </w:p>
              </w:tc>
              <w:tc>
                <w:tcPr>
                  <w:tcW w:w="3190" w:type="pct"/>
                  <w:tcBorders>
                    <w:top w:val="single" w:color="auto" w:sz="4" w:space="0"/>
                    <w:left w:val="single" w:color="auto" w:sz="4" w:space="0"/>
                    <w:bottom w:val="single" w:color="auto" w:sz="4" w:space="0"/>
                    <w:right w:val="single" w:color="auto" w:sz="4" w:space="0"/>
                  </w:tcBorders>
                  <w:vAlign w:val="center"/>
                </w:tcPr>
                <w:p w14:paraId="6B6859B6">
                  <w:pPr>
                    <w:spacing w:line="240" w:lineRule="auto"/>
                    <w:jc w:val="left"/>
                    <w:rPr>
                      <w:rFonts w:ascii="Times New Roman" w:hAnsi="Times New Roman"/>
                      <w:color w:val="auto"/>
                      <w:sz w:val="21"/>
                      <w:szCs w:val="21"/>
                    </w:rPr>
                  </w:pPr>
                  <w:r>
                    <w:rPr>
                      <w:rFonts w:ascii="Times New Roman" w:hAnsi="Times New Roman"/>
                      <w:color w:val="auto"/>
                      <w:sz w:val="21"/>
                      <w:szCs w:val="21"/>
                      <w:lang w:bidi="ar"/>
                    </w:rPr>
                    <w:t>厂长、员工</w:t>
                  </w:r>
                </w:p>
              </w:tc>
            </w:tr>
            <w:tr w14:paraId="725D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5" w:type="pct"/>
                  <w:tcBorders>
                    <w:top w:val="single" w:color="auto" w:sz="4" w:space="0"/>
                    <w:left w:val="single" w:color="auto" w:sz="4" w:space="0"/>
                    <w:bottom w:val="single" w:color="auto" w:sz="4" w:space="0"/>
                    <w:right w:val="single" w:color="auto" w:sz="4" w:space="0"/>
                  </w:tcBorders>
                  <w:vAlign w:val="center"/>
                </w:tcPr>
                <w:p w14:paraId="6F16BAA0">
                  <w:pPr>
                    <w:spacing w:line="240" w:lineRule="auto"/>
                    <w:jc w:val="center"/>
                    <w:rPr>
                      <w:rFonts w:ascii="Times New Roman" w:hAnsi="Times New Roman"/>
                      <w:color w:val="auto"/>
                      <w:sz w:val="21"/>
                      <w:szCs w:val="21"/>
                    </w:rPr>
                  </w:pPr>
                  <w:r>
                    <w:rPr>
                      <w:rFonts w:ascii="Times New Roman" w:hAnsi="Times New Roman"/>
                      <w:color w:val="auto"/>
                      <w:sz w:val="21"/>
                      <w:szCs w:val="21"/>
                      <w:lang w:bidi="ar"/>
                    </w:rPr>
                    <w:t>3</w:t>
                  </w:r>
                </w:p>
              </w:tc>
              <w:tc>
                <w:tcPr>
                  <w:tcW w:w="1394" w:type="pct"/>
                  <w:tcBorders>
                    <w:top w:val="single" w:color="auto" w:sz="4" w:space="0"/>
                    <w:left w:val="single" w:color="auto" w:sz="4" w:space="0"/>
                    <w:bottom w:val="single" w:color="auto" w:sz="4" w:space="0"/>
                    <w:right w:val="single" w:color="auto" w:sz="4" w:space="0"/>
                  </w:tcBorders>
                  <w:vAlign w:val="center"/>
                </w:tcPr>
                <w:p w14:paraId="616FACB4">
                  <w:pPr>
                    <w:spacing w:line="240" w:lineRule="auto"/>
                    <w:jc w:val="left"/>
                    <w:rPr>
                      <w:rFonts w:ascii="Times New Roman" w:hAnsi="Times New Roman"/>
                      <w:color w:val="auto"/>
                      <w:sz w:val="21"/>
                      <w:szCs w:val="21"/>
                    </w:rPr>
                  </w:pPr>
                  <w:r>
                    <w:rPr>
                      <w:rFonts w:ascii="Times New Roman" w:hAnsi="Times New Roman"/>
                      <w:color w:val="auto"/>
                      <w:sz w:val="21"/>
                      <w:szCs w:val="21"/>
                      <w:lang w:bidi="ar"/>
                    </w:rPr>
                    <w:t>预案分级响应条件</w:t>
                  </w:r>
                </w:p>
              </w:tc>
              <w:tc>
                <w:tcPr>
                  <w:tcW w:w="3190" w:type="pct"/>
                  <w:tcBorders>
                    <w:top w:val="single" w:color="auto" w:sz="4" w:space="0"/>
                    <w:left w:val="single" w:color="auto" w:sz="4" w:space="0"/>
                    <w:bottom w:val="single" w:color="auto" w:sz="4" w:space="0"/>
                    <w:right w:val="single" w:color="auto" w:sz="4" w:space="0"/>
                  </w:tcBorders>
                  <w:vAlign w:val="center"/>
                </w:tcPr>
                <w:p w14:paraId="39F3C401">
                  <w:pPr>
                    <w:spacing w:line="240" w:lineRule="auto"/>
                    <w:jc w:val="left"/>
                    <w:rPr>
                      <w:rFonts w:ascii="Times New Roman" w:hAnsi="Times New Roman"/>
                      <w:color w:val="auto"/>
                      <w:sz w:val="21"/>
                      <w:szCs w:val="21"/>
                    </w:rPr>
                  </w:pPr>
                  <w:r>
                    <w:rPr>
                      <w:rFonts w:ascii="Times New Roman" w:hAnsi="Times New Roman"/>
                      <w:color w:val="auto"/>
                      <w:sz w:val="21"/>
                      <w:szCs w:val="21"/>
                      <w:lang w:bidi="ar"/>
                    </w:rPr>
                    <w:t>规定预案的级别及分级响应程序。</w:t>
                  </w:r>
                </w:p>
              </w:tc>
            </w:tr>
            <w:tr w14:paraId="400D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5" w:type="pct"/>
                  <w:tcBorders>
                    <w:top w:val="single" w:color="auto" w:sz="4" w:space="0"/>
                    <w:left w:val="single" w:color="auto" w:sz="4" w:space="0"/>
                    <w:bottom w:val="single" w:color="auto" w:sz="4" w:space="0"/>
                    <w:right w:val="single" w:color="auto" w:sz="4" w:space="0"/>
                  </w:tcBorders>
                  <w:vAlign w:val="center"/>
                </w:tcPr>
                <w:p w14:paraId="40205FD5">
                  <w:pPr>
                    <w:spacing w:line="240" w:lineRule="auto"/>
                    <w:jc w:val="center"/>
                    <w:rPr>
                      <w:rFonts w:ascii="Times New Roman" w:hAnsi="Times New Roman"/>
                      <w:color w:val="auto"/>
                      <w:sz w:val="21"/>
                      <w:szCs w:val="21"/>
                    </w:rPr>
                  </w:pPr>
                  <w:r>
                    <w:rPr>
                      <w:rFonts w:ascii="Times New Roman" w:hAnsi="Times New Roman"/>
                      <w:color w:val="auto"/>
                      <w:sz w:val="21"/>
                      <w:szCs w:val="21"/>
                      <w:lang w:bidi="ar"/>
                    </w:rPr>
                    <w:t>4</w:t>
                  </w:r>
                </w:p>
              </w:tc>
              <w:tc>
                <w:tcPr>
                  <w:tcW w:w="1394" w:type="pct"/>
                  <w:tcBorders>
                    <w:top w:val="single" w:color="auto" w:sz="4" w:space="0"/>
                    <w:left w:val="single" w:color="auto" w:sz="4" w:space="0"/>
                    <w:bottom w:val="single" w:color="auto" w:sz="4" w:space="0"/>
                    <w:right w:val="single" w:color="auto" w:sz="4" w:space="0"/>
                  </w:tcBorders>
                  <w:vAlign w:val="center"/>
                </w:tcPr>
                <w:p w14:paraId="7DA1C06D">
                  <w:pPr>
                    <w:spacing w:line="240" w:lineRule="auto"/>
                    <w:jc w:val="left"/>
                    <w:rPr>
                      <w:rFonts w:ascii="Times New Roman" w:hAnsi="Times New Roman"/>
                      <w:color w:val="auto"/>
                      <w:sz w:val="21"/>
                      <w:szCs w:val="21"/>
                    </w:rPr>
                  </w:pPr>
                  <w:r>
                    <w:rPr>
                      <w:rFonts w:ascii="Times New Roman" w:hAnsi="Times New Roman"/>
                      <w:color w:val="auto"/>
                      <w:sz w:val="21"/>
                      <w:szCs w:val="21"/>
                      <w:lang w:bidi="ar"/>
                    </w:rPr>
                    <w:t>应急救援保障</w:t>
                  </w:r>
                </w:p>
              </w:tc>
              <w:tc>
                <w:tcPr>
                  <w:tcW w:w="3190" w:type="pct"/>
                  <w:tcBorders>
                    <w:top w:val="single" w:color="auto" w:sz="4" w:space="0"/>
                    <w:left w:val="single" w:color="auto" w:sz="4" w:space="0"/>
                    <w:bottom w:val="single" w:color="auto" w:sz="4" w:space="0"/>
                    <w:right w:val="single" w:color="auto" w:sz="4" w:space="0"/>
                  </w:tcBorders>
                  <w:vAlign w:val="center"/>
                </w:tcPr>
                <w:p w14:paraId="54711147">
                  <w:pPr>
                    <w:spacing w:line="240" w:lineRule="auto"/>
                    <w:jc w:val="left"/>
                    <w:rPr>
                      <w:rFonts w:ascii="Times New Roman" w:hAnsi="Times New Roman"/>
                      <w:color w:val="auto"/>
                      <w:sz w:val="21"/>
                      <w:szCs w:val="21"/>
                    </w:rPr>
                  </w:pPr>
                  <w:r>
                    <w:rPr>
                      <w:rFonts w:ascii="Times New Roman" w:hAnsi="Times New Roman"/>
                      <w:color w:val="auto"/>
                      <w:sz w:val="21"/>
                      <w:szCs w:val="21"/>
                      <w:lang w:bidi="ar"/>
                    </w:rPr>
                    <w:t>应急设施，设备与器材等。</w:t>
                  </w:r>
                </w:p>
              </w:tc>
            </w:tr>
            <w:tr w14:paraId="2529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415" w:type="pct"/>
                  <w:tcBorders>
                    <w:top w:val="single" w:color="auto" w:sz="4" w:space="0"/>
                    <w:left w:val="single" w:color="auto" w:sz="4" w:space="0"/>
                    <w:bottom w:val="single" w:color="auto" w:sz="4" w:space="0"/>
                    <w:right w:val="single" w:color="auto" w:sz="4" w:space="0"/>
                  </w:tcBorders>
                  <w:vAlign w:val="center"/>
                </w:tcPr>
                <w:p w14:paraId="310FC8DA">
                  <w:pPr>
                    <w:spacing w:line="240" w:lineRule="auto"/>
                    <w:jc w:val="center"/>
                    <w:rPr>
                      <w:rFonts w:ascii="Times New Roman" w:hAnsi="Times New Roman"/>
                      <w:color w:val="auto"/>
                      <w:sz w:val="21"/>
                      <w:szCs w:val="21"/>
                    </w:rPr>
                  </w:pPr>
                  <w:r>
                    <w:rPr>
                      <w:rFonts w:ascii="Times New Roman" w:hAnsi="Times New Roman"/>
                      <w:color w:val="auto"/>
                      <w:sz w:val="21"/>
                      <w:szCs w:val="21"/>
                      <w:lang w:bidi="ar"/>
                    </w:rPr>
                    <w:t>5</w:t>
                  </w:r>
                </w:p>
              </w:tc>
              <w:tc>
                <w:tcPr>
                  <w:tcW w:w="1394" w:type="pct"/>
                  <w:tcBorders>
                    <w:top w:val="single" w:color="auto" w:sz="4" w:space="0"/>
                    <w:left w:val="single" w:color="auto" w:sz="4" w:space="0"/>
                    <w:bottom w:val="single" w:color="auto" w:sz="4" w:space="0"/>
                    <w:right w:val="single" w:color="auto" w:sz="4" w:space="0"/>
                  </w:tcBorders>
                  <w:vAlign w:val="center"/>
                </w:tcPr>
                <w:p w14:paraId="621E56E9">
                  <w:pPr>
                    <w:spacing w:line="240" w:lineRule="auto"/>
                    <w:jc w:val="left"/>
                    <w:rPr>
                      <w:rFonts w:ascii="Times New Roman" w:hAnsi="Times New Roman"/>
                      <w:color w:val="auto"/>
                      <w:sz w:val="21"/>
                      <w:szCs w:val="21"/>
                    </w:rPr>
                  </w:pPr>
                  <w:r>
                    <w:rPr>
                      <w:rFonts w:ascii="Times New Roman" w:hAnsi="Times New Roman"/>
                      <w:color w:val="auto"/>
                      <w:sz w:val="21"/>
                      <w:szCs w:val="21"/>
                      <w:lang w:bidi="ar"/>
                    </w:rPr>
                    <w:t>报警、通讯联络方式</w:t>
                  </w:r>
                </w:p>
              </w:tc>
              <w:tc>
                <w:tcPr>
                  <w:tcW w:w="3190" w:type="pct"/>
                  <w:tcBorders>
                    <w:top w:val="single" w:color="auto" w:sz="4" w:space="0"/>
                    <w:left w:val="single" w:color="auto" w:sz="4" w:space="0"/>
                    <w:bottom w:val="single" w:color="auto" w:sz="4" w:space="0"/>
                    <w:right w:val="single" w:color="auto" w:sz="4" w:space="0"/>
                  </w:tcBorders>
                  <w:vAlign w:val="center"/>
                </w:tcPr>
                <w:p w14:paraId="2A295D55">
                  <w:pPr>
                    <w:spacing w:line="240" w:lineRule="auto"/>
                    <w:jc w:val="left"/>
                    <w:rPr>
                      <w:rFonts w:ascii="Times New Roman" w:hAnsi="Times New Roman"/>
                      <w:color w:val="auto"/>
                      <w:sz w:val="21"/>
                      <w:szCs w:val="21"/>
                    </w:rPr>
                  </w:pPr>
                  <w:r>
                    <w:rPr>
                      <w:rFonts w:ascii="Times New Roman" w:hAnsi="Times New Roman"/>
                      <w:color w:val="auto"/>
                      <w:sz w:val="21"/>
                      <w:szCs w:val="21"/>
                      <w:lang w:bidi="ar"/>
                    </w:rPr>
                    <w:t>规定应急状态下的报警通讯方式、通知方式和交通保障、管制</w:t>
                  </w:r>
                  <w:r>
                    <w:rPr>
                      <w:rFonts w:hint="eastAsia" w:ascii="Times New Roman" w:hAnsi="Times New Roman"/>
                      <w:color w:val="auto"/>
                      <w:sz w:val="21"/>
                      <w:szCs w:val="21"/>
                      <w:lang w:bidi="ar"/>
                    </w:rPr>
                    <w:t>。</w:t>
                  </w:r>
                </w:p>
              </w:tc>
            </w:tr>
            <w:tr w14:paraId="4922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415" w:type="pct"/>
                  <w:tcBorders>
                    <w:top w:val="single" w:color="auto" w:sz="4" w:space="0"/>
                    <w:left w:val="single" w:color="auto" w:sz="4" w:space="0"/>
                    <w:bottom w:val="single" w:color="auto" w:sz="4" w:space="0"/>
                    <w:right w:val="single" w:color="auto" w:sz="4" w:space="0"/>
                  </w:tcBorders>
                  <w:vAlign w:val="center"/>
                </w:tcPr>
                <w:p w14:paraId="7040B585">
                  <w:pPr>
                    <w:spacing w:line="240" w:lineRule="auto"/>
                    <w:jc w:val="center"/>
                    <w:rPr>
                      <w:rFonts w:ascii="Times New Roman" w:hAnsi="Times New Roman"/>
                      <w:color w:val="auto"/>
                      <w:sz w:val="21"/>
                      <w:szCs w:val="21"/>
                    </w:rPr>
                  </w:pPr>
                  <w:r>
                    <w:rPr>
                      <w:rFonts w:ascii="Times New Roman" w:hAnsi="Times New Roman"/>
                      <w:color w:val="auto"/>
                      <w:sz w:val="21"/>
                      <w:szCs w:val="21"/>
                      <w:lang w:bidi="ar"/>
                    </w:rPr>
                    <w:t>6</w:t>
                  </w:r>
                </w:p>
              </w:tc>
              <w:tc>
                <w:tcPr>
                  <w:tcW w:w="1394" w:type="pct"/>
                  <w:tcBorders>
                    <w:top w:val="single" w:color="auto" w:sz="4" w:space="0"/>
                    <w:left w:val="single" w:color="auto" w:sz="4" w:space="0"/>
                    <w:bottom w:val="single" w:color="auto" w:sz="4" w:space="0"/>
                    <w:right w:val="single" w:color="auto" w:sz="4" w:space="0"/>
                  </w:tcBorders>
                  <w:vAlign w:val="center"/>
                </w:tcPr>
                <w:p w14:paraId="627483C8">
                  <w:pPr>
                    <w:spacing w:line="240" w:lineRule="auto"/>
                    <w:jc w:val="left"/>
                    <w:rPr>
                      <w:rFonts w:ascii="Times New Roman" w:hAnsi="Times New Roman"/>
                      <w:color w:val="auto"/>
                      <w:sz w:val="21"/>
                      <w:szCs w:val="21"/>
                    </w:rPr>
                  </w:pPr>
                  <w:r>
                    <w:rPr>
                      <w:rFonts w:ascii="Times New Roman" w:hAnsi="Times New Roman"/>
                      <w:color w:val="auto"/>
                      <w:sz w:val="21"/>
                      <w:szCs w:val="21"/>
                      <w:lang w:bidi="ar"/>
                    </w:rPr>
                    <w:t>应急环境监测、抢险、救援及控制措施</w:t>
                  </w:r>
                </w:p>
              </w:tc>
              <w:tc>
                <w:tcPr>
                  <w:tcW w:w="3190" w:type="pct"/>
                  <w:tcBorders>
                    <w:top w:val="single" w:color="auto" w:sz="4" w:space="0"/>
                    <w:left w:val="single" w:color="auto" w:sz="4" w:space="0"/>
                    <w:bottom w:val="single" w:color="auto" w:sz="4" w:space="0"/>
                    <w:right w:val="single" w:color="auto" w:sz="4" w:space="0"/>
                  </w:tcBorders>
                  <w:vAlign w:val="center"/>
                </w:tcPr>
                <w:p w14:paraId="5AD707D9">
                  <w:pPr>
                    <w:spacing w:line="240" w:lineRule="auto"/>
                    <w:jc w:val="left"/>
                    <w:rPr>
                      <w:rFonts w:ascii="Times New Roman" w:hAnsi="Times New Roman"/>
                      <w:color w:val="auto"/>
                      <w:sz w:val="21"/>
                      <w:szCs w:val="21"/>
                    </w:rPr>
                  </w:pPr>
                  <w:r>
                    <w:rPr>
                      <w:rFonts w:ascii="Times New Roman" w:hAnsi="Times New Roman"/>
                      <w:color w:val="auto"/>
                      <w:sz w:val="21"/>
                      <w:szCs w:val="21"/>
                      <w:lang w:bidi="ar"/>
                    </w:rPr>
                    <w:t>由专业队伍负责对事故现场进行监测，对事故性质、参数与后果进行评估，为指挥部门提供决策依据。</w:t>
                  </w:r>
                </w:p>
              </w:tc>
            </w:tr>
            <w:tr w14:paraId="7CA5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15" w:type="pct"/>
                  <w:tcBorders>
                    <w:top w:val="single" w:color="auto" w:sz="4" w:space="0"/>
                    <w:left w:val="single" w:color="auto" w:sz="4" w:space="0"/>
                    <w:bottom w:val="single" w:color="auto" w:sz="4" w:space="0"/>
                    <w:right w:val="single" w:color="auto" w:sz="4" w:space="0"/>
                  </w:tcBorders>
                  <w:vAlign w:val="center"/>
                </w:tcPr>
                <w:p w14:paraId="2570AC14">
                  <w:pPr>
                    <w:spacing w:line="240" w:lineRule="auto"/>
                    <w:jc w:val="center"/>
                    <w:rPr>
                      <w:rFonts w:ascii="Times New Roman" w:hAnsi="Times New Roman"/>
                      <w:color w:val="auto"/>
                      <w:sz w:val="21"/>
                      <w:szCs w:val="21"/>
                    </w:rPr>
                  </w:pPr>
                  <w:r>
                    <w:rPr>
                      <w:rFonts w:ascii="Times New Roman" w:hAnsi="Times New Roman"/>
                      <w:color w:val="auto"/>
                      <w:sz w:val="21"/>
                      <w:szCs w:val="21"/>
                      <w:lang w:bidi="ar"/>
                    </w:rPr>
                    <w:t>7</w:t>
                  </w:r>
                </w:p>
              </w:tc>
              <w:tc>
                <w:tcPr>
                  <w:tcW w:w="1394" w:type="pct"/>
                  <w:tcBorders>
                    <w:top w:val="single" w:color="auto" w:sz="4" w:space="0"/>
                    <w:left w:val="single" w:color="auto" w:sz="4" w:space="0"/>
                    <w:bottom w:val="single" w:color="auto" w:sz="4" w:space="0"/>
                    <w:right w:val="single" w:color="auto" w:sz="4" w:space="0"/>
                  </w:tcBorders>
                  <w:vAlign w:val="center"/>
                </w:tcPr>
                <w:p w14:paraId="70C8B7FE">
                  <w:pPr>
                    <w:spacing w:line="240" w:lineRule="auto"/>
                    <w:jc w:val="left"/>
                    <w:rPr>
                      <w:rFonts w:ascii="Times New Roman" w:hAnsi="Times New Roman"/>
                      <w:color w:val="auto"/>
                      <w:sz w:val="21"/>
                      <w:szCs w:val="21"/>
                    </w:rPr>
                  </w:pPr>
                  <w:r>
                    <w:rPr>
                      <w:rFonts w:ascii="Times New Roman" w:hAnsi="Times New Roman"/>
                      <w:color w:val="auto"/>
                      <w:sz w:val="21"/>
                      <w:szCs w:val="21"/>
                      <w:lang w:bidi="ar"/>
                    </w:rPr>
                    <w:t>应急检测、防护措施、清除泄漏措施和器材</w:t>
                  </w:r>
                </w:p>
              </w:tc>
              <w:tc>
                <w:tcPr>
                  <w:tcW w:w="3190" w:type="pct"/>
                  <w:tcBorders>
                    <w:top w:val="single" w:color="auto" w:sz="4" w:space="0"/>
                    <w:left w:val="single" w:color="auto" w:sz="4" w:space="0"/>
                    <w:bottom w:val="single" w:color="auto" w:sz="4" w:space="0"/>
                    <w:right w:val="single" w:color="auto" w:sz="4" w:space="0"/>
                  </w:tcBorders>
                  <w:vAlign w:val="center"/>
                </w:tcPr>
                <w:p w14:paraId="32BBD3F5">
                  <w:pPr>
                    <w:spacing w:line="240" w:lineRule="auto"/>
                    <w:jc w:val="left"/>
                    <w:rPr>
                      <w:rFonts w:ascii="Times New Roman" w:hAnsi="Times New Roman"/>
                      <w:color w:val="auto"/>
                      <w:sz w:val="21"/>
                      <w:szCs w:val="21"/>
                    </w:rPr>
                  </w:pPr>
                  <w:r>
                    <w:rPr>
                      <w:rFonts w:ascii="Times New Roman" w:hAnsi="Times New Roman"/>
                      <w:color w:val="auto"/>
                      <w:sz w:val="21"/>
                      <w:szCs w:val="21"/>
                      <w:lang w:bidi="ar"/>
                    </w:rPr>
                    <w:t>事故现场、邻近区域、控制防火区域，控制和清除污染措施及相应设备。</w:t>
                  </w:r>
                </w:p>
              </w:tc>
            </w:tr>
            <w:tr w14:paraId="48F6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415" w:type="pct"/>
                  <w:tcBorders>
                    <w:top w:val="single" w:color="auto" w:sz="4" w:space="0"/>
                    <w:left w:val="single" w:color="auto" w:sz="4" w:space="0"/>
                    <w:bottom w:val="single" w:color="auto" w:sz="4" w:space="0"/>
                    <w:right w:val="single" w:color="auto" w:sz="4" w:space="0"/>
                  </w:tcBorders>
                  <w:vAlign w:val="center"/>
                </w:tcPr>
                <w:p w14:paraId="09CF8CE8">
                  <w:pPr>
                    <w:spacing w:line="240" w:lineRule="auto"/>
                    <w:jc w:val="center"/>
                    <w:rPr>
                      <w:rFonts w:ascii="Times New Roman" w:hAnsi="Times New Roman"/>
                      <w:color w:val="auto"/>
                      <w:sz w:val="21"/>
                      <w:szCs w:val="21"/>
                    </w:rPr>
                  </w:pPr>
                  <w:r>
                    <w:rPr>
                      <w:rFonts w:ascii="Times New Roman" w:hAnsi="Times New Roman"/>
                      <w:color w:val="auto"/>
                      <w:sz w:val="21"/>
                      <w:szCs w:val="21"/>
                      <w:lang w:bidi="ar"/>
                    </w:rPr>
                    <w:t>8</w:t>
                  </w:r>
                </w:p>
              </w:tc>
              <w:tc>
                <w:tcPr>
                  <w:tcW w:w="1394" w:type="pct"/>
                  <w:tcBorders>
                    <w:top w:val="single" w:color="auto" w:sz="4" w:space="0"/>
                    <w:left w:val="single" w:color="auto" w:sz="4" w:space="0"/>
                    <w:bottom w:val="single" w:color="auto" w:sz="4" w:space="0"/>
                    <w:right w:val="single" w:color="auto" w:sz="4" w:space="0"/>
                  </w:tcBorders>
                  <w:vAlign w:val="center"/>
                </w:tcPr>
                <w:p w14:paraId="18925590">
                  <w:pPr>
                    <w:spacing w:line="240" w:lineRule="auto"/>
                    <w:jc w:val="left"/>
                    <w:rPr>
                      <w:rFonts w:ascii="Times New Roman" w:hAnsi="Times New Roman"/>
                      <w:color w:val="auto"/>
                      <w:sz w:val="21"/>
                      <w:szCs w:val="21"/>
                    </w:rPr>
                  </w:pPr>
                  <w:r>
                    <w:rPr>
                      <w:rFonts w:ascii="Times New Roman" w:hAnsi="Times New Roman"/>
                      <w:color w:val="auto"/>
                      <w:sz w:val="21"/>
                      <w:szCs w:val="21"/>
                      <w:lang w:bidi="ar"/>
                    </w:rPr>
                    <w:t>人员紧急撤离、疏散，应急剂量控制、撤离组织计划</w:t>
                  </w:r>
                </w:p>
              </w:tc>
              <w:tc>
                <w:tcPr>
                  <w:tcW w:w="3190" w:type="pct"/>
                  <w:tcBorders>
                    <w:top w:val="single" w:color="auto" w:sz="4" w:space="0"/>
                    <w:left w:val="single" w:color="auto" w:sz="4" w:space="0"/>
                    <w:bottom w:val="single" w:color="auto" w:sz="4" w:space="0"/>
                    <w:right w:val="single" w:color="auto" w:sz="4" w:space="0"/>
                  </w:tcBorders>
                  <w:vAlign w:val="center"/>
                </w:tcPr>
                <w:p w14:paraId="7A58D76D">
                  <w:pPr>
                    <w:spacing w:line="240" w:lineRule="auto"/>
                    <w:jc w:val="left"/>
                    <w:rPr>
                      <w:rFonts w:ascii="Times New Roman" w:hAnsi="Times New Roman"/>
                      <w:color w:val="auto"/>
                      <w:sz w:val="21"/>
                      <w:szCs w:val="21"/>
                    </w:rPr>
                  </w:pPr>
                  <w:r>
                    <w:rPr>
                      <w:rFonts w:ascii="Times New Roman" w:hAnsi="Times New Roman"/>
                      <w:color w:val="auto"/>
                      <w:sz w:val="21"/>
                      <w:szCs w:val="21"/>
                      <w:lang w:bidi="ar"/>
                    </w:rPr>
                    <w:t>事故现场、项目区邻近区、受事故影响的区域人员及公众对毒物应急剂量控制规定，撤离组织计划及救护，医疗救护与公众健康。</w:t>
                  </w:r>
                </w:p>
              </w:tc>
            </w:tr>
            <w:tr w14:paraId="761E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15" w:type="pct"/>
                  <w:tcBorders>
                    <w:top w:val="single" w:color="auto" w:sz="4" w:space="0"/>
                    <w:left w:val="single" w:color="auto" w:sz="4" w:space="0"/>
                    <w:bottom w:val="single" w:color="auto" w:sz="4" w:space="0"/>
                    <w:right w:val="single" w:color="auto" w:sz="4" w:space="0"/>
                  </w:tcBorders>
                  <w:vAlign w:val="center"/>
                </w:tcPr>
                <w:p w14:paraId="391266B8">
                  <w:pPr>
                    <w:spacing w:line="240" w:lineRule="auto"/>
                    <w:jc w:val="center"/>
                    <w:rPr>
                      <w:rFonts w:ascii="Times New Roman" w:hAnsi="Times New Roman"/>
                      <w:color w:val="auto"/>
                      <w:sz w:val="21"/>
                      <w:szCs w:val="21"/>
                    </w:rPr>
                  </w:pPr>
                  <w:r>
                    <w:rPr>
                      <w:rFonts w:ascii="Times New Roman" w:hAnsi="Times New Roman"/>
                      <w:color w:val="auto"/>
                      <w:sz w:val="21"/>
                      <w:szCs w:val="21"/>
                      <w:lang w:bidi="ar"/>
                    </w:rPr>
                    <w:t>9</w:t>
                  </w:r>
                </w:p>
              </w:tc>
              <w:tc>
                <w:tcPr>
                  <w:tcW w:w="1394" w:type="pct"/>
                  <w:tcBorders>
                    <w:top w:val="single" w:color="auto" w:sz="4" w:space="0"/>
                    <w:left w:val="single" w:color="auto" w:sz="4" w:space="0"/>
                    <w:bottom w:val="single" w:color="auto" w:sz="4" w:space="0"/>
                    <w:right w:val="single" w:color="auto" w:sz="4" w:space="0"/>
                  </w:tcBorders>
                  <w:vAlign w:val="center"/>
                </w:tcPr>
                <w:p w14:paraId="0FAB2BD9">
                  <w:pPr>
                    <w:spacing w:line="240" w:lineRule="auto"/>
                    <w:jc w:val="left"/>
                    <w:rPr>
                      <w:rFonts w:ascii="Times New Roman" w:hAnsi="Times New Roman"/>
                      <w:color w:val="auto"/>
                      <w:sz w:val="21"/>
                      <w:szCs w:val="21"/>
                    </w:rPr>
                  </w:pPr>
                  <w:r>
                    <w:rPr>
                      <w:rFonts w:ascii="Times New Roman" w:hAnsi="Times New Roman"/>
                      <w:color w:val="auto"/>
                      <w:sz w:val="21"/>
                      <w:szCs w:val="21"/>
                      <w:lang w:bidi="ar"/>
                    </w:rPr>
                    <w:t>事故应急救援关闭程序与恢复措施</w:t>
                  </w:r>
                </w:p>
              </w:tc>
              <w:tc>
                <w:tcPr>
                  <w:tcW w:w="3190" w:type="pct"/>
                  <w:tcBorders>
                    <w:top w:val="single" w:color="auto" w:sz="4" w:space="0"/>
                    <w:left w:val="single" w:color="auto" w:sz="4" w:space="0"/>
                    <w:bottom w:val="single" w:color="auto" w:sz="4" w:space="0"/>
                    <w:right w:val="single" w:color="auto" w:sz="4" w:space="0"/>
                  </w:tcBorders>
                  <w:vAlign w:val="center"/>
                </w:tcPr>
                <w:p w14:paraId="1C55B758">
                  <w:pPr>
                    <w:spacing w:line="240" w:lineRule="auto"/>
                    <w:jc w:val="left"/>
                    <w:rPr>
                      <w:rFonts w:ascii="Times New Roman" w:hAnsi="Times New Roman"/>
                      <w:color w:val="auto"/>
                      <w:sz w:val="21"/>
                      <w:szCs w:val="21"/>
                    </w:rPr>
                  </w:pPr>
                  <w:r>
                    <w:rPr>
                      <w:rFonts w:ascii="Times New Roman" w:hAnsi="Times New Roman"/>
                      <w:color w:val="auto"/>
                      <w:sz w:val="21"/>
                      <w:szCs w:val="21"/>
                      <w:lang w:bidi="ar"/>
                    </w:rPr>
                    <w:t>规定应急状态终止程序，事故现场善后处理，恢复措施，邻近区域解除事故警戒及善后恢复措施。</w:t>
                  </w:r>
                </w:p>
              </w:tc>
            </w:tr>
            <w:tr w14:paraId="08F3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15" w:type="pct"/>
                  <w:tcBorders>
                    <w:top w:val="single" w:color="auto" w:sz="4" w:space="0"/>
                    <w:left w:val="single" w:color="auto" w:sz="4" w:space="0"/>
                    <w:bottom w:val="single" w:color="auto" w:sz="4" w:space="0"/>
                    <w:right w:val="single" w:color="auto" w:sz="4" w:space="0"/>
                  </w:tcBorders>
                  <w:vAlign w:val="center"/>
                </w:tcPr>
                <w:p w14:paraId="20C7136E">
                  <w:pPr>
                    <w:spacing w:line="240" w:lineRule="auto"/>
                    <w:jc w:val="center"/>
                    <w:rPr>
                      <w:rFonts w:ascii="Times New Roman" w:hAnsi="Times New Roman"/>
                      <w:color w:val="auto"/>
                      <w:sz w:val="21"/>
                      <w:szCs w:val="21"/>
                    </w:rPr>
                  </w:pPr>
                  <w:r>
                    <w:rPr>
                      <w:rFonts w:ascii="Times New Roman" w:hAnsi="Times New Roman"/>
                      <w:color w:val="auto"/>
                      <w:sz w:val="21"/>
                      <w:szCs w:val="21"/>
                      <w:lang w:bidi="ar"/>
                    </w:rPr>
                    <w:t>10</w:t>
                  </w:r>
                </w:p>
              </w:tc>
              <w:tc>
                <w:tcPr>
                  <w:tcW w:w="1394" w:type="pct"/>
                  <w:tcBorders>
                    <w:top w:val="single" w:color="auto" w:sz="4" w:space="0"/>
                    <w:left w:val="single" w:color="auto" w:sz="4" w:space="0"/>
                    <w:bottom w:val="single" w:color="auto" w:sz="4" w:space="0"/>
                    <w:right w:val="single" w:color="auto" w:sz="4" w:space="0"/>
                  </w:tcBorders>
                  <w:vAlign w:val="center"/>
                </w:tcPr>
                <w:p w14:paraId="15761230">
                  <w:pPr>
                    <w:spacing w:line="240" w:lineRule="auto"/>
                    <w:jc w:val="left"/>
                    <w:rPr>
                      <w:rFonts w:ascii="Times New Roman" w:hAnsi="Times New Roman"/>
                      <w:color w:val="auto"/>
                      <w:sz w:val="21"/>
                      <w:szCs w:val="21"/>
                    </w:rPr>
                  </w:pPr>
                  <w:r>
                    <w:rPr>
                      <w:rFonts w:ascii="Times New Roman" w:hAnsi="Times New Roman"/>
                      <w:color w:val="auto"/>
                      <w:sz w:val="21"/>
                      <w:szCs w:val="21"/>
                      <w:lang w:bidi="ar"/>
                    </w:rPr>
                    <w:t>应急培训计划</w:t>
                  </w:r>
                </w:p>
              </w:tc>
              <w:tc>
                <w:tcPr>
                  <w:tcW w:w="3190" w:type="pct"/>
                  <w:tcBorders>
                    <w:top w:val="single" w:color="auto" w:sz="4" w:space="0"/>
                    <w:left w:val="single" w:color="auto" w:sz="4" w:space="0"/>
                    <w:bottom w:val="single" w:color="auto" w:sz="4" w:space="0"/>
                    <w:right w:val="single" w:color="auto" w:sz="4" w:space="0"/>
                  </w:tcBorders>
                  <w:vAlign w:val="center"/>
                </w:tcPr>
                <w:p w14:paraId="4F8AA4D1">
                  <w:pPr>
                    <w:spacing w:line="240" w:lineRule="auto"/>
                    <w:jc w:val="left"/>
                    <w:rPr>
                      <w:rFonts w:ascii="Times New Roman" w:hAnsi="Times New Roman"/>
                      <w:color w:val="auto"/>
                      <w:sz w:val="21"/>
                      <w:szCs w:val="21"/>
                    </w:rPr>
                  </w:pPr>
                  <w:r>
                    <w:rPr>
                      <w:rFonts w:ascii="Times New Roman" w:hAnsi="Times New Roman"/>
                      <w:color w:val="auto"/>
                      <w:sz w:val="21"/>
                      <w:szCs w:val="21"/>
                      <w:lang w:bidi="ar"/>
                    </w:rPr>
                    <w:t>应急计划制定后，平时安排人员培训与演练。</w:t>
                  </w:r>
                </w:p>
              </w:tc>
            </w:tr>
            <w:tr w14:paraId="485F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415" w:type="pct"/>
                  <w:tcBorders>
                    <w:top w:val="single" w:color="auto" w:sz="4" w:space="0"/>
                    <w:left w:val="single" w:color="auto" w:sz="4" w:space="0"/>
                    <w:bottom w:val="single" w:color="auto" w:sz="4" w:space="0"/>
                    <w:right w:val="single" w:color="auto" w:sz="4" w:space="0"/>
                  </w:tcBorders>
                  <w:vAlign w:val="center"/>
                </w:tcPr>
                <w:p w14:paraId="6134EC9A">
                  <w:pPr>
                    <w:spacing w:line="240" w:lineRule="auto"/>
                    <w:jc w:val="center"/>
                    <w:rPr>
                      <w:rFonts w:ascii="Times New Roman" w:hAnsi="Times New Roman"/>
                      <w:color w:val="auto"/>
                      <w:sz w:val="21"/>
                      <w:szCs w:val="21"/>
                    </w:rPr>
                  </w:pPr>
                  <w:r>
                    <w:rPr>
                      <w:rFonts w:ascii="Times New Roman" w:hAnsi="Times New Roman"/>
                      <w:color w:val="auto"/>
                      <w:sz w:val="21"/>
                      <w:szCs w:val="21"/>
                      <w:lang w:bidi="ar"/>
                    </w:rPr>
                    <w:t>11</w:t>
                  </w:r>
                </w:p>
              </w:tc>
              <w:tc>
                <w:tcPr>
                  <w:tcW w:w="1394" w:type="pct"/>
                  <w:tcBorders>
                    <w:top w:val="single" w:color="auto" w:sz="4" w:space="0"/>
                    <w:left w:val="single" w:color="auto" w:sz="4" w:space="0"/>
                    <w:bottom w:val="single" w:color="auto" w:sz="4" w:space="0"/>
                    <w:right w:val="single" w:color="auto" w:sz="4" w:space="0"/>
                  </w:tcBorders>
                  <w:vAlign w:val="center"/>
                </w:tcPr>
                <w:p w14:paraId="076811F6">
                  <w:pPr>
                    <w:spacing w:line="240" w:lineRule="auto"/>
                    <w:jc w:val="left"/>
                    <w:rPr>
                      <w:rFonts w:ascii="Times New Roman" w:hAnsi="Times New Roman"/>
                      <w:color w:val="auto"/>
                      <w:sz w:val="21"/>
                      <w:szCs w:val="21"/>
                    </w:rPr>
                  </w:pPr>
                  <w:r>
                    <w:rPr>
                      <w:rFonts w:ascii="Times New Roman" w:hAnsi="Times New Roman"/>
                      <w:color w:val="auto"/>
                      <w:sz w:val="21"/>
                      <w:szCs w:val="21"/>
                      <w:lang w:bidi="ar"/>
                    </w:rPr>
                    <w:t>公众教育和信息</w:t>
                  </w:r>
                </w:p>
              </w:tc>
              <w:tc>
                <w:tcPr>
                  <w:tcW w:w="3190" w:type="pct"/>
                  <w:tcBorders>
                    <w:top w:val="single" w:color="auto" w:sz="4" w:space="0"/>
                    <w:left w:val="single" w:color="auto" w:sz="4" w:space="0"/>
                    <w:bottom w:val="single" w:color="auto" w:sz="4" w:space="0"/>
                    <w:right w:val="single" w:color="auto" w:sz="4" w:space="0"/>
                  </w:tcBorders>
                  <w:vAlign w:val="center"/>
                </w:tcPr>
                <w:p w14:paraId="456694E8">
                  <w:pPr>
                    <w:spacing w:line="240" w:lineRule="auto"/>
                    <w:jc w:val="left"/>
                    <w:rPr>
                      <w:rFonts w:ascii="Times New Roman" w:hAnsi="Times New Roman"/>
                      <w:color w:val="auto"/>
                      <w:sz w:val="21"/>
                      <w:szCs w:val="21"/>
                    </w:rPr>
                  </w:pPr>
                  <w:r>
                    <w:rPr>
                      <w:rFonts w:ascii="Times New Roman" w:hAnsi="Times New Roman"/>
                      <w:color w:val="auto"/>
                      <w:sz w:val="21"/>
                      <w:szCs w:val="21"/>
                      <w:lang w:bidi="ar"/>
                    </w:rPr>
                    <w:t>对项目区邻近地区开展公众教育、培训和发布有关信息。</w:t>
                  </w:r>
                </w:p>
              </w:tc>
            </w:tr>
          </w:tbl>
          <w:p w14:paraId="79921B3C">
            <w:pPr>
              <w:ind w:firstLine="482" w:firstLineChars="200"/>
              <w:rPr>
                <w:rFonts w:hint="eastAsia" w:ascii="Times New Roman" w:hAnsi="Times New Roman" w:eastAsia="宋体"/>
                <w:b/>
                <w:bCs/>
                <w:color w:val="auto"/>
                <w:lang w:val="en-US" w:eastAsia="zh-CN"/>
              </w:rPr>
            </w:pPr>
            <w:r>
              <w:rPr>
                <w:rFonts w:hint="eastAsia" w:ascii="Times New Roman" w:hAnsi="Times New Roman"/>
                <w:b/>
                <w:bCs/>
                <w:color w:val="auto"/>
                <w:lang w:val="en-US" w:eastAsia="zh-CN"/>
              </w:rPr>
              <w:t>5、风险分析结论</w:t>
            </w:r>
          </w:p>
          <w:p w14:paraId="65C9DF15">
            <w:pPr>
              <w:ind w:firstLine="480" w:firstLineChars="200"/>
              <w:rPr>
                <w:rFonts w:ascii="Times New Roman" w:hAnsi="Times New Roman"/>
                <w:color w:val="auto"/>
              </w:rPr>
            </w:pPr>
            <w:r>
              <w:rPr>
                <w:rFonts w:hint="eastAsia" w:ascii="Times New Roman" w:hAnsi="Times New Roman"/>
                <w:color w:val="auto"/>
              </w:rPr>
              <w:t>通过对企业各个风险源分析表明，风险的发生和前期勘查、预防、生产过程中管理密不可分，生产中要以</w:t>
            </w:r>
            <w:r>
              <w:rPr>
                <w:rFonts w:hint="eastAsia" w:ascii="Times New Roman" w:hAnsi="Times New Roman"/>
                <w:color w:val="auto"/>
                <w:lang w:eastAsia="zh-CN"/>
              </w:rPr>
              <w:t>“</w:t>
            </w:r>
            <w:r>
              <w:rPr>
                <w:rFonts w:hint="eastAsia" w:ascii="Times New Roman" w:hAnsi="Times New Roman"/>
                <w:color w:val="auto"/>
              </w:rPr>
              <w:t>预防为主，防治结合</w:t>
            </w:r>
            <w:r>
              <w:rPr>
                <w:rFonts w:hint="eastAsia" w:ascii="Times New Roman" w:hAnsi="Times New Roman"/>
                <w:color w:val="auto"/>
                <w:lang w:eastAsia="zh-CN"/>
              </w:rPr>
              <w:t>”</w:t>
            </w:r>
            <w:r>
              <w:rPr>
                <w:rFonts w:hint="eastAsia" w:ascii="Times New Roman" w:hAnsi="Times New Roman"/>
                <w:color w:val="auto"/>
              </w:rPr>
              <w:t>为指导，采取有效的风险预防措施，风险一旦发生，必须立即采取应急措施。企业应加强风险隐患的排查，一旦发现安全隐患立即清除，一旦发生事故立即妥善处理。在严格落实各项安全、环保对策措施后，本厂存在的环境风险是可接受的。</w:t>
            </w:r>
          </w:p>
          <w:p w14:paraId="79C65DB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lang w:val="en-US" w:eastAsia="zh-CN"/>
              </w:rPr>
              <w:t>九、</w:t>
            </w:r>
            <w:r>
              <w:rPr>
                <w:rFonts w:hint="eastAsia" w:asciiTheme="minorEastAsia" w:hAnsiTheme="minorEastAsia" w:eastAsiaTheme="minorEastAsia" w:cstheme="minorEastAsia"/>
                <w:b/>
                <w:bCs/>
                <w:color w:val="auto"/>
                <w:kern w:val="0"/>
                <w:sz w:val="24"/>
                <w:szCs w:val="24"/>
                <w:highlight w:val="none"/>
                <w:lang w:val="en-US" w:eastAsia="zh-CN"/>
              </w:rPr>
              <w:t>排污许可证申请</w:t>
            </w:r>
          </w:p>
          <w:p w14:paraId="60C316EA">
            <w:pPr>
              <w:adjustRightInd w:val="0"/>
              <w:snapToGrid w:val="0"/>
              <w:spacing w:line="360" w:lineRule="auto"/>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1、排污许可管理类别判定</w:t>
            </w:r>
          </w:p>
          <w:p w14:paraId="1CA2792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本项目属于《国民经济行业分类》中</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C3021 水泥制品制造</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类项目，项目列入《固定污染源排污许可分类管理名录（2019 年版）》中</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二十五、非金属矿物制品业 30</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第 63 条</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石膏、水泥制品及类似制品制造302</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中</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水泥制品制造</w:t>
            </w:r>
            <w:r>
              <w:rPr>
                <w:rFonts w:hint="eastAsia" w:asciiTheme="minorEastAsia" w:hAnsiTheme="minorEastAsia" w:eastAsiaTheme="minorEastAsia" w:cstheme="minorEastAsia"/>
                <w:color w:val="auto"/>
                <w:sz w:val="24"/>
                <w:szCs w:val="24"/>
                <w:lang w:val="en-US" w:eastAsia="zh-CN"/>
              </w:rPr>
              <w:t xml:space="preserve"> 3021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，因此，本项目属于登记管理的行业。</w:t>
            </w:r>
          </w:p>
          <w:p w14:paraId="24C337AB">
            <w:pPr>
              <w:numPr>
                <w:ilvl w:val="0"/>
                <w:numId w:val="0"/>
              </w:numPr>
              <w:adjustRightInd w:val="0"/>
              <w:snapToGrid w:val="0"/>
              <w:spacing w:line="360" w:lineRule="auto"/>
              <w:ind w:leftChars="200"/>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lang w:val="en-US" w:eastAsia="zh-CN"/>
              </w:rPr>
              <w:t>2、</w:t>
            </w:r>
            <w:r>
              <w:rPr>
                <w:rFonts w:hint="eastAsia" w:asciiTheme="majorEastAsia" w:hAnsiTheme="majorEastAsia" w:eastAsiaTheme="majorEastAsia" w:cstheme="majorEastAsia"/>
                <w:b/>
                <w:bCs/>
                <w:color w:val="auto"/>
                <w:sz w:val="24"/>
                <w:szCs w:val="24"/>
              </w:rPr>
              <w:t xml:space="preserve">适用技术规范确定 </w:t>
            </w:r>
          </w:p>
          <w:p w14:paraId="68AB68C8">
            <w:pPr>
              <w:numPr>
                <w:ilvl w:val="0"/>
                <w:numId w:val="0"/>
              </w:numPr>
              <w:adjustRightInd w:val="0"/>
              <w:snapToGrid w:val="0"/>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根据项目的行业与管理类别，本项目排污许可填报时适用的技术规范应为《排污许可证申请与核发技术规范 总则（HJ942—2018）》 。 </w:t>
            </w:r>
          </w:p>
          <w:p w14:paraId="5A4AC190">
            <w:pPr>
              <w:widowControl/>
              <w:numPr>
                <w:ilvl w:val="0"/>
                <w:numId w:val="0"/>
              </w:numPr>
              <w:ind w:firstLine="480" w:firstLineChars="200"/>
              <w:jc w:val="left"/>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color w:val="auto"/>
                <w:sz w:val="24"/>
                <w:szCs w:val="24"/>
              </w:rPr>
              <w:t>综上，本项目排污许可的管理类别为登记管理，适用排污许可技术规范为</w:t>
            </w:r>
            <w:r>
              <w:rPr>
                <w:rFonts w:hint="eastAsia" w:asciiTheme="majorEastAsia" w:hAnsiTheme="majorEastAsia" w:eastAsiaTheme="majorEastAsia" w:cstheme="majorEastAsia"/>
                <w:color w:val="auto"/>
                <w:sz w:val="24"/>
                <w:szCs w:val="24"/>
                <w:lang w:val="en-US" w:eastAsia="zh-CN"/>
              </w:rPr>
              <w:t xml:space="preserve"> </w:t>
            </w:r>
            <w:r>
              <w:rPr>
                <w:rFonts w:hint="eastAsia" w:asciiTheme="majorEastAsia" w:hAnsiTheme="majorEastAsia" w:eastAsiaTheme="majorEastAsia" w:cstheme="majorEastAsia"/>
                <w:color w:val="auto"/>
                <w:sz w:val="24"/>
                <w:szCs w:val="24"/>
              </w:rPr>
              <w:t>总则（HJ942—2018）。建设单位应在项目发生实际排污行为之前，按照国家环境保护相关法律法规以及排污许可证申请与核发技术规范要求在实施时限内申请排污登记表，不得无表排污或不按表排污</w:t>
            </w:r>
            <w:r>
              <w:rPr>
                <w:rFonts w:hint="eastAsia" w:asciiTheme="majorEastAsia" w:hAnsiTheme="majorEastAsia" w:eastAsiaTheme="majorEastAsia" w:cstheme="majorEastAsia"/>
                <w:color w:val="auto"/>
                <w:sz w:val="24"/>
                <w:szCs w:val="24"/>
                <w:lang w:eastAsia="zh-CN"/>
              </w:rPr>
              <w:t>。</w:t>
            </w:r>
          </w:p>
          <w:p w14:paraId="5F40D280">
            <w:pPr>
              <w:widowControl/>
              <w:numPr>
                <w:ilvl w:val="0"/>
                <w:numId w:val="0"/>
              </w:numPr>
              <w:ind w:firstLine="482" w:firstLineChars="200"/>
              <w:jc w:val="left"/>
              <w:rPr>
                <w:rFonts w:hint="eastAsia" w:asciiTheme="majorEastAsia" w:hAnsiTheme="majorEastAsia" w:eastAsiaTheme="majorEastAsia" w:cstheme="majorEastAsia"/>
                <w:b/>
                <w:bCs/>
                <w:color w:val="auto"/>
              </w:rPr>
            </w:pPr>
            <w:r>
              <w:rPr>
                <w:rFonts w:hint="eastAsia" w:asciiTheme="majorEastAsia" w:hAnsiTheme="majorEastAsia" w:eastAsiaTheme="majorEastAsia" w:cstheme="majorEastAsia"/>
                <w:b/>
                <w:bCs/>
                <w:color w:val="auto"/>
                <w:lang w:eastAsia="zh-CN"/>
              </w:rPr>
              <w:t>十、</w:t>
            </w:r>
            <w:r>
              <w:rPr>
                <w:rFonts w:hint="eastAsia" w:asciiTheme="majorEastAsia" w:hAnsiTheme="majorEastAsia" w:eastAsiaTheme="majorEastAsia" w:cstheme="majorEastAsia"/>
                <w:b/>
                <w:bCs/>
                <w:color w:val="auto"/>
              </w:rPr>
              <w:t>环境管理</w:t>
            </w:r>
          </w:p>
          <w:p w14:paraId="73A11B12">
            <w:pPr>
              <w:pStyle w:val="26"/>
              <w:spacing w:line="360" w:lineRule="auto"/>
              <w:ind w:firstLine="482" w:firstLineChars="200"/>
              <w:rPr>
                <w:rFonts w:hint="eastAsia"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rPr>
              <w:t>1、环境管理</w:t>
            </w:r>
          </w:p>
          <w:p w14:paraId="728AF71A">
            <w:pPr>
              <w:pStyle w:val="26"/>
              <w:spacing w:line="360" w:lineRule="auto"/>
              <w:ind w:firstLine="480" w:firstLineChars="200"/>
              <w:rPr>
                <w:rFonts w:hint="eastAsia" w:asciiTheme="majorEastAsia" w:hAnsiTheme="majorEastAsia" w:eastAsiaTheme="majorEastAsia" w:cstheme="majorEastAsia"/>
                <w:b w:val="0"/>
                <w:bCs w:val="0"/>
                <w:color w:val="auto"/>
                <w:highlight w:val="none"/>
              </w:rPr>
            </w:pPr>
            <w:r>
              <w:rPr>
                <w:rFonts w:hint="eastAsia" w:asciiTheme="majorEastAsia" w:hAnsiTheme="majorEastAsia" w:eastAsiaTheme="majorEastAsia" w:cstheme="majorEastAsia"/>
                <w:b w:val="0"/>
                <w:bCs w:val="0"/>
                <w:color w:val="auto"/>
                <w:highlight w:val="none"/>
              </w:rPr>
              <w:t>（1）建立环保档案，包括环评报告、环保工程</w:t>
            </w:r>
            <w:r>
              <w:rPr>
                <w:rFonts w:hint="eastAsia" w:asciiTheme="majorEastAsia" w:hAnsiTheme="majorEastAsia" w:eastAsiaTheme="majorEastAsia" w:cstheme="majorEastAsia"/>
                <w:b w:val="0"/>
                <w:bCs w:val="0"/>
                <w:color w:val="auto"/>
                <w:highlight w:val="none"/>
                <w:lang w:val="en-US" w:eastAsia="zh-CN"/>
              </w:rPr>
              <w:t>竣工</w:t>
            </w:r>
            <w:r>
              <w:rPr>
                <w:rFonts w:hint="eastAsia" w:asciiTheme="majorEastAsia" w:hAnsiTheme="majorEastAsia" w:eastAsiaTheme="majorEastAsia" w:cstheme="majorEastAsia"/>
                <w:b w:val="0"/>
                <w:bCs w:val="0"/>
                <w:color w:val="auto"/>
                <w:highlight w:val="none"/>
              </w:rPr>
              <w:t>验收报告、污染源监测报告、环保设备运行记录以及其他环境统计资料，掌握企业排污情况的污染现状，贯彻预防为主的方针，发现问题，及时采取措施。汇总、编报环保年度计划及规划并监督、检查执行情况，定期向</w:t>
            </w:r>
            <w:r>
              <w:rPr>
                <w:rFonts w:hint="eastAsia" w:asciiTheme="majorEastAsia" w:hAnsiTheme="majorEastAsia" w:eastAsiaTheme="majorEastAsia" w:cstheme="majorEastAsia"/>
                <w:b w:val="0"/>
                <w:bCs w:val="0"/>
                <w:color w:val="auto"/>
                <w:highlight w:val="none"/>
                <w:lang w:eastAsia="zh-CN"/>
              </w:rPr>
              <w:t>德宏州生态环境局芒市分局</w:t>
            </w:r>
            <w:r>
              <w:rPr>
                <w:rFonts w:hint="eastAsia" w:asciiTheme="majorEastAsia" w:hAnsiTheme="majorEastAsia" w:eastAsiaTheme="majorEastAsia" w:cstheme="majorEastAsia"/>
                <w:b w:val="0"/>
                <w:bCs w:val="0"/>
                <w:color w:val="auto"/>
                <w:highlight w:val="none"/>
              </w:rPr>
              <w:t>汇报。</w:t>
            </w:r>
          </w:p>
          <w:p w14:paraId="725EF539">
            <w:pPr>
              <w:pStyle w:val="26"/>
              <w:spacing w:line="360" w:lineRule="auto"/>
              <w:ind w:firstLine="480" w:firstLineChars="200"/>
              <w:rPr>
                <w:rFonts w:hint="eastAsia" w:asciiTheme="majorEastAsia" w:hAnsiTheme="majorEastAsia" w:eastAsiaTheme="majorEastAsia" w:cstheme="majorEastAsia"/>
                <w:b w:val="0"/>
                <w:bCs w:val="0"/>
                <w:color w:val="auto"/>
                <w:highlight w:val="none"/>
              </w:rPr>
            </w:pPr>
            <w:r>
              <w:rPr>
                <w:rFonts w:hint="eastAsia" w:asciiTheme="majorEastAsia" w:hAnsiTheme="majorEastAsia" w:eastAsiaTheme="majorEastAsia" w:cstheme="majorEastAsia"/>
                <w:b w:val="0"/>
                <w:bCs w:val="0"/>
                <w:color w:val="auto"/>
                <w:highlight w:val="none"/>
              </w:rPr>
              <w:t>（2）控制和预防污染，加强生产设备的管理与维护，严防非正常工况事故的发生，确保环保设施正常运行，并指定专人负责对环保设备的大、中修的质量验收。</w:t>
            </w:r>
          </w:p>
          <w:p w14:paraId="3B1402AE">
            <w:pPr>
              <w:pStyle w:val="26"/>
              <w:spacing w:line="360" w:lineRule="auto"/>
              <w:ind w:firstLine="480" w:firstLineChars="200"/>
              <w:rPr>
                <w:rFonts w:hint="eastAsia" w:asciiTheme="majorEastAsia" w:hAnsiTheme="majorEastAsia" w:eastAsiaTheme="majorEastAsia" w:cstheme="majorEastAsia"/>
                <w:b w:val="0"/>
                <w:bCs w:val="0"/>
                <w:color w:val="auto"/>
                <w:highlight w:val="none"/>
              </w:rPr>
            </w:pPr>
            <w:r>
              <w:rPr>
                <w:rFonts w:hint="eastAsia" w:asciiTheme="majorEastAsia" w:hAnsiTheme="majorEastAsia" w:eastAsiaTheme="majorEastAsia" w:cstheme="majorEastAsia"/>
                <w:b w:val="0"/>
                <w:bCs w:val="0"/>
                <w:color w:val="auto"/>
                <w:highlight w:val="none"/>
              </w:rPr>
              <w:t>（3）认真对待和组织突发性污染事故的善后处理，追查事故原因，杜绝事故遗留隐患，并参照企业管理规章，提出对事故责任人的处理意见，上报公司管理层。</w:t>
            </w:r>
          </w:p>
          <w:p w14:paraId="79447514">
            <w:pPr>
              <w:pStyle w:val="26"/>
              <w:spacing w:line="360" w:lineRule="auto"/>
              <w:ind w:firstLine="482" w:firstLineChars="200"/>
              <w:rPr>
                <w:rFonts w:hint="eastAsia" w:ascii="Times New Roman" w:hAnsi="Times New Roman" w:eastAsia="宋体" w:cs="宋体"/>
                <w:b/>
                <w:bCs/>
                <w:color w:val="auto"/>
                <w:highlight w:val="none"/>
              </w:rPr>
            </w:pPr>
            <w:r>
              <w:rPr>
                <w:rFonts w:hint="eastAsia" w:ascii="Times New Roman" w:hAnsi="Times New Roman" w:eastAsia="宋体" w:cs="宋体"/>
                <w:b/>
                <w:bCs/>
                <w:color w:val="auto"/>
                <w:highlight w:val="none"/>
              </w:rPr>
              <w:t>2、机构设置</w:t>
            </w:r>
          </w:p>
          <w:p w14:paraId="61767244">
            <w:pPr>
              <w:pStyle w:val="26"/>
              <w:spacing w:line="360" w:lineRule="auto"/>
              <w:ind w:firstLine="480" w:firstLineChars="200"/>
              <w:rPr>
                <w:rFonts w:hint="eastAsia" w:ascii="Times New Roman" w:hAnsi="Times New Roman" w:eastAsia="宋体" w:cs="宋体"/>
                <w:b w:val="0"/>
                <w:bCs w:val="0"/>
                <w:color w:val="auto"/>
                <w:highlight w:val="none"/>
              </w:rPr>
            </w:pPr>
            <w:r>
              <w:rPr>
                <w:rFonts w:hint="eastAsia" w:ascii="Times New Roman" w:hAnsi="Times New Roman" w:eastAsia="宋体" w:cs="宋体"/>
                <w:b w:val="0"/>
                <w:bCs w:val="0"/>
                <w:color w:val="auto"/>
                <w:highlight w:val="none"/>
              </w:rPr>
              <w:t>根据</w:t>
            </w:r>
            <w:r>
              <w:rPr>
                <w:rFonts w:hint="eastAsia" w:ascii="Times New Roman" w:hAnsi="Times New Roman" w:eastAsia="宋体" w:cs="宋体"/>
                <w:b w:val="0"/>
                <w:bCs w:val="0"/>
                <w:color w:val="auto"/>
                <w:highlight w:val="none"/>
                <w:lang w:eastAsia="zh-CN"/>
              </w:rPr>
              <w:t>厂区</w:t>
            </w:r>
            <w:r>
              <w:rPr>
                <w:rFonts w:hint="eastAsia" w:ascii="Times New Roman" w:hAnsi="Times New Roman" w:eastAsia="宋体" w:cs="宋体"/>
                <w:b w:val="0"/>
                <w:bCs w:val="0"/>
                <w:color w:val="auto"/>
                <w:highlight w:val="none"/>
              </w:rPr>
              <w:t>的实际情况，公司应配置1名兼职环保管理人员。负责厂区的环境管理工作，要及时提出存在的主要环境问题及有关建议，针对站点实际情况建立相应的环保规章制度，有效地落实环保措施，其主要职能应包括：</w:t>
            </w:r>
          </w:p>
          <w:p w14:paraId="2B601A2D">
            <w:pPr>
              <w:pStyle w:val="26"/>
              <w:spacing w:line="360" w:lineRule="auto"/>
              <w:ind w:firstLine="480" w:firstLineChars="200"/>
              <w:rPr>
                <w:rFonts w:hint="eastAsia" w:ascii="Times New Roman" w:hAnsi="Times New Roman" w:eastAsia="宋体" w:cs="宋体"/>
                <w:b w:val="0"/>
                <w:bCs w:val="0"/>
                <w:color w:val="auto"/>
                <w:highlight w:val="none"/>
              </w:rPr>
            </w:pPr>
            <w:r>
              <w:rPr>
                <w:rFonts w:hint="eastAsia" w:ascii="Times New Roman" w:hAnsi="Times New Roman" w:eastAsia="宋体" w:cs="宋体"/>
                <w:b w:val="0"/>
                <w:bCs w:val="0"/>
                <w:color w:val="auto"/>
                <w:highlight w:val="none"/>
              </w:rPr>
              <w:t>（1）贯彻执行国家、地方和上级主管部门制定的环境保护方针、政策、法令和法规；</w:t>
            </w:r>
          </w:p>
          <w:p w14:paraId="3AFA9809">
            <w:pPr>
              <w:pStyle w:val="26"/>
              <w:spacing w:line="360" w:lineRule="auto"/>
              <w:ind w:firstLine="480" w:firstLineChars="200"/>
              <w:rPr>
                <w:rFonts w:hint="eastAsia" w:ascii="Times New Roman" w:hAnsi="Times New Roman" w:eastAsia="宋体" w:cs="宋体"/>
                <w:b w:val="0"/>
                <w:bCs w:val="0"/>
                <w:color w:val="auto"/>
                <w:highlight w:val="none"/>
              </w:rPr>
            </w:pPr>
            <w:r>
              <w:rPr>
                <w:rFonts w:hint="eastAsia" w:ascii="Times New Roman" w:hAnsi="Times New Roman" w:eastAsia="宋体" w:cs="宋体"/>
                <w:b w:val="0"/>
                <w:bCs w:val="0"/>
                <w:color w:val="auto"/>
                <w:highlight w:val="none"/>
              </w:rPr>
              <w:t>（2）负责全公司环境保护工作计划的制定和实施；</w:t>
            </w:r>
          </w:p>
          <w:p w14:paraId="11A2248F">
            <w:pPr>
              <w:pStyle w:val="26"/>
              <w:spacing w:line="360" w:lineRule="auto"/>
              <w:ind w:firstLine="480" w:firstLineChars="200"/>
              <w:rPr>
                <w:rFonts w:hint="eastAsia" w:ascii="Times New Roman" w:hAnsi="Times New Roman" w:eastAsia="宋体" w:cs="宋体"/>
                <w:b w:val="0"/>
                <w:bCs w:val="0"/>
                <w:color w:val="auto"/>
                <w:highlight w:val="none"/>
              </w:rPr>
            </w:pPr>
            <w:r>
              <w:rPr>
                <w:rFonts w:hint="eastAsia" w:ascii="Times New Roman" w:hAnsi="Times New Roman" w:eastAsia="宋体" w:cs="宋体"/>
                <w:b w:val="0"/>
                <w:bCs w:val="0"/>
                <w:color w:val="auto"/>
                <w:highlight w:val="none"/>
              </w:rPr>
              <w:t>（3）监督环保设施的运行及污染源控制，并负责对污染事故的调查处理；</w:t>
            </w:r>
          </w:p>
          <w:p w14:paraId="270B7021">
            <w:pPr>
              <w:pStyle w:val="26"/>
              <w:spacing w:line="360" w:lineRule="auto"/>
              <w:ind w:firstLine="480" w:firstLineChars="200"/>
              <w:rPr>
                <w:rFonts w:hint="eastAsia" w:ascii="Times New Roman" w:hAnsi="Times New Roman" w:eastAsia="宋体" w:cs="宋体"/>
                <w:b w:val="0"/>
                <w:bCs w:val="0"/>
                <w:color w:val="auto"/>
                <w:highlight w:val="none"/>
              </w:rPr>
            </w:pPr>
            <w:r>
              <w:rPr>
                <w:rFonts w:hint="eastAsia" w:ascii="Times New Roman" w:hAnsi="Times New Roman" w:eastAsia="宋体" w:cs="宋体"/>
                <w:b w:val="0"/>
                <w:bCs w:val="0"/>
                <w:color w:val="auto"/>
                <w:highlight w:val="none"/>
              </w:rPr>
              <w:t>（4）组织落实以环境保护为主要内容的技术措施、方案，监督</w:t>
            </w:r>
            <w:r>
              <w:rPr>
                <w:rFonts w:hint="eastAsia" w:ascii="Times New Roman" w:hAnsi="Times New Roman" w:eastAsia="宋体" w:cs="宋体"/>
                <w:b w:val="0"/>
                <w:bCs w:val="0"/>
                <w:color w:val="auto"/>
                <w:highlight w:val="none"/>
                <w:lang w:eastAsia="zh-CN"/>
              </w:rPr>
              <w:t>“</w:t>
            </w:r>
            <w:r>
              <w:rPr>
                <w:rFonts w:hint="eastAsia" w:ascii="Times New Roman" w:hAnsi="Times New Roman" w:eastAsia="宋体" w:cs="宋体"/>
                <w:b w:val="0"/>
                <w:bCs w:val="0"/>
                <w:color w:val="auto"/>
                <w:highlight w:val="none"/>
              </w:rPr>
              <w:t>三同时</w:t>
            </w:r>
            <w:r>
              <w:rPr>
                <w:rFonts w:hint="eastAsia" w:ascii="Times New Roman" w:hAnsi="Times New Roman" w:eastAsia="宋体" w:cs="宋体"/>
                <w:b w:val="0"/>
                <w:bCs w:val="0"/>
                <w:color w:val="auto"/>
                <w:highlight w:val="none"/>
                <w:lang w:eastAsia="zh-CN"/>
              </w:rPr>
              <w:t>”</w:t>
            </w:r>
            <w:r>
              <w:rPr>
                <w:rFonts w:hint="eastAsia" w:ascii="Times New Roman" w:hAnsi="Times New Roman" w:eastAsia="宋体" w:cs="宋体"/>
                <w:b w:val="0"/>
                <w:bCs w:val="0"/>
                <w:color w:val="auto"/>
                <w:highlight w:val="none"/>
              </w:rPr>
              <w:t>执行情况；</w:t>
            </w:r>
          </w:p>
          <w:p w14:paraId="48003CB3">
            <w:pPr>
              <w:pStyle w:val="26"/>
              <w:spacing w:line="360" w:lineRule="auto"/>
              <w:ind w:firstLine="480" w:firstLineChars="200"/>
              <w:rPr>
                <w:rFonts w:hint="eastAsia" w:ascii="Times New Roman" w:hAnsi="Times New Roman" w:eastAsia="宋体" w:cs="宋体"/>
                <w:b w:val="0"/>
                <w:bCs w:val="0"/>
                <w:color w:val="auto"/>
                <w:highlight w:val="none"/>
              </w:rPr>
            </w:pPr>
            <w:r>
              <w:rPr>
                <w:rFonts w:hint="eastAsia" w:ascii="Times New Roman" w:hAnsi="Times New Roman" w:eastAsia="宋体" w:cs="宋体"/>
                <w:b w:val="0"/>
                <w:bCs w:val="0"/>
                <w:color w:val="auto"/>
                <w:highlight w:val="none"/>
              </w:rPr>
              <w:t>（5）组织环境管理宣传教育和技术交流活动，掌握最新环境保护动态以及有关信息。</w:t>
            </w:r>
          </w:p>
          <w:p w14:paraId="5BFE2DE2">
            <w:pPr>
              <w:pStyle w:val="26"/>
              <w:spacing w:line="360" w:lineRule="auto"/>
              <w:ind w:firstLine="482" w:firstLineChars="200"/>
              <w:rPr>
                <w:rFonts w:hint="eastAsia" w:ascii="Times New Roman" w:hAnsi="Times New Roman" w:eastAsia="宋体" w:cs="宋体"/>
                <w:b/>
                <w:bCs/>
                <w:color w:val="auto"/>
                <w:highlight w:val="none"/>
              </w:rPr>
            </w:pPr>
            <w:r>
              <w:rPr>
                <w:rFonts w:hint="eastAsia" w:ascii="Times New Roman" w:hAnsi="Times New Roman" w:eastAsia="宋体" w:cs="宋体"/>
                <w:b/>
                <w:bCs/>
                <w:color w:val="auto"/>
                <w:highlight w:val="none"/>
              </w:rPr>
              <w:t>3、环境管理制度制定</w:t>
            </w:r>
          </w:p>
          <w:p w14:paraId="1AC4A9E6">
            <w:pPr>
              <w:numPr>
                <w:ilvl w:val="0"/>
                <w:numId w:val="0"/>
              </w:numPr>
              <w:ind w:firstLine="480" w:firstLineChars="200"/>
              <w:rPr>
                <w:rFonts w:hint="eastAsia" w:ascii="Times New Roman" w:hAnsi="Times New Roman" w:eastAsia="宋体"/>
                <w:b/>
                <w:bCs/>
                <w:color w:val="auto"/>
                <w:lang w:eastAsia="zh-CN"/>
              </w:rPr>
            </w:pPr>
            <w:r>
              <w:rPr>
                <w:rFonts w:hint="eastAsia" w:ascii="Times New Roman" w:hAnsi="Times New Roman" w:eastAsia="宋体" w:cs="宋体"/>
                <w:b w:val="0"/>
                <w:bCs w:val="0"/>
                <w:color w:val="auto"/>
                <w:highlight w:val="none"/>
              </w:rPr>
              <w:t>制定相应的企业环境保护制度。如：</w:t>
            </w:r>
            <w:r>
              <w:rPr>
                <w:rFonts w:hint="eastAsia" w:ascii="Times New Roman" w:hAnsi="Times New Roman" w:eastAsia="宋体" w:cs="宋体"/>
                <w:b w:val="0"/>
                <w:bCs w:val="0"/>
                <w:color w:val="auto"/>
                <w:highlight w:val="none"/>
                <w:lang w:eastAsia="zh-CN"/>
              </w:rPr>
              <w:t>“</w:t>
            </w:r>
            <w:r>
              <w:rPr>
                <w:rFonts w:hint="eastAsia" w:ascii="Times New Roman" w:hAnsi="Times New Roman" w:eastAsia="宋体" w:cs="宋体"/>
                <w:b w:val="0"/>
                <w:bCs w:val="0"/>
                <w:color w:val="auto"/>
                <w:highlight w:val="none"/>
              </w:rPr>
              <w:t>三废综合利用方法</w:t>
            </w:r>
            <w:r>
              <w:rPr>
                <w:rFonts w:hint="eastAsia" w:ascii="Times New Roman" w:hAnsi="Times New Roman" w:eastAsia="宋体" w:cs="宋体"/>
                <w:b w:val="0"/>
                <w:bCs w:val="0"/>
                <w:color w:val="auto"/>
                <w:highlight w:val="none"/>
                <w:lang w:eastAsia="zh-CN"/>
              </w:rPr>
              <w:t>”</w:t>
            </w:r>
            <w:r>
              <w:rPr>
                <w:rFonts w:hint="eastAsia" w:ascii="Times New Roman" w:hAnsi="Times New Roman" w:eastAsia="宋体" w:cs="宋体"/>
                <w:b w:val="0"/>
                <w:bCs w:val="0"/>
                <w:color w:val="auto"/>
                <w:highlight w:val="none"/>
              </w:rPr>
              <w:t>、</w:t>
            </w:r>
            <w:r>
              <w:rPr>
                <w:rFonts w:hint="eastAsia" w:ascii="Times New Roman" w:hAnsi="Times New Roman" w:eastAsia="宋体" w:cs="宋体"/>
                <w:b w:val="0"/>
                <w:bCs w:val="0"/>
                <w:color w:val="auto"/>
                <w:highlight w:val="none"/>
                <w:lang w:eastAsia="zh-CN"/>
              </w:rPr>
              <w:t>“</w:t>
            </w:r>
            <w:r>
              <w:rPr>
                <w:rFonts w:hint="eastAsia" w:ascii="Times New Roman" w:hAnsi="Times New Roman" w:eastAsia="宋体" w:cs="宋体"/>
                <w:b w:val="0"/>
                <w:bCs w:val="0"/>
                <w:color w:val="auto"/>
                <w:highlight w:val="none"/>
              </w:rPr>
              <w:t>颗粒物排放及管理规定</w:t>
            </w:r>
            <w:r>
              <w:rPr>
                <w:rFonts w:hint="eastAsia" w:ascii="Times New Roman" w:hAnsi="Times New Roman" w:eastAsia="宋体" w:cs="宋体"/>
                <w:b w:val="0"/>
                <w:bCs w:val="0"/>
                <w:color w:val="auto"/>
                <w:highlight w:val="none"/>
                <w:lang w:eastAsia="zh-CN"/>
              </w:rPr>
              <w:t>”</w:t>
            </w:r>
            <w:r>
              <w:rPr>
                <w:rFonts w:hint="eastAsia" w:ascii="Times New Roman" w:hAnsi="Times New Roman" w:eastAsia="宋体" w:cs="宋体"/>
                <w:b w:val="0"/>
                <w:bCs w:val="0"/>
                <w:color w:val="auto"/>
                <w:highlight w:val="none"/>
              </w:rPr>
              <w:t>、</w:t>
            </w:r>
            <w:r>
              <w:rPr>
                <w:rFonts w:hint="eastAsia" w:ascii="Times New Roman" w:hAnsi="Times New Roman" w:eastAsia="宋体" w:cs="宋体"/>
                <w:b w:val="0"/>
                <w:bCs w:val="0"/>
                <w:color w:val="auto"/>
                <w:highlight w:val="none"/>
                <w:lang w:eastAsia="zh-CN"/>
              </w:rPr>
              <w:t>“</w:t>
            </w:r>
            <w:r>
              <w:rPr>
                <w:rFonts w:hint="eastAsia" w:ascii="Times New Roman" w:hAnsi="Times New Roman" w:eastAsia="宋体" w:cs="宋体"/>
                <w:b w:val="0"/>
                <w:bCs w:val="0"/>
                <w:color w:val="auto"/>
                <w:highlight w:val="none"/>
              </w:rPr>
              <w:t>排污申报管理制度</w:t>
            </w:r>
            <w:r>
              <w:rPr>
                <w:rFonts w:hint="eastAsia" w:ascii="Times New Roman" w:hAnsi="Times New Roman" w:eastAsia="宋体" w:cs="宋体"/>
                <w:b w:val="0"/>
                <w:bCs w:val="0"/>
                <w:color w:val="auto"/>
                <w:highlight w:val="none"/>
                <w:lang w:eastAsia="zh-CN"/>
              </w:rPr>
              <w:t>”</w:t>
            </w:r>
            <w:r>
              <w:rPr>
                <w:rFonts w:hint="eastAsia" w:ascii="Times New Roman" w:hAnsi="Times New Roman" w:eastAsia="宋体" w:cs="宋体"/>
                <w:b w:val="0"/>
                <w:bCs w:val="0"/>
                <w:color w:val="auto"/>
                <w:highlight w:val="none"/>
              </w:rPr>
              <w:t>、</w:t>
            </w:r>
            <w:r>
              <w:rPr>
                <w:rFonts w:hint="eastAsia" w:ascii="Times New Roman" w:hAnsi="Times New Roman" w:eastAsia="宋体" w:cs="宋体"/>
                <w:b w:val="0"/>
                <w:bCs w:val="0"/>
                <w:color w:val="auto"/>
                <w:highlight w:val="none"/>
                <w:lang w:eastAsia="zh-CN"/>
              </w:rPr>
              <w:t>“</w:t>
            </w:r>
            <w:r>
              <w:rPr>
                <w:rFonts w:hint="eastAsia" w:ascii="Times New Roman" w:hAnsi="Times New Roman" w:eastAsia="宋体" w:cs="宋体"/>
                <w:b w:val="0"/>
                <w:bCs w:val="0"/>
                <w:color w:val="auto"/>
                <w:highlight w:val="none"/>
              </w:rPr>
              <w:t>环境保护奖惩条例</w:t>
            </w:r>
            <w:r>
              <w:rPr>
                <w:rFonts w:hint="eastAsia" w:ascii="Times New Roman" w:hAnsi="Times New Roman" w:eastAsia="宋体" w:cs="宋体"/>
                <w:b w:val="0"/>
                <w:bCs w:val="0"/>
                <w:color w:val="auto"/>
                <w:highlight w:val="none"/>
                <w:lang w:eastAsia="zh-CN"/>
              </w:rPr>
              <w:t>”</w:t>
            </w:r>
            <w:r>
              <w:rPr>
                <w:rFonts w:hint="eastAsia" w:ascii="Times New Roman" w:hAnsi="Times New Roman" w:eastAsia="宋体" w:cs="宋体"/>
                <w:b w:val="0"/>
                <w:bCs w:val="0"/>
                <w:color w:val="auto"/>
                <w:highlight w:val="none"/>
              </w:rPr>
              <w:t>、</w:t>
            </w:r>
            <w:r>
              <w:rPr>
                <w:rFonts w:hint="eastAsia" w:ascii="Times New Roman" w:hAnsi="Times New Roman" w:eastAsia="宋体" w:cs="宋体"/>
                <w:b w:val="0"/>
                <w:bCs w:val="0"/>
                <w:color w:val="auto"/>
                <w:highlight w:val="none"/>
                <w:lang w:eastAsia="zh-CN"/>
              </w:rPr>
              <w:t>“</w:t>
            </w:r>
            <w:r>
              <w:rPr>
                <w:rFonts w:hint="eastAsia" w:ascii="Times New Roman" w:hAnsi="Times New Roman" w:eastAsia="宋体" w:cs="宋体"/>
                <w:b w:val="0"/>
                <w:bCs w:val="0"/>
                <w:color w:val="auto"/>
                <w:highlight w:val="none"/>
              </w:rPr>
              <w:t>固废清运管理台账</w:t>
            </w:r>
            <w:r>
              <w:rPr>
                <w:rFonts w:hint="eastAsia" w:ascii="Times New Roman" w:hAnsi="Times New Roman" w:eastAsia="宋体" w:cs="宋体"/>
                <w:b w:val="0"/>
                <w:bCs w:val="0"/>
                <w:color w:val="auto"/>
                <w:highlight w:val="none"/>
                <w:lang w:eastAsia="zh-CN"/>
              </w:rPr>
              <w:t>”</w:t>
            </w:r>
            <w:r>
              <w:rPr>
                <w:rFonts w:hint="eastAsia" w:ascii="Times New Roman" w:hAnsi="Times New Roman" w:eastAsia="宋体" w:cs="宋体"/>
                <w:b w:val="0"/>
                <w:bCs w:val="0"/>
                <w:color w:val="auto"/>
                <w:highlight w:val="none"/>
              </w:rPr>
              <w:t>等</w:t>
            </w:r>
            <w:r>
              <w:rPr>
                <w:rFonts w:hint="eastAsia" w:ascii="Times New Roman" w:hAnsi="Times New Roman" w:eastAsia="宋体" w:cs="宋体"/>
                <w:b w:val="0"/>
                <w:bCs w:val="0"/>
                <w:color w:val="auto"/>
                <w:highlight w:val="none"/>
                <w:lang w:eastAsia="zh-CN"/>
              </w:rPr>
              <w:t>，</w:t>
            </w:r>
            <w:r>
              <w:rPr>
                <w:rFonts w:hint="eastAsia" w:ascii="Times New Roman" w:hAnsi="Times New Roman" w:eastAsia="宋体" w:cs="宋体"/>
                <w:b w:val="0"/>
                <w:bCs w:val="0"/>
                <w:color w:val="auto"/>
                <w:highlight w:val="none"/>
              </w:rPr>
              <w:t>并建立环保设施的技术档案，使环境管理工作有法可依，有章可循，并逐步纳入法制化、标准化轨道</w:t>
            </w:r>
            <w:r>
              <w:rPr>
                <w:rFonts w:hint="eastAsia" w:ascii="Times New Roman" w:hAnsi="Times New Roman" w:eastAsia="宋体" w:cs="宋体"/>
                <w:b w:val="0"/>
                <w:bCs w:val="0"/>
                <w:color w:val="auto"/>
                <w:highlight w:val="none"/>
                <w:lang w:eastAsia="zh-CN"/>
              </w:rPr>
              <w:t>。</w:t>
            </w:r>
          </w:p>
          <w:p w14:paraId="42FE11C1">
            <w:pPr>
              <w:numPr>
                <w:ilvl w:val="0"/>
                <w:numId w:val="0"/>
              </w:numPr>
              <w:ind w:firstLine="482" w:firstLineChars="200"/>
              <w:rPr>
                <w:rFonts w:ascii="Times New Roman" w:hAnsi="Times New Roman"/>
                <w:b/>
                <w:bCs/>
                <w:color w:val="auto"/>
              </w:rPr>
            </w:pPr>
            <w:r>
              <w:rPr>
                <w:rFonts w:hint="eastAsia" w:ascii="Times New Roman" w:hAnsi="Times New Roman"/>
                <w:b/>
                <w:bCs/>
                <w:color w:val="auto"/>
                <w:lang w:val="en-US" w:eastAsia="zh-CN"/>
              </w:rPr>
              <w:t>4、</w:t>
            </w:r>
            <w:r>
              <w:rPr>
                <w:rFonts w:hint="eastAsia" w:ascii="Times New Roman" w:hAnsi="Times New Roman"/>
                <w:b/>
                <w:bCs/>
                <w:color w:val="auto"/>
              </w:rPr>
              <w:t>环境监察计划</w:t>
            </w:r>
          </w:p>
          <w:p w14:paraId="46539F98">
            <w:pPr>
              <w:jc w:val="center"/>
              <w:rPr>
                <w:rFonts w:ascii="Times New Roman" w:hAnsi="Times New Roman"/>
                <w:b/>
                <w:bCs/>
                <w:color w:val="auto"/>
              </w:rPr>
            </w:pPr>
            <w:r>
              <w:rPr>
                <w:rFonts w:hint="eastAsia" w:ascii="Times New Roman" w:hAnsi="Times New Roman"/>
                <w:b/>
                <w:bCs/>
                <w:color w:val="auto"/>
              </w:rPr>
              <w:t>表4-1</w:t>
            </w:r>
            <w:r>
              <w:rPr>
                <w:rFonts w:hint="eastAsia" w:ascii="Times New Roman" w:hAnsi="Times New Roman"/>
                <w:b/>
                <w:bCs/>
                <w:color w:val="auto"/>
                <w:lang w:val="en-US" w:eastAsia="zh-CN"/>
              </w:rPr>
              <w:t>9</w:t>
            </w:r>
            <w:r>
              <w:rPr>
                <w:rFonts w:hint="eastAsia" w:ascii="Times New Roman" w:hAnsi="Times New Roman"/>
                <w:b/>
                <w:bCs/>
                <w:color w:val="auto"/>
              </w:rPr>
              <w:t xml:space="preserve">  环境监察计划一览表</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34"/>
              <w:gridCol w:w="5705"/>
              <w:gridCol w:w="1223"/>
            </w:tblGrid>
            <w:tr w14:paraId="3C4D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645" w:type="pct"/>
                  <w:vAlign w:val="center"/>
                </w:tcPr>
                <w:p w14:paraId="2009FE5C">
                  <w:pPr>
                    <w:spacing w:line="240" w:lineRule="auto"/>
                    <w:jc w:val="center"/>
                    <w:rPr>
                      <w:rFonts w:ascii="Times New Roman" w:hAnsi="Times New Roman"/>
                      <w:b/>
                      <w:bCs/>
                      <w:color w:val="auto"/>
                      <w:sz w:val="21"/>
                      <w:szCs w:val="21"/>
                    </w:rPr>
                  </w:pPr>
                  <w:r>
                    <w:rPr>
                      <w:rFonts w:ascii="Times New Roman" w:hAnsi="Times New Roman"/>
                      <w:b/>
                      <w:bCs/>
                      <w:color w:val="auto"/>
                      <w:sz w:val="21"/>
                      <w:szCs w:val="21"/>
                    </w:rPr>
                    <w:t>监察阶段</w:t>
                  </w:r>
                </w:p>
              </w:tc>
              <w:tc>
                <w:tcPr>
                  <w:tcW w:w="612" w:type="pct"/>
                  <w:vAlign w:val="center"/>
                </w:tcPr>
                <w:p w14:paraId="03713706">
                  <w:pPr>
                    <w:spacing w:line="240" w:lineRule="auto"/>
                    <w:jc w:val="center"/>
                    <w:rPr>
                      <w:rFonts w:ascii="Times New Roman" w:hAnsi="Times New Roman"/>
                      <w:b/>
                      <w:bCs/>
                      <w:color w:val="auto"/>
                      <w:sz w:val="21"/>
                      <w:szCs w:val="21"/>
                    </w:rPr>
                  </w:pPr>
                  <w:r>
                    <w:rPr>
                      <w:rFonts w:hint="eastAsia" w:ascii="Times New Roman" w:hAnsi="Times New Roman"/>
                      <w:b/>
                      <w:bCs/>
                      <w:color w:val="auto"/>
                      <w:sz w:val="21"/>
                      <w:szCs w:val="21"/>
                    </w:rPr>
                    <w:t>项目</w:t>
                  </w:r>
                </w:p>
              </w:tc>
              <w:tc>
                <w:tcPr>
                  <w:tcW w:w="3080" w:type="pct"/>
                  <w:vAlign w:val="center"/>
                </w:tcPr>
                <w:p w14:paraId="4CAF9DD3">
                  <w:pPr>
                    <w:spacing w:line="240" w:lineRule="auto"/>
                    <w:jc w:val="center"/>
                    <w:rPr>
                      <w:rFonts w:ascii="Times New Roman" w:hAnsi="Times New Roman"/>
                      <w:b/>
                      <w:bCs/>
                      <w:color w:val="auto"/>
                      <w:sz w:val="21"/>
                      <w:szCs w:val="21"/>
                    </w:rPr>
                  </w:pPr>
                  <w:r>
                    <w:rPr>
                      <w:rFonts w:ascii="Times New Roman" w:hAnsi="Times New Roman"/>
                      <w:b/>
                      <w:bCs/>
                      <w:color w:val="auto"/>
                      <w:sz w:val="21"/>
                      <w:szCs w:val="21"/>
                    </w:rPr>
                    <w:t>监察内容</w:t>
                  </w:r>
                </w:p>
              </w:tc>
              <w:tc>
                <w:tcPr>
                  <w:tcW w:w="660" w:type="pct"/>
                  <w:vAlign w:val="center"/>
                </w:tcPr>
                <w:p w14:paraId="71588F37">
                  <w:pPr>
                    <w:spacing w:line="240" w:lineRule="auto"/>
                    <w:jc w:val="center"/>
                    <w:rPr>
                      <w:rFonts w:ascii="Times New Roman" w:hAnsi="Times New Roman"/>
                      <w:b/>
                      <w:bCs/>
                      <w:color w:val="auto"/>
                      <w:sz w:val="21"/>
                      <w:szCs w:val="21"/>
                    </w:rPr>
                  </w:pPr>
                  <w:r>
                    <w:rPr>
                      <w:rFonts w:ascii="Times New Roman" w:hAnsi="Times New Roman"/>
                      <w:b/>
                      <w:bCs/>
                      <w:color w:val="auto"/>
                      <w:sz w:val="21"/>
                      <w:szCs w:val="21"/>
                    </w:rPr>
                    <w:t>监察部门</w:t>
                  </w:r>
                </w:p>
              </w:tc>
            </w:tr>
            <w:tr w14:paraId="72A9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45" w:type="pct"/>
                  <w:vMerge w:val="restart"/>
                  <w:vAlign w:val="center"/>
                </w:tcPr>
                <w:p w14:paraId="3B7E0A12">
                  <w:pPr>
                    <w:spacing w:line="240" w:lineRule="auto"/>
                    <w:jc w:val="center"/>
                    <w:rPr>
                      <w:rFonts w:ascii="Times New Roman" w:hAnsi="Times New Roman"/>
                      <w:color w:val="auto"/>
                      <w:sz w:val="21"/>
                      <w:szCs w:val="21"/>
                    </w:rPr>
                  </w:pPr>
                  <w:r>
                    <w:rPr>
                      <w:rFonts w:ascii="Times New Roman" w:hAnsi="Times New Roman"/>
                      <w:color w:val="auto"/>
                      <w:sz w:val="21"/>
                      <w:szCs w:val="21"/>
                    </w:rPr>
                    <w:t>运营阶段</w:t>
                  </w:r>
                </w:p>
              </w:tc>
              <w:tc>
                <w:tcPr>
                  <w:tcW w:w="612" w:type="pct"/>
                  <w:vAlign w:val="center"/>
                </w:tcPr>
                <w:p w14:paraId="495EA382">
                  <w:pPr>
                    <w:pStyle w:val="39"/>
                    <w:spacing w:line="240" w:lineRule="auto"/>
                    <w:jc w:val="center"/>
                    <w:rPr>
                      <w:rFonts w:ascii="Times New Roman" w:hAnsi="Times New Roman"/>
                      <w:color w:val="auto"/>
                      <w:sz w:val="21"/>
                      <w:szCs w:val="21"/>
                    </w:rPr>
                  </w:pPr>
                  <w:r>
                    <w:rPr>
                      <w:rFonts w:hint="eastAsia" w:ascii="Times New Roman" w:hAnsi="Times New Roman"/>
                      <w:color w:val="auto"/>
                      <w:sz w:val="21"/>
                      <w:szCs w:val="21"/>
                    </w:rPr>
                    <w:t>废水</w:t>
                  </w:r>
                </w:p>
              </w:tc>
              <w:tc>
                <w:tcPr>
                  <w:tcW w:w="3080" w:type="pct"/>
                  <w:vAlign w:val="center"/>
                </w:tcPr>
                <w:p w14:paraId="10601131">
                  <w:pPr>
                    <w:widowControl/>
                    <w:snapToGrid w:val="0"/>
                    <w:spacing w:line="240" w:lineRule="auto"/>
                    <w:jc w:val="left"/>
                    <w:rPr>
                      <w:rFonts w:ascii="Times New Roman" w:hAnsi="Times New Roman"/>
                      <w:color w:val="auto"/>
                      <w:sz w:val="21"/>
                      <w:szCs w:val="21"/>
                    </w:rPr>
                  </w:pPr>
                  <w:r>
                    <w:rPr>
                      <w:rFonts w:hint="eastAsia" w:ascii="Times New Roman" w:hAnsi="Times New Roman" w:eastAsia="宋体" w:cs="Times New Roman"/>
                      <w:color w:val="auto"/>
                      <w:sz w:val="21"/>
                      <w:szCs w:val="21"/>
                      <w:lang w:val="en-US" w:eastAsia="zh-CN"/>
                    </w:rPr>
                    <w:t>搅拌机清洗废水是否排入防渗沉淀池内沉淀后上清液全部回用于搅拌工序的搅拌机内，不外排；</w:t>
                  </w:r>
                  <w:r>
                    <w:rPr>
                      <w:rFonts w:hint="eastAsia" w:ascii="Times New Roman" w:hAnsi="Times New Roman" w:eastAsia="宋体" w:cs="Times New Roman"/>
                      <w:color w:val="auto"/>
                      <w:sz w:val="21"/>
                      <w:szCs w:val="21"/>
                    </w:rPr>
                    <w:t>食堂</w:t>
                  </w:r>
                  <w:r>
                    <w:rPr>
                      <w:rFonts w:ascii="Times New Roman" w:hAnsi="Times New Roman"/>
                      <w:color w:val="auto"/>
                      <w:sz w:val="21"/>
                      <w:szCs w:val="21"/>
                    </w:rPr>
                    <w:t>废水</w:t>
                  </w:r>
                  <w:r>
                    <w:rPr>
                      <w:rFonts w:hint="eastAsia" w:ascii="Times New Roman" w:hAnsi="Times New Roman"/>
                      <w:color w:val="auto"/>
                      <w:sz w:val="21"/>
                      <w:szCs w:val="21"/>
                    </w:rPr>
                    <w:t>是否首先经过油水分离器（0.1m</w:t>
                  </w:r>
                  <w:r>
                    <w:rPr>
                      <w:rFonts w:hint="eastAsia" w:ascii="Times New Roman" w:hAnsi="Times New Roman"/>
                      <w:color w:val="auto"/>
                      <w:sz w:val="21"/>
                      <w:szCs w:val="21"/>
                      <w:vertAlign w:val="superscript"/>
                    </w:rPr>
                    <w:t>3</w:t>
                  </w:r>
                  <w:r>
                    <w:rPr>
                      <w:rFonts w:hint="eastAsia" w:ascii="Times New Roman" w:hAnsi="Times New Roman"/>
                      <w:color w:val="auto"/>
                      <w:sz w:val="21"/>
                      <w:szCs w:val="21"/>
                    </w:rPr>
                    <w:t>）隔油处理后，同生活污水经过化粪池</w:t>
                  </w:r>
                  <w:r>
                    <w:rPr>
                      <w:rFonts w:hint="eastAsia" w:ascii="Times New Roman" w:hAnsi="Times New Roman"/>
                      <w:color w:val="auto"/>
                      <w:sz w:val="21"/>
                      <w:szCs w:val="21"/>
                      <w:lang w:eastAsia="zh-CN"/>
                    </w:rPr>
                    <w:t>（</w:t>
                  </w:r>
                  <w:r>
                    <w:rPr>
                      <w:rFonts w:hint="eastAsia" w:ascii="Times New Roman" w:hAnsi="Times New Roman"/>
                      <w:color w:val="auto"/>
                      <w:sz w:val="21"/>
                      <w:szCs w:val="21"/>
                      <w:lang w:val="en-US" w:eastAsia="zh-CN"/>
                    </w:rPr>
                    <w:t>6</w:t>
                  </w:r>
                  <w:r>
                    <w:rPr>
                      <w:rFonts w:hint="eastAsia" w:ascii="Times New Roman" w:hAnsi="Times New Roman"/>
                      <w:color w:val="auto"/>
                      <w:sz w:val="21"/>
                      <w:szCs w:val="21"/>
                    </w:rPr>
                    <w:t>m</w:t>
                  </w:r>
                  <w:r>
                    <w:rPr>
                      <w:rFonts w:hint="eastAsia" w:ascii="Times New Roman" w:hAnsi="Times New Roman"/>
                      <w:color w:val="auto"/>
                      <w:sz w:val="21"/>
                      <w:szCs w:val="21"/>
                      <w:vertAlign w:val="superscript"/>
                    </w:rPr>
                    <w:t>3</w:t>
                  </w:r>
                  <w:r>
                    <w:rPr>
                      <w:rFonts w:hint="eastAsia" w:ascii="Times New Roman" w:hAnsi="Times New Roman"/>
                      <w:color w:val="auto"/>
                      <w:sz w:val="21"/>
                      <w:szCs w:val="21"/>
                      <w:lang w:eastAsia="zh-CN"/>
                    </w:rPr>
                    <w:t>）</w:t>
                  </w:r>
                  <w:r>
                    <w:rPr>
                      <w:rFonts w:hint="eastAsia" w:ascii="Times New Roman" w:hAnsi="Times New Roman"/>
                      <w:color w:val="auto"/>
                      <w:sz w:val="21"/>
                      <w:szCs w:val="21"/>
                    </w:rPr>
                    <w:t>处理后委托周边村民进行清掏用作农肥</w:t>
                  </w:r>
                </w:p>
              </w:tc>
              <w:tc>
                <w:tcPr>
                  <w:tcW w:w="660" w:type="pct"/>
                  <w:vMerge w:val="restart"/>
                  <w:vAlign w:val="center"/>
                </w:tcPr>
                <w:p w14:paraId="66034177">
                  <w:pPr>
                    <w:spacing w:line="240" w:lineRule="auto"/>
                    <w:jc w:val="center"/>
                    <w:rPr>
                      <w:rFonts w:ascii="Times New Roman" w:hAnsi="Times New Roman"/>
                      <w:color w:val="auto"/>
                      <w:sz w:val="21"/>
                      <w:szCs w:val="21"/>
                    </w:rPr>
                  </w:pPr>
                  <w:r>
                    <w:rPr>
                      <w:rFonts w:ascii="Times New Roman" w:hAnsi="Times New Roman"/>
                      <w:color w:val="auto"/>
                      <w:sz w:val="21"/>
                      <w:szCs w:val="21"/>
                    </w:rPr>
                    <w:t>德宏州生态环境局芒市分局</w:t>
                  </w:r>
                </w:p>
              </w:tc>
            </w:tr>
            <w:tr w14:paraId="4228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645" w:type="pct"/>
                  <w:vMerge w:val="continue"/>
                  <w:vAlign w:val="center"/>
                </w:tcPr>
                <w:p w14:paraId="6C04D754">
                  <w:pPr>
                    <w:spacing w:line="240" w:lineRule="auto"/>
                    <w:jc w:val="center"/>
                    <w:rPr>
                      <w:rFonts w:ascii="Times New Roman" w:hAnsi="Times New Roman"/>
                      <w:color w:val="auto"/>
                      <w:sz w:val="21"/>
                      <w:szCs w:val="21"/>
                    </w:rPr>
                  </w:pPr>
                </w:p>
              </w:tc>
              <w:tc>
                <w:tcPr>
                  <w:tcW w:w="612" w:type="pct"/>
                  <w:vAlign w:val="center"/>
                </w:tcPr>
                <w:p w14:paraId="1FF8623F">
                  <w:pPr>
                    <w:pStyle w:val="39"/>
                    <w:spacing w:line="240" w:lineRule="auto"/>
                    <w:jc w:val="center"/>
                    <w:rPr>
                      <w:rFonts w:ascii="Times New Roman" w:hAnsi="Times New Roman"/>
                      <w:color w:val="auto"/>
                      <w:sz w:val="21"/>
                      <w:szCs w:val="21"/>
                    </w:rPr>
                  </w:pPr>
                  <w:r>
                    <w:rPr>
                      <w:rFonts w:hint="eastAsia" w:ascii="Times New Roman" w:hAnsi="Times New Roman"/>
                      <w:color w:val="auto"/>
                      <w:sz w:val="21"/>
                      <w:szCs w:val="21"/>
                    </w:rPr>
                    <w:t>废气</w:t>
                  </w:r>
                </w:p>
              </w:tc>
              <w:tc>
                <w:tcPr>
                  <w:tcW w:w="3080" w:type="pct"/>
                  <w:vAlign w:val="center"/>
                </w:tcPr>
                <w:p w14:paraId="301AE41E">
                  <w:pPr>
                    <w:widowControl/>
                    <w:snapToGrid w:val="0"/>
                    <w:spacing w:line="240" w:lineRule="auto"/>
                    <w:jc w:val="left"/>
                    <w:rPr>
                      <w:rFonts w:ascii="Times New Roman" w:hAnsi="Times New Roman"/>
                      <w:color w:val="auto"/>
                      <w:sz w:val="21"/>
                      <w:szCs w:val="21"/>
                    </w:rPr>
                  </w:pPr>
                  <w:r>
                    <w:rPr>
                      <w:rFonts w:hint="eastAsia" w:ascii="Times New Roman" w:hAnsi="Times New Roman"/>
                      <w:color w:val="auto"/>
                      <w:kern w:val="0"/>
                      <w:sz w:val="21"/>
                      <w:szCs w:val="21"/>
                    </w:rPr>
                    <w:t>水泥储罐粉尘：</w:t>
                  </w:r>
                  <w:r>
                    <w:rPr>
                      <w:rFonts w:hint="eastAsia" w:ascii="Times New Roman" w:hAnsi="Times New Roman"/>
                      <w:color w:val="auto"/>
                      <w:kern w:val="0"/>
                      <w:sz w:val="21"/>
                      <w:szCs w:val="21"/>
                      <w:lang w:eastAsia="zh-CN"/>
                    </w:rPr>
                    <w:t>水泥传送带是否密闭输送；</w:t>
                  </w:r>
                  <w:r>
                    <w:rPr>
                      <w:rFonts w:hint="eastAsia" w:ascii="Times New Roman" w:hAnsi="Times New Roman"/>
                      <w:color w:val="auto"/>
                      <w:kern w:val="0"/>
                      <w:sz w:val="21"/>
                      <w:szCs w:val="21"/>
                    </w:rPr>
                    <w:t>是否经</w:t>
                  </w:r>
                  <w:r>
                    <w:rPr>
                      <w:rFonts w:hint="eastAsia"/>
                      <w:color w:val="auto"/>
                      <w:kern w:val="0"/>
                      <w:sz w:val="21"/>
                      <w:szCs w:val="21"/>
                      <w:lang w:eastAsia="zh-CN"/>
                    </w:rPr>
                    <w:t>自带的</w:t>
                  </w:r>
                  <w:r>
                    <w:rPr>
                      <w:rFonts w:hint="eastAsia" w:ascii="Times New Roman" w:hAnsi="Times New Roman"/>
                      <w:color w:val="auto"/>
                      <w:sz w:val="21"/>
                      <w:szCs w:val="21"/>
                    </w:rPr>
                    <w:t>布袋除尘器收集</w:t>
                  </w:r>
                  <w:r>
                    <w:rPr>
                      <w:rFonts w:hint="eastAsia" w:ascii="Times New Roman" w:hAnsi="Times New Roman"/>
                      <w:color w:val="auto"/>
                      <w:kern w:val="0"/>
                      <w:sz w:val="21"/>
                      <w:szCs w:val="21"/>
                    </w:rPr>
                    <w:t>；原料堆场粉尘：是否搭建顶棚，</w:t>
                  </w:r>
                  <w:r>
                    <w:rPr>
                      <w:rFonts w:hint="eastAsia" w:ascii="Times New Roman" w:hAnsi="Times New Roman"/>
                      <w:color w:val="auto"/>
                      <w:sz w:val="21"/>
                      <w:szCs w:val="21"/>
                    </w:rPr>
                    <w:t>是否</w:t>
                  </w:r>
                  <w:r>
                    <w:rPr>
                      <w:rFonts w:hint="eastAsia" w:ascii="Times New Roman" w:hAnsi="Times New Roman"/>
                      <w:color w:val="auto"/>
                      <w:sz w:val="21"/>
                      <w:szCs w:val="21"/>
                      <w:lang w:eastAsia="zh-CN"/>
                    </w:rPr>
                    <w:t>设置喷淋装置</w:t>
                  </w:r>
                  <w:r>
                    <w:rPr>
                      <w:rFonts w:hint="eastAsia" w:ascii="Times New Roman" w:hAnsi="Times New Roman"/>
                      <w:color w:val="auto"/>
                      <w:kern w:val="0"/>
                      <w:sz w:val="21"/>
                      <w:szCs w:val="21"/>
                    </w:rPr>
                    <w:t>；</w:t>
                  </w:r>
                  <w:r>
                    <w:rPr>
                      <w:rFonts w:ascii="Times New Roman" w:hAnsi="Times New Roman"/>
                      <w:color w:val="auto"/>
                      <w:sz w:val="21"/>
                      <w:szCs w:val="21"/>
                    </w:rPr>
                    <w:t>上料搅拌粉尘</w:t>
                  </w:r>
                  <w:r>
                    <w:rPr>
                      <w:rFonts w:hint="eastAsia" w:ascii="Times New Roman" w:hAnsi="Times New Roman"/>
                      <w:color w:val="auto"/>
                      <w:sz w:val="21"/>
                      <w:szCs w:val="21"/>
                    </w:rPr>
                    <w:t>：是否</w:t>
                  </w:r>
                  <w:r>
                    <w:rPr>
                      <w:rFonts w:hint="eastAsia" w:ascii="Times New Roman" w:hAnsi="Times New Roman"/>
                      <w:color w:val="auto"/>
                      <w:sz w:val="21"/>
                      <w:szCs w:val="21"/>
                      <w:lang w:eastAsia="zh-CN"/>
                    </w:rPr>
                    <w:t>设置喷淋装置</w:t>
                  </w:r>
                </w:p>
              </w:tc>
              <w:tc>
                <w:tcPr>
                  <w:tcW w:w="660" w:type="pct"/>
                  <w:vMerge w:val="continue"/>
                  <w:vAlign w:val="center"/>
                </w:tcPr>
                <w:p w14:paraId="5E98DC7F">
                  <w:pPr>
                    <w:spacing w:line="240" w:lineRule="auto"/>
                    <w:jc w:val="center"/>
                    <w:rPr>
                      <w:rFonts w:ascii="Times New Roman" w:hAnsi="Times New Roman"/>
                      <w:color w:val="auto"/>
                      <w:sz w:val="21"/>
                      <w:szCs w:val="21"/>
                    </w:rPr>
                  </w:pPr>
                </w:p>
              </w:tc>
            </w:tr>
            <w:tr w14:paraId="45A7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45" w:type="pct"/>
                  <w:vMerge w:val="continue"/>
                  <w:vAlign w:val="center"/>
                </w:tcPr>
                <w:p w14:paraId="4753B4F4">
                  <w:pPr>
                    <w:spacing w:line="240" w:lineRule="auto"/>
                    <w:jc w:val="center"/>
                    <w:rPr>
                      <w:rFonts w:ascii="Times New Roman" w:hAnsi="Times New Roman"/>
                      <w:color w:val="auto"/>
                      <w:sz w:val="21"/>
                      <w:szCs w:val="21"/>
                    </w:rPr>
                  </w:pPr>
                </w:p>
              </w:tc>
              <w:tc>
                <w:tcPr>
                  <w:tcW w:w="612" w:type="pct"/>
                  <w:vAlign w:val="center"/>
                </w:tcPr>
                <w:p w14:paraId="1E755398">
                  <w:pPr>
                    <w:pStyle w:val="39"/>
                    <w:spacing w:line="240" w:lineRule="auto"/>
                    <w:jc w:val="center"/>
                    <w:rPr>
                      <w:rFonts w:ascii="Times New Roman" w:hAnsi="Times New Roman"/>
                      <w:color w:val="auto"/>
                      <w:sz w:val="21"/>
                      <w:szCs w:val="21"/>
                    </w:rPr>
                  </w:pPr>
                  <w:r>
                    <w:rPr>
                      <w:rFonts w:hint="eastAsia" w:ascii="Times New Roman" w:hAnsi="Times New Roman"/>
                      <w:color w:val="auto"/>
                      <w:sz w:val="21"/>
                      <w:szCs w:val="21"/>
                    </w:rPr>
                    <w:t>噪声</w:t>
                  </w:r>
                </w:p>
              </w:tc>
              <w:tc>
                <w:tcPr>
                  <w:tcW w:w="3080" w:type="pct"/>
                  <w:vAlign w:val="center"/>
                </w:tcPr>
                <w:p w14:paraId="7CE51865">
                  <w:pPr>
                    <w:widowControl/>
                    <w:snapToGrid w:val="0"/>
                    <w:spacing w:line="240" w:lineRule="auto"/>
                    <w:jc w:val="left"/>
                    <w:rPr>
                      <w:rFonts w:hint="eastAsia" w:ascii="Times New Roman" w:hAnsi="Times New Roman" w:eastAsia="宋体"/>
                      <w:color w:val="auto"/>
                      <w:sz w:val="21"/>
                      <w:szCs w:val="21"/>
                      <w:lang w:eastAsia="zh-CN"/>
                    </w:rPr>
                  </w:pPr>
                  <w:r>
                    <w:rPr>
                      <w:rFonts w:hint="eastAsia" w:ascii="Times New Roman" w:hAnsi="Times New Roman"/>
                      <w:color w:val="auto"/>
                      <w:sz w:val="21"/>
                      <w:szCs w:val="21"/>
                    </w:rPr>
                    <w:t>是否</w:t>
                  </w:r>
                  <w:r>
                    <w:rPr>
                      <w:rFonts w:ascii="Times New Roman" w:hAnsi="Times New Roman"/>
                      <w:color w:val="auto"/>
                      <w:sz w:val="21"/>
                      <w:szCs w:val="21"/>
                    </w:rPr>
                    <w:t>采用低噪声设备</w:t>
                  </w:r>
                  <w:r>
                    <w:rPr>
                      <w:rFonts w:hint="eastAsia" w:ascii="Times New Roman" w:hAnsi="Times New Roman"/>
                      <w:color w:val="auto"/>
                      <w:sz w:val="21"/>
                      <w:szCs w:val="21"/>
                    </w:rPr>
                    <w:t>，是否严禁夜间生产，是否</w:t>
                  </w:r>
                  <w:r>
                    <w:rPr>
                      <w:rFonts w:ascii="Times New Roman" w:hAnsi="Times New Roman"/>
                      <w:color w:val="auto"/>
                      <w:sz w:val="21"/>
                      <w:szCs w:val="21"/>
                    </w:rPr>
                    <w:t>对设备定期检修</w:t>
                  </w:r>
                  <w:r>
                    <w:rPr>
                      <w:rFonts w:hint="eastAsia"/>
                      <w:color w:val="auto"/>
                      <w:sz w:val="21"/>
                      <w:szCs w:val="21"/>
                      <w:lang w:eastAsia="zh-CN"/>
                    </w:rPr>
                    <w:t>。</w:t>
                  </w:r>
                </w:p>
              </w:tc>
              <w:tc>
                <w:tcPr>
                  <w:tcW w:w="660" w:type="pct"/>
                  <w:vMerge w:val="continue"/>
                  <w:vAlign w:val="center"/>
                </w:tcPr>
                <w:p w14:paraId="46F9617C">
                  <w:pPr>
                    <w:spacing w:line="240" w:lineRule="auto"/>
                    <w:jc w:val="center"/>
                    <w:rPr>
                      <w:rFonts w:ascii="Times New Roman" w:hAnsi="Times New Roman"/>
                      <w:color w:val="auto"/>
                      <w:sz w:val="21"/>
                      <w:szCs w:val="21"/>
                    </w:rPr>
                  </w:pPr>
                </w:p>
              </w:tc>
            </w:tr>
            <w:tr w14:paraId="2CE6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645" w:type="pct"/>
                  <w:vMerge w:val="continue"/>
                  <w:vAlign w:val="center"/>
                </w:tcPr>
                <w:p w14:paraId="71B8FF37">
                  <w:pPr>
                    <w:spacing w:line="240" w:lineRule="auto"/>
                    <w:jc w:val="center"/>
                    <w:rPr>
                      <w:rFonts w:ascii="Times New Roman" w:hAnsi="Times New Roman"/>
                      <w:color w:val="auto"/>
                      <w:sz w:val="21"/>
                      <w:szCs w:val="21"/>
                    </w:rPr>
                  </w:pPr>
                </w:p>
              </w:tc>
              <w:tc>
                <w:tcPr>
                  <w:tcW w:w="612" w:type="pct"/>
                  <w:vAlign w:val="center"/>
                </w:tcPr>
                <w:p w14:paraId="7BED1C43">
                  <w:pPr>
                    <w:pStyle w:val="39"/>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固体废物</w:t>
                  </w:r>
                </w:p>
              </w:tc>
              <w:tc>
                <w:tcPr>
                  <w:tcW w:w="3080" w:type="pct"/>
                  <w:vAlign w:val="center"/>
                </w:tcPr>
                <w:p w14:paraId="75E896F2">
                  <w:pPr>
                    <w:widowControl/>
                    <w:snapToGrid w:val="0"/>
                    <w:spacing w:line="240" w:lineRule="auto"/>
                    <w:jc w:val="left"/>
                    <w:rPr>
                      <w:rFonts w:ascii="Times New Roman" w:hAnsi="Times New Roman"/>
                      <w:color w:val="auto"/>
                      <w:sz w:val="21"/>
                      <w:szCs w:val="21"/>
                    </w:rPr>
                  </w:pPr>
                  <w:r>
                    <w:rPr>
                      <w:rFonts w:hint="eastAsia" w:ascii="Times New Roman" w:hAnsi="Times New Roman"/>
                      <w:color w:val="auto"/>
                      <w:kern w:val="0"/>
                      <w:sz w:val="21"/>
                      <w:szCs w:val="21"/>
                      <w:lang w:eastAsia="zh-CN"/>
                    </w:rPr>
                    <w:t>固体废物</w:t>
                  </w:r>
                  <w:r>
                    <w:rPr>
                      <w:rFonts w:hint="eastAsia" w:ascii="Times New Roman" w:hAnsi="Times New Roman"/>
                      <w:color w:val="auto"/>
                      <w:kern w:val="0"/>
                      <w:sz w:val="21"/>
                      <w:szCs w:val="21"/>
                    </w:rPr>
                    <w:t>是否得到妥善处理</w:t>
                  </w:r>
                </w:p>
              </w:tc>
              <w:tc>
                <w:tcPr>
                  <w:tcW w:w="660" w:type="pct"/>
                  <w:vMerge w:val="continue"/>
                  <w:vAlign w:val="center"/>
                </w:tcPr>
                <w:p w14:paraId="195E6FED">
                  <w:pPr>
                    <w:spacing w:line="240" w:lineRule="auto"/>
                    <w:jc w:val="center"/>
                    <w:rPr>
                      <w:rFonts w:ascii="Times New Roman" w:hAnsi="Times New Roman"/>
                      <w:color w:val="auto"/>
                      <w:sz w:val="21"/>
                      <w:szCs w:val="21"/>
                    </w:rPr>
                  </w:pPr>
                </w:p>
              </w:tc>
            </w:tr>
            <w:tr w14:paraId="39CE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45" w:type="pct"/>
                  <w:vMerge w:val="continue"/>
                  <w:vAlign w:val="center"/>
                </w:tcPr>
                <w:p w14:paraId="6817265E">
                  <w:pPr>
                    <w:spacing w:line="240" w:lineRule="auto"/>
                    <w:jc w:val="center"/>
                    <w:rPr>
                      <w:rFonts w:ascii="Times New Roman" w:hAnsi="Times New Roman"/>
                      <w:color w:val="auto"/>
                      <w:sz w:val="21"/>
                      <w:szCs w:val="21"/>
                    </w:rPr>
                  </w:pPr>
                </w:p>
              </w:tc>
              <w:tc>
                <w:tcPr>
                  <w:tcW w:w="612" w:type="pct"/>
                  <w:vAlign w:val="center"/>
                </w:tcPr>
                <w:p w14:paraId="2E774889">
                  <w:pPr>
                    <w:pStyle w:val="39"/>
                    <w:spacing w:line="240" w:lineRule="auto"/>
                    <w:jc w:val="center"/>
                    <w:rPr>
                      <w:rFonts w:ascii="Times New Roman" w:hAnsi="Times New Roman"/>
                      <w:color w:val="auto"/>
                      <w:sz w:val="21"/>
                      <w:szCs w:val="21"/>
                    </w:rPr>
                  </w:pPr>
                  <w:r>
                    <w:rPr>
                      <w:rFonts w:hint="eastAsia" w:ascii="Times New Roman" w:hAnsi="Times New Roman"/>
                      <w:color w:val="auto"/>
                      <w:sz w:val="21"/>
                      <w:szCs w:val="21"/>
                    </w:rPr>
                    <w:t>风险</w:t>
                  </w:r>
                </w:p>
              </w:tc>
              <w:tc>
                <w:tcPr>
                  <w:tcW w:w="3080" w:type="pct"/>
                  <w:vAlign w:val="center"/>
                </w:tcPr>
                <w:p w14:paraId="73312382">
                  <w:pPr>
                    <w:pStyle w:val="40"/>
                    <w:spacing w:line="240" w:lineRule="auto"/>
                    <w:jc w:val="left"/>
                    <w:rPr>
                      <w:rFonts w:ascii="Times New Roman" w:hAnsi="Times New Roman"/>
                      <w:color w:val="auto"/>
                      <w:kern w:val="0"/>
                      <w:sz w:val="21"/>
                      <w:szCs w:val="21"/>
                    </w:rPr>
                  </w:pPr>
                  <w:r>
                    <w:rPr>
                      <w:rFonts w:hint="eastAsia" w:ascii="Times New Roman" w:hAnsi="Times New Roman" w:eastAsia="宋体"/>
                      <w:color w:val="auto"/>
                      <w:sz w:val="21"/>
                      <w:szCs w:val="21"/>
                    </w:rPr>
                    <w:t>是否制定</w:t>
                  </w:r>
                  <w:r>
                    <w:rPr>
                      <w:rFonts w:ascii="Times New Roman" w:hAnsi="Times New Roman" w:eastAsia="宋体"/>
                      <w:color w:val="auto"/>
                      <w:sz w:val="21"/>
                      <w:szCs w:val="21"/>
                    </w:rPr>
                    <w:t>突发环境事件应急预案</w:t>
                  </w:r>
                </w:p>
              </w:tc>
              <w:tc>
                <w:tcPr>
                  <w:tcW w:w="660" w:type="pct"/>
                  <w:vMerge w:val="continue"/>
                  <w:vAlign w:val="center"/>
                </w:tcPr>
                <w:p w14:paraId="45F904CC">
                  <w:pPr>
                    <w:spacing w:line="240" w:lineRule="auto"/>
                    <w:jc w:val="center"/>
                    <w:rPr>
                      <w:rFonts w:ascii="Times New Roman" w:hAnsi="Times New Roman"/>
                      <w:color w:val="auto"/>
                      <w:sz w:val="21"/>
                      <w:szCs w:val="21"/>
                    </w:rPr>
                  </w:pPr>
                </w:p>
              </w:tc>
            </w:tr>
          </w:tbl>
          <w:p w14:paraId="7A0F46E4">
            <w:pPr>
              <w:numPr>
                <w:ilvl w:val="0"/>
                <w:numId w:val="0"/>
              </w:numPr>
              <w:ind w:firstLine="482" w:firstLineChars="200"/>
              <w:rPr>
                <w:rFonts w:ascii="Times New Roman" w:hAnsi="Times New Roman"/>
                <w:b/>
                <w:bCs/>
                <w:color w:val="auto"/>
              </w:rPr>
            </w:pPr>
            <w:r>
              <w:rPr>
                <w:rFonts w:hint="eastAsia" w:ascii="Times New Roman" w:hAnsi="Times New Roman"/>
                <w:b/>
                <w:bCs/>
                <w:color w:val="auto"/>
                <w:lang w:val="en-US" w:eastAsia="zh-CN"/>
              </w:rPr>
              <w:t>5、</w:t>
            </w:r>
            <w:r>
              <w:rPr>
                <w:rFonts w:hint="eastAsia" w:ascii="Times New Roman" w:hAnsi="Times New Roman" w:cs="Times New Roman"/>
                <w:b/>
                <w:color w:val="auto"/>
                <w:sz w:val="24"/>
                <w:lang w:eastAsia="zh-CN"/>
              </w:rPr>
              <w:t>“</w:t>
            </w:r>
            <w:r>
              <w:rPr>
                <w:rFonts w:hint="default" w:ascii="Times New Roman" w:hAnsi="Times New Roman" w:cs="Times New Roman"/>
                <w:b/>
                <w:color w:val="auto"/>
                <w:sz w:val="24"/>
              </w:rPr>
              <w:t>三同时</w:t>
            </w:r>
            <w:r>
              <w:rPr>
                <w:rFonts w:hint="eastAsia" w:ascii="Times New Roman" w:hAnsi="Times New Roman" w:cs="Times New Roman"/>
                <w:b/>
                <w:color w:val="auto"/>
                <w:sz w:val="24"/>
                <w:lang w:eastAsia="zh-CN"/>
              </w:rPr>
              <w:t>”</w:t>
            </w:r>
            <w:r>
              <w:rPr>
                <w:rFonts w:hint="default" w:ascii="Times New Roman" w:hAnsi="Times New Roman" w:cs="Times New Roman"/>
                <w:b/>
                <w:color w:val="auto"/>
                <w:sz w:val="24"/>
              </w:rPr>
              <w:t>制度</w:t>
            </w:r>
          </w:p>
          <w:p w14:paraId="04BA9643">
            <w:pPr>
              <w:ind w:firstLine="480" w:firstLineChars="200"/>
              <w:jc w:val="both"/>
              <w:rPr>
                <w:rFonts w:hint="default" w:ascii="Times New Roman" w:hAnsi="Times New Roman" w:eastAsia="宋体"/>
                <w:b/>
                <w:bCs/>
                <w:color w:val="auto"/>
                <w:lang w:val="en-US" w:eastAsia="zh-CN"/>
              </w:rPr>
            </w:pPr>
            <w:r>
              <w:rPr>
                <w:rFonts w:hint="eastAsia" w:ascii="Times New Roman" w:hAnsi="Times New Roman" w:eastAsia="宋体" w:cs="宋体"/>
                <w:color w:val="auto"/>
                <w:szCs w:val="24"/>
              </w:rPr>
              <w:t>本项目</w:t>
            </w:r>
            <w:r>
              <w:rPr>
                <w:rFonts w:hint="eastAsia" w:ascii="Times New Roman" w:hAnsi="Times New Roman" w:eastAsia="宋体" w:cs="宋体"/>
                <w:color w:val="auto"/>
                <w:szCs w:val="24"/>
                <w:lang w:eastAsia="zh-CN"/>
              </w:rPr>
              <w:t>“</w:t>
            </w:r>
            <w:r>
              <w:rPr>
                <w:rFonts w:hint="eastAsia" w:ascii="Times New Roman" w:hAnsi="Times New Roman" w:eastAsia="宋体" w:cs="宋体"/>
                <w:color w:val="auto"/>
                <w:szCs w:val="24"/>
              </w:rPr>
              <w:t>三同时</w:t>
            </w:r>
            <w:r>
              <w:rPr>
                <w:rFonts w:hint="eastAsia" w:ascii="Times New Roman" w:hAnsi="Times New Roman" w:eastAsia="宋体" w:cs="宋体"/>
                <w:color w:val="auto"/>
                <w:szCs w:val="24"/>
                <w:lang w:eastAsia="zh-CN"/>
              </w:rPr>
              <w:t>”</w:t>
            </w:r>
            <w:r>
              <w:rPr>
                <w:rFonts w:hint="eastAsia" w:ascii="Times New Roman" w:hAnsi="Times New Roman" w:eastAsia="宋体" w:cs="宋体"/>
                <w:color w:val="auto"/>
                <w:szCs w:val="24"/>
              </w:rPr>
              <w:t>与主体工程同时设计、同时施工、同时投产使用污染防治设施措施详见表</w:t>
            </w:r>
            <w:r>
              <w:rPr>
                <w:rFonts w:hint="eastAsia" w:ascii="Times New Roman" w:hAnsi="Times New Roman" w:eastAsia="宋体" w:cs="宋体"/>
                <w:color w:val="auto"/>
                <w:szCs w:val="24"/>
                <w:lang w:val="en-US" w:eastAsia="zh-CN"/>
              </w:rPr>
              <w:t>4-20。</w:t>
            </w:r>
          </w:p>
          <w:p w14:paraId="76A1222B">
            <w:pPr>
              <w:jc w:val="center"/>
              <w:rPr>
                <w:rFonts w:ascii="Times New Roman" w:hAnsi="Times New Roman"/>
                <w:b/>
                <w:bCs/>
                <w:color w:val="auto"/>
              </w:rPr>
            </w:pPr>
            <w:r>
              <w:rPr>
                <w:rFonts w:hint="eastAsia" w:ascii="Times New Roman" w:hAnsi="Times New Roman"/>
                <w:b/>
                <w:bCs/>
                <w:color w:val="auto"/>
              </w:rPr>
              <w:t>表4-</w:t>
            </w:r>
            <w:r>
              <w:rPr>
                <w:rFonts w:hint="eastAsia" w:ascii="Times New Roman" w:hAnsi="Times New Roman"/>
                <w:b/>
                <w:bCs/>
                <w:color w:val="auto"/>
                <w:lang w:val="en-US" w:eastAsia="zh-CN"/>
              </w:rPr>
              <w:t>20</w:t>
            </w:r>
            <w:r>
              <w:rPr>
                <w:rFonts w:hint="eastAsia" w:ascii="Times New Roman" w:hAnsi="Times New Roman"/>
                <w:b/>
                <w:bCs/>
                <w:color w:val="auto"/>
              </w:rPr>
              <w:t xml:space="preserve">  </w:t>
            </w:r>
            <w:r>
              <w:rPr>
                <w:rFonts w:ascii="Times New Roman" w:hAnsi="Times New Roman"/>
                <w:b/>
                <w:bCs/>
                <w:color w:val="auto"/>
              </w:rPr>
              <w:t>建设项目</w:t>
            </w:r>
            <w:r>
              <w:rPr>
                <w:rFonts w:hint="eastAsia" w:ascii="Times New Roman" w:hAnsi="Times New Roman" w:eastAsia="宋体" w:cs="宋体"/>
                <w:b/>
                <w:color w:val="auto"/>
                <w:sz w:val="24"/>
                <w:szCs w:val="24"/>
                <w:lang w:eastAsia="zh-CN"/>
              </w:rPr>
              <w:t>“</w:t>
            </w:r>
            <w:r>
              <w:rPr>
                <w:rFonts w:hint="eastAsia" w:ascii="Times New Roman" w:hAnsi="Times New Roman" w:eastAsia="宋体" w:cs="宋体"/>
                <w:b/>
                <w:color w:val="auto"/>
                <w:sz w:val="24"/>
                <w:szCs w:val="24"/>
              </w:rPr>
              <w:t>三同时</w:t>
            </w:r>
            <w:r>
              <w:rPr>
                <w:rFonts w:hint="eastAsia" w:ascii="Times New Roman" w:hAnsi="Times New Roman" w:eastAsia="宋体" w:cs="宋体"/>
                <w:b/>
                <w:color w:val="auto"/>
                <w:sz w:val="24"/>
                <w:szCs w:val="24"/>
                <w:lang w:eastAsia="zh-CN"/>
              </w:rPr>
              <w:t>”</w:t>
            </w:r>
            <w:r>
              <w:rPr>
                <w:rFonts w:ascii="Times New Roman" w:hAnsi="Times New Roman"/>
                <w:b/>
                <w:bCs/>
                <w:color w:val="auto"/>
              </w:rPr>
              <w:t>竣工验收一览表</w:t>
            </w: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394"/>
              <w:gridCol w:w="4192"/>
              <w:gridCol w:w="2803"/>
            </w:tblGrid>
            <w:tr w14:paraId="1088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468" w:type="pct"/>
                  <w:vAlign w:val="center"/>
                </w:tcPr>
                <w:p w14:paraId="74816168">
                  <w:pPr>
                    <w:widowControl/>
                    <w:spacing w:line="240" w:lineRule="auto"/>
                    <w:jc w:val="center"/>
                    <w:rPr>
                      <w:rFonts w:ascii="Times New Roman" w:hAnsi="Times New Roman"/>
                      <w:b/>
                      <w:bCs/>
                      <w:color w:val="auto"/>
                      <w:sz w:val="21"/>
                      <w:szCs w:val="21"/>
                    </w:rPr>
                  </w:pPr>
                  <w:r>
                    <w:rPr>
                      <w:rFonts w:ascii="Times New Roman" w:hAnsi="Times New Roman"/>
                      <w:b/>
                      <w:bCs/>
                      <w:color w:val="auto"/>
                      <w:sz w:val="21"/>
                      <w:szCs w:val="21"/>
                    </w:rPr>
                    <w:t>项目</w:t>
                  </w:r>
                </w:p>
              </w:tc>
              <w:tc>
                <w:tcPr>
                  <w:tcW w:w="752" w:type="pct"/>
                  <w:vAlign w:val="center"/>
                </w:tcPr>
                <w:p w14:paraId="29CF5E52">
                  <w:pPr>
                    <w:widowControl/>
                    <w:spacing w:line="240" w:lineRule="auto"/>
                    <w:jc w:val="center"/>
                    <w:rPr>
                      <w:rFonts w:ascii="Times New Roman" w:hAnsi="Times New Roman"/>
                      <w:b/>
                      <w:bCs/>
                      <w:color w:val="auto"/>
                      <w:sz w:val="21"/>
                      <w:szCs w:val="21"/>
                    </w:rPr>
                  </w:pPr>
                  <w:r>
                    <w:rPr>
                      <w:rFonts w:ascii="Times New Roman" w:hAnsi="Times New Roman"/>
                      <w:b/>
                      <w:bCs/>
                      <w:color w:val="auto"/>
                      <w:sz w:val="21"/>
                      <w:szCs w:val="21"/>
                    </w:rPr>
                    <w:t>防治对象</w:t>
                  </w:r>
                </w:p>
              </w:tc>
              <w:tc>
                <w:tcPr>
                  <w:tcW w:w="2264" w:type="pct"/>
                  <w:vAlign w:val="center"/>
                </w:tcPr>
                <w:p w14:paraId="43A065CD">
                  <w:pPr>
                    <w:widowControl/>
                    <w:spacing w:line="240" w:lineRule="auto"/>
                    <w:jc w:val="center"/>
                    <w:rPr>
                      <w:rFonts w:ascii="Times New Roman" w:hAnsi="Times New Roman"/>
                      <w:b/>
                      <w:bCs/>
                      <w:color w:val="auto"/>
                      <w:sz w:val="21"/>
                      <w:szCs w:val="21"/>
                    </w:rPr>
                  </w:pPr>
                  <w:r>
                    <w:rPr>
                      <w:rFonts w:ascii="Times New Roman" w:hAnsi="Times New Roman"/>
                      <w:b/>
                      <w:bCs/>
                      <w:color w:val="auto"/>
                      <w:sz w:val="21"/>
                      <w:szCs w:val="21"/>
                    </w:rPr>
                    <w:t>验收内容</w:t>
                  </w:r>
                </w:p>
              </w:tc>
              <w:tc>
                <w:tcPr>
                  <w:tcW w:w="1513" w:type="pct"/>
                  <w:vAlign w:val="center"/>
                </w:tcPr>
                <w:p w14:paraId="06AF3EA9">
                  <w:pPr>
                    <w:widowControl/>
                    <w:spacing w:line="240" w:lineRule="auto"/>
                    <w:jc w:val="center"/>
                    <w:rPr>
                      <w:rFonts w:ascii="Times New Roman" w:hAnsi="Times New Roman"/>
                      <w:b/>
                      <w:bCs/>
                      <w:color w:val="auto"/>
                      <w:sz w:val="21"/>
                      <w:szCs w:val="21"/>
                    </w:rPr>
                  </w:pPr>
                  <w:r>
                    <w:rPr>
                      <w:rFonts w:ascii="Times New Roman" w:hAnsi="Times New Roman"/>
                      <w:b/>
                      <w:bCs/>
                      <w:color w:val="auto"/>
                      <w:sz w:val="21"/>
                      <w:szCs w:val="21"/>
                    </w:rPr>
                    <w:t>治理效果</w:t>
                  </w:r>
                </w:p>
              </w:tc>
            </w:tr>
            <w:tr w14:paraId="2C7B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68" w:type="pct"/>
                  <w:vMerge w:val="restart"/>
                  <w:vAlign w:val="center"/>
                </w:tcPr>
                <w:p w14:paraId="277161B4">
                  <w:pPr>
                    <w:spacing w:line="240" w:lineRule="auto"/>
                    <w:jc w:val="center"/>
                    <w:rPr>
                      <w:rFonts w:ascii="Times New Roman" w:hAnsi="Times New Roman"/>
                      <w:color w:val="auto"/>
                      <w:sz w:val="21"/>
                      <w:szCs w:val="21"/>
                    </w:rPr>
                  </w:pPr>
                </w:p>
              </w:tc>
              <w:tc>
                <w:tcPr>
                  <w:tcW w:w="752" w:type="pct"/>
                  <w:vAlign w:val="center"/>
                </w:tcPr>
                <w:p w14:paraId="00952BE6">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水泥储罐粉尘</w:t>
                  </w:r>
                </w:p>
              </w:tc>
              <w:tc>
                <w:tcPr>
                  <w:tcW w:w="2264" w:type="pct"/>
                  <w:vAlign w:val="center"/>
                </w:tcPr>
                <w:p w14:paraId="10AA8A17">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水泥传送带密闭输送；每个</w:t>
                  </w:r>
                  <w:r>
                    <w:rPr>
                      <w:rFonts w:hint="eastAsia" w:asciiTheme="minorEastAsia" w:hAnsiTheme="minorEastAsia" w:eastAsiaTheme="minorEastAsia" w:cstheme="minorEastAsia"/>
                      <w:color w:val="auto"/>
                      <w:sz w:val="21"/>
                      <w:szCs w:val="21"/>
                    </w:rPr>
                    <w:t>水泥储罐上自带布袋除尘器1套</w:t>
                  </w:r>
                </w:p>
              </w:tc>
              <w:tc>
                <w:tcPr>
                  <w:tcW w:w="1513" w:type="pct"/>
                  <w:vMerge w:val="restart"/>
                  <w:vAlign w:val="center"/>
                </w:tcPr>
                <w:p w14:paraId="4E2120ED">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《水泥工业大气污染物排放标准》（GB4915-2013）</w:t>
                  </w:r>
                </w:p>
              </w:tc>
            </w:tr>
            <w:tr w14:paraId="25351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68" w:type="pct"/>
                  <w:vMerge w:val="continue"/>
                  <w:vAlign w:val="center"/>
                </w:tcPr>
                <w:p w14:paraId="377A6426">
                  <w:pPr>
                    <w:spacing w:line="240" w:lineRule="auto"/>
                    <w:jc w:val="center"/>
                    <w:rPr>
                      <w:rFonts w:ascii="Times New Roman" w:hAnsi="Times New Roman"/>
                      <w:color w:val="auto"/>
                      <w:sz w:val="21"/>
                      <w:szCs w:val="21"/>
                    </w:rPr>
                  </w:pPr>
                </w:p>
              </w:tc>
              <w:tc>
                <w:tcPr>
                  <w:tcW w:w="752" w:type="pct"/>
                  <w:vAlign w:val="center"/>
                </w:tcPr>
                <w:p w14:paraId="6E70CEFD">
                  <w:pPr>
                    <w:spacing w:line="240" w:lineRule="auto"/>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物料输送、储存粉尘</w:t>
                  </w:r>
                </w:p>
              </w:tc>
              <w:tc>
                <w:tcPr>
                  <w:tcW w:w="2264" w:type="pct"/>
                  <w:vAlign w:val="center"/>
                </w:tcPr>
                <w:p w14:paraId="6A86812D">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堆场</w:t>
                  </w:r>
                  <w:r>
                    <w:rPr>
                      <w:rFonts w:hint="eastAsia" w:asciiTheme="minorEastAsia" w:hAnsiTheme="minorEastAsia" w:eastAsiaTheme="minorEastAsia" w:cstheme="minorEastAsia"/>
                      <w:color w:val="auto"/>
                      <w:sz w:val="21"/>
                      <w:szCs w:val="21"/>
                      <w:lang w:eastAsia="zh-CN"/>
                    </w:rPr>
                    <w:t>搭建顶棚</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设置喷淋装置进行洒水抑尘</w:t>
                  </w:r>
                </w:p>
              </w:tc>
              <w:tc>
                <w:tcPr>
                  <w:tcW w:w="1513" w:type="pct"/>
                  <w:vMerge w:val="continue"/>
                  <w:vAlign w:val="center"/>
                </w:tcPr>
                <w:p w14:paraId="35F6863A">
                  <w:pPr>
                    <w:spacing w:line="240" w:lineRule="auto"/>
                    <w:jc w:val="center"/>
                    <w:rPr>
                      <w:rFonts w:ascii="Times New Roman" w:hAnsi="Times New Roman"/>
                      <w:color w:val="auto"/>
                      <w:sz w:val="21"/>
                      <w:szCs w:val="21"/>
                    </w:rPr>
                  </w:pPr>
                </w:p>
              </w:tc>
            </w:tr>
            <w:tr w14:paraId="1CEC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68" w:type="pct"/>
                  <w:vMerge w:val="continue"/>
                  <w:vAlign w:val="center"/>
                </w:tcPr>
                <w:p w14:paraId="52BDE01D">
                  <w:pPr>
                    <w:spacing w:line="240" w:lineRule="auto"/>
                    <w:jc w:val="center"/>
                    <w:rPr>
                      <w:rFonts w:ascii="Times New Roman" w:hAnsi="Times New Roman"/>
                      <w:color w:val="auto"/>
                      <w:sz w:val="21"/>
                      <w:szCs w:val="21"/>
                    </w:rPr>
                  </w:pPr>
                </w:p>
              </w:tc>
              <w:tc>
                <w:tcPr>
                  <w:tcW w:w="752" w:type="pct"/>
                  <w:vAlign w:val="center"/>
                </w:tcPr>
                <w:p w14:paraId="01A10D9B">
                  <w:pPr>
                    <w:spacing w:line="240" w:lineRule="auto"/>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物料混合及搅拌粉尘</w:t>
                  </w:r>
                </w:p>
              </w:tc>
              <w:tc>
                <w:tcPr>
                  <w:tcW w:w="2264" w:type="pct"/>
                  <w:vAlign w:val="center"/>
                </w:tcPr>
                <w:p w14:paraId="7820AE5A">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设置喷淋装置进行洒水抑尘</w:t>
                  </w:r>
                </w:p>
              </w:tc>
              <w:tc>
                <w:tcPr>
                  <w:tcW w:w="1513" w:type="pct"/>
                  <w:vMerge w:val="continue"/>
                  <w:vAlign w:val="center"/>
                </w:tcPr>
                <w:p w14:paraId="75F54A1B">
                  <w:pPr>
                    <w:spacing w:line="240" w:lineRule="auto"/>
                    <w:jc w:val="center"/>
                    <w:rPr>
                      <w:rFonts w:ascii="Times New Roman" w:hAnsi="Times New Roman"/>
                      <w:color w:val="auto"/>
                      <w:sz w:val="21"/>
                      <w:szCs w:val="21"/>
                    </w:rPr>
                  </w:pPr>
                </w:p>
              </w:tc>
            </w:tr>
            <w:tr w14:paraId="3297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68" w:type="pct"/>
                  <w:vMerge w:val="continue"/>
                  <w:vAlign w:val="center"/>
                </w:tcPr>
                <w:p w14:paraId="7C338901">
                  <w:pPr>
                    <w:spacing w:line="240" w:lineRule="auto"/>
                    <w:jc w:val="center"/>
                    <w:rPr>
                      <w:rFonts w:ascii="Times New Roman" w:hAnsi="Times New Roman"/>
                      <w:color w:val="auto"/>
                      <w:sz w:val="21"/>
                      <w:szCs w:val="21"/>
                    </w:rPr>
                  </w:pPr>
                </w:p>
              </w:tc>
              <w:tc>
                <w:tcPr>
                  <w:tcW w:w="752" w:type="pct"/>
                  <w:vAlign w:val="center"/>
                </w:tcPr>
                <w:p w14:paraId="5FC0241C">
                  <w:pPr>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焊接烟尘</w:t>
                  </w:r>
                </w:p>
              </w:tc>
              <w:tc>
                <w:tcPr>
                  <w:tcW w:w="2264" w:type="pct"/>
                  <w:vAlign w:val="center"/>
                </w:tcPr>
                <w:p w14:paraId="522A01E9">
                  <w:pPr>
                    <w:spacing w:line="240" w:lineRule="auto"/>
                    <w:jc w:val="cente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在厂房内自由扩散，以无组织形式排放</w:t>
                  </w:r>
                </w:p>
              </w:tc>
              <w:tc>
                <w:tcPr>
                  <w:tcW w:w="1513" w:type="pct"/>
                  <w:vAlign w:val="center"/>
                </w:tcPr>
                <w:p w14:paraId="056784AA">
                  <w:pPr>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rPr>
                    <w:t>《车间空气中电焊烟尘卫生标准》</w:t>
                  </w:r>
                  <w:r>
                    <w:rPr>
                      <w:rFonts w:hint="eastAsia" w:ascii="Times New Roman" w:hAnsi="Times New Roman"/>
                      <w:color w:val="auto"/>
                      <w:sz w:val="21"/>
                      <w:szCs w:val="21"/>
                      <w:lang w:eastAsia="zh-CN"/>
                    </w:rPr>
                    <w:t>（</w:t>
                  </w:r>
                  <w:r>
                    <w:rPr>
                      <w:rFonts w:hint="eastAsia" w:ascii="Times New Roman" w:hAnsi="Times New Roman"/>
                      <w:color w:val="auto"/>
                      <w:sz w:val="21"/>
                      <w:szCs w:val="21"/>
                    </w:rPr>
                    <w:t>GB 16194-1996</w:t>
                  </w:r>
                  <w:r>
                    <w:rPr>
                      <w:rFonts w:hint="eastAsia" w:ascii="Times New Roman" w:hAnsi="Times New Roman"/>
                      <w:color w:val="auto"/>
                      <w:sz w:val="21"/>
                      <w:szCs w:val="21"/>
                      <w:lang w:eastAsia="zh-CN"/>
                    </w:rPr>
                    <w:t>）</w:t>
                  </w:r>
                </w:p>
              </w:tc>
            </w:tr>
            <w:tr w14:paraId="72F1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468" w:type="pct"/>
                  <w:vMerge w:val="restart"/>
                  <w:vAlign w:val="center"/>
                </w:tcPr>
                <w:p w14:paraId="65A82E6A">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废水</w:t>
                  </w:r>
                </w:p>
              </w:tc>
              <w:tc>
                <w:tcPr>
                  <w:tcW w:w="752" w:type="pct"/>
                  <w:vAlign w:val="center"/>
                </w:tcPr>
                <w:p w14:paraId="06382961">
                  <w:pPr>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搅拌机清洗废水</w:t>
                  </w:r>
                </w:p>
              </w:tc>
              <w:tc>
                <w:tcPr>
                  <w:tcW w:w="2264" w:type="pct"/>
                  <w:vAlign w:val="center"/>
                </w:tcPr>
                <w:p w14:paraId="3CB37E6E">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eastAsia="zh-CN"/>
                    </w:rPr>
                    <w:t>防渗沉淀池</w:t>
                  </w:r>
                  <w:r>
                    <w:rPr>
                      <w:rFonts w:hint="eastAsia" w:ascii="Times New Roman" w:hAnsi="Times New Roman"/>
                      <w:color w:val="auto"/>
                      <w:sz w:val="21"/>
                      <w:szCs w:val="21"/>
                      <w:lang w:val="en-US" w:eastAsia="zh-CN"/>
                    </w:rPr>
                    <w:t>1个，5</w:t>
                  </w:r>
                  <w:r>
                    <w:rPr>
                      <w:rFonts w:hint="eastAsia" w:ascii="Times New Roman" w:hAnsi="Times New Roman"/>
                      <w:color w:val="auto"/>
                      <w:sz w:val="21"/>
                      <w:szCs w:val="21"/>
                    </w:rPr>
                    <w:t>m</w:t>
                  </w:r>
                  <w:r>
                    <w:rPr>
                      <w:rFonts w:hint="eastAsia" w:ascii="Times New Roman" w:hAnsi="Times New Roman"/>
                      <w:color w:val="auto"/>
                      <w:sz w:val="21"/>
                      <w:szCs w:val="21"/>
                      <w:vertAlign w:val="superscript"/>
                    </w:rPr>
                    <w:t>3</w:t>
                  </w:r>
                </w:p>
              </w:tc>
              <w:tc>
                <w:tcPr>
                  <w:tcW w:w="1513" w:type="pct"/>
                  <w:vMerge w:val="restart"/>
                  <w:vAlign w:val="center"/>
                </w:tcPr>
                <w:p w14:paraId="1D8180D4">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不外排，对周围环境影响较小</w:t>
                  </w:r>
                </w:p>
              </w:tc>
            </w:tr>
            <w:tr w14:paraId="1BBB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468" w:type="pct"/>
                  <w:vMerge w:val="continue"/>
                  <w:vAlign w:val="center"/>
                </w:tcPr>
                <w:p w14:paraId="55F2DF69">
                  <w:pPr>
                    <w:spacing w:line="240" w:lineRule="auto"/>
                    <w:jc w:val="center"/>
                    <w:rPr>
                      <w:rFonts w:ascii="Times New Roman" w:hAnsi="Times New Roman"/>
                      <w:color w:val="auto"/>
                      <w:sz w:val="21"/>
                      <w:szCs w:val="21"/>
                    </w:rPr>
                  </w:pPr>
                </w:p>
              </w:tc>
              <w:tc>
                <w:tcPr>
                  <w:tcW w:w="752" w:type="pct"/>
                  <w:vAlign w:val="center"/>
                </w:tcPr>
                <w:p w14:paraId="01F302C2">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食堂废水</w:t>
                  </w:r>
                </w:p>
              </w:tc>
              <w:tc>
                <w:tcPr>
                  <w:tcW w:w="2264" w:type="pct"/>
                  <w:vAlign w:val="center"/>
                </w:tcPr>
                <w:p w14:paraId="6D904D0C">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rPr>
                    <w:t>油水分离器1个</w:t>
                  </w:r>
                  <w:r>
                    <w:rPr>
                      <w:rFonts w:hint="eastAsia" w:ascii="Times New Roman" w:hAnsi="Times New Roman"/>
                      <w:color w:val="auto"/>
                      <w:sz w:val="21"/>
                      <w:szCs w:val="21"/>
                      <w:lang w:eastAsia="zh-CN"/>
                    </w:rPr>
                    <w:t>，</w:t>
                  </w:r>
                  <w:r>
                    <w:rPr>
                      <w:rFonts w:hint="eastAsia" w:ascii="Times New Roman" w:hAnsi="Times New Roman"/>
                      <w:color w:val="auto"/>
                      <w:sz w:val="21"/>
                      <w:szCs w:val="21"/>
                      <w:lang w:val="en-US" w:eastAsia="zh-CN"/>
                    </w:rPr>
                    <w:t>0.1</w:t>
                  </w:r>
                  <w:r>
                    <w:rPr>
                      <w:rFonts w:hint="eastAsia" w:ascii="Times New Roman" w:hAnsi="Times New Roman"/>
                      <w:color w:val="auto"/>
                      <w:sz w:val="21"/>
                      <w:szCs w:val="21"/>
                    </w:rPr>
                    <w:t>m</w:t>
                  </w:r>
                  <w:r>
                    <w:rPr>
                      <w:rFonts w:hint="eastAsia" w:ascii="Times New Roman" w:hAnsi="Times New Roman"/>
                      <w:color w:val="auto"/>
                      <w:sz w:val="21"/>
                      <w:szCs w:val="21"/>
                      <w:vertAlign w:val="superscript"/>
                    </w:rPr>
                    <w:t>3</w:t>
                  </w:r>
                </w:p>
              </w:tc>
              <w:tc>
                <w:tcPr>
                  <w:tcW w:w="1513" w:type="pct"/>
                  <w:vMerge w:val="continue"/>
                  <w:vAlign w:val="center"/>
                </w:tcPr>
                <w:p w14:paraId="0BC92DE1">
                  <w:pPr>
                    <w:spacing w:line="240" w:lineRule="auto"/>
                    <w:jc w:val="center"/>
                    <w:rPr>
                      <w:rFonts w:ascii="Times New Roman" w:hAnsi="Times New Roman"/>
                      <w:color w:val="auto"/>
                      <w:sz w:val="21"/>
                      <w:szCs w:val="21"/>
                    </w:rPr>
                  </w:pPr>
                </w:p>
              </w:tc>
            </w:tr>
            <w:tr w14:paraId="214D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468" w:type="pct"/>
                  <w:vMerge w:val="continue"/>
                  <w:vAlign w:val="center"/>
                </w:tcPr>
                <w:p w14:paraId="42C71480">
                  <w:pPr>
                    <w:spacing w:line="240" w:lineRule="auto"/>
                    <w:jc w:val="center"/>
                    <w:rPr>
                      <w:rFonts w:ascii="Times New Roman" w:hAnsi="Times New Roman"/>
                      <w:color w:val="auto"/>
                      <w:sz w:val="21"/>
                      <w:szCs w:val="21"/>
                    </w:rPr>
                  </w:pPr>
                </w:p>
              </w:tc>
              <w:tc>
                <w:tcPr>
                  <w:tcW w:w="752" w:type="pct"/>
                  <w:vAlign w:val="center"/>
                </w:tcPr>
                <w:p w14:paraId="61D8B48E">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生活污水</w:t>
                  </w:r>
                </w:p>
              </w:tc>
              <w:tc>
                <w:tcPr>
                  <w:tcW w:w="2264" w:type="pct"/>
                  <w:vAlign w:val="center"/>
                </w:tcPr>
                <w:p w14:paraId="30C28577">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化粪池1个，</w:t>
                  </w:r>
                  <w:r>
                    <w:rPr>
                      <w:rFonts w:hint="eastAsia" w:ascii="Times New Roman" w:hAnsi="Times New Roman"/>
                      <w:color w:val="auto"/>
                      <w:sz w:val="21"/>
                      <w:szCs w:val="21"/>
                      <w:lang w:val="en-US" w:eastAsia="zh-CN"/>
                    </w:rPr>
                    <w:t>6</w:t>
                  </w:r>
                  <w:r>
                    <w:rPr>
                      <w:rFonts w:hint="eastAsia" w:ascii="Times New Roman" w:hAnsi="Times New Roman"/>
                      <w:color w:val="auto"/>
                      <w:sz w:val="21"/>
                      <w:szCs w:val="21"/>
                    </w:rPr>
                    <w:t>m</w:t>
                  </w:r>
                  <w:r>
                    <w:rPr>
                      <w:rFonts w:hint="eastAsia" w:ascii="Times New Roman" w:hAnsi="Times New Roman"/>
                      <w:color w:val="auto"/>
                      <w:sz w:val="21"/>
                      <w:szCs w:val="21"/>
                      <w:vertAlign w:val="superscript"/>
                    </w:rPr>
                    <w:t>3</w:t>
                  </w:r>
                </w:p>
              </w:tc>
              <w:tc>
                <w:tcPr>
                  <w:tcW w:w="1513" w:type="pct"/>
                  <w:vMerge w:val="continue"/>
                  <w:vAlign w:val="center"/>
                </w:tcPr>
                <w:p w14:paraId="738F60A5">
                  <w:pPr>
                    <w:spacing w:line="240" w:lineRule="auto"/>
                    <w:jc w:val="center"/>
                    <w:rPr>
                      <w:rFonts w:ascii="Times New Roman" w:hAnsi="Times New Roman"/>
                      <w:color w:val="auto"/>
                      <w:sz w:val="21"/>
                      <w:szCs w:val="21"/>
                    </w:rPr>
                  </w:pPr>
                </w:p>
              </w:tc>
            </w:tr>
            <w:tr w14:paraId="119C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68" w:type="pct"/>
                  <w:vAlign w:val="center"/>
                </w:tcPr>
                <w:p w14:paraId="077B2005">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噪声</w:t>
                  </w:r>
                </w:p>
              </w:tc>
              <w:tc>
                <w:tcPr>
                  <w:tcW w:w="752" w:type="pct"/>
                  <w:vAlign w:val="center"/>
                </w:tcPr>
                <w:p w14:paraId="505C8296">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噪声</w:t>
                  </w:r>
                </w:p>
              </w:tc>
              <w:tc>
                <w:tcPr>
                  <w:tcW w:w="2264" w:type="pct"/>
                  <w:vAlign w:val="center"/>
                </w:tcPr>
                <w:p w14:paraId="72B9AEE4">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对于高噪声设备的操作工人，采取轮换制，并发放耳塞等劳保防护；夜间22时至次日8时禁止生产；生产车间进行半封闭隔声，对高噪声、高振动设备底部设置减震基础进行降噪</w:t>
                  </w:r>
                </w:p>
              </w:tc>
              <w:tc>
                <w:tcPr>
                  <w:tcW w:w="1513" w:type="pct"/>
                  <w:vAlign w:val="center"/>
                </w:tcPr>
                <w:p w14:paraId="7ED04C5D">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满足《工业企业厂界环境噪声排放标准》（GB12348-2008）2类</w:t>
                  </w:r>
                  <w:r>
                    <w:rPr>
                      <w:rFonts w:hint="eastAsia" w:asciiTheme="minorEastAsia" w:hAnsiTheme="minorEastAsia" w:eastAsiaTheme="minorEastAsia" w:cstheme="minorEastAsia"/>
                      <w:color w:val="auto"/>
                      <w:sz w:val="21"/>
                      <w:szCs w:val="21"/>
                      <w:lang w:eastAsia="zh-CN"/>
                    </w:rPr>
                    <w:t>和</w:t>
                  </w:r>
                  <w:r>
                    <w:rPr>
                      <w:rFonts w:hint="eastAsia" w:asciiTheme="minorEastAsia" w:hAnsiTheme="minorEastAsia" w:eastAsiaTheme="minorEastAsia" w:cstheme="minorEastAsia"/>
                      <w:color w:val="auto"/>
                      <w:sz w:val="21"/>
                      <w:szCs w:val="21"/>
                      <w:lang w:val="en-US" w:eastAsia="zh-CN"/>
                    </w:rPr>
                    <w:t>4a类</w:t>
                  </w:r>
                  <w:r>
                    <w:rPr>
                      <w:rFonts w:hint="eastAsia" w:asciiTheme="minorEastAsia" w:hAnsiTheme="minorEastAsia" w:eastAsiaTheme="minorEastAsia" w:cstheme="minorEastAsia"/>
                      <w:color w:val="auto"/>
                      <w:sz w:val="21"/>
                      <w:szCs w:val="21"/>
                    </w:rPr>
                    <w:t>标准</w:t>
                  </w:r>
                </w:p>
              </w:tc>
            </w:tr>
            <w:tr w14:paraId="3E73B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468" w:type="pct"/>
                  <w:vMerge w:val="restart"/>
                  <w:vAlign w:val="center"/>
                </w:tcPr>
                <w:p w14:paraId="1BC1E66D">
                  <w:pPr>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固体废物</w:t>
                  </w:r>
                </w:p>
              </w:tc>
              <w:tc>
                <w:tcPr>
                  <w:tcW w:w="752" w:type="pct"/>
                  <w:vAlign w:val="center"/>
                </w:tcPr>
                <w:p w14:paraId="5FB9988C">
                  <w:pPr>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水泥储罐收集粉尘</w:t>
                  </w:r>
                </w:p>
              </w:tc>
              <w:tc>
                <w:tcPr>
                  <w:tcW w:w="2264" w:type="pct"/>
                  <w:vAlign w:val="center"/>
                </w:tcPr>
                <w:p w14:paraId="1EF23B6D">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回用于生产</w:t>
                  </w:r>
                </w:p>
              </w:tc>
              <w:tc>
                <w:tcPr>
                  <w:tcW w:w="1513" w:type="pct"/>
                  <w:vMerge w:val="restart"/>
                  <w:vAlign w:val="center"/>
                </w:tcPr>
                <w:p w14:paraId="1487F101">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处置率100%</w:t>
                  </w:r>
                </w:p>
              </w:tc>
            </w:tr>
            <w:tr w14:paraId="5005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468" w:type="pct"/>
                  <w:vMerge w:val="continue"/>
                  <w:vAlign w:val="center"/>
                </w:tcPr>
                <w:p w14:paraId="183E0DB4">
                  <w:pPr>
                    <w:spacing w:line="240" w:lineRule="auto"/>
                    <w:jc w:val="center"/>
                    <w:rPr>
                      <w:rFonts w:hint="eastAsia" w:ascii="Times New Roman" w:hAnsi="Times New Roman"/>
                      <w:color w:val="auto"/>
                      <w:sz w:val="21"/>
                      <w:szCs w:val="21"/>
                      <w:lang w:eastAsia="zh-CN"/>
                    </w:rPr>
                  </w:pPr>
                </w:p>
              </w:tc>
              <w:tc>
                <w:tcPr>
                  <w:tcW w:w="752" w:type="pct"/>
                  <w:vAlign w:val="center"/>
                </w:tcPr>
                <w:p w14:paraId="320E0C0B">
                  <w:pPr>
                    <w:spacing w:line="240" w:lineRule="auto"/>
                    <w:jc w:val="both"/>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不合格的</w:t>
                  </w:r>
                  <w:r>
                    <w:rPr>
                      <w:rFonts w:hint="eastAsia" w:cs="Times New Roman"/>
                      <w:color w:val="auto"/>
                      <w:sz w:val="21"/>
                      <w:szCs w:val="21"/>
                      <w:lang w:eastAsia="zh-CN"/>
                    </w:rPr>
                    <w:t>产品</w:t>
                  </w:r>
                </w:p>
              </w:tc>
              <w:tc>
                <w:tcPr>
                  <w:tcW w:w="2264" w:type="pct"/>
                  <w:vAlign w:val="center"/>
                </w:tcPr>
                <w:p w14:paraId="301BFFD1">
                  <w:pPr>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未干化的废产品返回生产工艺使用；固化的</w:t>
                  </w:r>
                  <w:r>
                    <w:rPr>
                      <w:rFonts w:hint="eastAsia" w:cs="Times New Roman"/>
                      <w:color w:val="auto"/>
                      <w:sz w:val="21"/>
                      <w:szCs w:val="21"/>
                      <w:lang w:eastAsia="zh-CN"/>
                    </w:rPr>
                    <w:t>废</w:t>
                  </w:r>
                  <w:r>
                    <w:rPr>
                      <w:rFonts w:hint="eastAsia" w:ascii="Times New Roman" w:hAnsi="Times New Roman" w:eastAsia="宋体" w:cs="Times New Roman"/>
                      <w:color w:val="auto"/>
                      <w:sz w:val="21"/>
                      <w:szCs w:val="21"/>
                      <w:lang w:eastAsia="zh-CN"/>
                    </w:rPr>
                    <w:t>产品需要先经过人工敲碎后再返回生产工艺使用</w:t>
                  </w:r>
                </w:p>
              </w:tc>
              <w:tc>
                <w:tcPr>
                  <w:tcW w:w="1513" w:type="pct"/>
                  <w:vMerge w:val="continue"/>
                  <w:vAlign w:val="center"/>
                </w:tcPr>
                <w:p w14:paraId="4F8A3C41">
                  <w:pPr>
                    <w:widowControl/>
                    <w:spacing w:line="240" w:lineRule="auto"/>
                    <w:jc w:val="center"/>
                    <w:rPr>
                      <w:rFonts w:ascii="Times New Roman" w:hAnsi="Times New Roman"/>
                      <w:color w:val="auto"/>
                      <w:sz w:val="21"/>
                      <w:szCs w:val="21"/>
                    </w:rPr>
                  </w:pPr>
                </w:p>
              </w:tc>
            </w:tr>
            <w:tr w14:paraId="705E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468" w:type="pct"/>
                  <w:vMerge w:val="continue"/>
                  <w:vAlign w:val="center"/>
                </w:tcPr>
                <w:p w14:paraId="4DB03CAF">
                  <w:pPr>
                    <w:spacing w:line="240" w:lineRule="auto"/>
                    <w:jc w:val="center"/>
                    <w:rPr>
                      <w:rFonts w:hint="eastAsia" w:ascii="Times New Roman" w:hAnsi="Times New Roman"/>
                      <w:color w:val="auto"/>
                      <w:sz w:val="21"/>
                      <w:szCs w:val="21"/>
                      <w:lang w:eastAsia="zh-CN"/>
                    </w:rPr>
                  </w:pPr>
                </w:p>
              </w:tc>
              <w:tc>
                <w:tcPr>
                  <w:tcW w:w="752" w:type="pct"/>
                  <w:vAlign w:val="center"/>
                </w:tcPr>
                <w:p w14:paraId="087D9AFB">
                  <w:pPr>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废料渣</w:t>
                  </w:r>
                </w:p>
              </w:tc>
              <w:tc>
                <w:tcPr>
                  <w:tcW w:w="2264" w:type="pct"/>
                  <w:vAlign w:val="center"/>
                </w:tcPr>
                <w:p w14:paraId="2A3E538C">
                  <w:pPr>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敲碎回用于生产</w:t>
                  </w:r>
                </w:p>
              </w:tc>
              <w:tc>
                <w:tcPr>
                  <w:tcW w:w="1513" w:type="pct"/>
                  <w:vMerge w:val="continue"/>
                  <w:vAlign w:val="center"/>
                </w:tcPr>
                <w:p w14:paraId="4480A11A">
                  <w:pPr>
                    <w:widowControl/>
                    <w:spacing w:line="240" w:lineRule="auto"/>
                    <w:jc w:val="center"/>
                    <w:rPr>
                      <w:rFonts w:ascii="Times New Roman" w:hAnsi="Times New Roman"/>
                      <w:color w:val="auto"/>
                      <w:sz w:val="21"/>
                      <w:szCs w:val="21"/>
                    </w:rPr>
                  </w:pPr>
                </w:p>
              </w:tc>
            </w:tr>
            <w:tr w14:paraId="5221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468" w:type="pct"/>
                  <w:vMerge w:val="continue"/>
                  <w:vAlign w:val="center"/>
                </w:tcPr>
                <w:p w14:paraId="498DAB91">
                  <w:pPr>
                    <w:spacing w:line="240" w:lineRule="auto"/>
                    <w:jc w:val="center"/>
                    <w:rPr>
                      <w:rFonts w:hint="eastAsia" w:ascii="Times New Roman" w:hAnsi="Times New Roman"/>
                      <w:color w:val="auto"/>
                      <w:sz w:val="21"/>
                      <w:szCs w:val="21"/>
                      <w:lang w:eastAsia="zh-CN"/>
                    </w:rPr>
                  </w:pPr>
                </w:p>
              </w:tc>
              <w:tc>
                <w:tcPr>
                  <w:tcW w:w="752" w:type="pct"/>
                  <w:vAlign w:val="center"/>
                </w:tcPr>
                <w:p w14:paraId="6E9C1F4F">
                  <w:pPr>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废弃焊头</w:t>
                  </w:r>
                </w:p>
              </w:tc>
              <w:tc>
                <w:tcPr>
                  <w:tcW w:w="2264" w:type="pct"/>
                  <w:vAlign w:val="center"/>
                </w:tcPr>
                <w:p w14:paraId="0B8D082A">
                  <w:pPr>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统一收集后定期外售</w:t>
                  </w:r>
                </w:p>
              </w:tc>
              <w:tc>
                <w:tcPr>
                  <w:tcW w:w="1513" w:type="pct"/>
                  <w:vMerge w:val="continue"/>
                  <w:vAlign w:val="center"/>
                </w:tcPr>
                <w:p w14:paraId="466DA62B">
                  <w:pPr>
                    <w:widowControl/>
                    <w:spacing w:line="240" w:lineRule="auto"/>
                    <w:jc w:val="center"/>
                    <w:rPr>
                      <w:rFonts w:ascii="Times New Roman" w:hAnsi="Times New Roman"/>
                      <w:color w:val="auto"/>
                      <w:sz w:val="21"/>
                      <w:szCs w:val="21"/>
                    </w:rPr>
                  </w:pPr>
                </w:p>
              </w:tc>
            </w:tr>
            <w:tr w14:paraId="4487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468" w:type="pct"/>
                  <w:vMerge w:val="continue"/>
                  <w:vAlign w:val="center"/>
                </w:tcPr>
                <w:p w14:paraId="11B70F8E">
                  <w:pPr>
                    <w:spacing w:line="240" w:lineRule="auto"/>
                    <w:jc w:val="center"/>
                    <w:rPr>
                      <w:rFonts w:hint="eastAsia" w:ascii="Times New Roman" w:hAnsi="Times New Roman" w:eastAsia="宋体"/>
                      <w:color w:val="auto"/>
                      <w:sz w:val="21"/>
                      <w:szCs w:val="21"/>
                      <w:lang w:eastAsia="zh-CN"/>
                    </w:rPr>
                  </w:pPr>
                </w:p>
              </w:tc>
              <w:tc>
                <w:tcPr>
                  <w:tcW w:w="752" w:type="pct"/>
                  <w:vAlign w:val="center"/>
                </w:tcPr>
                <w:p w14:paraId="6EF48660">
                  <w:pPr>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废脱模剂桶</w:t>
                  </w:r>
                </w:p>
              </w:tc>
              <w:tc>
                <w:tcPr>
                  <w:tcW w:w="2264" w:type="pct"/>
                  <w:vAlign w:val="center"/>
                </w:tcPr>
                <w:p w14:paraId="4C4DA864">
                  <w:pPr>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集中存放在脱模剂储存间统一处置，待收集到一定数量后交由厂家回收处置</w:t>
                  </w:r>
                </w:p>
              </w:tc>
              <w:tc>
                <w:tcPr>
                  <w:tcW w:w="1513" w:type="pct"/>
                  <w:vMerge w:val="continue"/>
                  <w:vAlign w:val="center"/>
                </w:tcPr>
                <w:p w14:paraId="27E6E1DD">
                  <w:pPr>
                    <w:widowControl/>
                    <w:spacing w:line="240" w:lineRule="auto"/>
                    <w:jc w:val="center"/>
                    <w:rPr>
                      <w:rFonts w:ascii="Times New Roman" w:hAnsi="Times New Roman"/>
                      <w:color w:val="auto"/>
                      <w:sz w:val="21"/>
                      <w:szCs w:val="21"/>
                    </w:rPr>
                  </w:pPr>
                </w:p>
              </w:tc>
            </w:tr>
            <w:tr w14:paraId="486B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468" w:type="pct"/>
                  <w:vMerge w:val="continue"/>
                  <w:vAlign w:val="center"/>
                </w:tcPr>
                <w:p w14:paraId="147230BD">
                  <w:pPr>
                    <w:spacing w:line="240" w:lineRule="auto"/>
                    <w:jc w:val="center"/>
                    <w:rPr>
                      <w:rFonts w:hint="eastAsia" w:ascii="Times New Roman" w:hAnsi="Times New Roman" w:eastAsia="宋体"/>
                      <w:color w:val="auto"/>
                      <w:sz w:val="21"/>
                      <w:szCs w:val="21"/>
                      <w:lang w:eastAsia="zh-CN"/>
                    </w:rPr>
                  </w:pPr>
                </w:p>
              </w:tc>
              <w:tc>
                <w:tcPr>
                  <w:tcW w:w="752" w:type="pct"/>
                  <w:vAlign w:val="center"/>
                </w:tcPr>
                <w:p w14:paraId="70C1EB7C">
                  <w:pPr>
                    <w:widowControl/>
                    <w:spacing w:line="240" w:lineRule="auto"/>
                    <w:jc w:val="center"/>
                    <w:rPr>
                      <w:rFonts w:ascii="Times New Roman" w:hAnsi="Times New Roman"/>
                      <w:color w:val="auto"/>
                      <w:sz w:val="21"/>
                      <w:szCs w:val="21"/>
                    </w:rPr>
                  </w:pPr>
                  <w:r>
                    <w:rPr>
                      <w:rFonts w:hint="eastAsia" w:ascii="Times New Roman" w:hAnsi="Times New Roman"/>
                      <w:color w:val="auto"/>
                      <w:sz w:val="21"/>
                      <w:szCs w:val="21"/>
                    </w:rPr>
                    <w:t>餐厨垃圾</w:t>
                  </w:r>
                </w:p>
              </w:tc>
              <w:tc>
                <w:tcPr>
                  <w:tcW w:w="2264" w:type="pct"/>
                  <w:vAlign w:val="center"/>
                </w:tcPr>
                <w:p w14:paraId="6FE6C8D6">
                  <w:pPr>
                    <w:widowControl/>
                    <w:spacing w:line="240" w:lineRule="auto"/>
                    <w:jc w:val="center"/>
                    <w:rPr>
                      <w:rFonts w:ascii="Times New Roman" w:hAnsi="Times New Roman"/>
                      <w:color w:val="auto"/>
                      <w:sz w:val="21"/>
                      <w:szCs w:val="21"/>
                    </w:rPr>
                  </w:pPr>
                  <w:r>
                    <w:rPr>
                      <w:rFonts w:hint="eastAsia" w:ascii="Times New Roman" w:hAnsi="Times New Roman"/>
                      <w:color w:val="auto"/>
                      <w:sz w:val="21"/>
                      <w:szCs w:val="21"/>
                    </w:rPr>
                    <w:t>1个</w:t>
                  </w:r>
                  <w:r>
                    <w:rPr>
                      <w:rFonts w:ascii="Times New Roman" w:hAnsi="Times New Roman"/>
                      <w:color w:val="auto"/>
                      <w:sz w:val="21"/>
                      <w:szCs w:val="21"/>
                    </w:rPr>
                    <w:t>带盖泔水收集桶</w:t>
                  </w:r>
                  <w:r>
                    <w:rPr>
                      <w:rFonts w:hint="eastAsia" w:ascii="Times New Roman" w:hAnsi="Times New Roman"/>
                      <w:color w:val="auto"/>
                      <w:sz w:val="21"/>
                      <w:szCs w:val="21"/>
                    </w:rPr>
                    <w:t>收集餐厨垃圾</w:t>
                  </w:r>
                </w:p>
              </w:tc>
              <w:tc>
                <w:tcPr>
                  <w:tcW w:w="1513" w:type="pct"/>
                  <w:vMerge w:val="continue"/>
                  <w:vAlign w:val="center"/>
                </w:tcPr>
                <w:p w14:paraId="1C35C69B">
                  <w:pPr>
                    <w:widowControl/>
                    <w:spacing w:line="240" w:lineRule="auto"/>
                    <w:jc w:val="center"/>
                    <w:rPr>
                      <w:rFonts w:ascii="Times New Roman" w:hAnsi="Times New Roman"/>
                      <w:color w:val="auto"/>
                      <w:sz w:val="21"/>
                      <w:szCs w:val="21"/>
                    </w:rPr>
                  </w:pPr>
                </w:p>
              </w:tc>
            </w:tr>
            <w:tr w14:paraId="6302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468" w:type="pct"/>
                  <w:vMerge w:val="continue"/>
                  <w:vAlign w:val="center"/>
                </w:tcPr>
                <w:p w14:paraId="3F0F77D5">
                  <w:pPr>
                    <w:spacing w:line="240" w:lineRule="auto"/>
                    <w:jc w:val="center"/>
                    <w:rPr>
                      <w:rFonts w:ascii="Times New Roman" w:hAnsi="Times New Roman"/>
                      <w:color w:val="auto"/>
                      <w:sz w:val="21"/>
                      <w:szCs w:val="21"/>
                    </w:rPr>
                  </w:pPr>
                </w:p>
              </w:tc>
              <w:tc>
                <w:tcPr>
                  <w:tcW w:w="752" w:type="pct"/>
                  <w:vAlign w:val="center"/>
                </w:tcPr>
                <w:p w14:paraId="7C519ABF">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生活垃圾</w:t>
                  </w:r>
                </w:p>
              </w:tc>
              <w:tc>
                <w:tcPr>
                  <w:tcW w:w="2264" w:type="pct"/>
                  <w:vAlign w:val="center"/>
                </w:tcPr>
                <w:p w14:paraId="2EFC0FAE">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设置</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个垃圾桶集中收集垃圾</w:t>
                  </w:r>
                </w:p>
              </w:tc>
              <w:tc>
                <w:tcPr>
                  <w:tcW w:w="1513" w:type="pct"/>
                  <w:vMerge w:val="continue"/>
                  <w:vAlign w:val="center"/>
                </w:tcPr>
                <w:p w14:paraId="04B2D6BA">
                  <w:pPr>
                    <w:widowControl/>
                    <w:spacing w:line="240" w:lineRule="auto"/>
                    <w:jc w:val="center"/>
                    <w:rPr>
                      <w:rFonts w:ascii="Times New Roman" w:hAnsi="Times New Roman"/>
                      <w:color w:val="auto"/>
                      <w:sz w:val="21"/>
                      <w:szCs w:val="21"/>
                    </w:rPr>
                  </w:pPr>
                </w:p>
              </w:tc>
            </w:tr>
          </w:tbl>
          <w:p w14:paraId="46AD0BE0">
            <w:pPr>
              <w:adjustRightInd w:val="0"/>
              <w:snapToGrid w:val="0"/>
              <w:rPr>
                <w:rFonts w:hint="eastAsia" w:asciiTheme="majorEastAsia" w:hAnsiTheme="majorEastAsia" w:eastAsiaTheme="majorEastAsia" w:cstheme="majorEastAsia"/>
                <w:bCs/>
                <w:color w:val="auto"/>
                <w:spacing w:val="-10"/>
                <w:szCs w:val="21"/>
              </w:rPr>
            </w:pPr>
          </w:p>
        </w:tc>
      </w:tr>
    </w:tbl>
    <w:p w14:paraId="325C48D6">
      <w:pPr>
        <w:rPr>
          <w:rFonts w:ascii="Times New Roman" w:hAnsi="Times New Roman"/>
          <w:color w:val="auto"/>
        </w:rPr>
      </w:pPr>
      <w:r>
        <w:rPr>
          <w:rFonts w:hint="eastAsia" w:ascii="Times New Roman" w:hAnsi="Times New Roman"/>
          <w:color w:val="auto"/>
        </w:rPr>
        <w:br w:type="page"/>
      </w:r>
    </w:p>
    <w:p w14:paraId="307ED694">
      <w:pPr>
        <w:pStyle w:val="2"/>
        <w:jc w:val="center"/>
        <w:rPr>
          <w:rFonts w:ascii="Times New Roman" w:hAnsi="Times New Roman"/>
          <w:color w:val="auto"/>
        </w:rPr>
      </w:pPr>
      <w:bookmarkStart w:id="15" w:name="_Toc31492"/>
      <w:r>
        <w:rPr>
          <w:rFonts w:hint="eastAsia" w:ascii="Times New Roman" w:hAnsi="Times New Roman"/>
          <w:color w:val="auto"/>
        </w:rPr>
        <w:t>五、</w:t>
      </w:r>
      <w:bookmarkStart w:id="16" w:name="_Hlk54167917"/>
      <w:r>
        <w:rPr>
          <w:rFonts w:hint="eastAsia" w:ascii="Times New Roman" w:hAnsi="Times New Roman"/>
          <w:color w:val="auto"/>
        </w:rPr>
        <w:t>环境保护措施监督检查清单</w:t>
      </w:r>
      <w:bookmarkEnd w:id="15"/>
      <w:bookmarkEnd w:id="16"/>
    </w:p>
    <w:tbl>
      <w:tblPr>
        <w:tblStyle w:val="20"/>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09"/>
        <w:gridCol w:w="1288"/>
        <w:gridCol w:w="1351"/>
        <w:gridCol w:w="3989"/>
        <w:gridCol w:w="2183"/>
      </w:tblGrid>
      <w:tr w14:paraId="097309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9" w:type="pct"/>
            <w:tcBorders>
              <w:tl2br w:val="single" w:color="auto" w:sz="4" w:space="0"/>
            </w:tcBorders>
            <w:vAlign w:val="center"/>
          </w:tcPr>
          <w:p w14:paraId="551420DD">
            <w:pPr>
              <w:adjustRightInd w:val="0"/>
              <w:snapToGrid w:val="0"/>
              <w:spacing w:line="240" w:lineRule="auto"/>
              <w:jc w:val="left"/>
              <w:rPr>
                <w:rFonts w:ascii="Times New Roman" w:hAnsi="Times New Roman"/>
                <w:color w:val="auto"/>
                <w:sz w:val="21"/>
                <w:szCs w:val="21"/>
              </w:rPr>
            </w:pPr>
            <w:r>
              <w:rPr>
                <w:rFonts w:ascii="Times New Roman" w:hAnsi="Times New Roman"/>
                <w:color w:val="auto"/>
                <w:sz w:val="21"/>
                <w:szCs w:val="21"/>
              </w:rPr>
              <w:t>内容</w:t>
            </w:r>
          </w:p>
          <w:p w14:paraId="04FB45B1">
            <w:pPr>
              <w:adjustRightInd w:val="0"/>
              <w:snapToGrid w:val="0"/>
              <w:spacing w:line="240" w:lineRule="auto"/>
              <w:jc w:val="left"/>
              <w:rPr>
                <w:rFonts w:ascii="Times New Roman" w:hAnsi="Times New Roman"/>
                <w:color w:val="auto"/>
                <w:sz w:val="21"/>
                <w:szCs w:val="21"/>
              </w:rPr>
            </w:pPr>
            <w:r>
              <w:rPr>
                <w:rFonts w:ascii="Times New Roman" w:hAnsi="Times New Roman"/>
                <w:color w:val="auto"/>
                <w:sz w:val="21"/>
                <w:szCs w:val="21"/>
              </w:rPr>
              <w:t>要素</w:t>
            </w:r>
          </w:p>
        </w:tc>
        <w:tc>
          <w:tcPr>
            <w:tcW w:w="630" w:type="pct"/>
            <w:vAlign w:val="center"/>
          </w:tcPr>
          <w:p w14:paraId="4AEDE02A">
            <w:pPr>
              <w:adjustRightInd w:val="0"/>
              <w:snapToGrid w:val="0"/>
              <w:spacing w:line="240" w:lineRule="auto"/>
              <w:jc w:val="left"/>
              <w:rPr>
                <w:rFonts w:ascii="Times New Roman" w:hAnsi="Times New Roman"/>
                <w:color w:val="auto"/>
                <w:sz w:val="21"/>
                <w:szCs w:val="21"/>
              </w:rPr>
            </w:pPr>
            <w:r>
              <w:rPr>
                <w:rFonts w:ascii="Times New Roman" w:hAnsi="Times New Roman"/>
                <w:color w:val="auto"/>
                <w:sz w:val="21"/>
                <w:szCs w:val="21"/>
              </w:rPr>
              <w:t>排放口</w:t>
            </w:r>
            <w:r>
              <w:rPr>
                <w:rFonts w:hint="eastAsia" w:ascii="Times New Roman" w:hAnsi="Times New Roman"/>
                <w:color w:val="auto"/>
                <w:sz w:val="21"/>
                <w:szCs w:val="21"/>
                <w:lang w:eastAsia="zh-CN"/>
              </w:rPr>
              <w:t>（</w:t>
            </w:r>
            <w:r>
              <w:rPr>
                <w:rFonts w:ascii="Times New Roman" w:hAnsi="Times New Roman"/>
                <w:color w:val="auto"/>
                <w:sz w:val="21"/>
                <w:szCs w:val="21"/>
              </w:rPr>
              <w:t>编号、</w:t>
            </w:r>
          </w:p>
          <w:p w14:paraId="61D285C0">
            <w:pPr>
              <w:adjustRightInd w:val="0"/>
              <w:snapToGrid w:val="0"/>
              <w:spacing w:line="240" w:lineRule="auto"/>
              <w:jc w:val="left"/>
              <w:rPr>
                <w:rFonts w:ascii="Times New Roman" w:hAnsi="Times New Roman"/>
                <w:color w:val="auto"/>
                <w:sz w:val="21"/>
                <w:szCs w:val="21"/>
              </w:rPr>
            </w:pPr>
            <w:r>
              <w:rPr>
                <w:rFonts w:ascii="Times New Roman" w:hAnsi="Times New Roman"/>
                <w:color w:val="auto"/>
                <w:sz w:val="21"/>
                <w:szCs w:val="21"/>
              </w:rPr>
              <w:t>名称</w:t>
            </w:r>
            <w:r>
              <w:rPr>
                <w:rFonts w:hint="eastAsia" w:ascii="Times New Roman" w:hAnsi="Times New Roman"/>
                <w:color w:val="auto"/>
                <w:sz w:val="21"/>
                <w:szCs w:val="21"/>
                <w:lang w:eastAsia="zh-CN"/>
              </w:rPr>
              <w:t>）</w:t>
            </w:r>
            <w:r>
              <w:rPr>
                <w:rFonts w:ascii="Times New Roman" w:hAnsi="Times New Roman"/>
                <w:color w:val="auto"/>
                <w:sz w:val="21"/>
                <w:szCs w:val="21"/>
              </w:rPr>
              <w:t>/污染源</w:t>
            </w:r>
          </w:p>
        </w:tc>
        <w:tc>
          <w:tcPr>
            <w:tcW w:w="661" w:type="pct"/>
            <w:vAlign w:val="center"/>
          </w:tcPr>
          <w:p w14:paraId="39E1C01E">
            <w:pPr>
              <w:adjustRightInd w:val="0"/>
              <w:snapToGrid w:val="0"/>
              <w:spacing w:line="240" w:lineRule="auto"/>
              <w:jc w:val="left"/>
              <w:rPr>
                <w:rFonts w:ascii="Times New Roman" w:hAnsi="Times New Roman"/>
                <w:color w:val="auto"/>
                <w:sz w:val="21"/>
                <w:szCs w:val="21"/>
              </w:rPr>
            </w:pPr>
            <w:r>
              <w:rPr>
                <w:rFonts w:ascii="Times New Roman" w:hAnsi="Times New Roman"/>
                <w:color w:val="auto"/>
                <w:sz w:val="21"/>
                <w:szCs w:val="21"/>
              </w:rPr>
              <w:t>污染物项目</w:t>
            </w:r>
          </w:p>
        </w:tc>
        <w:tc>
          <w:tcPr>
            <w:tcW w:w="1951" w:type="pct"/>
            <w:vAlign w:val="center"/>
          </w:tcPr>
          <w:p w14:paraId="26B8E78B">
            <w:pPr>
              <w:adjustRightInd w:val="0"/>
              <w:snapToGrid w:val="0"/>
              <w:spacing w:line="240" w:lineRule="auto"/>
              <w:jc w:val="left"/>
              <w:rPr>
                <w:rFonts w:ascii="Times New Roman" w:hAnsi="Times New Roman"/>
                <w:color w:val="auto"/>
                <w:sz w:val="21"/>
                <w:szCs w:val="21"/>
              </w:rPr>
            </w:pPr>
            <w:r>
              <w:rPr>
                <w:rFonts w:ascii="Times New Roman" w:hAnsi="Times New Roman"/>
                <w:color w:val="auto"/>
                <w:sz w:val="21"/>
                <w:szCs w:val="21"/>
              </w:rPr>
              <w:t>环境保护措施</w:t>
            </w:r>
          </w:p>
        </w:tc>
        <w:tc>
          <w:tcPr>
            <w:tcW w:w="1067" w:type="pct"/>
            <w:vAlign w:val="center"/>
          </w:tcPr>
          <w:p w14:paraId="69FE80CA">
            <w:pPr>
              <w:adjustRightInd w:val="0"/>
              <w:snapToGrid w:val="0"/>
              <w:spacing w:line="240" w:lineRule="auto"/>
              <w:jc w:val="left"/>
              <w:rPr>
                <w:rFonts w:ascii="Times New Roman" w:hAnsi="Times New Roman"/>
                <w:color w:val="auto"/>
                <w:sz w:val="21"/>
                <w:szCs w:val="21"/>
              </w:rPr>
            </w:pPr>
            <w:r>
              <w:rPr>
                <w:rFonts w:ascii="Times New Roman" w:hAnsi="Times New Roman"/>
                <w:color w:val="auto"/>
                <w:sz w:val="21"/>
                <w:szCs w:val="21"/>
              </w:rPr>
              <w:t>执行标准</w:t>
            </w:r>
          </w:p>
        </w:tc>
      </w:tr>
      <w:tr w14:paraId="6BBF2D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71" w:hRule="atLeast"/>
          <w:jc w:val="center"/>
        </w:trPr>
        <w:tc>
          <w:tcPr>
            <w:tcW w:w="689" w:type="pct"/>
            <w:vMerge w:val="restart"/>
            <w:vAlign w:val="center"/>
          </w:tcPr>
          <w:p w14:paraId="63FD34DC">
            <w:pPr>
              <w:adjustRightInd w:val="0"/>
              <w:snapToGrid w:val="0"/>
              <w:spacing w:line="360" w:lineRule="auto"/>
              <w:jc w:val="left"/>
              <w:rPr>
                <w:rFonts w:hint="eastAsia" w:ascii="Times New Roman" w:hAnsi="Times New Roman" w:eastAsia="宋体"/>
                <w:color w:val="auto"/>
                <w:sz w:val="21"/>
                <w:szCs w:val="21"/>
                <w:lang w:eastAsia="zh-CN"/>
              </w:rPr>
            </w:pPr>
            <w:r>
              <w:rPr>
                <w:rFonts w:hint="eastAsia"/>
                <w:color w:val="auto"/>
                <w:sz w:val="21"/>
                <w:szCs w:val="21"/>
                <w:lang w:eastAsia="zh-CN"/>
              </w:rPr>
              <w:t>大气环境</w:t>
            </w:r>
          </w:p>
        </w:tc>
        <w:tc>
          <w:tcPr>
            <w:tcW w:w="630" w:type="pct"/>
            <w:vMerge w:val="restart"/>
            <w:vAlign w:val="center"/>
          </w:tcPr>
          <w:p w14:paraId="5B2625BB">
            <w:pPr>
              <w:adjustRightInd w:val="0"/>
              <w:snapToGrid w:val="0"/>
              <w:spacing w:line="360" w:lineRule="auto"/>
              <w:jc w:val="left"/>
              <w:rPr>
                <w:rFonts w:ascii="Times New Roman" w:hAnsi="Times New Roman"/>
                <w:color w:val="auto"/>
                <w:sz w:val="21"/>
                <w:szCs w:val="21"/>
              </w:rPr>
            </w:pPr>
            <w:r>
              <w:rPr>
                <w:rFonts w:ascii="Times New Roman" w:hAnsi="Times New Roman"/>
                <w:color w:val="auto"/>
                <w:sz w:val="21"/>
                <w:szCs w:val="21"/>
              </w:rPr>
              <w:t>生产</w:t>
            </w:r>
          </w:p>
        </w:tc>
        <w:tc>
          <w:tcPr>
            <w:tcW w:w="661" w:type="pct"/>
            <w:vAlign w:val="center"/>
          </w:tcPr>
          <w:p w14:paraId="1324AB2D">
            <w:pPr>
              <w:spacing w:line="360" w:lineRule="auto"/>
              <w:jc w:val="left"/>
              <w:rPr>
                <w:rFonts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水泥储罐粉尘</w:t>
            </w:r>
          </w:p>
        </w:tc>
        <w:tc>
          <w:tcPr>
            <w:tcW w:w="1951" w:type="pct"/>
            <w:vAlign w:val="center"/>
          </w:tcPr>
          <w:p w14:paraId="20F69511">
            <w:pPr>
              <w:spacing w:line="360" w:lineRule="auto"/>
              <w:jc w:val="left"/>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0"/>
                <w:sz w:val="21"/>
                <w:szCs w:val="21"/>
                <w:lang w:eastAsia="zh-CN" w:bidi="ar"/>
              </w:rPr>
              <w:t>水泥传送带密闭输送；</w:t>
            </w:r>
            <w:r>
              <w:rPr>
                <w:rFonts w:hint="eastAsia" w:ascii="Times New Roman" w:hAnsi="Times New Roman"/>
                <w:color w:val="auto"/>
                <w:sz w:val="21"/>
                <w:szCs w:val="21"/>
                <w:lang w:eastAsia="zh-CN"/>
              </w:rPr>
              <w:t>每个</w:t>
            </w:r>
            <w:r>
              <w:rPr>
                <w:rFonts w:ascii="Times New Roman" w:hAnsi="Times New Roman"/>
                <w:color w:val="auto"/>
                <w:sz w:val="21"/>
                <w:szCs w:val="21"/>
              </w:rPr>
              <w:t>水泥储罐</w:t>
            </w:r>
            <w:r>
              <w:rPr>
                <w:rFonts w:hint="eastAsia" w:ascii="Times New Roman" w:hAnsi="Times New Roman"/>
                <w:color w:val="auto"/>
                <w:sz w:val="21"/>
                <w:szCs w:val="21"/>
              </w:rPr>
              <w:t>上自带布袋</w:t>
            </w:r>
            <w:r>
              <w:rPr>
                <w:rFonts w:ascii="Times New Roman" w:hAnsi="Times New Roman"/>
                <w:color w:val="auto"/>
                <w:sz w:val="21"/>
                <w:szCs w:val="21"/>
              </w:rPr>
              <w:t>除尘器</w:t>
            </w:r>
            <w:r>
              <w:rPr>
                <w:rFonts w:hint="eastAsia" w:ascii="Times New Roman" w:hAnsi="Times New Roman"/>
                <w:color w:val="auto"/>
                <w:sz w:val="21"/>
                <w:szCs w:val="21"/>
              </w:rPr>
              <w:t>1套</w:t>
            </w:r>
          </w:p>
        </w:tc>
        <w:tc>
          <w:tcPr>
            <w:tcW w:w="1067" w:type="pct"/>
            <w:vMerge w:val="restart"/>
            <w:vAlign w:val="center"/>
          </w:tcPr>
          <w:p w14:paraId="62A772F5">
            <w:pPr>
              <w:spacing w:line="360" w:lineRule="auto"/>
              <w:jc w:val="left"/>
              <w:rPr>
                <w:rFonts w:ascii="Times New Roman" w:hAnsi="Times New Roman"/>
                <w:color w:val="auto"/>
                <w:sz w:val="21"/>
                <w:szCs w:val="21"/>
              </w:rPr>
            </w:pPr>
          </w:p>
          <w:p w14:paraId="48CEC324">
            <w:pPr>
              <w:pStyle w:val="11"/>
              <w:spacing w:line="360" w:lineRule="auto"/>
              <w:jc w:val="left"/>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eastAsia="zh-CN"/>
              </w:rPr>
              <w:t>《水泥工业大气污染物排放标准》（GB4915-2013）</w:t>
            </w:r>
          </w:p>
          <w:p w14:paraId="0AA50C4B">
            <w:pPr>
              <w:widowControl/>
              <w:spacing w:line="360" w:lineRule="auto"/>
              <w:jc w:val="left"/>
              <w:rPr>
                <w:rFonts w:ascii="Times New Roman" w:hAnsi="Times New Roman"/>
                <w:color w:val="auto"/>
                <w:sz w:val="21"/>
                <w:szCs w:val="21"/>
              </w:rPr>
            </w:pPr>
          </w:p>
        </w:tc>
      </w:tr>
      <w:tr w14:paraId="3C074F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9" w:type="pct"/>
            <w:vMerge w:val="continue"/>
            <w:vAlign w:val="center"/>
          </w:tcPr>
          <w:p w14:paraId="25958955">
            <w:pPr>
              <w:adjustRightInd w:val="0"/>
              <w:snapToGrid w:val="0"/>
              <w:spacing w:line="360" w:lineRule="auto"/>
              <w:jc w:val="left"/>
              <w:rPr>
                <w:rFonts w:ascii="Times New Roman" w:hAnsi="Times New Roman"/>
                <w:color w:val="auto"/>
                <w:sz w:val="21"/>
                <w:szCs w:val="21"/>
              </w:rPr>
            </w:pPr>
          </w:p>
        </w:tc>
        <w:tc>
          <w:tcPr>
            <w:tcW w:w="630" w:type="pct"/>
            <w:vMerge w:val="continue"/>
            <w:vAlign w:val="center"/>
          </w:tcPr>
          <w:p w14:paraId="73B6E251">
            <w:pPr>
              <w:adjustRightInd w:val="0"/>
              <w:snapToGrid w:val="0"/>
              <w:spacing w:line="360" w:lineRule="auto"/>
              <w:jc w:val="left"/>
              <w:rPr>
                <w:rFonts w:ascii="Times New Roman" w:hAnsi="Times New Roman"/>
                <w:color w:val="auto"/>
                <w:sz w:val="21"/>
                <w:szCs w:val="21"/>
              </w:rPr>
            </w:pPr>
          </w:p>
        </w:tc>
        <w:tc>
          <w:tcPr>
            <w:tcW w:w="661" w:type="pct"/>
            <w:vAlign w:val="center"/>
          </w:tcPr>
          <w:p w14:paraId="5A7E169E">
            <w:pPr>
              <w:spacing w:line="360" w:lineRule="auto"/>
              <w:jc w:val="left"/>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物料输送、储存粉尘</w:t>
            </w:r>
          </w:p>
        </w:tc>
        <w:tc>
          <w:tcPr>
            <w:tcW w:w="1951" w:type="pct"/>
            <w:vAlign w:val="center"/>
          </w:tcPr>
          <w:p w14:paraId="29A995B1">
            <w:pPr>
              <w:spacing w:line="360" w:lineRule="auto"/>
              <w:jc w:val="left"/>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堆场</w:t>
            </w:r>
            <w:r>
              <w:rPr>
                <w:rFonts w:hint="eastAsia" w:ascii="Times New Roman" w:hAnsi="Times New Roman"/>
                <w:color w:val="000000" w:themeColor="text1"/>
                <w:sz w:val="21"/>
                <w:szCs w:val="21"/>
                <w:lang w:eastAsia="zh-CN"/>
                <w14:textFill>
                  <w14:solidFill>
                    <w14:schemeClr w14:val="tx1"/>
                  </w14:solidFill>
                </w14:textFill>
              </w:rPr>
              <w:t>搭建顶棚</w:t>
            </w:r>
            <w:r>
              <w:rPr>
                <w:rFonts w:hint="eastAsia"/>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lang w:eastAsia="zh-CN"/>
                <w14:textFill>
                  <w14:solidFill>
                    <w14:schemeClr w14:val="tx1"/>
                  </w14:solidFill>
                </w14:textFill>
              </w:rPr>
              <w:t>设置喷淋装置进行洒水抑尘</w:t>
            </w:r>
          </w:p>
        </w:tc>
        <w:tc>
          <w:tcPr>
            <w:tcW w:w="1067" w:type="pct"/>
            <w:vMerge w:val="continue"/>
            <w:vAlign w:val="center"/>
          </w:tcPr>
          <w:p w14:paraId="70080F32">
            <w:pPr>
              <w:widowControl/>
              <w:spacing w:line="360" w:lineRule="auto"/>
              <w:jc w:val="left"/>
              <w:rPr>
                <w:rFonts w:ascii="Times New Roman" w:hAnsi="Times New Roman"/>
                <w:color w:val="auto"/>
                <w:kern w:val="0"/>
                <w:sz w:val="21"/>
                <w:szCs w:val="21"/>
                <w:lang w:bidi="ar"/>
              </w:rPr>
            </w:pPr>
          </w:p>
        </w:tc>
      </w:tr>
      <w:tr w14:paraId="520BC4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9" w:type="pct"/>
            <w:vMerge w:val="continue"/>
            <w:vAlign w:val="center"/>
          </w:tcPr>
          <w:p w14:paraId="211E47E7">
            <w:pPr>
              <w:adjustRightInd w:val="0"/>
              <w:snapToGrid w:val="0"/>
              <w:spacing w:line="360" w:lineRule="auto"/>
              <w:jc w:val="left"/>
              <w:rPr>
                <w:rFonts w:ascii="Times New Roman" w:hAnsi="Times New Roman"/>
                <w:color w:val="auto"/>
                <w:sz w:val="21"/>
                <w:szCs w:val="21"/>
              </w:rPr>
            </w:pPr>
          </w:p>
        </w:tc>
        <w:tc>
          <w:tcPr>
            <w:tcW w:w="630" w:type="pct"/>
            <w:vMerge w:val="continue"/>
            <w:vAlign w:val="center"/>
          </w:tcPr>
          <w:p w14:paraId="5AB91AFE">
            <w:pPr>
              <w:adjustRightInd w:val="0"/>
              <w:snapToGrid w:val="0"/>
              <w:spacing w:line="360" w:lineRule="auto"/>
              <w:jc w:val="left"/>
              <w:rPr>
                <w:rFonts w:ascii="Times New Roman" w:hAnsi="Times New Roman"/>
                <w:color w:val="auto"/>
                <w:sz w:val="21"/>
                <w:szCs w:val="21"/>
              </w:rPr>
            </w:pPr>
          </w:p>
        </w:tc>
        <w:tc>
          <w:tcPr>
            <w:tcW w:w="661" w:type="pct"/>
            <w:vAlign w:val="center"/>
          </w:tcPr>
          <w:p w14:paraId="70776333">
            <w:pPr>
              <w:spacing w:line="360" w:lineRule="auto"/>
              <w:jc w:val="left"/>
              <w:rPr>
                <w:rFonts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物料混合及搅拌粉尘</w:t>
            </w:r>
          </w:p>
        </w:tc>
        <w:tc>
          <w:tcPr>
            <w:tcW w:w="1951" w:type="pct"/>
            <w:vAlign w:val="center"/>
          </w:tcPr>
          <w:p w14:paraId="4A8237FF">
            <w:pPr>
              <w:spacing w:line="360" w:lineRule="auto"/>
              <w:ind w:firstLine="420" w:firstLineChars="200"/>
              <w:jc w:val="left"/>
              <w:rPr>
                <w:rFonts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eastAsia="zh-CN"/>
              </w:rPr>
              <w:t>设置喷淋装置进行洒水抑尘</w:t>
            </w:r>
          </w:p>
        </w:tc>
        <w:tc>
          <w:tcPr>
            <w:tcW w:w="1067" w:type="pct"/>
            <w:vMerge w:val="continue"/>
            <w:vAlign w:val="center"/>
          </w:tcPr>
          <w:p w14:paraId="326E938D">
            <w:pPr>
              <w:widowControl/>
              <w:spacing w:line="360" w:lineRule="auto"/>
              <w:jc w:val="left"/>
              <w:rPr>
                <w:rFonts w:ascii="Times New Roman" w:hAnsi="Times New Roman"/>
                <w:color w:val="auto"/>
                <w:kern w:val="0"/>
                <w:sz w:val="21"/>
                <w:szCs w:val="21"/>
                <w:lang w:bidi="ar"/>
              </w:rPr>
            </w:pPr>
          </w:p>
        </w:tc>
      </w:tr>
      <w:tr w14:paraId="693AC5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9" w:type="pct"/>
            <w:vMerge w:val="continue"/>
            <w:vAlign w:val="center"/>
          </w:tcPr>
          <w:p w14:paraId="3E01B249">
            <w:pPr>
              <w:adjustRightInd w:val="0"/>
              <w:snapToGrid w:val="0"/>
              <w:spacing w:line="360" w:lineRule="auto"/>
              <w:jc w:val="left"/>
              <w:rPr>
                <w:rFonts w:ascii="Times New Roman" w:hAnsi="Times New Roman"/>
                <w:color w:val="auto"/>
                <w:sz w:val="21"/>
                <w:szCs w:val="21"/>
              </w:rPr>
            </w:pPr>
          </w:p>
        </w:tc>
        <w:tc>
          <w:tcPr>
            <w:tcW w:w="630" w:type="pct"/>
            <w:vMerge w:val="continue"/>
            <w:vAlign w:val="center"/>
          </w:tcPr>
          <w:p w14:paraId="6F0907E7">
            <w:pPr>
              <w:adjustRightInd w:val="0"/>
              <w:snapToGrid w:val="0"/>
              <w:spacing w:line="360" w:lineRule="auto"/>
              <w:jc w:val="left"/>
              <w:rPr>
                <w:rFonts w:ascii="Times New Roman" w:hAnsi="Times New Roman"/>
                <w:color w:val="auto"/>
                <w:sz w:val="21"/>
                <w:szCs w:val="21"/>
              </w:rPr>
            </w:pPr>
          </w:p>
        </w:tc>
        <w:tc>
          <w:tcPr>
            <w:tcW w:w="661" w:type="pct"/>
            <w:vAlign w:val="center"/>
          </w:tcPr>
          <w:p w14:paraId="47DEB64D">
            <w:pPr>
              <w:spacing w:line="360" w:lineRule="auto"/>
              <w:jc w:val="left"/>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eastAsia="zh-CN"/>
              </w:rPr>
              <w:t>焊接烟尘</w:t>
            </w:r>
          </w:p>
        </w:tc>
        <w:tc>
          <w:tcPr>
            <w:tcW w:w="1951" w:type="pct"/>
            <w:vAlign w:val="center"/>
          </w:tcPr>
          <w:p w14:paraId="1B364A98">
            <w:pPr>
              <w:spacing w:line="360" w:lineRule="auto"/>
              <w:jc w:val="left"/>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eastAsia="zh-CN"/>
              </w:rPr>
              <w:t>在厂房内自由扩散，以无组织形式排放</w:t>
            </w:r>
          </w:p>
        </w:tc>
        <w:tc>
          <w:tcPr>
            <w:tcW w:w="1067" w:type="pct"/>
            <w:vAlign w:val="center"/>
          </w:tcPr>
          <w:p w14:paraId="5BFA39F2">
            <w:pPr>
              <w:spacing w:line="360" w:lineRule="auto"/>
              <w:jc w:val="left"/>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w:t>
            </w:r>
            <w:r>
              <w:rPr>
                <w:rFonts w:hint="eastAsia" w:asciiTheme="minorEastAsia" w:hAnsiTheme="minorEastAsia" w:eastAsiaTheme="minorEastAsia" w:cstheme="minorEastAsia"/>
                <w:color w:val="auto"/>
                <w:sz w:val="21"/>
                <w:szCs w:val="21"/>
              </w:rPr>
              <w:t>车间空气中电焊烟尘卫生标准》</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GB 16194-1996</w:t>
            </w:r>
            <w:r>
              <w:rPr>
                <w:rFonts w:hint="eastAsia" w:asciiTheme="minorEastAsia" w:hAnsiTheme="minorEastAsia" w:eastAsiaTheme="minorEastAsia" w:cstheme="minorEastAsia"/>
                <w:color w:val="auto"/>
                <w:sz w:val="21"/>
                <w:szCs w:val="21"/>
                <w:lang w:eastAsia="zh-CN"/>
              </w:rPr>
              <w:t>）</w:t>
            </w:r>
          </w:p>
        </w:tc>
      </w:tr>
      <w:tr w14:paraId="0A6ACA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9" w:type="pct"/>
            <w:vMerge w:val="restart"/>
            <w:vAlign w:val="center"/>
          </w:tcPr>
          <w:p w14:paraId="4A126463">
            <w:pPr>
              <w:adjustRightInd w:val="0"/>
              <w:snapToGrid w:val="0"/>
              <w:spacing w:line="360" w:lineRule="auto"/>
              <w:jc w:val="left"/>
              <w:rPr>
                <w:rFonts w:ascii="Times New Roman" w:hAnsi="Times New Roman"/>
                <w:color w:val="auto"/>
                <w:sz w:val="21"/>
                <w:szCs w:val="21"/>
              </w:rPr>
            </w:pPr>
            <w:r>
              <w:rPr>
                <w:rFonts w:ascii="Times New Roman" w:hAnsi="Times New Roman"/>
                <w:color w:val="auto"/>
                <w:sz w:val="21"/>
                <w:szCs w:val="21"/>
              </w:rPr>
              <w:t>地表水环境</w:t>
            </w:r>
          </w:p>
        </w:tc>
        <w:tc>
          <w:tcPr>
            <w:tcW w:w="630" w:type="pct"/>
            <w:vAlign w:val="center"/>
          </w:tcPr>
          <w:p w14:paraId="37F93537">
            <w:pPr>
              <w:adjustRightInd w:val="0"/>
              <w:snapToGrid w:val="0"/>
              <w:spacing w:line="360" w:lineRule="auto"/>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生产</w:t>
            </w:r>
          </w:p>
        </w:tc>
        <w:tc>
          <w:tcPr>
            <w:tcW w:w="661" w:type="pct"/>
            <w:vAlign w:val="center"/>
          </w:tcPr>
          <w:p w14:paraId="40C7B4D4">
            <w:pPr>
              <w:spacing w:line="360" w:lineRule="auto"/>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搅拌机清洗废水</w:t>
            </w:r>
          </w:p>
        </w:tc>
        <w:tc>
          <w:tcPr>
            <w:tcW w:w="1951" w:type="pct"/>
            <w:vAlign w:val="center"/>
          </w:tcPr>
          <w:p w14:paraId="31936ED7">
            <w:pPr>
              <w:spacing w:line="360" w:lineRule="auto"/>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防渗沉淀池1个，5</w:t>
            </w:r>
            <w:r>
              <w:rPr>
                <w:rFonts w:hint="eastAsia" w:asciiTheme="minorEastAsia" w:hAnsiTheme="minorEastAsia" w:eastAsiaTheme="minorEastAsia" w:cstheme="minorEastAsia"/>
                <w:color w:val="auto"/>
                <w:sz w:val="21"/>
                <w:szCs w:val="21"/>
              </w:rPr>
              <w:t>m</w:t>
            </w:r>
            <w:r>
              <w:rPr>
                <w:rFonts w:hint="eastAsia" w:asciiTheme="minorEastAsia" w:hAnsiTheme="minorEastAsia" w:eastAsiaTheme="minorEastAsia" w:cstheme="minorEastAsia"/>
                <w:color w:val="auto"/>
                <w:sz w:val="21"/>
                <w:szCs w:val="21"/>
                <w:vertAlign w:val="superscript"/>
              </w:rPr>
              <w:t>3</w:t>
            </w:r>
          </w:p>
        </w:tc>
        <w:tc>
          <w:tcPr>
            <w:tcW w:w="1067" w:type="pct"/>
            <w:vMerge w:val="restart"/>
            <w:vAlign w:val="center"/>
          </w:tcPr>
          <w:p w14:paraId="627B5F19">
            <w:pPr>
              <w:adjustRightInd w:val="0"/>
              <w:snapToGrid w:val="0"/>
              <w:spacing w:line="360" w:lineRule="auto"/>
              <w:jc w:val="left"/>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雨污分流，不外排</w:t>
            </w:r>
          </w:p>
        </w:tc>
      </w:tr>
      <w:tr w14:paraId="06C3C2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689" w:type="pct"/>
            <w:vMerge w:val="continue"/>
            <w:vAlign w:val="center"/>
          </w:tcPr>
          <w:p w14:paraId="0340ABC7">
            <w:pPr>
              <w:adjustRightInd w:val="0"/>
              <w:snapToGrid w:val="0"/>
              <w:spacing w:line="360" w:lineRule="auto"/>
              <w:jc w:val="left"/>
              <w:rPr>
                <w:rFonts w:ascii="Times New Roman" w:hAnsi="Times New Roman"/>
                <w:color w:val="auto"/>
                <w:sz w:val="21"/>
                <w:szCs w:val="21"/>
              </w:rPr>
            </w:pPr>
          </w:p>
        </w:tc>
        <w:tc>
          <w:tcPr>
            <w:tcW w:w="630" w:type="pct"/>
            <w:vMerge w:val="restart"/>
            <w:vAlign w:val="center"/>
          </w:tcPr>
          <w:p w14:paraId="60D41AA8">
            <w:pPr>
              <w:adjustRightInd w:val="0"/>
              <w:snapToGrid w:val="0"/>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生活</w:t>
            </w:r>
          </w:p>
        </w:tc>
        <w:tc>
          <w:tcPr>
            <w:tcW w:w="661" w:type="pct"/>
            <w:vAlign w:val="center"/>
          </w:tcPr>
          <w:p w14:paraId="55A8AC24">
            <w:pPr>
              <w:spacing w:line="360" w:lineRule="auto"/>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食堂废水</w:t>
            </w:r>
          </w:p>
        </w:tc>
        <w:tc>
          <w:tcPr>
            <w:tcW w:w="1951" w:type="pct"/>
            <w:vAlign w:val="center"/>
          </w:tcPr>
          <w:p w14:paraId="648579EF">
            <w:pPr>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油水分离器1个</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0.1</w:t>
            </w:r>
            <w:r>
              <w:rPr>
                <w:rFonts w:hint="eastAsia" w:asciiTheme="minorEastAsia" w:hAnsiTheme="minorEastAsia" w:eastAsiaTheme="minorEastAsia" w:cstheme="minorEastAsia"/>
                <w:color w:val="auto"/>
                <w:sz w:val="21"/>
                <w:szCs w:val="21"/>
              </w:rPr>
              <w:t>m</w:t>
            </w:r>
            <w:r>
              <w:rPr>
                <w:rFonts w:hint="eastAsia" w:asciiTheme="minorEastAsia" w:hAnsiTheme="minorEastAsia" w:eastAsiaTheme="minorEastAsia" w:cstheme="minorEastAsia"/>
                <w:color w:val="auto"/>
                <w:sz w:val="21"/>
                <w:szCs w:val="21"/>
                <w:vertAlign w:val="superscript"/>
              </w:rPr>
              <w:t>3</w:t>
            </w:r>
          </w:p>
        </w:tc>
        <w:tc>
          <w:tcPr>
            <w:tcW w:w="1067" w:type="pct"/>
            <w:vMerge w:val="continue"/>
            <w:vAlign w:val="center"/>
          </w:tcPr>
          <w:p w14:paraId="71C08200">
            <w:pPr>
              <w:adjustRightInd w:val="0"/>
              <w:snapToGrid w:val="0"/>
              <w:spacing w:line="360" w:lineRule="auto"/>
              <w:jc w:val="left"/>
              <w:rPr>
                <w:rFonts w:hint="eastAsia" w:ascii="Times New Roman" w:hAnsi="Times New Roman" w:eastAsia="宋体"/>
                <w:color w:val="auto"/>
                <w:sz w:val="21"/>
                <w:szCs w:val="21"/>
                <w:lang w:eastAsia="zh-CN"/>
              </w:rPr>
            </w:pPr>
          </w:p>
        </w:tc>
      </w:tr>
      <w:tr w14:paraId="4FB29D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9" w:type="pct"/>
            <w:vMerge w:val="continue"/>
            <w:vAlign w:val="center"/>
          </w:tcPr>
          <w:p w14:paraId="24E04C9F">
            <w:pPr>
              <w:adjustRightInd w:val="0"/>
              <w:snapToGrid w:val="0"/>
              <w:spacing w:line="360" w:lineRule="auto"/>
              <w:jc w:val="left"/>
              <w:rPr>
                <w:rFonts w:ascii="Times New Roman" w:hAnsi="Times New Roman"/>
                <w:color w:val="auto"/>
                <w:sz w:val="21"/>
                <w:szCs w:val="21"/>
              </w:rPr>
            </w:pPr>
          </w:p>
        </w:tc>
        <w:tc>
          <w:tcPr>
            <w:tcW w:w="630" w:type="pct"/>
            <w:vMerge w:val="continue"/>
            <w:vAlign w:val="center"/>
          </w:tcPr>
          <w:p w14:paraId="1DF74AF1">
            <w:pPr>
              <w:adjustRightInd w:val="0"/>
              <w:snapToGrid w:val="0"/>
              <w:spacing w:line="360" w:lineRule="auto"/>
              <w:jc w:val="left"/>
              <w:rPr>
                <w:rFonts w:hint="eastAsia" w:asciiTheme="minorEastAsia" w:hAnsiTheme="minorEastAsia" w:eastAsiaTheme="minorEastAsia" w:cstheme="minorEastAsia"/>
                <w:color w:val="auto"/>
                <w:sz w:val="21"/>
                <w:szCs w:val="21"/>
              </w:rPr>
            </w:pPr>
          </w:p>
        </w:tc>
        <w:tc>
          <w:tcPr>
            <w:tcW w:w="661" w:type="pct"/>
            <w:vAlign w:val="center"/>
          </w:tcPr>
          <w:p w14:paraId="77FD7D98">
            <w:pPr>
              <w:spacing w:line="240" w:lineRule="auto"/>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生活污水</w:t>
            </w:r>
          </w:p>
        </w:tc>
        <w:tc>
          <w:tcPr>
            <w:tcW w:w="1951" w:type="pct"/>
            <w:vAlign w:val="center"/>
          </w:tcPr>
          <w:p w14:paraId="2B1C394F">
            <w:pPr>
              <w:spacing w:line="240" w:lineRule="auto"/>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化粪池1个，</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m</w:t>
            </w:r>
            <w:r>
              <w:rPr>
                <w:rFonts w:hint="eastAsia" w:asciiTheme="minorEastAsia" w:hAnsiTheme="minorEastAsia" w:eastAsiaTheme="minorEastAsia" w:cstheme="minorEastAsia"/>
                <w:color w:val="auto"/>
                <w:sz w:val="21"/>
                <w:szCs w:val="21"/>
                <w:vertAlign w:val="superscript"/>
              </w:rPr>
              <w:t>3</w:t>
            </w:r>
          </w:p>
        </w:tc>
        <w:tc>
          <w:tcPr>
            <w:tcW w:w="1067" w:type="pct"/>
            <w:vMerge w:val="continue"/>
            <w:vAlign w:val="center"/>
          </w:tcPr>
          <w:p w14:paraId="640DB613">
            <w:pPr>
              <w:adjustRightInd w:val="0"/>
              <w:snapToGrid w:val="0"/>
              <w:spacing w:line="360" w:lineRule="auto"/>
              <w:jc w:val="left"/>
              <w:rPr>
                <w:rFonts w:ascii="Times New Roman" w:hAnsi="Times New Roman"/>
                <w:color w:val="auto"/>
                <w:sz w:val="21"/>
                <w:szCs w:val="21"/>
              </w:rPr>
            </w:pPr>
          </w:p>
        </w:tc>
      </w:tr>
      <w:tr w14:paraId="544A6B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689" w:type="pct"/>
            <w:vAlign w:val="center"/>
          </w:tcPr>
          <w:p w14:paraId="75CD9187">
            <w:pPr>
              <w:adjustRightInd w:val="0"/>
              <w:snapToGrid w:val="0"/>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声环境</w:t>
            </w:r>
          </w:p>
        </w:tc>
        <w:tc>
          <w:tcPr>
            <w:tcW w:w="630" w:type="pct"/>
            <w:vAlign w:val="center"/>
          </w:tcPr>
          <w:p w14:paraId="4E720367">
            <w:pPr>
              <w:adjustRightInd w:val="0"/>
              <w:snapToGrid w:val="0"/>
              <w:spacing w:line="360" w:lineRule="auto"/>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生产</w:t>
            </w:r>
            <w:r>
              <w:rPr>
                <w:rFonts w:hint="eastAsia" w:asciiTheme="minorEastAsia" w:hAnsiTheme="minorEastAsia" w:eastAsiaTheme="minorEastAsia" w:cstheme="minorEastAsia"/>
                <w:color w:val="auto"/>
                <w:sz w:val="21"/>
                <w:szCs w:val="21"/>
                <w:lang w:eastAsia="zh-CN"/>
              </w:rPr>
              <w:t>设备、运输转运车辆</w:t>
            </w:r>
          </w:p>
        </w:tc>
        <w:tc>
          <w:tcPr>
            <w:tcW w:w="661" w:type="pct"/>
            <w:vAlign w:val="center"/>
          </w:tcPr>
          <w:p w14:paraId="4A7597C2">
            <w:pPr>
              <w:adjustRightInd w:val="0"/>
              <w:snapToGrid w:val="0"/>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噪声</w:t>
            </w:r>
          </w:p>
        </w:tc>
        <w:tc>
          <w:tcPr>
            <w:tcW w:w="1951" w:type="pct"/>
            <w:vAlign w:val="center"/>
          </w:tcPr>
          <w:p w14:paraId="26F356C5">
            <w:pPr>
              <w:adjustRightInd w:val="0"/>
              <w:snapToGrid w:val="0"/>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对于高噪声设备的操作工人，采取轮换制，并发放耳塞等劳保防护；夜间22时至次日8时禁止生产；生产车间进行半封闭隔声，对高噪声、高振动设备底部设置减震基础进行降噪</w:t>
            </w:r>
          </w:p>
        </w:tc>
        <w:tc>
          <w:tcPr>
            <w:tcW w:w="1067" w:type="pct"/>
            <w:vAlign w:val="center"/>
          </w:tcPr>
          <w:p w14:paraId="63B911A7">
            <w:pPr>
              <w:adjustRightInd w:val="0"/>
              <w:snapToGrid w:val="0"/>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《工业企业厂界环境噪声排放标准》（GB12348-2008）2类</w:t>
            </w:r>
            <w:r>
              <w:rPr>
                <w:rFonts w:hint="eastAsia" w:asciiTheme="minorEastAsia" w:hAnsiTheme="minorEastAsia" w:eastAsiaTheme="minorEastAsia" w:cstheme="minorEastAsia"/>
                <w:color w:val="auto"/>
                <w:sz w:val="21"/>
                <w:szCs w:val="21"/>
                <w:lang w:eastAsia="zh-CN"/>
              </w:rPr>
              <w:t>和</w:t>
            </w:r>
            <w:r>
              <w:rPr>
                <w:rFonts w:hint="eastAsia" w:asciiTheme="minorEastAsia" w:hAnsiTheme="minorEastAsia" w:eastAsiaTheme="minorEastAsia" w:cstheme="minorEastAsia"/>
                <w:color w:val="auto"/>
                <w:sz w:val="21"/>
                <w:szCs w:val="21"/>
                <w:lang w:val="en-US" w:eastAsia="zh-CN"/>
              </w:rPr>
              <w:t>4a类</w:t>
            </w:r>
            <w:r>
              <w:rPr>
                <w:rFonts w:hint="eastAsia" w:asciiTheme="minorEastAsia" w:hAnsiTheme="minorEastAsia" w:eastAsiaTheme="minorEastAsia" w:cstheme="minorEastAsia"/>
                <w:color w:val="auto"/>
                <w:sz w:val="21"/>
                <w:szCs w:val="21"/>
              </w:rPr>
              <w:t>标准</w:t>
            </w:r>
          </w:p>
        </w:tc>
      </w:tr>
      <w:tr w14:paraId="782950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9" w:type="pct"/>
            <w:vAlign w:val="center"/>
          </w:tcPr>
          <w:p w14:paraId="690A7C9B">
            <w:pPr>
              <w:adjustRightInd w:val="0"/>
              <w:snapToGrid w:val="0"/>
              <w:spacing w:line="360" w:lineRule="auto"/>
              <w:jc w:val="left"/>
              <w:rPr>
                <w:rFonts w:ascii="Times New Roman" w:hAnsi="Times New Roman"/>
                <w:color w:val="auto"/>
                <w:sz w:val="21"/>
                <w:szCs w:val="21"/>
              </w:rPr>
            </w:pPr>
            <w:r>
              <w:rPr>
                <w:rFonts w:ascii="Times New Roman" w:hAnsi="Times New Roman"/>
                <w:color w:val="auto"/>
                <w:sz w:val="21"/>
                <w:szCs w:val="21"/>
              </w:rPr>
              <w:t>电磁辐射</w:t>
            </w:r>
          </w:p>
        </w:tc>
        <w:tc>
          <w:tcPr>
            <w:tcW w:w="630" w:type="pct"/>
            <w:vAlign w:val="center"/>
          </w:tcPr>
          <w:p w14:paraId="0ADE1C2A">
            <w:pPr>
              <w:adjustRightInd w:val="0"/>
              <w:snapToGrid w:val="0"/>
              <w:spacing w:line="360" w:lineRule="auto"/>
              <w:jc w:val="left"/>
              <w:rPr>
                <w:rFonts w:ascii="Times New Roman" w:hAnsi="Times New Roman"/>
                <w:color w:val="auto"/>
                <w:sz w:val="21"/>
                <w:szCs w:val="21"/>
              </w:rPr>
            </w:pPr>
            <w:r>
              <w:rPr>
                <w:rFonts w:ascii="Times New Roman" w:hAnsi="Times New Roman"/>
                <w:color w:val="auto"/>
                <w:sz w:val="21"/>
                <w:szCs w:val="21"/>
              </w:rPr>
              <w:t>--</w:t>
            </w:r>
          </w:p>
        </w:tc>
        <w:tc>
          <w:tcPr>
            <w:tcW w:w="661" w:type="pct"/>
            <w:vAlign w:val="center"/>
          </w:tcPr>
          <w:p w14:paraId="4A8A87DB">
            <w:pPr>
              <w:adjustRightInd w:val="0"/>
              <w:snapToGrid w:val="0"/>
              <w:spacing w:line="360" w:lineRule="auto"/>
              <w:jc w:val="left"/>
              <w:rPr>
                <w:rFonts w:ascii="Times New Roman" w:hAnsi="Times New Roman"/>
                <w:color w:val="auto"/>
                <w:sz w:val="21"/>
                <w:szCs w:val="21"/>
              </w:rPr>
            </w:pPr>
            <w:r>
              <w:rPr>
                <w:rFonts w:ascii="Times New Roman" w:hAnsi="Times New Roman"/>
                <w:color w:val="auto"/>
                <w:sz w:val="21"/>
                <w:szCs w:val="21"/>
              </w:rPr>
              <w:t>-</w:t>
            </w:r>
          </w:p>
        </w:tc>
        <w:tc>
          <w:tcPr>
            <w:tcW w:w="1951" w:type="pct"/>
            <w:vAlign w:val="center"/>
          </w:tcPr>
          <w:p w14:paraId="40D1CF07">
            <w:pPr>
              <w:adjustRightInd w:val="0"/>
              <w:snapToGrid w:val="0"/>
              <w:spacing w:line="360" w:lineRule="auto"/>
              <w:jc w:val="left"/>
              <w:rPr>
                <w:rFonts w:ascii="Times New Roman" w:hAnsi="Times New Roman"/>
                <w:color w:val="auto"/>
                <w:sz w:val="21"/>
                <w:szCs w:val="21"/>
              </w:rPr>
            </w:pPr>
            <w:r>
              <w:rPr>
                <w:rFonts w:ascii="Times New Roman" w:hAnsi="Times New Roman"/>
                <w:color w:val="auto"/>
                <w:sz w:val="21"/>
                <w:szCs w:val="21"/>
              </w:rPr>
              <w:t>-</w:t>
            </w:r>
          </w:p>
        </w:tc>
        <w:tc>
          <w:tcPr>
            <w:tcW w:w="1067" w:type="pct"/>
            <w:vAlign w:val="center"/>
          </w:tcPr>
          <w:p w14:paraId="4C001A86">
            <w:pPr>
              <w:adjustRightInd w:val="0"/>
              <w:snapToGrid w:val="0"/>
              <w:spacing w:line="360" w:lineRule="auto"/>
              <w:jc w:val="left"/>
              <w:rPr>
                <w:rFonts w:ascii="Times New Roman" w:hAnsi="Times New Roman"/>
                <w:color w:val="auto"/>
                <w:sz w:val="21"/>
                <w:szCs w:val="21"/>
              </w:rPr>
            </w:pPr>
            <w:r>
              <w:rPr>
                <w:rFonts w:ascii="Times New Roman" w:hAnsi="Times New Roman"/>
                <w:color w:val="auto"/>
                <w:sz w:val="21"/>
                <w:szCs w:val="21"/>
              </w:rPr>
              <w:t>-</w:t>
            </w:r>
          </w:p>
        </w:tc>
      </w:tr>
      <w:tr w14:paraId="6BA188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689" w:type="pct"/>
            <w:vAlign w:val="center"/>
          </w:tcPr>
          <w:p w14:paraId="2048D2E7">
            <w:pPr>
              <w:adjustRightInd w:val="0"/>
              <w:snapToGrid w:val="0"/>
              <w:spacing w:line="360" w:lineRule="auto"/>
              <w:jc w:val="left"/>
              <w:rPr>
                <w:rFonts w:ascii="Times New Roman" w:hAnsi="Times New Roman"/>
                <w:color w:val="auto"/>
                <w:sz w:val="21"/>
                <w:szCs w:val="21"/>
              </w:rPr>
            </w:pPr>
            <w:r>
              <w:rPr>
                <w:rFonts w:ascii="Times New Roman" w:hAnsi="Times New Roman"/>
                <w:color w:val="auto"/>
                <w:sz w:val="21"/>
                <w:szCs w:val="21"/>
              </w:rPr>
              <w:t>固体废物</w:t>
            </w:r>
          </w:p>
        </w:tc>
        <w:tc>
          <w:tcPr>
            <w:tcW w:w="4310" w:type="pct"/>
            <w:gridSpan w:val="4"/>
            <w:vAlign w:val="center"/>
          </w:tcPr>
          <w:p w14:paraId="39DB5642">
            <w:pPr>
              <w:adjustRightInd w:val="0"/>
              <w:snapToGrid w:val="0"/>
              <w:spacing w:line="360" w:lineRule="auto"/>
              <w:jc w:val="left"/>
              <w:rPr>
                <w:rFonts w:ascii="Times New Roman" w:hAnsi="Times New Roman"/>
                <w:color w:val="auto"/>
                <w:sz w:val="21"/>
                <w:szCs w:val="21"/>
              </w:rPr>
            </w:pPr>
            <w:r>
              <w:rPr>
                <w:rFonts w:hint="eastAsia" w:ascii="Times New Roman" w:hAnsi="Times New Roman"/>
                <w:color w:val="auto"/>
                <w:sz w:val="21"/>
                <w:szCs w:val="21"/>
              </w:rPr>
              <w:t>生产</w:t>
            </w:r>
            <w:r>
              <w:rPr>
                <w:rFonts w:hint="eastAsia" w:ascii="Times New Roman" w:hAnsi="Times New Roman"/>
                <w:color w:val="auto"/>
                <w:sz w:val="21"/>
                <w:szCs w:val="21"/>
                <w:lang w:eastAsia="zh-CN"/>
              </w:rPr>
              <w:t>固体废物</w:t>
            </w:r>
            <w:r>
              <w:rPr>
                <w:rFonts w:hint="eastAsia" w:ascii="Times New Roman" w:hAnsi="Times New Roman"/>
                <w:color w:val="auto"/>
                <w:sz w:val="21"/>
                <w:szCs w:val="21"/>
              </w:rPr>
              <w:t>中，</w:t>
            </w:r>
            <w:r>
              <w:rPr>
                <w:rFonts w:hint="eastAsia" w:ascii="Times New Roman" w:hAnsi="Times New Roman"/>
                <w:color w:val="auto"/>
                <w:sz w:val="21"/>
                <w:szCs w:val="21"/>
                <w:lang w:eastAsia="zh-CN"/>
              </w:rPr>
              <w:t>水泥储罐自带的</w:t>
            </w:r>
            <w:r>
              <w:rPr>
                <w:rFonts w:hint="eastAsia" w:ascii="Times New Roman" w:hAnsi="Times New Roman"/>
                <w:color w:val="auto"/>
                <w:sz w:val="21"/>
                <w:szCs w:val="21"/>
              </w:rPr>
              <w:t>布袋除尘器收集后的粉尘用于生产</w:t>
            </w:r>
            <w:r>
              <w:rPr>
                <w:rFonts w:hint="eastAsia" w:ascii="Times New Roman" w:hAnsi="Times New Roman"/>
                <w:color w:val="auto"/>
                <w:sz w:val="21"/>
                <w:szCs w:val="21"/>
                <w:lang w:eastAsia="zh-CN"/>
              </w:rPr>
              <w:t>；</w:t>
            </w:r>
            <w:r>
              <w:rPr>
                <w:rFonts w:ascii="Times New Roman" w:hAnsi="Times New Roman"/>
                <w:color w:val="auto"/>
                <w:sz w:val="21"/>
                <w:szCs w:val="21"/>
              </w:rPr>
              <w:t>不合格的</w:t>
            </w:r>
            <w:r>
              <w:rPr>
                <w:rFonts w:hint="eastAsia"/>
                <w:color w:val="auto"/>
                <w:sz w:val="21"/>
                <w:szCs w:val="21"/>
                <w:lang w:eastAsia="zh-CN"/>
              </w:rPr>
              <w:t>废产品</w:t>
            </w:r>
            <w:r>
              <w:rPr>
                <w:rFonts w:hint="eastAsia" w:ascii="Times New Roman" w:hAnsi="Times New Roman"/>
                <w:color w:val="auto"/>
                <w:sz w:val="21"/>
                <w:szCs w:val="21"/>
              </w:rPr>
              <w:t>中未干化的</w:t>
            </w:r>
            <w:r>
              <w:rPr>
                <w:rFonts w:hint="eastAsia"/>
                <w:color w:val="auto"/>
                <w:sz w:val="21"/>
                <w:szCs w:val="21"/>
                <w:lang w:eastAsia="zh-CN"/>
              </w:rPr>
              <w:t>直接</w:t>
            </w:r>
            <w:r>
              <w:rPr>
                <w:rFonts w:hint="eastAsia" w:ascii="Times New Roman" w:hAnsi="Times New Roman"/>
                <w:color w:val="auto"/>
                <w:sz w:val="21"/>
                <w:szCs w:val="21"/>
              </w:rPr>
              <w:t>返回生产工艺使用</w:t>
            </w:r>
            <w:r>
              <w:rPr>
                <w:rFonts w:hint="eastAsia" w:ascii="Times New Roman" w:hAnsi="Times New Roman"/>
                <w:color w:val="auto"/>
                <w:sz w:val="21"/>
                <w:szCs w:val="21"/>
                <w:lang w:eastAsia="zh-CN"/>
              </w:rPr>
              <w:t>，</w:t>
            </w:r>
            <w:r>
              <w:rPr>
                <w:rFonts w:hint="eastAsia" w:ascii="Times New Roman" w:hAnsi="Times New Roman"/>
                <w:color w:val="auto"/>
                <w:sz w:val="21"/>
                <w:szCs w:val="21"/>
              </w:rPr>
              <w:t>固化的需要先经过人工敲碎后再返回生产工艺使用；废料渣</w:t>
            </w:r>
            <w:r>
              <w:rPr>
                <w:rFonts w:hint="eastAsia" w:ascii="Times New Roman" w:hAnsi="Times New Roman"/>
                <w:color w:val="auto"/>
                <w:sz w:val="21"/>
                <w:szCs w:val="21"/>
                <w:lang w:val="en-US" w:eastAsia="zh-CN"/>
              </w:rPr>
              <w:t>敲碎回用于生产；废弃</w:t>
            </w:r>
            <w:r>
              <w:rPr>
                <w:rFonts w:hint="eastAsia" w:ascii="Times New Roman" w:hAnsi="Times New Roman" w:eastAsia="宋体" w:cs="Times New Roman"/>
                <w:color w:val="auto"/>
                <w:sz w:val="21"/>
                <w:szCs w:val="21"/>
                <w:lang w:val="en-US" w:eastAsia="zh-CN"/>
              </w:rPr>
              <w:t>焊头统一收集后定期外售；废脱模剂桶集中存放在脱模剂储存间统一处置，待收</w:t>
            </w:r>
            <w:r>
              <w:rPr>
                <w:rFonts w:hint="eastAsia" w:ascii="Times New Roman" w:hAnsi="Times New Roman"/>
                <w:color w:val="auto"/>
                <w:sz w:val="21"/>
                <w:szCs w:val="21"/>
                <w:lang w:val="en-US" w:eastAsia="zh-CN"/>
              </w:rPr>
              <w:t>集到一定数量后交由厂家回收处置</w:t>
            </w:r>
            <w:r>
              <w:rPr>
                <w:rFonts w:hint="eastAsia" w:ascii="Times New Roman" w:hAnsi="Times New Roman"/>
                <w:color w:val="auto"/>
                <w:sz w:val="21"/>
                <w:szCs w:val="21"/>
              </w:rPr>
              <w:t>。生活</w:t>
            </w:r>
            <w:r>
              <w:rPr>
                <w:rFonts w:hint="eastAsia" w:ascii="Times New Roman" w:hAnsi="Times New Roman"/>
                <w:color w:val="auto"/>
                <w:sz w:val="21"/>
                <w:szCs w:val="21"/>
                <w:lang w:eastAsia="zh-CN"/>
              </w:rPr>
              <w:t>固体废物</w:t>
            </w:r>
            <w:r>
              <w:rPr>
                <w:rFonts w:hint="eastAsia" w:ascii="Times New Roman" w:hAnsi="Times New Roman"/>
                <w:color w:val="auto"/>
                <w:sz w:val="21"/>
                <w:szCs w:val="21"/>
              </w:rPr>
              <w:t>包括生活垃圾和餐厨垃圾，其中生活垃圾</w:t>
            </w:r>
            <w:r>
              <w:rPr>
                <w:rFonts w:ascii="Times New Roman" w:hAnsi="Times New Roman"/>
                <w:color w:val="auto"/>
                <w:sz w:val="21"/>
                <w:szCs w:val="21"/>
              </w:rPr>
              <w:t>收集后</w:t>
            </w:r>
            <w:r>
              <w:rPr>
                <w:rFonts w:hint="eastAsia" w:ascii="Times New Roman" w:hAnsi="Times New Roman"/>
                <w:color w:val="auto"/>
                <w:sz w:val="21"/>
                <w:szCs w:val="21"/>
              </w:rPr>
              <w:t>由</w:t>
            </w:r>
            <w:r>
              <w:rPr>
                <w:rFonts w:hint="eastAsia" w:ascii="Times New Roman" w:hAnsi="Times New Roman"/>
                <w:color w:val="auto"/>
                <w:sz w:val="21"/>
                <w:szCs w:val="21"/>
                <w:lang w:eastAsia="zh-CN"/>
              </w:rPr>
              <w:t>环卫部门</w:t>
            </w:r>
            <w:r>
              <w:rPr>
                <w:rFonts w:hint="eastAsia" w:ascii="Times New Roman" w:hAnsi="Times New Roman"/>
                <w:color w:val="auto"/>
                <w:sz w:val="21"/>
                <w:szCs w:val="21"/>
              </w:rPr>
              <w:t>定期清运处置；餐厨垃圾</w:t>
            </w:r>
            <w:r>
              <w:rPr>
                <w:rFonts w:ascii="Times New Roman" w:hAnsi="Times New Roman"/>
                <w:color w:val="auto"/>
                <w:sz w:val="21"/>
                <w:szCs w:val="21"/>
              </w:rPr>
              <w:t>用带盖泔水收集桶收集后</w:t>
            </w:r>
            <w:r>
              <w:rPr>
                <w:rFonts w:hint="eastAsia" w:ascii="Times New Roman" w:hAnsi="Times New Roman"/>
                <w:color w:val="auto"/>
                <w:sz w:val="21"/>
                <w:szCs w:val="21"/>
              </w:rPr>
              <w:t>清运至相关部门指定地点处置</w:t>
            </w:r>
          </w:p>
        </w:tc>
      </w:tr>
      <w:tr w14:paraId="0B85F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689" w:type="pct"/>
            <w:vAlign w:val="center"/>
          </w:tcPr>
          <w:p w14:paraId="437E852E">
            <w:pPr>
              <w:adjustRightInd w:val="0"/>
              <w:snapToGrid w:val="0"/>
              <w:spacing w:line="360" w:lineRule="auto"/>
              <w:jc w:val="left"/>
              <w:rPr>
                <w:rFonts w:ascii="Times New Roman" w:hAnsi="Times New Roman"/>
                <w:color w:val="auto"/>
                <w:sz w:val="21"/>
                <w:szCs w:val="21"/>
              </w:rPr>
            </w:pPr>
            <w:r>
              <w:rPr>
                <w:rFonts w:ascii="Times New Roman" w:hAnsi="Times New Roman"/>
                <w:color w:val="auto"/>
                <w:sz w:val="21"/>
                <w:szCs w:val="21"/>
              </w:rPr>
              <w:t>土壤及地下水污染防治措施</w:t>
            </w:r>
          </w:p>
        </w:tc>
        <w:tc>
          <w:tcPr>
            <w:tcW w:w="4310" w:type="pct"/>
            <w:gridSpan w:val="4"/>
            <w:vAlign w:val="center"/>
          </w:tcPr>
          <w:p w14:paraId="31B97D40">
            <w:pPr>
              <w:adjustRightInd w:val="0"/>
              <w:snapToGrid w:val="0"/>
              <w:spacing w:line="360" w:lineRule="auto"/>
              <w:jc w:val="left"/>
              <w:rPr>
                <w:rFonts w:ascii="Times New Roman" w:hAnsi="Times New Roman"/>
                <w:color w:val="auto"/>
                <w:sz w:val="21"/>
                <w:szCs w:val="21"/>
              </w:rPr>
            </w:pPr>
            <w:r>
              <w:rPr>
                <w:rFonts w:hint="eastAsia" w:ascii="Times New Roman" w:hAnsi="Times New Roman"/>
                <w:color w:val="auto"/>
                <w:sz w:val="21"/>
                <w:szCs w:val="21"/>
              </w:rPr>
              <w:t>-</w:t>
            </w:r>
          </w:p>
        </w:tc>
      </w:tr>
      <w:tr w14:paraId="63B55C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89" w:type="pct"/>
            <w:vAlign w:val="center"/>
          </w:tcPr>
          <w:p w14:paraId="38789012">
            <w:pPr>
              <w:adjustRightInd w:val="0"/>
              <w:snapToGrid w:val="0"/>
              <w:spacing w:line="360" w:lineRule="auto"/>
              <w:jc w:val="left"/>
              <w:rPr>
                <w:rFonts w:ascii="Times New Roman" w:hAnsi="Times New Roman"/>
                <w:color w:val="auto"/>
                <w:sz w:val="21"/>
                <w:szCs w:val="21"/>
              </w:rPr>
            </w:pPr>
            <w:r>
              <w:rPr>
                <w:rFonts w:ascii="Times New Roman" w:hAnsi="Times New Roman"/>
                <w:color w:val="auto"/>
                <w:sz w:val="21"/>
                <w:szCs w:val="21"/>
              </w:rPr>
              <w:t>生态保护措施</w:t>
            </w:r>
          </w:p>
        </w:tc>
        <w:tc>
          <w:tcPr>
            <w:tcW w:w="4310" w:type="pct"/>
            <w:gridSpan w:val="4"/>
            <w:vAlign w:val="center"/>
          </w:tcPr>
          <w:p w14:paraId="3485C66C">
            <w:pPr>
              <w:adjustRightInd w:val="0"/>
              <w:snapToGrid w:val="0"/>
              <w:spacing w:line="360" w:lineRule="auto"/>
              <w:jc w:val="left"/>
              <w:rPr>
                <w:rFonts w:ascii="Times New Roman" w:hAnsi="Times New Roman"/>
                <w:color w:val="auto"/>
                <w:sz w:val="21"/>
                <w:szCs w:val="21"/>
              </w:rPr>
            </w:pPr>
            <w:r>
              <w:rPr>
                <w:rFonts w:hint="eastAsia" w:ascii="Times New Roman" w:hAnsi="Times New Roman"/>
                <w:color w:val="auto"/>
                <w:sz w:val="21"/>
                <w:szCs w:val="21"/>
              </w:rPr>
              <w:t>-</w:t>
            </w:r>
          </w:p>
        </w:tc>
      </w:tr>
      <w:tr w14:paraId="1BC0CA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89" w:type="pct"/>
            <w:vAlign w:val="center"/>
          </w:tcPr>
          <w:p w14:paraId="6AEB71E4">
            <w:pPr>
              <w:adjustRightInd w:val="0"/>
              <w:snapToGrid w:val="0"/>
              <w:spacing w:line="360" w:lineRule="auto"/>
              <w:jc w:val="left"/>
              <w:rPr>
                <w:rFonts w:ascii="Times New Roman" w:hAnsi="Times New Roman"/>
                <w:color w:val="auto"/>
                <w:spacing w:val="-8"/>
                <w:sz w:val="21"/>
                <w:szCs w:val="21"/>
              </w:rPr>
            </w:pPr>
            <w:r>
              <w:rPr>
                <w:rFonts w:ascii="Times New Roman" w:hAnsi="Times New Roman"/>
                <w:color w:val="auto"/>
                <w:spacing w:val="-8"/>
                <w:sz w:val="21"/>
                <w:szCs w:val="21"/>
              </w:rPr>
              <w:t>环境风险</w:t>
            </w:r>
          </w:p>
          <w:p w14:paraId="3805CA18">
            <w:pPr>
              <w:adjustRightInd w:val="0"/>
              <w:snapToGrid w:val="0"/>
              <w:spacing w:line="360" w:lineRule="auto"/>
              <w:jc w:val="left"/>
              <w:rPr>
                <w:rFonts w:ascii="Times New Roman" w:hAnsi="Times New Roman"/>
                <w:color w:val="auto"/>
                <w:spacing w:val="-8"/>
                <w:sz w:val="21"/>
                <w:szCs w:val="21"/>
              </w:rPr>
            </w:pPr>
            <w:r>
              <w:rPr>
                <w:rFonts w:ascii="Times New Roman" w:hAnsi="Times New Roman"/>
                <w:color w:val="auto"/>
                <w:spacing w:val="-8"/>
                <w:sz w:val="21"/>
                <w:szCs w:val="21"/>
              </w:rPr>
              <w:t>防范措施</w:t>
            </w:r>
          </w:p>
        </w:tc>
        <w:tc>
          <w:tcPr>
            <w:tcW w:w="4310" w:type="pct"/>
            <w:gridSpan w:val="4"/>
            <w:vAlign w:val="center"/>
          </w:tcPr>
          <w:p w14:paraId="5AA81FC0">
            <w:pPr>
              <w:adjustRightInd w:val="0"/>
              <w:snapToGrid w:val="0"/>
              <w:spacing w:line="360" w:lineRule="auto"/>
              <w:jc w:val="left"/>
              <w:rPr>
                <w:rFonts w:hint="eastAsia" w:ascii="Times New Roman" w:hAnsi="Times New Roman" w:eastAsia="宋体" w:cs="Times New Roman"/>
                <w:color w:val="auto"/>
                <w:spacing w:val="-8"/>
                <w:sz w:val="21"/>
                <w:szCs w:val="21"/>
                <w:lang w:val="en-US" w:eastAsia="zh-CN"/>
              </w:rPr>
            </w:pPr>
            <w:r>
              <w:rPr>
                <w:rFonts w:hint="eastAsia" w:ascii="Times New Roman" w:hAnsi="Times New Roman" w:eastAsia="宋体" w:cs="Times New Roman"/>
                <w:color w:val="auto"/>
                <w:spacing w:val="-8"/>
                <w:sz w:val="21"/>
                <w:szCs w:val="21"/>
                <w:lang w:val="en-US" w:eastAsia="zh-CN"/>
              </w:rPr>
              <w:t xml:space="preserve">1、编制突发环境事件应急预案，并报德宏州生态环境局芒市分局备案。 </w:t>
            </w:r>
          </w:p>
          <w:p w14:paraId="279313B6">
            <w:pPr>
              <w:adjustRightInd w:val="0"/>
              <w:snapToGrid w:val="0"/>
              <w:spacing w:line="360" w:lineRule="auto"/>
              <w:jc w:val="left"/>
              <w:rPr>
                <w:rFonts w:hint="eastAsia" w:ascii="Times New Roman" w:hAnsi="Times New Roman" w:eastAsia="宋体" w:cs="Times New Roman"/>
                <w:color w:val="auto"/>
                <w:spacing w:val="-8"/>
                <w:sz w:val="21"/>
                <w:szCs w:val="21"/>
                <w:lang w:val="en-US" w:eastAsia="zh-CN"/>
              </w:rPr>
            </w:pPr>
            <w:r>
              <w:rPr>
                <w:rFonts w:hint="eastAsia" w:ascii="Times New Roman" w:hAnsi="Times New Roman" w:eastAsia="宋体" w:cs="Times New Roman"/>
                <w:color w:val="auto"/>
                <w:spacing w:val="-8"/>
                <w:sz w:val="21"/>
                <w:szCs w:val="21"/>
                <w:lang w:val="en-US" w:eastAsia="zh-CN"/>
              </w:rPr>
              <w:t>2、定期或不定期对从业人员进行专业技术培训、安全教育培训等。</w:t>
            </w:r>
          </w:p>
        </w:tc>
      </w:tr>
      <w:tr w14:paraId="7AEFD8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89" w:type="pct"/>
            <w:vAlign w:val="center"/>
          </w:tcPr>
          <w:p w14:paraId="5550BCFB">
            <w:pPr>
              <w:adjustRightInd w:val="0"/>
              <w:snapToGrid w:val="0"/>
              <w:spacing w:line="360" w:lineRule="auto"/>
              <w:jc w:val="left"/>
              <w:rPr>
                <w:rFonts w:ascii="Times New Roman" w:hAnsi="Times New Roman"/>
                <w:color w:val="auto"/>
                <w:spacing w:val="-8"/>
                <w:sz w:val="21"/>
                <w:szCs w:val="21"/>
              </w:rPr>
            </w:pPr>
            <w:r>
              <w:rPr>
                <w:rFonts w:ascii="Times New Roman" w:hAnsi="Times New Roman"/>
                <w:color w:val="auto"/>
                <w:spacing w:val="-8"/>
                <w:sz w:val="21"/>
                <w:szCs w:val="21"/>
              </w:rPr>
              <w:t>其他环境</w:t>
            </w:r>
          </w:p>
          <w:p w14:paraId="25E3668F">
            <w:pPr>
              <w:adjustRightInd w:val="0"/>
              <w:snapToGrid w:val="0"/>
              <w:spacing w:line="360" w:lineRule="auto"/>
              <w:jc w:val="left"/>
              <w:rPr>
                <w:rFonts w:ascii="Times New Roman" w:hAnsi="Times New Roman"/>
                <w:color w:val="auto"/>
                <w:spacing w:val="-8"/>
                <w:sz w:val="21"/>
                <w:szCs w:val="21"/>
              </w:rPr>
            </w:pPr>
            <w:r>
              <w:rPr>
                <w:rFonts w:ascii="Times New Roman" w:hAnsi="Times New Roman"/>
                <w:color w:val="auto"/>
                <w:spacing w:val="-8"/>
                <w:sz w:val="21"/>
                <w:szCs w:val="21"/>
              </w:rPr>
              <w:t>管理要求</w:t>
            </w:r>
          </w:p>
        </w:tc>
        <w:tc>
          <w:tcPr>
            <w:tcW w:w="4310" w:type="pct"/>
            <w:gridSpan w:val="4"/>
            <w:vAlign w:val="center"/>
          </w:tcPr>
          <w:p w14:paraId="0E05ABB3">
            <w:pPr>
              <w:adjustRightInd w:val="0"/>
              <w:snapToGrid w:val="0"/>
              <w:spacing w:line="360" w:lineRule="auto"/>
              <w:jc w:val="left"/>
              <w:rPr>
                <w:rFonts w:hint="eastAsia" w:ascii="Times New Roman" w:hAnsi="Times New Roman" w:eastAsia="宋体" w:cs="Times New Roman"/>
                <w:color w:val="auto"/>
                <w:spacing w:val="-8"/>
                <w:sz w:val="21"/>
                <w:szCs w:val="21"/>
                <w:lang w:val="en-US" w:eastAsia="zh-CN"/>
              </w:rPr>
            </w:pPr>
            <w:r>
              <w:rPr>
                <w:rFonts w:hint="eastAsia" w:ascii="Times New Roman" w:hAnsi="Times New Roman" w:eastAsia="宋体" w:cs="Times New Roman"/>
                <w:color w:val="auto"/>
                <w:spacing w:val="-8"/>
                <w:sz w:val="21"/>
                <w:szCs w:val="21"/>
                <w:lang w:val="en-US" w:eastAsia="zh-CN"/>
              </w:rPr>
              <w:t>1、根据《固定污染源排污许可分类管理名录（2019年版）》执行相关排污管理。</w:t>
            </w:r>
          </w:p>
          <w:p w14:paraId="1D06D7B4">
            <w:pPr>
              <w:adjustRightInd w:val="0"/>
              <w:snapToGrid w:val="0"/>
              <w:spacing w:line="360" w:lineRule="auto"/>
              <w:jc w:val="left"/>
              <w:rPr>
                <w:rFonts w:hint="eastAsia" w:ascii="Times New Roman" w:hAnsi="Times New Roman" w:eastAsia="宋体" w:cs="Times New Roman"/>
                <w:color w:val="auto"/>
                <w:spacing w:val="-8"/>
                <w:sz w:val="21"/>
                <w:szCs w:val="21"/>
                <w:lang w:val="en-US" w:eastAsia="zh-CN"/>
              </w:rPr>
            </w:pPr>
            <w:r>
              <w:rPr>
                <w:rFonts w:hint="eastAsia" w:ascii="Times New Roman" w:hAnsi="Times New Roman" w:eastAsia="宋体" w:cs="Times New Roman"/>
                <w:color w:val="auto"/>
                <w:spacing w:val="-8"/>
                <w:sz w:val="21"/>
                <w:szCs w:val="21"/>
                <w:lang w:val="en-US" w:eastAsia="zh-CN"/>
              </w:rPr>
              <w:t>2、根据《建设项目竣工环境保护验收暂行办法》的规定，建设项目竣工后，建设单位应当如实查验、监测、记载建设项目环境保护设施的建设和调试情况，编制验收监测报告。</w:t>
            </w:r>
          </w:p>
          <w:p w14:paraId="00842A6D">
            <w:pPr>
              <w:adjustRightInd w:val="0"/>
              <w:snapToGrid w:val="0"/>
              <w:spacing w:line="360" w:lineRule="auto"/>
              <w:jc w:val="left"/>
              <w:rPr>
                <w:rFonts w:hint="eastAsia" w:ascii="Times New Roman" w:hAnsi="Times New Roman" w:eastAsia="宋体" w:cs="Times New Roman"/>
                <w:color w:val="auto"/>
                <w:spacing w:val="-8"/>
                <w:sz w:val="21"/>
                <w:szCs w:val="21"/>
                <w:lang w:val="en-US" w:eastAsia="zh-CN"/>
              </w:rPr>
            </w:pPr>
            <w:r>
              <w:rPr>
                <w:rFonts w:hint="eastAsia" w:ascii="Times New Roman" w:hAnsi="Times New Roman" w:eastAsia="宋体" w:cs="Times New Roman"/>
                <w:color w:val="auto"/>
                <w:spacing w:val="-8"/>
                <w:sz w:val="21"/>
                <w:szCs w:val="21"/>
                <w:lang w:val="en-US" w:eastAsia="zh-CN"/>
              </w:rPr>
              <w:t>3、按照要求做好开展</w:t>
            </w:r>
            <w:bookmarkStart w:id="20" w:name="_GoBack"/>
            <w:bookmarkEnd w:id="20"/>
            <w:r>
              <w:rPr>
                <w:rFonts w:hint="eastAsia" w:cs="Times New Roman"/>
                <w:color w:val="auto"/>
                <w:spacing w:val="-8"/>
                <w:sz w:val="21"/>
                <w:szCs w:val="21"/>
                <w:lang w:val="en-US" w:eastAsia="zh-CN"/>
              </w:rPr>
              <w:t>台账</w:t>
            </w:r>
            <w:r>
              <w:rPr>
                <w:rFonts w:hint="eastAsia" w:ascii="Times New Roman" w:hAnsi="Times New Roman" w:eastAsia="宋体" w:cs="Times New Roman"/>
                <w:color w:val="auto"/>
                <w:spacing w:val="-8"/>
                <w:sz w:val="21"/>
                <w:szCs w:val="21"/>
                <w:lang w:val="en-US" w:eastAsia="zh-CN"/>
              </w:rPr>
              <w:t xml:space="preserve">记录、自行监测等，建立环境保护制度。 </w:t>
            </w:r>
          </w:p>
        </w:tc>
      </w:tr>
    </w:tbl>
    <w:p w14:paraId="06288F03">
      <w:pPr>
        <w:spacing w:line="360" w:lineRule="auto"/>
        <w:jc w:val="left"/>
        <w:rPr>
          <w:rFonts w:ascii="Times New Roman" w:hAnsi="Times New Roman"/>
          <w:color w:val="auto"/>
        </w:rPr>
      </w:pPr>
    </w:p>
    <w:p w14:paraId="27BC975E">
      <w:pPr>
        <w:rPr>
          <w:rFonts w:ascii="Times New Roman" w:hAnsi="Times New Roman"/>
          <w:color w:val="auto"/>
        </w:rPr>
      </w:pPr>
      <w:r>
        <w:rPr>
          <w:rFonts w:hint="eastAsia" w:ascii="Times New Roman" w:hAnsi="Times New Roman"/>
          <w:color w:val="auto"/>
        </w:rPr>
        <w:br w:type="page"/>
      </w:r>
    </w:p>
    <w:p w14:paraId="651E19E6">
      <w:pPr>
        <w:pStyle w:val="2"/>
        <w:jc w:val="center"/>
        <w:rPr>
          <w:rFonts w:ascii="Times New Roman" w:hAnsi="Times New Roman"/>
          <w:color w:val="auto"/>
        </w:rPr>
      </w:pPr>
      <w:bookmarkStart w:id="17" w:name="_Toc14352"/>
      <w:r>
        <w:rPr>
          <w:rFonts w:hint="eastAsia" w:ascii="Times New Roman" w:hAnsi="Times New Roman"/>
          <w:color w:val="auto"/>
        </w:rPr>
        <w:t>六、结论</w:t>
      </w:r>
      <w:bookmarkEnd w:id="17"/>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2"/>
      </w:tblGrid>
      <w:tr w14:paraId="7A17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3" w:hRule="atLeast"/>
        </w:trPr>
        <w:tc>
          <w:tcPr>
            <w:tcW w:w="5000" w:type="pct"/>
          </w:tcPr>
          <w:p w14:paraId="081DDE77">
            <w:pPr>
              <w:widowControl/>
              <w:ind w:firstLine="480" w:firstLineChars="200"/>
              <w:jc w:val="left"/>
              <w:rPr>
                <w:rFonts w:ascii="Times New Roman" w:hAnsi="Times New Roman"/>
                <w:color w:val="auto"/>
              </w:rPr>
            </w:pPr>
            <w:r>
              <w:rPr>
                <w:rFonts w:hint="eastAsia" w:ascii="Times New Roman" w:hAnsi="Times New Roman"/>
                <w:color w:val="auto"/>
              </w:rPr>
              <w:t>本项目符合国家产业政策，</w:t>
            </w:r>
            <w:r>
              <w:rPr>
                <w:rFonts w:hint="eastAsia" w:ascii="Times New Roman" w:hAnsi="Times New Roman"/>
                <w:color w:val="auto"/>
                <w:lang w:eastAsia="zh-CN"/>
              </w:rPr>
              <w:t>选址可行，</w:t>
            </w:r>
            <w:r>
              <w:rPr>
                <w:rFonts w:hint="eastAsia" w:ascii="Times New Roman" w:hAnsi="Times New Roman"/>
                <w:color w:val="auto"/>
              </w:rPr>
              <w:t>符合总体规划，在采取了相应的防治措施后，项目可做到废水不外排，废气达标排放，固体废弃物合理处置，噪声达标，其营运基本不会改变周围环境的功能，对项目外环境的影响可以接受。建设单位在建设、营运过程中，必须严格落实本环评提出的各项污染防治对策措施，认真做好</w:t>
            </w:r>
            <w:r>
              <w:rPr>
                <w:rFonts w:hint="eastAsia" w:ascii="Times New Roman" w:hAnsi="Times New Roman"/>
                <w:color w:val="auto"/>
                <w:lang w:eastAsia="zh-CN"/>
              </w:rPr>
              <w:t>“</w:t>
            </w:r>
            <w:r>
              <w:rPr>
                <w:rFonts w:hint="eastAsia" w:ascii="Times New Roman" w:hAnsi="Times New Roman"/>
                <w:color w:val="auto"/>
              </w:rPr>
              <w:t>三同时</w:t>
            </w:r>
            <w:r>
              <w:rPr>
                <w:rFonts w:hint="eastAsia" w:ascii="Times New Roman" w:hAnsi="Times New Roman"/>
                <w:color w:val="auto"/>
                <w:lang w:eastAsia="zh-CN"/>
              </w:rPr>
              <w:t>”</w:t>
            </w:r>
            <w:r>
              <w:rPr>
                <w:rFonts w:hint="eastAsia" w:ascii="Times New Roman" w:hAnsi="Times New Roman"/>
                <w:color w:val="auto"/>
              </w:rPr>
              <w:t>建设及日常环境管理工作，从</w:t>
            </w:r>
            <w:r>
              <w:rPr>
                <w:rFonts w:hint="eastAsia" w:ascii="Times New Roman" w:hAnsi="Times New Roman"/>
                <w:color w:val="auto"/>
                <w:lang w:eastAsia="zh-CN"/>
              </w:rPr>
              <w:t>环境保护</w:t>
            </w:r>
            <w:r>
              <w:rPr>
                <w:rFonts w:hint="eastAsia" w:ascii="Times New Roman" w:hAnsi="Times New Roman"/>
                <w:color w:val="auto"/>
              </w:rPr>
              <w:t>角度出发，本项目建设</w:t>
            </w:r>
            <w:r>
              <w:rPr>
                <w:rFonts w:hint="eastAsia" w:ascii="Times New Roman" w:hAnsi="Times New Roman"/>
                <w:color w:val="auto"/>
                <w:lang w:eastAsia="zh-CN"/>
              </w:rPr>
              <w:t>是</w:t>
            </w:r>
            <w:r>
              <w:rPr>
                <w:rFonts w:hint="eastAsia" w:ascii="Times New Roman" w:hAnsi="Times New Roman"/>
                <w:color w:val="auto"/>
              </w:rPr>
              <w:t>可行</w:t>
            </w:r>
            <w:r>
              <w:rPr>
                <w:rFonts w:hint="eastAsia" w:ascii="Times New Roman" w:hAnsi="Times New Roman"/>
                <w:color w:val="auto"/>
                <w:lang w:eastAsia="zh-CN"/>
              </w:rPr>
              <w:t>的</w:t>
            </w:r>
            <w:r>
              <w:rPr>
                <w:rFonts w:hint="eastAsia" w:ascii="Times New Roman" w:hAnsi="Times New Roman"/>
                <w:color w:val="auto"/>
              </w:rPr>
              <w:t>。</w:t>
            </w:r>
          </w:p>
          <w:p w14:paraId="7A45AD51">
            <w:pPr>
              <w:rPr>
                <w:rFonts w:ascii="Times New Roman" w:hAnsi="Times New Roman"/>
                <w:color w:val="auto"/>
              </w:rPr>
            </w:pPr>
          </w:p>
        </w:tc>
      </w:tr>
    </w:tbl>
    <w:p w14:paraId="0BF5060D">
      <w:pPr>
        <w:rPr>
          <w:rFonts w:ascii="Times New Roman" w:hAnsi="Times New Roman"/>
          <w:color w:val="auto"/>
        </w:rPr>
        <w:sectPr>
          <w:footerReference r:id="rId7" w:type="default"/>
          <w:pgSz w:w="13606" w:h="17575"/>
          <w:pgMar w:top="1440" w:right="1800" w:bottom="1440" w:left="1800" w:header="851" w:footer="992" w:gutter="0"/>
          <w:pgNumType w:start="1"/>
          <w:cols w:space="0" w:num="1"/>
          <w:rtlGutter w:val="0"/>
          <w:docGrid w:type="lines" w:linePitch="312" w:charSpace="0"/>
        </w:sectPr>
      </w:pPr>
    </w:p>
    <w:p w14:paraId="27E2E8C4">
      <w:pPr>
        <w:pStyle w:val="18"/>
        <w:adjustRightInd w:val="0"/>
        <w:snapToGrid w:val="0"/>
        <w:spacing w:before="0" w:beforeAutospacing="0" w:after="0" w:afterAutospacing="0"/>
        <w:outlineLvl w:val="0"/>
        <w:rPr>
          <w:rFonts w:ascii="Times New Roman" w:hAnsi="Times New Roman"/>
          <w:b/>
          <w:bCs/>
          <w:snapToGrid w:val="0"/>
          <w:color w:val="auto"/>
          <w:sz w:val="32"/>
          <w:szCs w:val="32"/>
        </w:rPr>
      </w:pPr>
      <w:bookmarkStart w:id="18" w:name="_Toc18093"/>
      <w:bookmarkStart w:id="19" w:name="_Toc14272"/>
      <w:r>
        <w:rPr>
          <w:rFonts w:hint="eastAsia" w:ascii="Times New Roman" w:hAnsi="Times New Roman"/>
          <w:b/>
          <w:bCs/>
          <w:snapToGrid w:val="0"/>
          <w:color w:val="auto"/>
          <w:sz w:val="32"/>
          <w:szCs w:val="32"/>
        </w:rPr>
        <w:t>附表</w:t>
      </w:r>
      <w:bookmarkEnd w:id="18"/>
      <w:bookmarkEnd w:id="19"/>
    </w:p>
    <w:p w14:paraId="70869168">
      <w:pPr>
        <w:jc w:val="center"/>
        <w:rPr>
          <w:rFonts w:ascii="Times New Roman" w:hAnsi="Times New Roman"/>
          <w:b/>
          <w:bCs/>
          <w:color w:val="auto"/>
          <w:sz w:val="28"/>
          <w:szCs w:val="28"/>
        </w:rPr>
      </w:pPr>
      <w:r>
        <w:rPr>
          <w:rFonts w:hint="eastAsia" w:ascii="Times New Roman" w:hAnsi="Times New Roman"/>
          <w:b/>
          <w:bCs/>
          <w:color w:val="auto"/>
          <w:sz w:val="28"/>
          <w:szCs w:val="28"/>
        </w:rPr>
        <w:t>建设项目污染物排放量汇总表</w:t>
      </w:r>
    </w:p>
    <w:tbl>
      <w:tblPr>
        <w:tblStyle w:val="20"/>
        <w:tblW w:w="1405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1444"/>
        <w:gridCol w:w="1736"/>
        <w:gridCol w:w="1207"/>
        <w:gridCol w:w="1667"/>
        <w:gridCol w:w="1605"/>
        <w:gridCol w:w="1572"/>
        <w:gridCol w:w="1680"/>
        <w:gridCol w:w="1528"/>
      </w:tblGrid>
      <w:tr w14:paraId="314435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1618" w:type="dxa"/>
            <w:tcBorders>
              <w:tl2br w:val="single" w:color="auto" w:sz="4" w:space="0"/>
            </w:tcBorders>
            <w:tcMar>
              <w:left w:w="28" w:type="dxa"/>
              <w:right w:w="28" w:type="dxa"/>
            </w:tcMar>
            <w:vAlign w:val="center"/>
          </w:tcPr>
          <w:p w14:paraId="06D211B5">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项目</w:t>
            </w:r>
          </w:p>
          <w:p w14:paraId="584855BF">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分类</w:t>
            </w:r>
          </w:p>
        </w:tc>
        <w:tc>
          <w:tcPr>
            <w:tcW w:w="1444" w:type="dxa"/>
            <w:tcMar>
              <w:left w:w="28" w:type="dxa"/>
              <w:right w:w="28" w:type="dxa"/>
            </w:tcMar>
            <w:vAlign w:val="center"/>
          </w:tcPr>
          <w:p w14:paraId="439FEAE6">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污染物名称</w:t>
            </w:r>
          </w:p>
        </w:tc>
        <w:tc>
          <w:tcPr>
            <w:tcW w:w="1736" w:type="dxa"/>
            <w:tcMar>
              <w:left w:w="28" w:type="dxa"/>
              <w:right w:w="28" w:type="dxa"/>
            </w:tcMar>
            <w:vAlign w:val="center"/>
          </w:tcPr>
          <w:p w14:paraId="67C851BD">
            <w:pPr>
              <w:spacing w:line="240" w:lineRule="auto"/>
              <w:jc w:val="center"/>
              <w:rPr>
                <w:rFonts w:ascii="Times New Roman" w:hAnsi="Times New Roman"/>
                <w:color w:val="auto"/>
                <w:sz w:val="21"/>
                <w:szCs w:val="21"/>
              </w:rPr>
            </w:pPr>
            <w:r>
              <w:rPr>
                <w:rFonts w:ascii="Times New Roman" w:hAnsi="Times New Roman"/>
                <w:color w:val="auto"/>
                <w:sz w:val="21"/>
                <w:szCs w:val="21"/>
              </w:rPr>
              <w:t>现有工程</w:t>
            </w:r>
          </w:p>
          <w:p w14:paraId="298BF9D3">
            <w:pPr>
              <w:spacing w:line="240" w:lineRule="auto"/>
              <w:jc w:val="center"/>
              <w:rPr>
                <w:rFonts w:ascii="Times New Roman" w:hAnsi="Times New Roman"/>
                <w:color w:val="auto"/>
                <w:sz w:val="21"/>
                <w:szCs w:val="21"/>
              </w:rPr>
            </w:pPr>
            <w:r>
              <w:rPr>
                <w:rFonts w:ascii="Times New Roman" w:hAnsi="Times New Roman"/>
                <w:color w:val="auto"/>
                <w:sz w:val="21"/>
                <w:szCs w:val="21"/>
              </w:rPr>
              <w:t>排放量（固</w:t>
            </w:r>
            <w:r>
              <w:rPr>
                <w:rFonts w:hint="eastAsia" w:ascii="Times New Roman" w:hAnsi="Times New Roman"/>
                <w:color w:val="auto"/>
                <w:sz w:val="21"/>
                <w:szCs w:val="21"/>
              </w:rPr>
              <w:t>体</w:t>
            </w:r>
            <w:r>
              <w:rPr>
                <w:rFonts w:ascii="Times New Roman" w:hAnsi="Times New Roman"/>
                <w:color w:val="auto"/>
                <w:sz w:val="21"/>
                <w:szCs w:val="21"/>
              </w:rPr>
              <w:t>废</w:t>
            </w:r>
            <w:r>
              <w:rPr>
                <w:rFonts w:hint="eastAsia" w:ascii="Times New Roman" w:hAnsi="Times New Roman"/>
                <w:color w:val="auto"/>
                <w:sz w:val="21"/>
                <w:szCs w:val="21"/>
              </w:rPr>
              <w:t>物</w:t>
            </w:r>
            <w:r>
              <w:rPr>
                <w:rFonts w:ascii="Times New Roman" w:hAnsi="Times New Roman"/>
                <w:color w:val="auto"/>
                <w:sz w:val="21"/>
                <w:szCs w:val="21"/>
              </w:rPr>
              <w:t>产生量）</w:t>
            </w:r>
            <w:r>
              <w:rPr>
                <w:rFonts w:ascii="Times New Roman" w:hAnsi="Times New Roman"/>
                <w:color w:val="auto"/>
                <w:sz w:val="21"/>
                <w:szCs w:val="21"/>
              </w:rPr>
              <w:fldChar w:fldCharType="begin"/>
            </w:r>
            <w:r>
              <w:rPr>
                <w:rFonts w:ascii="Times New Roman" w:hAnsi="Times New Roman"/>
                <w:color w:val="auto"/>
                <w:sz w:val="21"/>
                <w:szCs w:val="21"/>
              </w:rPr>
              <w:instrText xml:space="preserve"> = 1 \* GB3 \* MERGEFORMAT </w:instrText>
            </w:r>
            <w:r>
              <w:rPr>
                <w:rFonts w:ascii="Times New Roman" w:hAnsi="Times New Roman"/>
                <w:color w:val="auto"/>
                <w:sz w:val="21"/>
                <w:szCs w:val="21"/>
              </w:rPr>
              <w:fldChar w:fldCharType="separate"/>
            </w:r>
            <w:r>
              <w:rPr>
                <w:rFonts w:hint="eastAsia" w:ascii="Times New Roman" w:hAnsi="Times New Roman"/>
                <w:color w:val="auto"/>
                <w:sz w:val="21"/>
                <w:szCs w:val="21"/>
              </w:rPr>
              <w:t>①</w:t>
            </w:r>
            <w:r>
              <w:rPr>
                <w:rFonts w:ascii="Times New Roman" w:hAnsi="Times New Roman"/>
                <w:color w:val="auto"/>
                <w:sz w:val="21"/>
                <w:szCs w:val="21"/>
              </w:rPr>
              <w:fldChar w:fldCharType="end"/>
            </w:r>
          </w:p>
        </w:tc>
        <w:tc>
          <w:tcPr>
            <w:tcW w:w="1207" w:type="dxa"/>
            <w:tcMar>
              <w:left w:w="28" w:type="dxa"/>
              <w:right w:w="28" w:type="dxa"/>
            </w:tcMar>
            <w:vAlign w:val="center"/>
          </w:tcPr>
          <w:p w14:paraId="3DDAC5FD">
            <w:pPr>
              <w:spacing w:line="240" w:lineRule="auto"/>
              <w:jc w:val="center"/>
              <w:rPr>
                <w:rFonts w:ascii="Times New Roman" w:hAnsi="Times New Roman"/>
                <w:color w:val="auto"/>
                <w:sz w:val="21"/>
                <w:szCs w:val="21"/>
              </w:rPr>
            </w:pPr>
            <w:r>
              <w:rPr>
                <w:rFonts w:ascii="Times New Roman" w:hAnsi="Times New Roman"/>
                <w:color w:val="auto"/>
                <w:sz w:val="21"/>
                <w:szCs w:val="21"/>
              </w:rPr>
              <w:t>现有工程</w:t>
            </w:r>
          </w:p>
          <w:p w14:paraId="150BDE30">
            <w:pPr>
              <w:spacing w:line="240" w:lineRule="auto"/>
              <w:jc w:val="center"/>
              <w:rPr>
                <w:rFonts w:ascii="Times New Roman" w:hAnsi="Times New Roman"/>
                <w:color w:val="auto"/>
                <w:sz w:val="21"/>
                <w:szCs w:val="21"/>
              </w:rPr>
            </w:pPr>
            <w:r>
              <w:rPr>
                <w:rFonts w:ascii="Times New Roman" w:hAnsi="Times New Roman"/>
                <w:color w:val="auto"/>
                <w:sz w:val="21"/>
                <w:szCs w:val="21"/>
              </w:rPr>
              <w:t>许可排放量</w:t>
            </w:r>
          </w:p>
          <w:p w14:paraId="3C13F9B7">
            <w:pPr>
              <w:spacing w:line="240" w:lineRule="auto"/>
              <w:jc w:val="center"/>
              <w:rPr>
                <w:rFonts w:ascii="Times New Roman" w:hAnsi="Times New Roman"/>
                <w:color w:val="auto"/>
                <w:sz w:val="21"/>
                <w:szCs w:val="21"/>
              </w:rPr>
            </w:pPr>
            <w:r>
              <w:rPr>
                <w:rFonts w:ascii="Times New Roman" w:hAnsi="Times New Roman"/>
                <w:color w:val="auto"/>
                <w:sz w:val="21"/>
                <w:szCs w:val="21"/>
              </w:rPr>
              <w:fldChar w:fldCharType="begin"/>
            </w:r>
            <w:r>
              <w:rPr>
                <w:rFonts w:ascii="Times New Roman" w:hAnsi="Times New Roman"/>
                <w:color w:val="auto"/>
                <w:sz w:val="21"/>
                <w:szCs w:val="21"/>
              </w:rPr>
              <w:instrText xml:space="preserve"> = 2 \* GB3 \* MERGEFORMAT </w:instrText>
            </w:r>
            <w:r>
              <w:rPr>
                <w:rFonts w:ascii="Times New Roman" w:hAnsi="Times New Roman"/>
                <w:color w:val="auto"/>
                <w:sz w:val="21"/>
                <w:szCs w:val="21"/>
              </w:rPr>
              <w:fldChar w:fldCharType="separate"/>
            </w:r>
            <w:r>
              <w:rPr>
                <w:rFonts w:hint="eastAsia" w:ascii="Times New Roman" w:hAnsi="Times New Roman"/>
                <w:color w:val="auto"/>
                <w:sz w:val="21"/>
                <w:szCs w:val="21"/>
              </w:rPr>
              <w:t>②</w:t>
            </w:r>
            <w:r>
              <w:rPr>
                <w:rFonts w:ascii="Times New Roman" w:hAnsi="Times New Roman"/>
                <w:color w:val="auto"/>
                <w:sz w:val="21"/>
                <w:szCs w:val="21"/>
              </w:rPr>
              <w:fldChar w:fldCharType="end"/>
            </w:r>
          </w:p>
        </w:tc>
        <w:tc>
          <w:tcPr>
            <w:tcW w:w="1667" w:type="dxa"/>
            <w:tcMar>
              <w:left w:w="28" w:type="dxa"/>
              <w:right w:w="28" w:type="dxa"/>
            </w:tcMar>
            <w:vAlign w:val="center"/>
          </w:tcPr>
          <w:p w14:paraId="1B0C8F5D">
            <w:pPr>
              <w:spacing w:line="240" w:lineRule="auto"/>
              <w:jc w:val="center"/>
              <w:rPr>
                <w:rFonts w:ascii="Times New Roman" w:hAnsi="Times New Roman"/>
                <w:color w:val="auto"/>
                <w:sz w:val="21"/>
                <w:szCs w:val="21"/>
              </w:rPr>
            </w:pPr>
            <w:r>
              <w:rPr>
                <w:rFonts w:ascii="Times New Roman" w:hAnsi="Times New Roman"/>
                <w:color w:val="auto"/>
                <w:sz w:val="21"/>
                <w:szCs w:val="21"/>
              </w:rPr>
              <w:t>在建工程</w:t>
            </w:r>
          </w:p>
          <w:p w14:paraId="52717A3D">
            <w:pPr>
              <w:spacing w:line="240" w:lineRule="auto"/>
              <w:jc w:val="center"/>
              <w:rPr>
                <w:rFonts w:ascii="Times New Roman" w:hAnsi="Times New Roman"/>
                <w:color w:val="auto"/>
                <w:sz w:val="21"/>
                <w:szCs w:val="21"/>
              </w:rPr>
            </w:pPr>
            <w:r>
              <w:rPr>
                <w:rFonts w:ascii="Times New Roman" w:hAnsi="Times New Roman"/>
                <w:color w:val="auto"/>
                <w:sz w:val="21"/>
                <w:szCs w:val="21"/>
              </w:rPr>
              <w:t>排放量（固</w:t>
            </w:r>
            <w:r>
              <w:rPr>
                <w:rFonts w:hint="eastAsia" w:ascii="Times New Roman" w:hAnsi="Times New Roman"/>
                <w:color w:val="auto"/>
                <w:sz w:val="21"/>
                <w:szCs w:val="21"/>
              </w:rPr>
              <w:t>体</w:t>
            </w:r>
            <w:r>
              <w:rPr>
                <w:rFonts w:ascii="Times New Roman" w:hAnsi="Times New Roman"/>
                <w:color w:val="auto"/>
                <w:sz w:val="21"/>
                <w:szCs w:val="21"/>
              </w:rPr>
              <w:t>废</w:t>
            </w:r>
            <w:r>
              <w:rPr>
                <w:rFonts w:hint="eastAsia" w:ascii="Times New Roman" w:hAnsi="Times New Roman"/>
                <w:color w:val="auto"/>
                <w:sz w:val="21"/>
                <w:szCs w:val="21"/>
              </w:rPr>
              <w:t>物</w:t>
            </w:r>
            <w:r>
              <w:rPr>
                <w:rFonts w:ascii="Times New Roman" w:hAnsi="Times New Roman"/>
                <w:color w:val="auto"/>
                <w:sz w:val="21"/>
                <w:szCs w:val="21"/>
              </w:rPr>
              <w:t>产生量）</w:t>
            </w:r>
            <w:r>
              <w:rPr>
                <w:rFonts w:ascii="Times New Roman" w:hAnsi="Times New Roman"/>
                <w:color w:val="auto"/>
                <w:sz w:val="21"/>
                <w:szCs w:val="21"/>
              </w:rPr>
              <w:fldChar w:fldCharType="begin"/>
            </w:r>
            <w:r>
              <w:rPr>
                <w:rFonts w:ascii="Times New Roman" w:hAnsi="Times New Roman"/>
                <w:color w:val="auto"/>
                <w:sz w:val="21"/>
                <w:szCs w:val="21"/>
              </w:rPr>
              <w:instrText xml:space="preserve"> = 3 \* GB3 \* MERGEFORMAT </w:instrText>
            </w:r>
            <w:r>
              <w:rPr>
                <w:rFonts w:ascii="Times New Roman" w:hAnsi="Times New Roman"/>
                <w:color w:val="auto"/>
                <w:sz w:val="21"/>
                <w:szCs w:val="21"/>
              </w:rPr>
              <w:fldChar w:fldCharType="separate"/>
            </w:r>
            <w:r>
              <w:rPr>
                <w:rFonts w:hint="eastAsia" w:ascii="Times New Roman" w:hAnsi="Times New Roman"/>
                <w:color w:val="auto"/>
                <w:sz w:val="21"/>
                <w:szCs w:val="21"/>
              </w:rPr>
              <w:t>③</w:t>
            </w:r>
            <w:r>
              <w:rPr>
                <w:rFonts w:ascii="Times New Roman" w:hAnsi="Times New Roman"/>
                <w:color w:val="auto"/>
                <w:sz w:val="21"/>
                <w:szCs w:val="21"/>
              </w:rPr>
              <w:fldChar w:fldCharType="end"/>
            </w:r>
          </w:p>
        </w:tc>
        <w:tc>
          <w:tcPr>
            <w:tcW w:w="1605" w:type="dxa"/>
            <w:tcMar>
              <w:left w:w="28" w:type="dxa"/>
              <w:right w:w="28" w:type="dxa"/>
            </w:tcMar>
            <w:vAlign w:val="center"/>
          </w:tcPr>
          <w:p w14:paraId="35165109">
            <w:pPr>
              <w:spacing w:line="240" w:lineRule="auto"/>
              <w:jc w:val="center"/>
              <w:rPr>
                <w:rFonts w:ascii="Times New Roman" w:hAnsi="Times New Roman"/>
                <w:color w:val="auto"/>
                <w:sz w:val="21"/>
                <w:szCs w:val="21"/>
              </w:rPr>
            </w:pPr>
            <w:r>
              <w:rPr>
                <w:rFonts w:ascii="Times New Roman" w:hAnsi="Times New Roman"/>
                <w:color w:val="auto"/>
                <w:sz w:val="21"/>
                <w:szCs w:val="21"/>
              </w:rPr>
              <w:t>本项目</w:t>
            </w:r>
          </w:p>
          <w:p w14:paraId="779622C0">
            <w:pPr>
              <w:spacing w:line="240" w:lineRule="auto"/>
              <w:jc w:val="center"/>
              <w:rPr>
                <w:rFonts w:ascii="Times New Roman" w:hAnsi="Times New Roman"/>
                <w:color w:val="auto"/>
                <w:sz w:val="21"/>
                <w:szCs w:val="21"/>
              </w:rPr>
            </w:pPr>
            <w:r>
              <w:rPr>
                <w:rFonts w:ascii="Times New Roman" w:hAnsi="Times New Roman"/>
                <w:color w:val="auto"/>
                <w:sz w:val="21"/>
                <w:szCs w:val="21"/>
              </w:rPr>
              <w:t>排放量（固</w:t>
            </w:r>
            <w:r>
              <w:rPr>
                <w:rFonts w:hint="eastAsia" w:ascii="Times New Roman" w:hAnsi="Times New Roman"/>
                <w:color w:val="auto"/>
                <w:sz w:val="21"/>
                <w:szCs w:val="21"/>
              </w:rPr>
              <w:t>体</w:t>
            </w:r>
            <w:r>
              <w:rPr>
                <w:rFonts w:ascii="Times New Roman" w:hAnsi="Times New Roman"/>
                <w:color w:val="auto"/>
                <w:sz w:val="21"/>
                <w:szCs w:val="21"/>
              </w:rPr>
              <w:t>废</w:t>
            </w:r>
            <w:r>
              <w:rPr>
                <w:rFonts w:hint="eastAsia" w:ascii="Times New Roman" w:hAnsi="Times New Roman"/>
                <w:color w:val="auto"/>
                <w:sz w:val="21"/>
                <w:szCs w:val="21"/>
              </w:rPr>
              <w:t>物</w:t>
            </w:r>
            <w:r>
              <w:rPr>
                <w:rFonts w:ascii="Times New Roman" w:hAnsi="Times New Roman"/>
                <w:color w:val="auto"/>
                <w:sz w:val="21"/>
                <w:szCs w:val="21"/>
              </w:rPr>
              <w:t>产生量）</w:t>
            </w:r>
            <w:r>
              <w:rPr>
                <w:rFonts w:ascii="Times New Roman" w:hAnsi="Times New Roman"/>
                <w:color w:val="auto"/>
                <w:sz w:val="21"/>
                <w:szCs w:val="21"/>
              </w:rPr>
              <w:fldChar w:fldCharType="begin"/>
            </w:r>
            <w:r>
              <w:rPr>
                <w:rFonts w:ascii="Times New Roman" w:hAnsi="Times New Roman"/>
                <w:color w:val="auto"/>
                <w:sz w:val="21"/>
                <w:szCs w:val="21"/>
              </w:rPr>
              <w:instrText xml:space="preserve"> = 4 \* GB3 \* MERGEFORMAT </w:instrText>
            </w:r>
            <w:r>
              <w:rPr>
                <w:rFonts w:ascii="Times New Roman" w:hAnsi="Times New Roman"/>
                <w:color w:val="auto"/>
                <w:sz w:val="21"/>
                <w:szCs w:val="21"/>
              </w:rPr>
              <w:fldChar w:fldCharType="separate"/>
            </w:r>
            <w:r>
              <w:rPr>
                <w:rFonts w:hint="eastAsia" w:ascii="Times New Roman" w:hAnsi="Times New Roman"/>
                <w:color w:val="auto"/>
                <w:sz w:val="21"/>
                <w:szCs w:val="21"/>
              </w:rPr>
              <w:t>④</w:t>
            </w:r>
            <w:r>
              <w:rPr>
                <w:rFonts w:ascii="Times New Roman" w:hAnsi="Times New Roman"/>
                <w:color w:val="auto"/>
                <w:sz w:val="21"/>
                <w:szCs w:val="21"/>
              </w:rPr>
              <w:fldChar w:fldCharType="end"/>
            </w:r>
          </w:p>
        </w:tc>
        <w:tc>
          <w:tcPr>
            <w:tcW w:w="1572" w:type="dxa"/>
            <w:tcMar>
              <w:left w:w="28" w:type="dxa"/>
              <w:right w:w="28" w:type="dxa"/>
            </w:tcMar>
            <w:vAlign w:val="center"/>
          </w:tcPr>
          <w:p w14:paraId="6879BDFD">
            <w:pPr>
              <w:spacing w:line="240" w:lineRule="auto"/>
              <w:jc w:val="center"/>
              <w:rPr>
                <w:rFonts w:ascii="Times New Roman" w:hAnsi="Times New Roman"/>
                <w:color w:val="auto"/>
                <w:sz w:val="21"/>
                <w:szCs w:val="21"/>
              </w:rPr>
            </w:pPr>
            <w:r>
              <w:rPr>
                <w:rFonts w:ascii="Times New Roman" w:hAnsi="Times New Roman"/>
                <w:color w:val="auto"/>
                <w:sz w:val="21"/>
                <w:szCs w:val="21"/>
              </w:rPr>
              <w:t>以新带老削减量</w:t>
            </w:r>
          </w:p>
          <w:p w14:paraId="3841AF52">
            <w:pPr>
              <w:spacing w:line="240" w:lineRule="auto"/>
              <w:jc w:val="center"/>
              <w:rPr>
                <w:rFonts w:ascii="Times New Roman" w:hAnsi="Times New Roman"/>
                <w:color w:val="auto"/>
                <w:sz w:val="21"/>
                <w:szCs w:val="21"/>
              </w:rPr>
            </w:pPr>
            <w:r>
              <w:rPr>
                <w:rFonts w:ascii="Times New Roman" w:hAnsi="Times New Roman"/>
                <w:color w:val="auto"/>
                <w:sz w:val="21"/>
                <w:szCs w:val="21"/>
              </w:rPr>
              <w:t>（新建项目不填）</w:t>
            </w:r>
            <w:r>
              <w:rPr>
                <w:rFonts w:ascii="Times New Roman" w:hAnsi="Times New Roman"/>
                <w:color w:val="auto"/>
                <w:sz w:val="21"/>
                <w:szCs w:val="21"/>
              </w:rPr>
              <w:fldChar w:fldCharType="begin"/>
            </w:r>
            <w:r>
              <w:rPr>
                <w:rFonts w:ascii="Times New Roman" w:hAnsi="Times New Roman"/>
                <w:color w:val="auto"/>
                <w:sz w:val="21"/>
                <w:szCs w:val="21"/>
              </w:rPr>
              <w:instrText xml:space="preserve"> = 5 \* GB3 \* MERGEFORMAT </w:instrText>
            </w:r>
            <w:r>
              <w:rPr>
                <w:rFonts w:ascii="Times New Roman" w:hAnsi="Times New Roman"/>
                <w:color w:val="auto"/>
                <w:sz w:val="21"/>
                <w:szCs w:val="21"/>
              </w:rPr>
              <w:fldChar w:fldCharType="separate"/>
            </w:r>
            <w:r>
              <w:rPr>
                <w:rFonts w:hint="eastAsia" w:ascii="Times New Roman" w:hAnsi="Times New Roman"/>
                <w:color w:val="auto"/>
                <w:sz w:val="21"/>
                <w:szCs w:val="21"/>
              </w:rPr>
              <w:t>⑤</w:t>
            </w:r>
            <w:r>
              <w:rPr>
                <w:rFonts w:ascii="Times New Roman" w:hAnsi="Times New Roman"/>
                <w:color w:val="auto"/>
                <w:sz w:val="21"/>
                <w:szCs w:val="21"/>
              </w:rPr>
              <w:fldChar w:fldCharType="end"/>
            </w:r>
          </w:p>
        </w:tc>
        <w:tc>
          <w:tcPr>
            <w:tcW w:w="1680" w:type="dxa"/>
            <w:tcMar>
              <w:left w:w="28" w:type="dxa"/>
              <w:right w:w="28" w:type="dxa"/>
            </w:tcMar>
            <w:vAlign w:val="center"/>
          </w:tcPr>
          <w:p w14:paraId="361691F2">
            <w:pPr>
              <w:spacing w:line="240" w:lineRule="auto"/>
              <w:jc w:val="center"/>
              <w:rPr>
                <w:rFonts w:ascii="Times New Roman" w:hAnsi="Times New Roman"/>
                <w:color w:val="auto"/>
                <w:sz w:val="21"/>
                <w:szCs w:val="21"/>
              </w:rPr>
            </w:pPr>
            <w:r>
              <w:rPr>
                <w:rFonts w:ascii="Times New Roman" w:hAnsi="Times New Roman"/>
                <w:color w:val="auto"/>
                <w:sz w:val="21"/>
                <w:szCs w:val="21"/>
              </w:rPr>
              <w:t>本项目建成后</w:t>
            </w:r>
          </w:p>
          <w:p w14:paraId="7651ED5B">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全厂</w:t>
            </w:r>
            <w:r>
              <w:rPr>
                <w:rFonts w:ascii="Times New Roman" w:hAnsi="Times New Roman"/>
                <w:color w:val="auto"/>
                <w:sz w:val="21"/>
                <w:szCs w:val="21"/>
              </w:rPr>
              <w:t>排放量（固</w:t>
            </w:r>
            <w:r>
              <w:rPr>
                <w:rFonts w:hint="eastAsia" w:ascii="Times New Roman" w:hAnsi="Times New Roman"/>
                <w:color w:val="auto"/>
                <w:sz w:val="21"/>
                <w:szCs w:val="21"/>
              </w:rPr>
              <w:t>体</w:t>
            </w:r>
            <w:r>
              <w:rPr>
                <w:rFonts w:ascii="Times New Roman" w:hAnsi="Times New Roman"/>
                <w:color w:val="auto"/>
                <w:sz w:val="21"/>
                <w:szCs w:val="21"/>
              </w:rPr>
              <w:t>废</w:t>
            </w:r>
            <w:r>
              <w:rPr>
                <w:rFonts w:hint="eastAsia" w:ascii="Times New Roman" w:hAnsi="Times New Roman"/>
                <w:color w:val="auto"/>
                <w:sz w:val="21"/>
                <w:szCs w:val="21"/>
              </w:rPr>
              <w:t>物</w:t>
            </w:r>
            <w:r>
              <w:rPr>
                <w:rFonts w:ascii="Times New Roman" w:hAnsi="Times New Roman"/>
                <w:color w:val="auto"/>
                <w:sz w:val="21"/>
                <w:szCs w:val="21"/>
              </w:rPr>
              <w:t>产生量）</w:t>
            </w:r>
            <w:r>
              <w:rPr>
                <w:rFonts w:ascii="Times New Roman" w:hAnsi="Times New Roman"/>
                <w:color w:val="auto"/>
                <w:sz w:val="21"/>
                <w:szCs w:val="21"/>
              </w:rPr>
              <w:fldChar w:fldCharType="begin"/>
            </w:r>
            <w:r>
              <w:rPr>
                <w:rFonts w:ascii="Times New Roman" w:hAnsi="Times New Roman"/>
                <w:color w:val="auto"/>
                <w:sz w:val="21"/>
                <w:szCs w:val="21"/>
              </w:rPr>
              <w:instrText xml:space="preserve"> = 6 \* GB3 \* MERGEFORMAT </w:instrText>
            </w:r>
            <w:r>
              <w:rPr>
                <w:rFonts w:ascii="Times New Roman" w:hAnsi="Times New Roman"/>
                <w:color w:val="auto"/>
                <w:sz w:val="21"/>
                <w:szCs w:val="21"/>
              </w:rPr>
              <w:fldChar w:fldCharType="separate"/>
            </w:r>
            <w:r>
              <w:rPr>
                <w:rFonts w:hint="eastAsia" w:ascii="Times New Roman" w:hAnsi="Times New Roman"/>
                <w:color w:val="auto"/>
                <w:sz w:val="21"/>
                <w:szCs w:val="21"/>
              </w:rPr>
              <w:t>⑥</w:t>
            </w:r>
            <w:r>
              <w:rPr>
                <w:rFonts w:ascii="Times New Roman" w:hAnsi="Times New Roman"/>
                <w:color w:val="auto"/>
                <w:sz w:val="21"/>
                <w:szCs w:val="21"/>
              </w:rPr>
              <w:fldChar w:fldCharType="end"/>
            </w:r>
          </w:p>
        </w:tc>
        <w:tc>
          <w:tcPr>
            <w:tcW w:w="1528" w:type="dxa"/>
            <w:tcMar>
              <w:left w:w="28" w:type="dxa"/>
              <w:right w:w="28" w:type="dxa"/>
            </w:tcMar>
            <w:vAlign w:val="center"/>
          </w:tcPr>
          <w:p w14:paraId="4CC025C0">
            <w:pPr>
              <w:spacing w:line="240" w:lineRule="auto"/>
              <w:jc w:val="center"/>
              <w:rPr>
                <w:rFonts w:ascii="Times New Roman" w:hAnsi="Times New Roman"/>
                <w:color w:val="auto"/>
                <w:sz w:val="21"/>
                <w:szCs w:val="21"/>
              </w:rPr>
            </w:pPr>
            <w:r>
              <w:rPr>
                <w:rFonts w:ascii="Times New Roman" w:hAnsi="Times New Roman"/>
                <w:color w:val="auto"/>
                <w:sz w:val="21"/>
                <w:szCs w:val="21"/>
              </w:rPr>
              <w:t>变化量</w:t>
            </w:r>
          </w:p>
          <w:p w14:paraId="55661626">
            <w:pPr>
              <w:spacing w:line="240" w:lineRule="auto"/>
              <w:jc w:val="center"/>
              <w:rPr>
                <w:rFonts w:ascii="Times New Roman" w:hAnsi="Times New Roman"/>
                <w:color w:val="auto"/>
                <w:sz w:val="21"/>
                <w:szCs w:val="21"/>
              </w:rPr>
            </w:pPr>
            <w:r>
              <w:rPr>
                <w:rFonts w:ascii="Times New Roman" w:hAnsi="Times New Roman"/>
                <w:color w:val="auto"/>
                <w:sz w:val="21"/>
                <w:szCs w:val="21"/>
              </w:rPr>
              <w:fldChar w:fldCharType="begin"/>
            </w:r>
            <w:r>
              <w:rPr>
                <w:rFonts w:ascii="Times New Roman" w:hAnsi="Times New Roman"/>
                <w:color w:val="auto"/>
                <w:sz w:val="21"/>
                <w:szCs w:val="21"/>
              </w:rPr>
              <w:instrText xml:space="preserve"> = 7 \* GB3 \* MERGEFORMAT </w:instrText>
            </w:r>
            <w:r>
              <w:rPr>
                <w:rFonts w:ascii="Times New Roman" w:hAnsi="Times New Roman"/>
                <w:color w:val="auto"/>
                <w:sz w:val="21"/>
                <w:szCs w:val="21"/>
              </w:rPr>
              <w:fldChar w:fldCharType="separate"/>
            </w:r>
            <w:r>
              <w:rPr>
                <w:rFonts w:hint="eastAsia" w:ascii="Times New Roman" w:hAnsi="Times New Roman"/>
                <w:color w:val="auto"/>
                <w:sz w:val="21"/>
                <w:szCs w:val="21"/>
              </w:rPr>
              <w:t>⑦</w:t>
            </w:r>
            <w:r>
              <w:rPr>
                <w:rFonts w:ascii="Times New Roman" w:hAnsi="Times New Roman"/>
                <w:color w:val="auto"/>
                <w:sz w:val="21"/>
                <w:szCs w:val="21"/>
              </w:rPr>
              <w:fldChar w:fldCharType="end"/>
            </w:r>
          </w:p>
        </w:tc>
      </w:tr>
      <w:tr w14:paraId="3368F0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618" w:type="dxa"/>
            <w:vMerge w:val="restart"/>
            <w:vAlign w:val="center"/>
          </w:tcPr>
          <w:p w14:paraId="27C6D030">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废气</w:t>
            </w:r>
          </w:p>
        </w:tc>
        <w:tc>
          <w:tcPr>
            <w:tcW w:w="1444" w:type="dxa"/>
            <w:vAlign w:val="center"/>
          </w:tcPr>
          <w:p w14:paraId="24503908">
            <w:pPr>
              <w:spacing w:line="24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无组织粉尘</w:t>
            </w:r>
          </w:p>
        </w:tc>
        <w:tc>
          <w:tcPr>
            <w:tcW w:w="1736" w:type="dxa"/>
            <w:vAlign w:val="center"/>
          </w:tcPr>
          <w:p w14:paraId="645E337F">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w:t>
            </w:r>
          </w:p>
        </w:tc>
        <w:tc>
          <w:tcPr>
            <w:tcW w:w="1207" w:type="dxa"/>
            <w:vAlign w:val="center"/>
          </w:tcPr>
          <w:p w14:paraId="77605F4F">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w:t>
            </w:r>
          </w:p>
        </w:tc>
        <w:tc>
          <w:tcPr>
            <w:tcW w:w="1667" w:type="dxa"/>
            <w:vAlign w:val="center"/>
          </w:tcPr>
          <w:p w14:paraId="245292C7">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w:t>
            </w:r>
          </w:p>
        </w:tc>
        <w:tc>
          <w:tcPr>
            <w:tcW w:w="1605" w:type="dxa"/>
            <w:vAlign w:val="center"/>
          </w:tcPr>
          <w:p w14:paraId="056A96D5">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2.7228</w:t>
            </w:r>
            <w:r>
              <w:rPr>
                <w:rFonts w:hint="eastAsia" w:asciiTheme="minorEastAsia" w:hAnsiTheme="minorEastAsia" w:eastAsiaTheme="minorEastAsia" w:cstheme="minorEastAsia"/>
                <w:color w:val="auto"/>
                <w:sz w:val="21"/>
                <w:szCs w:val="21"/>
              </w:rPr>
              <w:t>t/a</w:t>
            </w:r>
          </w:p>
        </w:tc>
        <w:tc>
          <w:tcPr>
            <w:tcW w:w="1572" w:type="dxa"/>
            <w:vAlign w:val="center"/>
          </w:tcPr>
          <w:p w14:paraId="3722F7EE">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680" w:type="dxa"/>
            <w:vAlign w:val="center"/>
          </w:tcPr>
          <w:p w14:paraId="79A5419C">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2.7228</w:t>
            </w:r>
            <w:r>
              <w:rPr>
                <w:rFonts w:hint="eastAsia" w:asciiTheme="minorEastAsia" w:hAnsiTheme="minorEastAsia" w:eastAsiaTheme="minorEastAsia" w:cstheme="minorEastAsia"/>
                <w:color w:val="auto"/>
                <w:sz w:val="21"/>
                <w:szCs w:val="21"/>
              </w:rPr>
              <w:t>t/a</w:t>
            </w:r>
          </w:p>
        </w:tc>
        <w:tc>
          <w:tcPr>
            <w:tcW w:w="1528" w:type="dxa"/>
            <w:vAlign w:val="center"/>
          </w:tcPr>
          <w:p w14:paraId="787A42AD">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+2.7228</w:t>
            </w:r>
            <w:r>
              <w:rPr>
                <w:rFonts w:hint="eastAsia" w:asciiTheme="minorEastAsia" w:hAnsiTheme="minorEastAsia" w:eastAsiaTheme="minorEastAsia" w:cstheme="minorEastAsia"/>
                <w:color w:val="auto"/>
                <w:sz w:val="21"/>
                <w:szCs w:val="21"/>
              </w:rPr>
              <w:t>t/a</w:t>
            </w:r>
          </w:p>
        </w:tc>
      </w:tr>
      <w:tr w14:paraId="7C8855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618" w:type="dxa"/>
            <w:vMerge w:val="continue"/>
            <w:vAlign w:val="center"/>
          </w:tcPr>
          <w:p w14:paraId="72A3FF78">
            <w:pPr>
              <w:spacing w:line="240" w:lineRule="auto"/>
              <w:jc w:val="center"/>
              <w:rPr>
                <w:rFonts w:hint="eastAsia" w:asciiTheme="minorEastAsia" w:hAnsiTheme="minorEastAsia" w:eastAsiaTheme="minorEastAsia" w:cstheme="minorEastAsia"/>
                <w:color w:val="auto"/>
                <w:sz w:val="21"/>
                <w:szCs w:val="21"/>
              </w:rPr>
            </w:pPr>
          </w:p>
        </w:tc>
        <w:tc>
          <w:tcPr>
            <w:tcW w:w="1444" w:type="dxa"/>
            <w:vAlign w:val="center"/>
          </w:tcPr>
          <w:p w14:paraId="73E888B0">
            <w:pPr>
              <w:spacing w:line="24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厨房油烟</w:t>
            </w:r>
          </w:p>
        </w:tc>
        <w:tc>
          <w:tcPr>
            <w:tcW w:w="1736" w:type="dxa"/>
            <w:vAlign w:val="center"/>
          </w:tcPr>
          <w:p w14:paraId="55F17592">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207" w:type="dxa"/>
            <w:vAlign w:val="center"/>
          </w:tcPr>
          <w:p w14:paraId="47669B2A">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667" w:type="dxa"/>
            <w:vAlign w:val="center"/>
          </w:tcPr>
          <w:p w14:paraId="074D72C2">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605" w:type="dxa"/>
            <w:vAlign w:val="center"/>
          </w:tcPr>
          <w:p w14:paraId="150CD3CF">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0.001358t/a</w:t>
            </w:r>
          </w:p>
        </w:tc>
        <w:tc>
          <w:tcPr>
            <w:tcW w:w="1572" w:type="dxa"/>
            <w:vAlign w:val="center"/>
          </w:tcPr>
          <w:p w14:paraId="1E8F77C1">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680" w:type="dxa"/>
            <w:vAlign w:val="center"/>
          </w:tcPr>
          <w:p w14:paraId="6B38E889">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0.001358t/a</w:t>
            </w:r>
          </w:p>
        </w:tc>
        <w:tc>
          <w:tcPr>
            <w:tcW w:w="1528" w:type="dxa"/>
            <w:vAlign w:val="center"/>
          </w:tcPr>
          <w:p w14:paraId="687E9122">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+0.001358t/a</w:t>
            </w:r>
          </w:p>
        </w:tc>
      </w:tr>
      <w:tr w14:paraId="5988D7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18" w:type="dxa"/>
            <w:vMerge w:val="restart"/>
            <w:vAlign w:val="center"/>
          </w:tcPr>
          <w:p w14:paraId="5036E5FC">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废水</w:t>
            </w:r>
          </w:p>
        </w:tc>
        <w:tc>
          <w:tcPr>
            <w:tcW w:w="1444" w:type="dxa"/>
            <w:vAlign w:val="center"/>
          </w:tcPr>
          <w:p w14:paraId="46D3A477">
            <w:pPr>
              <w:spacing w:line="24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搅拌机清洗废水</w:t>
            </w:r>
          </w:p>
        </w:tc>
        <w:tc>
          <w:tcPr>
            <w:tcW w:w="1736" w:type="dxa"/>
            <w:vAlign w:val="center"/>
          </w:tcPr>
          <w:p w14:paraId="7BD4C3B2">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207" w:type="dxa"/>
            <w:vAlign w:val="center"/>
          </w:tcPr>
          <w:p w14:paraId="360502C0">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667" w:type="dxa"/>
            <w:vAlign w:val="center"/>
          </w:tcPr>
          <w:p w14:paraId="17A4B6B4">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605" w:type="dxa"/>
            <w:vAlign w:val="center"/>
          </w:tcPr>
          <w:p w14:paraId="3CD0D4D7">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0</w:t>
            </w:r>
          </w:p>
        </w:tc>
        <w:tc>
          <w:tcPr>
            <w:tcW w:w="1572" w:type="dxa"/>
            <w:vAlign w:val="center"/>
          </w:tcPr>
          <w:p w14:paraId="59CE4FC9">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680" w:type="dxa"/>
            <w:vAlign w:val="center"/>
          </w:tcPr>
          <w:p w14:paraId="7765793E">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0</w:t>
            </w:r>
          </w:p>
        </w:tc>
        <w:tc>
          <w:tcPr>
            <w:tcW w:w="1528" w:type="dxa"/>
            <w:vAlign w:val="center"/>
          </w:tcPr>
          <w:p w14:paraId="4669AEA4">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0</w:t>
            </w:r>
          </w:p>
        </w:tc>
      </w:tr>
      <w:tr w14:paraId="294B8C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618" w:type="dxa"/>
            <w:vMerge w:val="continue"/>
            <w:vAlign w:val="center"/>
          </w:tcPr>
          <w:p w14:paraId="52F9008C">
            <w:pPr>
              <w:spacing w:line="240" w:lineRule="auto"/>
              <w:jc w:val="center"/>
              <w:rPr>
                <w:rFonts w:ascii="Times New Roman" w:hAnsi="Times New Roman"/>
                <w:color w:val="auto"/>
                <w:sz w:val="21"/>
                <w:szCs w:val="21"/>
              </w:rPr>
            </w:pPr>
          </w:p>
        </w:tc>
        <w:tc>
          <w:tcPr>
            <w:tcW w:w="1444" w:type="dxa"/>
            <w:vAlign w:val="center"/>
          </w:tcPr>
          <w:p w14:paraId="7F016714">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生活污水</w:t>
            </w:r>
          </w:p>
        </w:tc>
        <w:tc>
          <w:tcPr>
            <w:tcW w:w="1736" w:type="dxa"/>
            <w:vAlign w:val="center"/>
          </w:tcPr>
          <w:p w14:paraId="7A0DF5EE">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w:t>
            </w:r>
          </w:p>
        </w:tc>
        <w:tc>
          <w:tcPr>
            <w:tcW w:w="1207" w:type="dxa"/>
            <w:vAlign w:val="center"/>
          </w:tcPr>
          <w:p w14:paraId="6AA0DEC1">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w:t>
            </w:r>
          </w:p>
        </w:tc>
        <w:tc>
          <w:tcPr>
            <w:tcW w:w="1667" w:type="dxa"/>
            <w:vAlign w:val="center"/>
          </w:tcPr>
          <w:p w14:paraId="6024D876">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w:t>
            </w:r>
          </w:p>
        </w:tc>
        <w:tc>
          <w:tcPr>
            <w:tcW w:w="1605" w:type="dxa"/>
            <w:vAlign w:val="center"/>
          </w:tcPr>
          <w:p w14:paraId="1FC3A497">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w:t>
            </w:r>
          </w:p>
        </w:tc>
        <w:tc>
          <w:tcPr>
            <w:tcW w:w="1572" w:type="dxa"/>
            <w:vAlign w:val="center"/>
          </w:tcPr>
          <w:p w14:paraId="3F2B4E71">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680" w:type="dxa"/>
            <w:vAlign w:val="center"/>
          </w:tcPr>
          <w:p w14:paraId="1EFC6C18">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w:t>
            </w:r>
          </w:p>
        </w:tc>
        <w:tc>
          <w:tcPr>
            <w:tcW w:w="1528" w:type="dxa"/>
            <w:vAlign w:val="center"/>
          </w:tcPr>
          <w:p w14:paraId="7241D12E">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w:t>
            </w:r>
          </w:p>
        </w:tc>
      </w:tr>
      <w:tr w14:paraId="294A80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618" w:type="dxa"/>
            <w:vMerge w:val="continue"/>
            <w:vAlign w:val="center"/>
          </w:tcPr>
          <w:p w14:paraId="4CE71561">
            <w:pPr>
              <w:spacing w:line="240" w:lineRule="auto"/>
              <w:jc w:val="center"/>
              <w:rPr>
                <w:rFonts w:ascii="Times New Roman" w:hAnsi="Times New Roman"/>
                <w:color w:val="auto"/>
                <w:sz w:val="21"/>
                <w:szCs w:val="21"/>
              </w:rPr>
            </w:pPr>
          </w:p>
        </w:tc>
        <w:tc>
          <w:tcPr>
            <w:tcW w:w="1444" w:type="dxa"/>
            <w:vAlign w:val="center"/>
          </w:tcPr>
          <w:p w14:paraId="2CF53FC8">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生产废水</w:t>
            </w:r>
          </w:p>
        </w:tc>
        <w:tc>
          <w:tcPr>
            <w:tcW w:w="1736" w:type="dxa"/>
            <w:vAlign w:val="center"/>
          </w:tcPr>
          <w:p w14:paraId="7E3143D4">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w:t>
            </w:r>
          </w:p>
        </w:tc>
        <w:tc>
          <w:tcPr>
            <w:tcW w:w="1207" w:type="dxa"/>
            <w:vAlign w:val="center"/>
          </w:tcPr>
          <w:p w14:paraId="6A0C20BC">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w:t>
            </w:r>
          </w:p>
        </w:tc>
        <w:tc>
          <w:tcPr>
            <w:tcW w:w="1667" w:type="dxa"/>
            <w:vAlign w:val="center"/>
          </w:tcPr>
          <w:p w14:paraId="169FD7F0">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w:t>
            </w:r>
          </w:p>
        </w:tc>
        <w:tc>
          <w:tcPr>
            <w:tcW w:w="1605" w:type="dxa"/>
            <w:vAlign w:val="center"/>
          </w:tcPr>
          <w:p w14:paraId="395B0F77">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w:t>
            </w:r>
          </w:p>
        </w:tc>
        <w:tc>
          <w:tcPr>
            <w:tcW w:w="1572" w:type="dxa"/>
            <w:vAlign w:val="center"/>
          </w:tcPr>
          <w:p w14:paraId="5535FBD3">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680" w:type="dxa"/>
            <w:vAlign w:val="center"/>
          </w:tcPr>
          <w:p w14:paraId="57BB9D3B">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w:t>
            </w:r>
          </w:p>
        </w:tc>
        <w:tc>
          <w:tcPr>
            <w:tcW w:w="1528" w:type="dxa"/>
            <w:vAlign w:val="center"/>
          </w:tcPr>
          <w:p w14:paraId="3FC5B44A">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w:t>
            </w:r>
          </w:p>
        </w:tc>
      </w:tr>
      <w:tr w14:paraId="6FE2F2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618" w:type="dxa"/>
            <w:vMerge w:val="restart"/>
            <w:vAlign w:val="center"/>
          </w:tcPr>
          <w:p w14:paraId="27BA6146">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固体废物</w:t>
            </w:r>
          </w:p>
        </w:tc>
        <w:tc>
          <w:tcPr>
            <w:tcW w:w="1444" w:type="dxa"/>
            <w:vAlign w:val="center"/>
          </w:tcPr>
          <w:p w14:paraId="6D4E7A98">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水泥储罐收集粉尘</w:t>
            </w:r>
          </w:p>
        </w:tc>
        <w:tc>
          <w:tcPr>
            <w:tcW w:w="1736" w:type="dxa"/>
            <w:vAlign w:val="center"/>
          </w:tcPr>
          <w:p w14:paraId="0C9FB686">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w:t>
            </w:r>
          </w:p>
        </w:tc>
        <w:tc>
          <w:tcPr>
            <w:tcW w:w="1207" w:type="dxa"/>
            <w:vAlign w:val="center"/>
          </w:tcPr>
          <w:p w14:paraId="68A1A6DA">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w:t>
            </w:r>
          </w:p>
        </w:tc>
        <w:tc>
          <w:tcPr>
            <w:tcW w:w="1667" w:type="dxa"/>
            <w:vAlign w:val="center"/>
          </w:tcPr>
          <w:p w14:paraId="52C77EEE">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w:t>
            </w:r>
          </w:p>
        </w:tc>
        <w:tc>
          <w:tcPr>
            <w:tcW w:w="1605" w:type="dxa"/>
            <w:vAlign w:val="center"/>
          </w:tcPr>
          <w:p w14:paraId="3E4B886C">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vertAlign w:val="baseline"/>
                <w:lang w:val="en-US" w:eastAsia="zh-CN"/>
              </w:rPr>
              <w:t>0.9804t/a</w:t>
            </w:r>
          </w:p>
        </w:tc>
        <w:tc>
          <w:tcPr>
            <w:tcW w:w="1572" w:type="dxa"/>
            <w:vAlign w:val="center"/>
          </w:tcPr>
          <w:p w14:paraId="3C41E686">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680" w:type="dxa"/>
            <w:vAlign w:val="center"/>
          </w:tcPr>
          <w:p w14:paraId="58822D33">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vertAlign w:val="baseline"/>
                <w:lang w:val="en-US" w:eastAsia="zh-CN"/>
              </w:rPr>
              <w:t>0.9804t/a</w:t>
            </w:r>
          </w:p>
        </w:tc>
        <w:tc>
          <w:tcPr>
            <w:tcW w:w="1528" w:type="dxa"/>
            <w:vAlign w:val="center"/>
          </w:tcPr>
          <w:p w14:paraId="3B630580">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vertAlign w:val="baseline"/>
                <w:lang w:val="en-US" w:eastAsia="zh-CN"/>
              </w:rPr>
              <w:t>+0.9804t/a</w:t>
            </w:r>
          </w:p>
        </w:tc>
      </w:tr>
      <w:tr w14:paraId="47F5FC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18" w:type="dxa"/>
            <w:vMerge w:val="continue"/>
            <w:vAlign w:val="center"/>
          </w:tcPr>
          <w:p w14:paraId="224B7080">
            <w:pPr>
              <w:spacing w:line="240" w:lineRule="auto"/>
              <w:jc w:val="center"/>
              <w:rPr>
                <w:rFonts w:hint="eastAsia" w:ascii="Times New Roman" w:hAnsi="Times New Roman"/>
                <w:color w:val="auto"/>
                <w:sz w:val="21"/>
                <w:szCs w:val="21"/>
              </w:rPr>
            </w:pPr>
          </w:p>
        </w:tc>
        <w:tc>
          <w:tcPr>
            <w:tcW w:w="1444" w:type="dxa"/>
            <w:vAlign w:val="center"/>
          </w:tcPr>
          <w:p w14:paraId="25CD0B54">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不合格的</w:t>
            </w:r>
            <w:r>
              <w:rPr>
                <w:rFonts w:hint="eastAsia" w:asciiTheme="minorEastAsia" w:hAnsiTheme="minorEastAsia" w:eastAsiaTheme="minorEastAsia" w:cstheme="minorEastAsia"/>
                <w:color w:val="auto"/>
                <w:sz w:val="21"/>
                <w:szCs w:val="21"/>
                <w:lang w:eastAsia="zh-CN"/>
              </w:rPr>
              <w:t>产品</w:t>
            </w:r>
          </w:p>
        </w:tc>
        <w:tc>
          <w:tcPr>
            <w:tcW w:w="1736" w:type="dxa"/>
            <w:vAlign w:val="center"/>
          </w:tcPr>
          <w:p w14:paraId="64151221">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w:t>
            </w:r>
          </w:p>
        </w:tc>
        <w:tc>
          <w:tcPr>
            <w:tcW w:w="1207" w:type="dxa"/>
            <w:vAlign w:val="center"/>
          </w:tcPr>
          <w:p w14:paraId="6ACDBBA1">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w:t>
            </w:r>
          </w:p>
        </w:tc>
        <w:tc>
          <w:tcPr>
            <w:tcW w:w="1667" w:type="dxa"/>
            <w:vAlign w:val="center"/>
          </w:tcPr>
          <w:p w14:paraId="0366AEA8">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w:t>
            </w:r>
          </w:p>
        </w:tc>
        <w:tc>
          <w:tcPr>
            <w:tcW w:w="1605" w:type="dxa"/>
            <w:vAlign w:val="center"/>
          </w:tcPr>
          <w:p w14:paraId="11F3B1CF">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vertAlign w:val="baseline"/>
                <w:lang w:val="en-US" w:eastAsia="zh-CN"/>
              </w:rPr>
              <w:t>48.030t/a</w:t>
            </w:r>
          </w:p>
        </w:tc>
        <w:tc>
          <w:tcPr>
            <w:tcW w:w="1572" w:type="dxa"/>
            <w:vAlign w:val="center"/>
          </w:tcPr>
          <w:p w14:paraId="5AD59A1C">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680" w:type="dxa"/>
            <w:vAlign w:val="center"/>
          </w:tcPr>
          <w:p w14:paraId="3D4343DB">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vertAlign w:val="baseline"/>
                <w:lang w:val="en-US" w:eastAsia="zh-CN"/>
              </w:rPr>
              <w:t>48.030t/a</w:t>
            </w:r>
          </w:p>
        </w:tc>
        <w:tc>
          <w:tcPr>
            <w:tcW w:w="1528" w:type="dxa"/>
            <w:vAlign w:val="center"/>
          </w:tcPr>
          <w:p w14:paraId="39A295D9">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vertAlign w:val="baseline"/>
                <w:lang w:val="en-US" w:eastAsia="zh-CN"/>
              </w:rPr>
              <w:t>+48.030t/a</w:t>
            </w:r>
          </w:p>
        </w:tc>
      </w:tr>
      <w:tr w14:paraId="35986E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618" w:type="dxa"/>
            <w:vMerge w:val="continue"/>
            <w:vAlign w:val="center"/>
          </w:tcPr>
          <w:p w14:paraId="5CF219AA">
            <w:pPr>
              <w:spacing w:line="240" w:lineRule="auto"/>
              <w:jc w:val="center"/>
              <w:rPr>
                <w:rFonts w:hint="eastAsia" w:ascii="Times New Roman" w:hAnsi="Times New Roman"/>
                <w:color w:val="auto"/>
                <w:sz w:val="21"/>
                <w:szCs w:val="21"/>
              </w:rPr>
            </w:pPr>
          </w:p>
        </w:tc>
        <w:tc>
          <w:tcPr>
            <w:tcW w:w="1444" w:type="dxa"/>
            <w:vAlign w:val="center"/>
          </w:tcPr>
          <w:p w14:paraId="36A3354C">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废料渣</w:t>
            </w:r>
          </w:p>
        </w:tc>
        <w:tc>
          <w:tcPr>
            <w:tcW w:w="1736" w:type="dxa"/>
            <w:vAlign w:val="center"/>
          </w:tcPr>
          <w:p w14:paraId="5AFFCE20">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w:t>
            </w:r>
          </w:p>
        </w:tc>
        <w:tc>
          <w:tcPr>
            <w:tcW w:w="1207" w:type="dxa"/>
            <w:vAlign w:val="center"/>
          </w:tcPr>
          <w:p w14:paraId="0B0B9DFA">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w:t>
            </w:r>
          </w:p>
        </w:tc>
        <w:tc>
          <w:tcPr>
            <w:tcW w:w="1667" w:type="dxa"/>
            <w:vAlign w:val="center"/>
          </w:tcPr>
          <w:p w14:paraId="6466F17A">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w:t>
            </w:r>
          </w:p>
        </w:tc>
        <w:tc>
          <w:tcPr>
            <w:tcW w:w="1605" w:type="dxa"/>
            <w:vAlign w:val="center"/>
          </w:tcPr>
          <w:p w14:paraId="56481369">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vertAlign w:val="baseline"/>
                <w:lang w:val="en-US" w:eastAsia="zh-CN"/>
              </w:rPr>
              <w:t>4.269t/a</w:t>
            </w:r>
          </w:p>
        </w:tc>
        <w:tc>
          <w:tcPr>
            <w:tcW w:w="1572" w:type="dxa"/>
            <w:vAlign w:val="center"/>
          </w:tcPr>
          <w:p w14:paraId="488E1075">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680" w:type="dxa"/>
            <w:vAlign w:val="center"/>
          </w:tcPr>
          <w:p w14:paraId="445E12A6">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vertAlign w:val="baseline"/>
                <w:lang w:val="en-US" w:eastAsia="zh-CN"/>
              </w:rPr>
              <w:t>4.269t/a</w:t>
            </w:r>
          </w:p>
        </w:tc>
        <w:tc>
          <w:tcPr>
            <w:tcW w:w="1528" w:type="dxa"/>
            <w:vAlign w:val="center"/>
          </w:tcPr>
          <w:p w14:paraId="73589CFD">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vertAlign w:val="baseline"/>
                <w:lang w:val="en-US" w:eastAsia="zh-CN"/>
              </w:rPr>
              <w:t>+4.269t/a</w:t>
            </w:r>
          </w:p>
        </w:tc>
      </w:tr>
      <w:tr w14:paraId="44AD94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618" w:type="dxa"/>
            <w:vMerge w:val="continue"/>
            <w:vAlign w:val="center"/>
          </w:tcPr>
          <w:p w14:paraId="4808F40E">
            <w:pPr>
              <w:spacing w:line="240" w:lineRule="auto"/>
              <w:jc w:val="center"/>
              <w:rPr>
                <w:rFonts w:hint="eastAsia" w:ascii="Times New Roman" w:hAnsi="Times New Roman"/>
                <w:color w:val="auto"/>
                <w:sz w:val="21"/>
                <w:szCs w:val="21"/>
              </w:rPr>
            </w:pPr>
          </w:p>
        </w:tc>
        <w:tc>
          <w:tcPr>
            <w:tcW w:w="1444" w:type="dxa"/>
            <w:vAlign w:val="center"/>
          </w:tcPr>
          <w:p w14:paraId="14614810">
            <w:pPr>
              <w:spacing w:line="24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废弃焊头</w:t>
            </w:r>
          </w:p>
        </w:tc>
        <w:tc>
          <w:tcPr>
            <w:tcW w:w="1736" w:type="dxa"/>
            <w:vAlign w:val="center"/>
          </w:tcPr>
          <w:p w14:paraId="1EC51290">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0</w:t>
            </w:r>
          </w:p>
        </w:tc>
        <w:tc>
          <w:tcPr>
            <w:tcW w:w="1207" w:type="dxa"/>
            <w:vAlign w:val="center"/>
          </w:tcPr>
          <w:p w14:paraId="3131EC5D">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0</w:t>
            </w:r>
          </w:p>
        </w:tc>
        <w:tc>
          <w:tcPr>
            <w:tcW w:w="1667" w:type="dxa"/>
            <w:vAlign w:val="center"/>
          </w:tcPr>
          <w:p w14:paraId="6C255DF5">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0</w:t>
            </w:r>
          </w:p>
        </w:tc>
        <w:tc>
          <w:tcPr>
            <w:tcW w:w="1605" w:type="dxa"/>
            <w:vAlign w:val="center"/>
          </w:tcPr>
          <w:p w14:paraId="34310BB3">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vertAlign w:val="baseline"/>
                <w:lang w:val="en-US" w:eastAsia="zh-CN"/>
              </w:rPr>
              <w:t>0.04t/a</w:t>
            </w:r>
          </w:p>
        </w:tc>
        <w:tc>
          <w:tcPr>
            <w:tcW w:w="1572" w:type="dxa"/>
            <w:vAlign w:val="center"/>
          </w:tcPr>
          <w:p w14:paraId="14CA3F7D">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680" w:type="dxa"/>
            <w:vAlign w:val="center"/>
          </w:tcPr>
          <w:p w14:paraId="57BF2384">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vertAlign w:val="baseline"/>
                <w:lang w:val="en-US" w:eastAsia="zh-CN"/>
              </w:rPr>
              <w:t>0.04t/a</w:t>
            </w:r>
          </w:p>
        </w:tc>
        <w:tc>
          <w:tcPr>
            <w:tcW w:w="1528" w:type="dxa"/>
            <w:vAlign w:val="center"/>
          </w:tcPr>
          <w:p w14:paraId="0084B4E2">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vertAlign w:val="baseline"/>
                <w:lang w:val="en-US" w:eastAsia="zh-CN"/>
              </w:rPr>
              <w:t>+0.04t/a</w:t>
            </w:r>
          </w:p>
        </w:tc>
      </w:tr>
      <w:tr w14:paraId="589173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618" w:type="dxa"/>
            <w:vMerge w:val="continue"/>
            <w:vAlign w:val="center"/>
          </w:tcPr>
          <w:p w14:paraId="11AE794B">
            <w:pPr>
              <w:spacing w:line="240" w:lineRule="auto"/>
              <w:jc w:val="center"/>
              <w:rPr>
                <w:rFonts w:ascii="Times New Roman" w:hAnsi="Times New Roman"/>
                <w:color w:val="auto"/>
                <w:sz w:val="21"/>
                <w:szCs w:val="21"/>
              </w:rPr>
            </w:pPr>
          </w:p>
        </w:tc>
        <w:tc>
          <w:tcPr>
            <w:tcW w:w="1444" w:type="dxa"/>
            <w:vAlign w:val="center"/>
          </w:tcPr>
          <w:p w14:paraId="0D132AB4">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废脱模剂桶</w:t>
            </w:r>
          </w:p>
        </w:tc>
        <w:tc>
          <w:tcPr>
            <w:tcW w:w="1736" w:type="dxa"/>
            <w:vAlign w:val="center"/>
          </w:tcPr>
          <w:p w14:paraId="7AFC5822">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0</w:t>
            </w:r>
          </w:p>
        </w:tc>
        <w:tc>
          <w:tcPr>
            <w:tcW w:w="1207" w:type="dxa"/>
            <w:vAlign w:val="center"/>
          </w:tcPr>
          <w:p w14:paraId="53FD0261">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0</w:t>
            </w:r>
          </w:p>
        </w:tc>
        <w:tc>
          <w:tcPr>
            <w:tcW w:w="1667" w:type="dxa"/>
            <w:vAlign w:val="center"/>
          </w:tcPr>
          <w:p w14:paraId="150802F8">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0</w:t>
            </w:r>
          </w:p>
        </w:tc>
        <w:tc>
          <w:tcPr>
            <w:tcW w:w="1605" w:type="dxa"/>
            <w:vAlign w:val="center"/>
          </w:tcPr>
          <w:p w14:paraId="011AAAA4">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vertAlign w:val="baseline"/>
                <w:lang w:val="en-US" w:eastAsia="zh-CN"/>
              </w:rPr>
              <w:t>0.1t/a</w:t>
            </w:r>
          </w:p>
        </w:tc>
        <w:tc>
          <w:tcPr>
            <w:tcW w:w="1572" w:type="dxa"/>
            <w:vAlign w:val="center"/>
          </w:tcPr>
          <w:p w14:paraId="4F1393F4">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680" w:type="dxa"/>
            <w:vAlign w:val="center"/>
          </w:tcPr>
          <w:p w14:paraId="4F3754CB">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vertAlign w:val="baseline"/>
                <w:lang w:val="en-US" w:eastAsia="zh-CN"/>
              </w:rPr>
              <w:t>0.1t/a</w:t>
            </w:r>
          </w:p>
        </w:tc>
        <w:tc>
          <w:tcPr>
            <w:tcW w:w="1528" w:type="dxa"/>
            <w:vAlign w:val="center"/>
          </w:tcPr>
          <w:p w14:paraId="18815297">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vertAlign w:val="baseline"/>
                <w:lang w:val="en-US" w:eastAsia="zh-CN"/>
              </w:rPr>
              <w:t>+0.1t/a</w:t>
            </w:r>
          </w:p>
        </w:tc>
      </w:tr>
      <w:tr w14:paraId="794EA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618" w:type="dxa"/>
            <w:vMerge w:val="continue"/>
            <w:vAlign w:val="center"/>
          </w:tcPr>
          <w:p w14:paraId="291C3AA8">
            <w:pPr>
              <w:spacing w:line="240" w:lineRule="auto"/>
              <w:jc w:val="center"/>
              <w:rPr>
                <w:rFonts w:ascii="Times New Roman" w:hAnsi="Times New Roman"/>
                <w:color w:val="auto"/>
                <w:sz w:val="21"/>
                <w:szCs w:val="21"/>
              </w:rPr>
            </w:pPr>
          </w:p>
        </w:tc>
        <w:tc>
          <w:tcPr>
            <w:tcW w:w="1444" w:type="dxa"/>
            <w:vAlign w:val="center"/>
          </w:tcPr>
          <w:p w14:paraId="6760AF50">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餐厨垃圾</w:t>
            </w:r>
          </w:p>
        </w:tc>
        <w:tc>
          <w:tcPr>
            <w:tcW w:w="1736" w:type="dxa"/>
            <w:vAlign w:val="center"/>
          </w:tcPr>
          <w:p w14:paraId="65C05021">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w:t>
            </w:r>
          </w:p>
        </w:tc>
        <w:tc>
          <w:tcPr>
            <w:tcW w:w="1207" w:type="dxa"/>
            <w:vAlign w:val="center"/>
          </w:tcPr>
          <w:p w14:paraId="6C31F3DC">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w:t>
            </w:r>
          </w:p>
        </w:tc>
        <w:tc>
          <w:tcPr>
            <w:tcW w:w="1667" w:type="dxa"/>
            <w:vAlign w:val="center"/>
          </w:tcPr>
          <w:p w14:paraId="4BA8B4FC">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w:t>
            </w:r>
          </w:p>
        </w:tc>
        <w:tc>
          <w:tcPr>
            <w:tcW w:w="1605" w:type="dxa"/>
            <w:vAlign w:val="center"/>
          </w:tcPr>
          <w:p w14:paraId="1FFEEE9C">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vertAlign w:val="baseline"/>
                <w:lang w:val="en-US" w:eastAsia="zh-CN"/>
              </w:rPr>
              <w:t>0.32t/a</w:t>
            </w:r>
          </w:p>
        </w:tc>
        <w:tc>
          <w:tcPr>
            <w:tcW w:w="1572" w:type="dxa"/>
            <w:vAlign w:val="center"/>
          </w:tcPr>
          <w:p w14:paraId="1EC43D86">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680" w:type="dxa"/>
            <w:vAlign w:val="center"/>
          </w:tcPr>
          <w:p w14:paraId="34EEB8FF">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vertAlign w:val="baseline"/>
                <w:lang w:val="en-US" w:eastAsia="zh-CN"/>
              </w:rPr>
              <w:t>0.32t/a</w:t>
            </w:r>
          </w:p>
        </w:tc>
        <w:tc>
          <w:tcPr>
            <w:tcW w:w="1528" w:type="dxa"/>
            <w:vAlign w:val="center"/>
          </w:tcPr>
          <w:p w14:paraId="3E192099">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vertAlign w:val="baseline"/>
                <w:lang w:val="en-US" w:eastAsia="zh-CN"/>
              </w:rPr>
              <w:t>+0.32t/a</w:t>
            </w:r>
          </w:p>
        </w:tc>
      </w:tr>
      <w:tr w14:paraId="3B49AE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618" w:type="dxa"/>
            <w:vMerge w:val="continue"/>
            <w:vAlign w:val="center"/>
          </w:tcPr>
          <w:p w14:paraId="6373443D">
            <w:pPr>
              <w:spacing w:line="240" w:lineRule="auto"/>
              <w:jc w:val="center"/>
              <w:rPr>
                <w:rFonts w:ascii="Times New Roman" w:hAnsi="Times New Roman"/>
                <w:color w:val="auto"/>
                <w:sz w:val="21"/>
                <w:szCs w:val="21"/>
              </w:rPr>
            </w:pPr>
          </w:p>
        </w:tc>
        <w:tc>
          <w:tcPr>
            <w:tcW w:w="1444" w:type="dxa"/>
            <w:vAlign w:val="center"/>
          </w:tcPr>
          <w:p w14:paraId="457FCA2A">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生活垃圾</w:t>
            </w:r>
          </w:p>
        </w:tc>
        <w:tc>
          <w:tcPr>
            <w:tcW w:w="1736" w:type="dxa"/>
            <w:vAlign w:val="center"/>
          </w:tcPr>
          <w:p w14:paraId="5A9358D5">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w:t>
            </w:r>
          </w:p>
        </w:tc>
        <w:tc>
          <w:tcPr>
            <w:tcW w:w="1207" w:type="dxa"/>
            <w:vAlign w:val="center"/>
          </w:tcPr>
          <w:p w14:paraId="333F6463">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w:t>
            </w:r>
          </w:p>
        </w:tc>
        <w:tc>
          <w:tcPr>
            <w:tcW w:w="1667" w:type="dxa"/>
            <w:vAlign w:val="center"/>
          </w:tcPr>
          <w:p w14:paraId="3B316DCD">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w:t>
            </w:r>
          </w:p>
        </w:tc>
        <w:tc>
          <w:tcPr>
            <w:tcW w:w="1605" w:type="dxa"/>
            <w:vAlign w:val="center"/>
          </w:tcPr>
          <w:p w14:paraId="2D485625">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vertAlign w:val="baseline"/>
                <w:lang w:val="en-US" w:eastAsia="zh-CN"/>
              </w:rPr>
              <w:t>0.56t/a</w:t>
            </w:r>
          </w:p>
        </w:tc>
        <w:tc>
          <w:tcPr>
            <w:tcW w:w="1572" w:type="dxa"/>
            <w:vAlign w:val="center"/>
          </w:tcPr>
          <w:p w14:paraId="5EAF9EAA">
            <w:pPr>
              <w:spacing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680" w:type="dxa"/>
            <w:vAlign w:val="center"/>
          </w:tcPr>
          <w:p w14:paraId="7B1C3303">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vertAlign w:val="baseline"/>
                <w:lang w:val="en-US" w:eastAsia="zh-CN"/>
              </w:rPr>
              <w:t>0.56t/a</w:t>
            </w:r>
          </w:p>
        </w:tc>
        <w:tc>
          <w:tcPr>
            <w:tcW w:w="1528" w:type="dxa"/>
            <w:vAlign w:val="center"/>
          </w:tcPr>
          <w:p w14:paraId="7C689FB8">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vertAlign w:val="baseline"/>
                <w:lang w:val="en-US" w:eastAsia="zh-CN"/>
              </w:rPr>
              <w:t>+0.56t/a</w:t>
            </w:r>
          </w:p>
        </w:tc>
      </w:tr>
    </w:tbl>
    <w:p w14:paraId="173AA680">
      <w:pPr>
        <w:rPr>
          <w:rFonts w:ascii="Times New Roman" w:hAnsi="Times New Roman"/>
          <w:color w:val="auto"/>
        </w:rPr>
      </w:pPr>
      <w:r>
        <w:rPr>
          <w:rFonts w:ascii="Times New Roman" w:hAnsi="Times New Roman"/>
          <w:color w:val="auto"/>
        </w:rPr>
        <w:t>注：</w:t>
      </w:r>
      <w:r>
        <w:rPr>
          <w:rFonts w:ascii="Times New Roman" w:hAnsi="Times New Roman"/>
          <w:color w:val="auto"/>
        </w:rPr>
        <w:fldChar w:fldCharType="begin"/>
      </w:r>
      <w:r>
        <w:rPr>
          <w:rFonts w:ascii="Times New Roman" w:hAnsi="Times New Roman"/>
          <w:color w:val="auto"/>
        </w:rPr>
        <w:instrText xml:space="preserve"> = 6 \* GB3 \* MERGEFORMAT </w:instrText>
      </w:r>
      <w:r>
        <w:rPr>
          <w:rFonts w:ascii="Times New Roman" w:hAnsi="Times New Roman"/>
          <w:color w:val="auto"/>
        </w:rPr>
        <w:fldChar w:fldCharType="separate"/>
      </w:r>
      <w:r>
        <w:rPr>
          <w:rFonts w:ascii="Times New Roman" w:hAnsi="Times New Roman"/>
          <w:color w:val="auto"/>
        </w:rPr>
        <w:t>⑥</w:t>
      </w:r>
      <w:r>
        <w:rPr>
          <w:rFonts w:ascii="Times New Roman" w:hAnsi="Times New Roman"/>
          <w:color w:val="auto"/>
        </w:rPr>
        <w:fldChar w:fldCharType="end"/>
      </w:r>
      <w:r>
        <w:rPr>
          <w:rFonts w:ascii="Times New Roman" w:hAnsi="Times New Roman"/>
          <w:color w:val="auto"/>
        </w:rPr>
        <w:t>=</w:t>
      </w:r>
      <w:r>
        <w:rPr>
          <w:rFonts w:ascii="Times New Roman" w:hAnsi="Times New Roman"/>
          <w:color w:val="auto"/>
        </w:rPr>
        <w:fldChar w:fldCharType="begin"/>
      </w:r>
      <w:r>
        <w:rPr>
          <w:rFonts w:ascii="Times New Roman" w:hAnsi="Times New Roman"/>
          <w:color w:val="auto"/>
        </w:rPr>
        <w:instrText xml:space="preserve"> = 1 \* GB3 \* MERGEFORMAT </w:instrText>
      </w:r>
      <w:r>
        <w:rPr>
          <w:rFonts w:ascii="Times New Roman" w:hAnsi="Times New Roman"/>
          <w:color w:val="auto"/>
        </w:rPr>
        <w:fldChar w:fldCharType="separate"/>
      </w:r>
      <w:r>
        <w:rPr>
          <w:rFonts w:ascii="Times New Roman" w:hAnsi="Times New Roman"/>
          <w:color w:val="auto"/>
        </w:rPr>
        <w:t>①</w:t>
      </w:r>
      <w:r>
        <w:rPr>
          <w:rFonts w:ascii="Times New Roman" w:hAnsi="Times New Roman"/>
          <w:color w:val="auto"/>
        </w:rPr>
        <w:fldChar w:fldCharType="end"/>
      </w:r>
      <w:r>
        <w:rPr>
          <w:rFonts w:ascii="Times New Roman" w:hAnsi="Times New Roman"/>
          <w:color w:val="auto"/>
        </w:rPr>
        <w:t>+</w:t>
      </w:r>
      <w:r>
        <w:rPr>
          <w:rFonts w:ascii="Times New Roman" w:hAnsi="Times New Roman"/>
          <w:color w:val="auto"/>
        </w:rPr>
        <w:fldChar w:fldCharType="begin"/>
      </w:r>
      <w:r>
        <w:rPr>
          <w:rFonts w:ascii="Times New Roman" w:hAnsi="Times New Roman"/>
          <w:color w:val="auto"/>
        </w:rPr>
        <w:instrText xml:space="preserve"> = 3 \* GB3 \* MERGEFORMAT </w:instrText>
      </w:r>
      <w:r>
        <w:rPr>
          <w:rFonts w:ascii="Times New Roman" w:hAnsi="Times New Roman"/>
          <w:color w:val="auto"/>
        </w:rPr>
        <w:fldChar w:fldCharType="separate"/>
      </w:r>
      <w:r>
        <w:rPr>
          <w:rFonts w:ascii="Times New Roman" w:hAnsi="Times New Roman"/>
          <w:color w:val="auto"/>
        </w:rPr>
        <w:t>③</w:t>
      </w:r>
      <w:r>
        <w:rPr>
          <w:rFonts w:ascii="Times New Roman" w:hAnsi="Times New Roman"/>
          <w:color w:val="auto"/>
        </w:rPr>
        <w:fldChar w:fldCharType="end"/>
      </w:r>
      <w:r>
        <w:rPr>
          <w:rFonts w:ascii="Times New Roman" w:hAnsi="Times New Roman"/>
          <w:color w:val="auto"/>
        </w:rPr>
        <w:t>+</w:t>
      </w:r>
      <w:r>
        <w:rPr>
          <w:rFonts w:ascii="Times New Roman" w:hAnsi="Times New Roman"/>
          <w:color w:val="auto"/>
        </w:rPr>
        <w:fldChar w:fldCharType="begin"/>
      </w:r>
      <w:r>
        <w:rPr>
          <w:rFonts w:ascii="Times New Roman" w:hAnsi="Times New Roman"/>
          <w:color w:val="auto"/>
        </w:rPr>
        <w:instrText xml:space="preserve"> = 4 \* GB3 \* MERGEFORMAT </w:instrText>
      </w:r>
      <w:r>
        <w:rPr>
          <w:rFonts w:ascii="Times New Roman" w:hAnsi="Times New Roman"/>
          <w:color w:val="auto"/>
        </w:rPr>
        <w:fldChar w:fldCharType="separate"/>
      </w:r>
      <w:r>
        <w:rPr>
          <w:rFonts w:ascii="Times New Roman" w:hAnsi="Times New Roman"/>
          <w:color w:val="auto"/>
        </w:rPr>
        <w:t>④</w:t>
      </w:r>
      <w:r>
        <w:rPr>
          <w:rFonts w:ascii="Times New Roman" w:hAnsi="Times New Roman"/>
          <w:color w:val="auto"/>
        </w:rPr>
        <w:fldChar w:fldCharType="end"/>
      </w:r>
      <w:r>
        <w:rPr>
          <w:rFonts w:ascii="Times New Roman" w:hAnsi="Times New Roman"/>
          <w:color w:val="auto"/>
        </w:rPr>
        <w:t>-</w:t>
      </w:r>
      <w:r>
        <w:rPr>
          <w:rFonts w:ascii="Times New Roman" w:hAnsi="Times New Roman"/>
          <w:color w:val="auto"/>
        </w:rPr>
        <w:fldChar w:fldCharType="begin"/>
      </w:r>
      <w:r>
        <w:rPr>
          <w:rFonts w:ascii="Times New Roman" w:hAnsi="Times New Roman"/>
          <w:color w:val="auto"/>
        </w:rPr>
        <w:instrText xml:space="preserve"> = 5 \* GB3 \* MERGEFORMAT </w:instrText>
      </w:r>
      <w:r>
        <w:rPr>
          <w:rFonts w:ascii="Times New Roman" w:hAnsi="Times New Roman"/>
          <w:color w:val="auto"/>
        </w:rPr>
        <w:fldChar w:fldCharType="separate"/>
      </w:r>
      <w:r>
        <w:rPr>
          <w:rFonts w:ascii="Times New Roman" w:hAnsi="Times New Roman"/>
          <w:color w:val="auto"/>
        </w:rPr>
        <w:t>⑤</w:t>
      </w:r>
      <w:r>
        <w:rPr>
          <w:rFonts w:ascii="Times New Roman" w:hAnsi="Times New Roman"/>
          <w:color w:val="auto"/>
        </w:rPr>
        <w:fldChar w:fldCharType="end"/>
      </w:r>
      <w:r>
        <w:rPr>
          <w:rFonts w:ascii="Times New Roman" w:hAnsi="Times New Roman"/>
          <w:color w:val="auto"/>
        </w:rPr>
        <w:t>；</w:t>
      </w:r>
      <w:r>
        <w:rPr>
          <w:rFonts w:ascii="Times New Roman" w:hAnsi="Times New Roman"/>
          <w:color w:val="auto"/>
        </w:rPr>
        <w:fldChar w:fldCharType="begin"/>
      </w:r>
      <w:r>
        <w:rPr>
          <w:rFonts w:ascii="Times New Roman" w:hAnsi="Times New Roman"/>
          <w:color w:val="auto"/>
        </w:rPr>
        <w:instrText xml:space="preserve"> = 7 \* GB3 \* MERGEFORMAT </w:instrText>
      </w:r>
      <w:r>
        <w:rPr>
          <w:rFonts w:ascii="Times New Roman" w:hAnsi="Times New Roman"/>
          <w:color w:val="auto"/>
        </w:rPr>
        <w:fldChar w:fldCharType="separate"/>
      </w:r>
      <w:r>
        <w:rPr>
          <w:rFonts w:ascii="Times New Roman" w:hAnsi="Times New Roman"/>
          <w:color w:val="auto"/>
        </w:rPr>
        <w:t>⑦</w:t>
      </w:r>
      <w:r>
        <w:rPr>
          <w:rFonts w:ascii="Times New Roman" w:hAnsi="Times New Roman"/>
          <w:color w:val="auto"/>
        </w:rPr>
        <w:fldChar w:fldCharType="end"/>
      </w:r>
      <w:r>
        <w:rPr>
          <w:rFonts w:ascii="Times New Roman" w:hAnsi="Times New Roman"/>
          <w:color w:val="auto"/>
        </w:rPr>
        <w:t>=</w:t>
      </w:r>
      <w:r>
        <w:rPr>
          <w:rFonts w:ascii="Times New Roman" w:hAnsi="Times New Roman"/>
          <w:color w:val="auto"/>
        </w:rPr>
        <w:fldChar w:fldCharType="begin"/>
      </w:r>
      <w:r>
        <w:rPr>
          <w:rFonts w:ascii="Times New Roman" w:hAnsi="Times New Roman"/>
          <w:color w:val="auto"/>
        </w:rPr>
        <w:instrText xml:space="preserve"> = 6 \* GB3 \* MERGEFORMAT </w:instrText>
      </w:r>
      <w:r>
        <w:rPr>
          <w:rFonts w:ascii="Times New Roman" w:hAnsi="Times New Roman"/>
          <w:color w:val="auto"/>
        </w:rPr>
        <w:fldChar w:fldCharType="separate"/>
      </w:r>
      <w:r>
        <w:rPr>
          <w:rFonts w:ascii="Times New Roman" w:hAnsi="Times New Roman"/>
          <w:color w:val="auto"/>
        </w:rPr>
        <w:t>⑥</w:t>
      </w:r>
      <w:r>
        <w:rPr>
          <w:rFonts w:ascii="Times New Roman" w:hAnsi="Times New Roman"/>
          <w:color w:val="auto"/>
        </w:rPr>
        <w:fldChar w:fldCharType="end"/>
      </w:r>
      <w:r>
        <w:rPr>
          <w:rFonts w:ascii="Times New Roman" w:hAnsi="Times New Roman"/>
          <w:color w:val="auto"/>
        </w:rPr>
        <w:t>-</w:t>
      </w:r>
      <w:r>
        <w:rPr>
          <w:rFonts w:ascii="Times New Roman" w:hAnsi="Times New Roman"/>
          <w:color w:val="auto"/>
        </w:rPr>
        <w:fldChar w:fldCharType="begin"/>
      </w:r>
      <w:r>
        <w:rPr>
          <w:rFonts w:ascii="Times New Roman" w:hAnsi="Times New Roman"/>
          <w:color w:val="auto"/>
        </w:rPr>
        <w:instrText xml:space="preserve"> = 1 \* GB3 \* MERGEFORMAT </w:instrText>
      </w:r>
      <w:r>
        <w:rPr>
          <w:rFonts w:ascii="Times New Roman" w:hAnsi="Times New Roman"/>
          <w:color w:val="auto"/>
        </w:rPr>
        <w:fldChar w:fldCharType="separate"/>
      </w:r>
      <w:r>
        <w:rPr>
          <w:rFonts w:ascii="Times New Roman" w:hAnsi="Times New Roman"/>
          <w:color w:val="auto"/>
        </w:rPr>
        <w:t>①</w:t>
      </w:r>
      <w:r>
        <w:rPr>
          <w:rFonts w:ascii="Times New Roman" w:hAnsi="Times New Roman"/>
          <w:color w:val="auto"/>
        </w:rPr>
        <w:fldChar w:fldCharType="end"/>
      </w:r>
    </w:p>
    <w:sectPr>
      <w:footerReference r:id="rId8"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新宋体-18030">
    <w:altName w:val="宋体"/>
    <w:panose1 w:val="00000000000000000000"/>
    <w:charset w:val="00"/>
    <w:family w:val="auto"/>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 w:name="FZFSK--GBK1-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6E88A">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BEE5E">
    <w:pPr>
      <w:pStyle w:val="13"/>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BD7BF">
    <w:pPr>
      <w:pStyle w:val="13"/>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E57F5">
                          <w:pPr>
                            <w:pStyle w:val="13"/>
                            <w:rPr>
                              <w:rStyle w:val="23"/>
                              <w:rFonts w:ascii="宋体" w:hAnsi="宋体"/>
                              <w:sz w:val="28"/>
                              <w:szCs w:val="28"/>
                            </w:rPr>
                          </w:pPr>
                          <w:r>
                            <w:rPr>
                              <w:rStyle w:val="23"/>
                              <w:rFonts w:hint="eastAsia" w:ascii="宋体" w:hAnsi="宋体"/>
                              <w:sz w:val="28"/>
                              <w:szCs w:val="28"/>
                            </w:rPr>
                            <w:t>—</w:t>
                          </w:r>
                          <w:r>
                            <w:rPr>
                              <w:rStyle w:val="23"/>
                              <w:rFonts w:hint="eastAsia"/>
                              <w:sz w:val="20"/>
                            </w:rPr>
                            <w:t xml:space="preserve">  </w:t>
                          </w:r>
                          <w:r>
                            <w:rPr>
                              <w:rStyle w:val="23"/>
                              <w:sz w:val="21"/>
                              <w:szCs w:val="21"/>
                            </w:rPr>
                            <w:fldChar w:fldCharType="begin"/>
                          </w:r>
                          <w:r>
                            <w:rPr>
                              <w:rStyle w:val="23"/>
                              <w:sz w:val="21"/>
                              <w:szCs w:val="21"/>
                            </w:rPr>
                            <w:instrText xml:space="preserve">PAGE  </w:instrText>
                          </w:r>
                          <w:r>
                            <w:rPr>
                              <w:rStyle w:val="23"/>
                              <w:sz w:val="21"/>
                              <w:szCs w:val="21"/>
                            </w:rPr>
                            <w:fldChar w:fldCharType="separate"/>
                          </w:r>
                          <w:r>
                            <w:rPr>
                              <w:rStyle w:val="23"/>
                              <w:sz w:val="21"/>
                              <w:szCs w:val="21"/>
                            </w:rPr>
                            <w:t>3</w:t>
                          </w:r>
                          <w:r>
                            <w:rPr>
                              <w:rStyle w:val="23"/>
                              <w:sz w:val="21"/>
                              <w:szCs w:val="21"/>
                            </w:rPr>
                            <w:fldChar w:fldCharType="end"/>
                          </w:r>
                          <w:r>
                            <w:rPr>
                              <w:rStyle w:val="23"/>
                              <w:rFonts w:hint="eastAsia" w:ascii="宋体" w:hAnsi="宋体"/>
                              <w:sz w:val="21"/>
                              <w:szCs w:val="21"/>
                            </w:rPr>
                            <w:t xml:space="preserve"> </w:t>
                          </w:r>
                          <w:r>
                            <w:rPr>
                              <w:rStyle w:val="23"/>
                              <w:rFonts w:hint="eastAsia" w:ascii="宋体" w:hAnsi="宋体"/>
                              <w:sz w:val="20"/>
                            </w:rPr>
                            <w:t xml:space="preserve"> </w:t>
                          </w:r>
                          <w:r>
                            <w:rPr>
                              <w:rStyle w:val="23"/>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D6E57F5">
                    <w:pPr>
                      <w:pStyle w:val="13"/>
                      <w:rPr>
                        <w:rStyle w:val="23"/>
                        <w:rFonts w:ascii="宋体" w:hAnsi="宋体"/>
                        <w:sz w:val="28"/>
                        <w:szCs w:val="28"/>
                      </w:rPr>
                    </w:pPr>
                    <w:r>
                      <w:rPr>
                        <w:rStyle w:val="23"/>
                        <w:rFonts w:hint="eastAsia" w:ascii="宋体" w:hAnsi="宋体"/>
                        <w:sz w:val="28"/>
                        <w:szCs w:val="28"/>
                      </w:rPr>
                      <w:t>—</w:t>
                    </w:r>
                    <w:r>
                      <w:rPr>
                        <w:rStyle w:val="23"/>
                        <w:rFonts w:hint="eastAsia"/>
                        <w:sz w:val="20"/>
                      </w:rPr>
                      <w:t xml:space="preserve">  </w:t>
                    </w:r>
                    <w:r>
                      <w:rPr>
                        <w:rStyle w:val="23"/>
                        <w:sz w:val="21"/>
                        <w:szCs w:val="21"/>
                      </w:rPr>
                      <w:fldChar w:fldCharType="begin"/>
                    </w:r>
                    <w:r>
                      <w:rPr>
                        <w:rStyle w:val="23"/>
                        <w:sz w:val="21"/>
                        <w:szCs w:val="21"/>
                      </w:rPr>
                      <w:instrText xml:space="preserve">PAGE  </w:instrText>
                    </w:r>
                    <w:r>
                      <w:rPr>
                        <w:rStyle w:val="23"/>
                        <w:sz w:val="21"/>
                        <w:szCs w:val="21"/>
                      </w:rPr>
                      <w:fldChar w:fldCharType="separate"/>
                    </w:r>
                    <w:r>
                      <w:rPr>
                        <w:rStyle w:val="23"/>
                        <w:sz w:val="21"/>
                        <w:szCs w:val="21"/>
                      </w:rPr>
                      <w:t>3</w:t>
                    </w:r>
                    <w:r>
                      <w:rPr>
                        <w:rStyle w:val="23"/>
                        <w:sz w:val="21"/>
                        <w:szCs w:val="21"/>
                      </w:rPr>
                      <w:fldChar w:fldCharType="end"/>
                    </w:r>
                    <w:r>
                      <w:rPr>
                        <w:rStyle w:val="23"/>
                        <w:rFonts w:hint="eastAsia" w:ascii="宋体" w:hAnsi="宋体"/>
                        <w:sz w:val="21"/>
                        <w:szCs w:val="21"/>
                      </w:rPr>
                      <w:t xml:space="preserve"> </w:t>
                    </w:r>
                    <w:r>
                      <w:rPr>
                        <w:rStyle w:val="23"/>
                        <w:rFonts w:hint="eastAsia" w:ascii="宋体" w:hAnsi="宋体"/>
                        <w:sz w:val="20"/>
                      </w:rPr>
                      <w:t xml:space="preserve"> </w:t>
                    </w:r>
                    <w:r>
                      <w:rPr>
                        <w:rStyle w:val="23"/>
                        <w:rFonts w:hint="eastAsia" w:ascii="宋体" w:hAnsi="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6DAF7">
    <w:pPr>
      <w:pStyle w:val="13"/>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48C33D">
                          <w:pPr>
                            <w:pStyle w:val="13"/>
                            <w:rPr>
                              <w:rStyle w:val="23"/>
                              <w:rFonts w:ascii="宋体" w:hAnsi="宋体"/>
                              <w:sz w:val="28"/>
                              <w:szCs w:val="28"/>
                            </w:rPr>
                          </w:pPr>
                          <w:r>
                            <w:rPr>
                              <w:rStyle w:val="23"/>
                              <w:rFonts w:hint="eastAsia" w:ascii="宋体" w:hAnsi="宋体"/>
                              <w:sz w:val="28"/>
                              <w:szCs w:val="28"/>
                            </w:rPr>
                            <w:t>—</w:t>
                          </w:r>
                          <w:r>
                            <w:rPr>
                              <w:rStyle w:val="23"/>
                              <w:rFonts w:hint="eastAsia" w:ascii="宋体" w:hAnsi="宋体"/>
                              <w:sz w:val="20"/>
                            </w:rPr>
                            <w:t xml:space="preserve"> </w:t>
                          </w:r>
                          <w:r>
                            <w:rPr>
                              <w:rStyle w:val="23"/>
                              <w:rFonts w:hint="eastAsia" w:ascii="宋体" w:hAnsi="宋体"/>
                              <w:sz w:val="20"/>
                              <w:lang w:val="en-US" w:eastAsia="zh-CN"/>
                            </w:rPr>
                            <w:t>57</w:t>
                          </w:r>
                          <w:r>
                            <w:rPr>
                              <w:rStyle w:val="23"/>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448C33D">
                    <w:pPr>
                      <w:pStyle w:val="13"/>
                      <w:rPr>
                        <w:rStyle w:val="23"/>
                        <w:rFonts w:ascii="宋体" w:hAnsi="宋体"/>
                        <w:sz w:val="28"/>
                        <w:szCs w:val="28"/>
                      </w:rPr>
                    </w:pPr>
                    <w:r>
                      <w:rPr>
                        <w:rStyle w:val="23"/>
                        <w:rFonts w:hint="eastAsia" w:ascii="宋体" w:hAnsi="宋体"/>
                        <w:sz w:val="28"/>
                        <w:szCs w:val="28"/>
                      </w:rPr>
                      <w:t>—</w:t>
                    </w:r>
                    <w:r>
                      <w:rPr>
                        <w:rStyle w:val="23"/>
                        <w:rFonts w:hint="eastAsia" w:ascii="宋体" w:hAnsi="宋体"/>
                        <w:sz w:val="20"/>
                      </w:rPr>
                      <w:t xml:space="preserve"> </w:t>
                    </w:r>
                    <w:r>
                      <w:rPr>
                        <w:rStyle w:val="23"/>
                        <w:rFonts w:hint="eastAsia" w:ascii="宋体" w:hAnsi="宋体"/>
                        <w:sz w:val="20"/>
                        <w:lang w:val="en-US" w:eastAsia="zh-CN"/>
                      </w:rPr>
                      <w:t>57</w:t>
                    </w:r>
                    <w:r>
                      <w:rPr>
                        <w:rStyle w:val="23"/>
                        <w:rFonts w:hint="eastAsia" w:ascii="宋体" w:hAnsi="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BC27E"/>
    <w:multiLevelType w:val="singleLevel"/>
    <w:tmpl w:val="883BC27E"/>
    <w:lvl w:ilvl="0" w:tentative="0">
      <w:start w:val="8"/>
      <w:numFmt w:val="decimal"/>
      <w:suff w:val="nothing"/>
      <w:lvlText w:val="%1、"/>
      <w:lvlJc w:val="left"/>
    </w:lvl>
  </w:abstractNum>
  <w:abstractNum w:abstractNumId="1">
    <w:nsid w:val="8AB78EA7"/>
    <w:multiLevelType w:val="singleLevel"/>
    <w:tmpl w:val="8AB78EA7"/>
    <w:lvl w:ilvl="0" w:tentative="0">
      <w:start w:val="1"/>
      <w:numFmt w:val="chineseCounting"/>
      <w:suff w:val="nothing"/>
      <w:lvlText w:val="%1、"/>
      <w:lvlJc w:val="left"/>
      <w:rPr>
        <w:rFonts w:hint="eastAsia"/>
      </w:rPr>
    </w:lvl>
  </w:abstractNum>
  <w:abstractNum w:abstractNumId="2">
    <w:nsid w:val="8D63D098"/>
    <w:multiLevelType w:val="singleLevel"/>
    <w:tmpl w:val="8D63D098"/>
    <w:lvl w:ilvl="0" w:tentative="0">
      <w:start w:val="1"/>
      <w:numFmt w:val="decimal"/>
      <w:suff w:val="nothing"/>
      <w:lvlText w:val="%1、"/>
      <w:lvlJc w:val="left"/>
    </w:lvl>
  </w:abstractNum>
  <w:abstractNum w:abstractNumId="3">
    <w:nsid w:val="9B778CDD"/>
    <w:multiLevelType w:val="singleLevel"/>
    <w:tmpl w:val="9B778CDD"/>
    <w:lvl w:ilvl="0" w:tentative="0">
      <w:start w:val="1"/>
      <w:numFmt w:val="decimal"/>
      <w:suff w:val="nothing"/>
      <w:lvlText w:val="（%1）"/>
      <w:lvlJc w:val="left"/>
    </w:lvl>
  </w:abstractNum>
  <w:abstractNum w:abstractNumId="4">
    <w:nsid w:val="B7E75F91"/>
    <w:multiLevelType w:val="singleLevel"/>
    <w:tmpl w:val="B7E75F91"/>
    <w:lvl w:ilvl="0" w:tentative="0">
      <w:start w:val="1"/>
      <w:numFmt w:val="decimal"/>
      <w:suff w:val="nothing"/>
      <w:lvlText w:val="（%1）"/>
      <w:lvlJc w:val="left"/>
    </w:lvl>
  </w:abstractNum>
  <w:abstractNum w:abstractNumId="5">
    <w:nsid w:val="B8F974CB"/>
    <w:multiLevelType w:val="singleLevel"/>
    <w:tmpl w:val="B8F974CB"/>
    <w:lvl w:ilvl="0" w:tentative="0">
      <w:start w:val="1"/>
      <w:numFmt w:val="bullet"/>
      <w:pStyle w:val="9"/>
      <w:lvlText w:val=""/>
      <w:lvlJc w:val="left"/>
      <w:pPr>
        <w:tabs>
          <w:tab w:val="left" w:pos="2040"/>
        </w:tabs>
        <w:ind w:left="2040" w:hanging="360"/>
      </w:pPr>
      <w:rPr>
        <w:rFonts w:hint="default" w:ascii="Wingdings" w:hAnsi="Wingdings"/>
      </w:rPr>
    </w:lvl>
  </w:abstractNum>
  <w:abstractNum w:abstractNumId="6">
    <w:nsid w:val="F2523516"/>
    <w:multiLevelType w:val="singleLevel"/>
    <w:tmpl w:val="F2523516"/>
    <w:lvl w:ilvl="0" w:tentative="0">
      <w:start w:val="1"/>
      <w:numFmt w:val="decimal"/>
      <w:suff w:val="nothing"/>
      <w:lvlText w:val="%1、"/>
      <w:lvlJc w:val="left"/>
    </w:lvl>
  </w:abstractNum>
  <w:abstractNum w:abstractNumId="7">
    <w:nsid w:val="FAB577FC"/>
    <w:multiLevelType w:val="singleLevel"/>
    <w:tmpl w:val="FAB577FC"/>
    <w:lvl w:ilvl="0" w:tentative="0">
      <w:start w:val="1"/>
      <w:numFmt w:val="decimal"/>
      <w:suff w:val="nothing"/>
      <w:lvlText w:val="%1、"/>
      <w:lvlJc w:val="left"/>
    </w:lvl>
  </w:abstractNum>
  <w:abstractNum w:abstractNumId="8">
    <w:nsid w:val="FCF492BC"/>
    <w:multiLevelType w:val="singleLevel"/>
    <w:tmpl w:val="FCF492BC"/>
    <w:lvl w:ilvl="0" w:tentative="0">
      <w:start w:val="1"/>
      <w:numFmt w:val="decimal"/>
      <w:lvlText w:val="%1."/>
      <w:lvlJc w:val="left"/>
      <w:pPr>
        <w:tabs>
          <w:tab w:val="left" w:pos="312"/>
        </w:tabs>
      </w:pPr>
    </w:lvl>
  </w:abstractNum>
  <w:abstractNum w:abstractNumId="9">
    <w:nsid w:val="02D8AC78"/>
    <w:multiLevelType w:val="singleLevel"/>
    <w:tmpl w:val="02D8AC78"/>
    <w:lvl w:ilvl="0" w:tentative="0">
      <w:start w:val="1"/>
      <w:numFmt w:val="decimal"/>
      <w:suff w:val="nothing"/>
      <w:lvlText w:val="%1、"/>
      <w:lvlJc w:val="left"/>
    </w:lvl>
  </w:abstractNum>
  <w:abstractNum w:abstractNumId="10">
    <w:nsid w:val="0B7198FD"/>
    <w:multiLevelType w:val="singleLevel"/>
    <w:tmpl w:val="0B7198FD"/>
    <w:lvl w:ilvl="0" w:tentative="0">
      <w:start w:val="1"/>
      <w:numFmt w:val="decimal"/>
      <w:suff w:val="nothing"/>
      <w:lvlText w:val="%1、"/>
      <w:lvlJc w:val="left"/>
    </w:lvl>
  </w:abstractNum>
  <w:abstractNum w:abstractNumId="11">
    <w:nsid w:val="136259E8"/>
    <w:multiLevelType w:val="singleLevel"/>
    <w:tmpl w:val="136259E8"/>
    <w:lvl w:ilvl="0" w:tentative="0">
      <w:start w:val="1"/>
      <w:numFmt w:val="decimal"/>
      <w:suff w:val="nothing"/>
      <w:lvlText w:val="%1、"/>
      <w:lvlJc w:val="left"/>
    </w:lvl>
  </w:abstractNum>
  <w:abstractNum w:abstractNumId="12">
    <w:nsid w:val="295D7A3A"/>
    <w:multiLevelType w:val="singleLevel"/>
    <w:tmpl w:val="295D7A3A"/>
    <w:lvl w:ilvl="0" w:tentative="0">
      <w:start w:val="1"/>
      <w:numFmt w:val="decimal"/>
      <w:suff w:val="nothing"/>
      <w:lvlText w:val="%1、"/>
      <w:lvlJc w:val="left"/>
      <w:pPr>
        <w:ind w:left="58"/>
      </w:pPr>
    </w:lvl>
  </w:abstractNum>
  <w:abstractNum w:abstractNumId="13">
    <w:nsid w:val="2AD90191"/>
    <w:multiLevelType w:val="singleLevel"/>
    <w:tmpl w:val="2AD90191"/>
    <w:lvl w:ilvl="0" w:tentative="0">
      <w:start w:val="1"/>
      <w:numFmt w:val="chineseCounting"/>
      <w:suff w:val="nothing"/>
      <w:lvlText w:val="%1、"/>
      <w:lvlJc w:val="left"/>
      <w:rPr>
        <w:rFonts w:hint="eastAsia"/>
      </w:rPr>
    </w:lvl>
  </w:abstractNum>
  <w:abstractNum w:abstractNumId="14">
    <w:nsid w:val="348BDB26"/>
    <w:multiLevelType w:val="singleLevel"/>
    <w:tmpl w:val="348BDB26"/>
    <w:lvl w:ilvl="0" w:tentative="0">
      <w:start w:val="1"/>
      <w:numFmt w:val="decimal"/>
      <w:suff w:val="nothing"/>
      <w:lvlText w:val="%1、"/>
      <w:lvlJc w:val="left"/>
    </w:lvl>
  </w:abstractNum>
  <w:abstractNum w:abstractNumId="15">
    <w:nsid w:val="67A85842"/>
    <w:multiLevelType w:val="singleLevel"/>
    <w:tmpl w:val="67A85842"/>
    <w:lvl w:ilvl="0" w:tentative="0">
      <w:start w:val="1"/>
      <w:numFmt w:val="chineseCounting"/>
      <w:suff w:val="nothing"/>
      <w:lvlText w:val="%1、"/>
      <w:lvlJc w:val="left"/>
      <w:rPr>
        <w:rFonts w:hint="eastAsia"/>
      </w:rPr>
    </w:lvl>
  </w:abstractNum>
  <w:num w:numId="1">
    <w:abstractNumId w:val="5"/>
  </w:num>
  <w:num w:numId="2">
    <w:abstractNumId w:val="13"/>
  </w:num>
  <w:num w:numId="3">
    <w:abstractNumId w:val="14"/>
  </w:num>
  <w:num w:numId="4">
    <w:abstractNumId w:val="8"/>
  </w:num>
  <w:num w:numId="5">
    <w:abstractNumId w:val="0"/>
  </w:num>
  <w:num w:numId="6">
    <w:abstractNumId w:val="15"/>
  </w:num>
  <w:num w:numId="7">
    <w:abstractNumId w:val="6"/>
  </w:num>
  <w:num w:numId="8">
    <w:abstractNumId w:val="4"/>
  </w:num>
  <w:num w:numId="9">
    <w:abstractNumId w:val="12"/>
  </w:num>
  <w:num w:numId="10">
    <w:abstractNumId w:val="7"/>
  </w:num>
  <w:num w:numId="11">
    <w:abstractNumId w:val="10"/>
  </w:num>
  <w:num w:numId="12">
    <w:abstractNumId w:val="11"/>
  </w:num>
  <w:num w:numId="13">
    <w:abstractNumId w:val="3"/>
  </w:num>
  <w:num w:numId="14">
    <w:abstractNumId w:val="1"/>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YWVjZjFkYTJkNzI5ZDNmMjNjYTE4YTEwNTQ2OTUifQ=="/>
  </w:docVars>
  <w:rsids>
    <w:rsidRoot w:val="00172A27"/>
    <w:rsid w:val="00085B74"/>
    <w:rsid w:val="00156019"/>
    <w:rsid w:val="00197384"/>
    <w:rsid w:val="00223041"/>
    <w:rsid w:val="003C0BB1"/>
    <w:rsid w:val="00455495"/>
    <w:rsid w:val="004966D7"/>
    <w:rsid w:val="005F28A4"/>
    <w:rsid w:val="006851E0"/>
    <w:rsid w:val="0069655A"/>
    <w:rsid w:val="00A16B58"/>
    <w:rsid w:val="00A37A37"/>
    <w:rsid w:val="00BB3538"/>
    <w:rsid w:val="00CC27D1"/>
    <w:rsid w:val="00D01CD3"/>
    <w:rsid w:val="00E96C73"/>
    <w:rsid w:val="00EE2022"/>
    <w:rsid w:val="00F8565C"/>
    <w:rsid w:val="01181D68"/>
    <w:rsid w:val="01594B10"/>
    <w:rsid w:val="01633243"/>
    <w:rsid w:val="019E57CC"/>
    <w:rsid w:val="019E5BA0"/>
    <w:rsid w:val="01C86A15"/>
    <w:rsid w:val="01F36190"/>
    <w:rsid w:val="02224AEA"/>
    <w:rsid w:val="02251127"/>
    <w:rsid w:val="022855ED"/>
    <w:rsid w:val="02411DE9"/>
    <w:rsid w:val="02665B9D"/>
    <w:rsid w:val="02945FBB"/>
    <w:rsid w:val="02A64C55"/>
    <w:rsid w:val="03312CB4"/>
    <w:rsid w:val="03521A2F"/>
    <w:rsid w:val="037F586A"/>
    <w:rsid w:val="03865E26"/>
    <w:rsid w:val="0390311E"/>
    <w:rsid w:val="03AF31FD"/>
    <w:rsid w:val="03C62314"/>
    <w:rsid w:val="03DF34A0"/>
    <w:rsid w:val="03F32A5D"/>
    <w:rsid w:val="043030C3"/>
    <w:rsid w:val="0467420E"/>
    <w:rsid w:val="04782031"/>
    <w:rsid w:val="04A30312"/>
    <w:rsid w:val="04D151C3"/>
    <w:rsid w:val="04D57A26"/>
    <w:rsid w:val="04E362FD"/>
    <w:rsid w:val="04E9263C"/>
    <w:rsid w:val="05043065"/>
    <w:rsid w:val="055401F6"/>
    <w:rsid w:val="05650638"/>
    <w:rsid w:val="05670541"/>
    <w:rsid w:val="05EB583D"/>
    <w:rsid w:val="05FB774E"/>
    <w:rsid w:val="0618259C"/>
    <w:rsid w:val="061D149F"/>
    <w:rsid w:val="067010B1"/>
    <w:rsid w:val="068B0826"/>
    <w:rsid w:val="06A43FAC"/>
    <w:rsid w:val="06D917FF"/>
    <w:rsid w:val="06F15111"/>
    <w:rsid w:val="06F201A9"/>
    <w:rsid w:val="06FC7455"/>
    <w:rsid w:val="07141E02"/>
    <w:rsid w:val="071450D1"/>
    <w:rsid w:val="071478C4"/>
    <w:rsid w:val="074C7421"/>
    <w:rsid w:val="07515C84"/>
    <w:rsid w:val="07BE7D11"/>
    <w:rsid w:val="07C358A3"/>
    <w:rsid w:val="07CE4D20"/>
    <w:rsid w:val="07D46E64"/>
    <w:rsid w:val="07D61039"/>
    <w:rsid w:val="07F03449"/>
    <w:rsid w:val="08097B0B"/>
    <w:rsid w:val="0820583E"/>
    <w:rsid w:val="088C033F"/>
    <w:rsid w:val="08BF39A8"/>
    <w:rsid w:val="08C015B9"/>
    <w:rsid w:val="08FD5327"/>
    <w:rsid w:val="09027F27"/>
    <w:rsid w:val="091927E7"/>
    <w:rsid w:val="092E64BC"/>
    <w:rsid w:val="096A6A83"/>
    <w:rsid w:val="097855CC"/>
    <w:rsid w:val="09806672"/>
    <w:rsid w:val="099A1BD5"/>
    <w:rsid w:val="09AD5227"/>
    <w:rsid w:val="09C6106C"/>
    <w:rsid w:val="09DC0E0E"/>
    <w:rsid w:val="09E70DC7"/>
    <w:rsid w:val="09F1678B"/>
    <w:rsid w:val="09FF2BC8"/>
    <w:rsid w:val="0A2E5E45"/>
    <w:rsid w:val="0A46214D"/>
    <w:rsid w:val="0A554AC4"/>
    <w:rsid w:val="0A854F9F"/>
    <w:rsid w:val="0A8F79CD"/>
    <w:rsid w:val="0AA52622"/>
    <w:rsid w:val="0AA90AE5"/>
    <w:rsid w:val="0AC93E71"/>
    <w:rsid w:val="0AD03E56"/>
    <w:rsid w:val="0AD242BA"/>
    <w:rsid w:val="0AD401AC"/>
    <w:rsid w:val="0AEC0884"/>
    <w:rsid w:val="0AF32C6A"/>
    <w:rsid w:val="0AF35F1C"/>
    <w:rsid w:val="0AF547EB"/>
    <w:rsid w:val="0B170B82"/>
    <w:rsid w:val="0B4A75DC"/>
    <w:rsid w:val="0B4F7A3F"/>
    <w:rsid w:val="0B7F2B56"/>
    <w:rsid w:val="0B8D1B30"/>
    <w:rsid w:val="0B8E7EE9"/>
    <w:rsid w:val="0C1B4A0E"/>
    <w:rsid w:val="0C2F6A20"/>
    <w:rsid w:val="0C3D5BA6"/>
    <w:rsid w:val="0C880AB8"/>
    <w:rsid w:val="0CA21D1B"/>
    <w:rsid w:val="0CC647A0"/>
    <w:rsid w:val="0D556D9C"/>
    <w:rsid w:val="0D63033E"/>
    <w:rsid w:val="0D6C1C09"/>
    <w:rsid w:val="0DC57AB3"/>
    <w:rsid w:val="0DE33699"/>
    <w:rsid w:val="0E1A4711"/>
    <w:rsid w:val="0E2A51A7"/>
    <w:rsid w:val="0E2D16C6"/>
    <w:rsid w:val="0E3344B5"/>
    <w:rsid w:val="0E4B4AE4"/>
    <w:rsid w:val="0E5A02E7"/>
    <w:rsid w:val="0E680E26"/>
    <w:rsid w:val="0E72676E"/>
    <w:rsid w:val="0E9954C0"/>
    <w:rsid w:val="0ED51E9B"/>
    <w:rsid w:val="0F231AA1"/>
    <w:rsid w:val="0F3C24A3"/>
    <w:rsid w:val="0F523854"/>
    <w:rsid w:val="0F8C5462"/>
    <w:rsid w:val="0FB85E4B"/>
    <w:rsid w:val="0FB9782E"/>
    <w:rsid w:val="0FBE028E"/>
    <w:rsid w:val="0FD146F2"/>
    <w:rsid w:val="10017EB1"/>
    <w:rsid w:val="10177C80"/>
    <w:rsid w:val="10223411"/>
    <w:rsid w:val="103D3CB4"/>
    <w:rsid w:val="105272B9"/>
    <w:rsid w:val="10621C16"/>
    <w:rsid w:val="1095491E"/>
    <w:rsid w:val="10DE3D13"/>
    <w:rsid w:val="11132207"/>
    <w:rsid w:val="112E7342"/>
    <w:rsid w:val="115572D3"/>
    <w:rsid w:val="1162530F"/>
    <w:rsid w:val="11677B2B"/>
    <w:rsid w:val="11A74627"/>
    <w:rsid w:val="11AE1216"/>
    <w:rsid w:val="11B370E7"/>
    <w:rsid w:val="11CB326A"/>
    <w:rsid w:val="11DF6038"/>
    <w:rsid w:val="11E44FD5"/>
    <w:rsid w:val="11E96613"/>
    <w:rsid w:val="121630FD"/>
    <w:rsid w:val="12331BAC"/>
    <w:rsid w:val="1235520E"/>
    <w:rsid w:val="124F798B"/>
    <w:rsid w:val="1256494B"/>
    <w:rsid w:val="12590403"/>
    <w:rsid w:val="126F6579"/>
    <w:rsid w:val="12707DEE"/>
    <w:rsid w:val="127A06B6"/>
    <w:rsid w:val="129B0C5A"/>
    <w:rsid w:val="12CB0E90"/>
    <w:rsid w:val="12CC4114"/>
    <w:rsid w:val="12DE5B01"/>
    <w:rsid w:val="12F47782"/>
    <w:rsid w:val="12F561E1"/>
    <w:rsid w:val="12F67761"/>
    <w:rsid w:val="13110D7E"/>
    <w:rsid w:val="13116050"/>
    <w:rsid w:val="13206B36"/>
    <w:rsid w:val="13424D2C"/>
    <w:rsid w:val="13BA47C7"/>
    <w:rsid w:val="13CE5E68"/>
    <w:rsid w:val="13F653D3"/>
    <w:rsid w:val="14060B32"/>
    <w:rsid w:val="140B5A09"/>
    <w:rsid w:val="140D78EA"/>
    <w:rsid w:val="140F52A9"/>
    <w:rsid w:val="14480FB9"/>
    <w:rsid w:val="14516A1F"/>
    <w:rsid w:val="146A4698"/>
    <w:rsid w:val="14713076"/>
    <w:rsid w:val="147B4B8F"/>
    <w:rsid w:val="147C72F5"/>
    <w:rsid w:val="149C14FB"/>
    <w:rsid w:val="14B919C1"/>
    <w:rsid w:val="14BA5133"/>
    <w:rsid w:val="14BE4B67"/>
    <w:rsid w:val="14C2513E"/>
    <w:rsid w:val="14C303F0"/>
    <w:rsid w:val="14D608EA"/>
    <w:rsid w:val="14E42163"/>
    <w:rsid w:val="14E5227C"/>
    <w:rsid w:val="14E84BAE"/>
    <w:rsid w:val="15014126"/>
    <w:rsid w:val="15052690"/>
    <w:rsid w:val="151D54D5"/>
    <w:rsid w:val="1536436D"/>
    <w:rsid w:val="15661B52"/>
    <w:rsid w:val="15943FB3"/>
    <w:rsid w:val="15D82578"/>
    <w:rsid w:val="15EB25C7"/>
    <w:rsid w:val="15F6155C"/>
    <w:rsid w:val="16207678"/>
    <w:rsid w:val="169546B4"/>
    <w:rsid w:val="16B45692"/>
    <w:rsid w:val="16ED6E45"/>
    <w:rsid w:val="175F345E"/>
    <w:rsid w:val="17607705"/>
    <w:rsid w:val="17A246FC"/>
    <w:rsid w:val="17D86F39"/>
    <w:rsid w:val="1810135C"/>
    <w:rsid w:val="18563D8F"/>
    <w:rsid w:val="18834BC7"/>
    <w:rsid w:val="18876570"/>
    <w:rsid w:val="18A95C56"/>
    <w:rsid w:val="18B03156"/>
    <w:rsid w:val="18B825CF"/>
    <w:rsid w:val="1901187D"/>
    <w:rsid w:val="194E008A"/>
    <w:rsid w:val="19684A95"/>
    <w:rsid w:val="198E7060"/>
    <w:rsid w:val="198F0110"/>
    <w:rsid w:val="1A0851C8"/>
    <w:rsid w:val="1A0E55F6"/>
    <w:rsid w:val="1A1D7EF9"/>
    <w:rsid w:val="1A33084C"/>
    <w:rsid w:val="1A432854"/>
    <w:rsid w:val="1A500507"/>
    <w:rsid w:val="1A8011C2"/>
    <w:rsid w:val="1A9544EE"/>
    <w:rsid w:val="1AA70A88"/>
    <w:rsid w:val="1AC25489"/>
    <w:rsid w:val="1AC733BE"/>
    <w:rsid w:val="1ADF6CC9"/>
    <w:rsid w:val="1B0B7DD1"/>
    <w:rsid w:val="1B200F42"/>
    <w:rsid w:val="1B2F6797"/>
    <w:rsid w:val="1B3A75C2"/>
    <w:rsid w:val="1B3E43DA"/>
    <w:rsid w:val="1B4834F1"/>
    <w:rsid w:val="1B5D75EE"/>
    <w:rsid w:val="1B8567FB"/>
    <w:rsid w:val="1B8C6D63"/>
    <w:rsid w:val="1B917376"/>
    <w:rsid w:val="1BBA564B"/>
    <w:rsid w:val="1BD61FA9"/>
    <w:rsid w:val="1BE9717C"/>
    <w:rsid w:val="1C267029"/>
    <w:rsid w:val="1C4615C1"/>
    <w:rsid w:val="1C812153"/>
    <w:rsid w:val="1C8B2834"/>
    <w:rsid w:val="1C9D1E58"/>
    <w:rsid w:val="1CB12DA2"/>
    <w:rsid w:val="1CE07564"/>
    <w:rsid w:val="1D123D23"/>
    <w:rsid w:val="1D127FE6"/>
    <w:rsid w:val="1D2C5EF2"/>
    <w:rsid w:val="1D2D3C82"/>
    <w:rsid w:val="1D341284"/>
    <w:rsid w:val="1D4819AF"/>
    <w:rsid w:val="1D7702B0"/>
    <w:rsid w:val="1DA371A4"/>
    <w:rsid w:val="1DC03B82"/>
    <w:rsid w:val="1DC25558"/>
    <w:rsid w:val="1DF143A0"/>
    <w:rsid w:val="1DF42A2C"/>
    <w:rsid w:val="1DF87678"/>
    <w:rsid w:val="1E2B74CC"/>
    <w:rsid w:val="1E534FB2"/>
    <w:rsid w:val="1E644B9B"/>
    <w:rsid w:val="1E937AEF"/>
    <w:rsid w:val="1EE42881"/>
    <w:rsid w:val="1EE600F3"/>
    <w:rsid w:val="1EF417C2"/>
    <w:rsid w:val="1F10795B"/>
    <w:rsid w:val="1F1A6FC1"/>
    <w:rsid w:val="1F201C46"/>
    <w:rsid w:val="1F560F00"/>
    <w:rsid w:val="1F6974B7"/>
    <w:rsid w:val="1F824EFA"/>
    <w:rsid w:val="1F837BFE"/>
    <w:rsid w:val="1FF340DD"/>
    <w:rsid w:val="1FF8417F"/>
    <w:rsid w:val="201B09AF"/>
    <w:rsid w:val="20415CD7"/>
    <w:rsid w:val="205725A1"/>
    <w:rsid w:val="207C6A37"/>
    <w:rsid w:val="2089381E"/>
    <w:rsid w:val="20960E29"/>
    <w:rsid w:val="209A51EB"/>
    <w:rsid w:val="20AC21D2"/>
    <w:rsid w:val="20B43E5E"/>
    <w:rsid w:val="20CA5627"/>
    <w:rsid w:val="20F326ED"/>
    <w:rsid w:val="21442F49"/>
    <w:rsid w:val="2158261F"/>
    <w:rsid w:val="21800A26"/>
    <w:rsid w:val="21970515"/>
    <w:rsid w:val="21B25952"/>
    <w:rsid w:val="21C55D56"/>
    <w:rsid w:val="21CE52E3"/>
    <w:rsid w:val="21D158F4"/>
    <w:rsid w:val="21E82FD2"/>
    <w:rsid w:val="220309D6"/>
    <w:rsid w:val="22046F89"/>
    <w:rsid w:val="221A7979"/>
    <w:rsid w:val="22354B40"/>
    <w:rsid w:val="228036BB"/>
    <w:rsid w:val="22806EF1"/>
    <w:rsid w:val="22975C83"/>
    <w:rsid w:val="22D774C8"/>
    <w:rsid w:val="22DA7C82"/>
    <w:rsid w:val="22F025B4"/>
    <w:rsid w:val="23142D8B"/>
    <w:rsid w:val="23212D6E"/>
    <w:rsid w:val="23346675"/>
    <w:rsid w:val="234E1C12"/>
    <w:rsid w:val="235045A4"/>
    <w:rsid w:val="23A4431D"/>
    <w:rsid w:val="23AA5995"/>
    <w:rsid w:val="23EC13C3"/>
    <w:rsid w:val="23EE605B"/>
    <w:rsid w:val="23F91054"/>
    <w:rsid w:val="23FE2ADF"/>
    <w:rsid w:val="24473634"/>
    <w:rsid w:val="24574BA2"/>
    <w:rsid w:val="24671B25"/>
    <w:rsid w:val="24836F8B"/>
    <w:rsid w:val="2491599F"/>
    <w:rsid w:val="24B87E46"/>
    <w:rsid w:val="24C4667C"/>
    <w:rsid w:val="24CE2C39"/>
    <w:rsid w:val="24D45E6D"/>
    <w:rsid w:val="24D8435F"/>
    <w:rsid w:val="24E22CF7"/>
    <w:rsid w:val="258F75FC"/>
    <w:rsid w:val="25955056"/>
    <w:rsid w:val="25C41910"/>
    <w:rsid w:val="25CB2A91"/>
    <w:rsid w:val="26164396"/>
    <w:rsid w:val="26184507"/>
    <w:rsid w:val="261B1357"/>
    <w:rsid w:val="269D1A51"/>
    <w:rsid w:val="26B8414C"/>
    <w:rsid w:val="26BE00E0"/>
    <w:rsid w:val="26EE4DEA"/>
    <w:rsid w:val="26F3427D"/>
    <w:rsid w:val="26F34F45"/>
    <w:rsid w:val="27495DBA"/>
    <w:rsid w:val="27502024"/>
    <w:rsid w:val="276024E1"/>
    <w:rsid w:val="27646C3B"/>
    <w:rsid w:val="27664463"/>
    <w:rsid w:val="27713C91"/>
    <w:rsid w:val="27942F29"/>
    <w:rsid w:val="27A8625F"/>
    <w:rsid w:val="27B53BB4"/>
    <w:rsid w:val="27C22D5B"/>
    <w:rsid w:val="28040F8B"/>
    <w:rsid w:val="283F5D5F"/>
    <w:rsid w:val="286A5D19"/>
    <w:rsid w:val="28757FD5"/>
    <w:rsid w:val="28873BCD"/>
    <w:rsid w:val="28C21514"/>
    <w:rsid w:val="28CE29A5"/>
    <w:rsid w:val="28EC00B4"/>
    <w:rsid w:val="28EF1377"/>
    <w:rsid w:val="290266BC"/>
    <w:rsid w:val="290A0F40"/>
    <w:rsid w:val="291879D3"/>
    <w:rsid w:val="291E0A0B"/>
    <w:rsid w:val="293C4CF4"/>
    <w:rsid w:val="293C6F6D"/>
    <w:rsid w:val="29425BEE"/>
    <w:rsid w:val="299E1669"/>
    <w:rsid w:val="29A30034"/>
    <w:rsid w:val="29A4604A"/>
    <w:rsid w:val="29BF2CE4"/>
    <w:rsid w:val="2A2312FC"/>
    <w:rsid w:val="2A9A38D7"/>
    <w:rsid w:val="2B0546B7"/>
    <w:rsid w:val="2B117BEB"/>
    <w:rsid w:val="2B6379ED"/>
    <w:rsid w:val="2B721CD1"/>
    <w:rsid w:val="2B7C73A3"/>
    <w:rsid w:val="2BA1536F"/>
    <w:rsid w:val="2BAE1B46"/>
    <w:rsid w:val="2BB32323"/>
    <w:rsid w:val="2BC76AF8"/>
    <w:rsid w:val="2BD378FE"/>
    <w:rsid w:val="2BD51DAA"/>
    <w:rsid w:val="2BDC64E5"/>
    <w:rsid w:val="2BE3628E"/>
    <w:rsid w:val="2BF923AB"/>
    <w:rsid w:val="2BF94052"/>
    <w:rsid w:val="2C096D35"/>
    <w:rsid w:val="2C604D6D"/>
    <w:rsid w:val="2C68096E"/>
    <w:rsid w:val="2C7B010F"/>
    <w:rsid w:val="2C8C4752"/>
    <w:rsid w:val="2CE420AD"/>
    <w:rsid w:val="2D2E02E2"/>
    <w:rsid w:val="2D3079FE"/>
    <w:rsid w:val="2D5C0A3E"/>
    <w:rsid w:val="2D8F2103"/>
    <w:rsid w:val="2DA03C54"/>
    <w:rsid w:val="2DDE35D2"/>
    <w:rsid w:val="2E5A6CBA"/>
    <w:rsid w:val="2E627EE1"/>
    <w:rsid w:val="2E7B66DE"/>
    <w:rsid w:val="2E8B558C"/>
    <w:rsid w:val="2EA61B65"/>
    <w:rsid w:val="2EBF4210"/>
    <w:rsid w:val="2EC15989"/>
    <w:rsid w:val="2F2F0165"/>
    <w:rsid w:val="2F2F25CC"/>
    <w:rsid w:val="2F3B0EAA"/>
    <w:rsid w:val="2F6E5536"/>
    <w:rsid w:val="2F9175BE"/>
    <w:rsid w:val="2F9C11F0"/>
    <w:rsid w:val="2FA33BAB"/>
    <w:rsid w:val="2FA40A35"/>
    <w:rsid w:val="3003497B"/>
    <w:rsid w:val="3035102D"/>
    <w:rsid w:val="30440ACE"/>
    <w:rsid w:val="3076771B"/>
    <w:rsid w:val="308D11A1"/>
    <w:rsid w:val="30E67907"/>
    <w:rsid w:val="31150A17"/>
    <w:rsid w:val="31550974"/>
    <w:rsid w:val="318A297D"/>
    <w:rsid w:val="319A6650"/>
    <w:rsid w:val="32520ADB"/>
    <w:rsid w:val="32563E19"/>
    <w:rsid w:val="328858E8"/>
    <w:rsid w:val="32B24FE6"/>
    <w:rsid w:val="32DA24A0"/>
    <w:rsid w:val="32E533E4"/>
    <w:rsid w:val="32FD4303"/>
    <w:rsid w:val="3346136E"/>
    <w:rsid w:val="337E049F"/>
    <w:rsid w:val="338308A5"/>
    <w:rsid w:val="3390461A"/>
    <w:rsid w:val="33962B52"/>
    <w:rsid w:val="33C024F3"/>
    <w:rsid w:val="33C16358"/>
    <w:rsid w:val="33D87384"/>
    <w:rsid w:val="33F1263C"/>
    <w:rsid w:val="33F90062"/>
    <w:rsid w:val="343E755E"/>
    <w:rsid w:val="344C241E"/>
    <w:rsid w:val="344F63EA"/>
    <w:rsid w:val="345549FA"/>
    <w:rsid w:val="34872F9C"/>
    <w:rsid w:val="34A85125"/>
    <w:rsid w:val="34B72E13"/>
    <w:rsid w:val="34CD33B6"/>
    <w:rsid w:val="34D53AE7"/>
    <w:rsid w:val="34F61243"/>
    <w:rsid w:val="35045035"/>
    <w:rsid w:val="35215F3D"/>
    <w:rsid w:val="352C78EF"/>
    <w:rsid w:val="352D1AF5"/>
    <w:rsid w:val="3538439B"/>
    <w:rsid w:val="35581B75"/>
    <w:rsid w:val="3573228A"/>
    <w:rsid w:val="35810AE0"/>
    <w:rsid w:val="358B6DBD"/>
    <w:rsid w:val="35986AED"/>
    <w:rsid w:val="35B80401"/>
    <w:rsid w:val="35BA07AD"/>
    <w:rsid w:val="35D72406"/>
    <w:rsid w:val="35DE2086"/>
    <w:rsid w:val="360D1FEF"/>
    <w:rsid w:val="36135976"/>
    <w:rsid w:val="362D786B"/>
    <w:rsid w:val="36434779"/>
    <w:rsid w:val="368F4E11"/>
    <w:rsid w:val="36AB2907"/>
    <w:rsid w:val="36BA166F"/>
    <w:rsid w:val="373A099F"/>
    <w:rsid w:val="37572ABD"/>
    <w:rsid w:val="37737D1F"/>
    <w:rsid w:val="382D19B8"/>
    <w:rsid w:val="383B4DEB"/>
    <w:rsid w:val="38415183"/>
    <w:rsid w:val="38491820"/>
    <w:rsid w:val="38615A30"/>
    <w:rsid w:val="38896CDA"/>
    <w:rsid w:val="38BE1D7A"/>
    <w:rsid w:val="392B6D94"/>
    <w:rsid w:val="39360796"/>
    <w:rsid w:val="394073D0"/>
    <w:rsid w:val="396642B0"/>
    <w:rsid w:val="397A6A2C"/>
    <w:rsid w:val="398072C8"/>
    <w:rsid w:val="398D1EB8"/>
    <w:rsid w:val="39FF1A27"/>
    <w:rsid w:val="3A0D3455"/>
    <w:rsid w:val="3A14599C"/>
    <w:rsid w:val="3A374A50"/>
    <w:rsid w:val="3A787E9E"/>
    <w:rsid w:val="3A906B47"/>
    <w:rsid w:val="3B2F4BA1"/>
    <w:rsid w:val="3B47389C"/>
    <w:rsid w:val="3B555729"/>
    <w:rsid w:val="3B6C1B0D"/>
    <w:rsid w:val="3BC608D8"/>
    <w:rsid w:val="3BF00BD0"/>
    <w:rsid w:val="3C3F3677"/>
    <w:rsid w:val="3C4D3E98"/>
    <w:rsid w:val="3C6A56CC"/>
    <w:rsid w:val="3C745F5A"/>
    <w:rsid w:val="3C826BDE"/>
    <w:rsid w:val="3C9739E5"/>
    <w:rsid w:val="3CF234D7"/>
    <w:rsid w:val="3D0029AD"/>
    <w:rsid w:val="3D205AC5"/>
    <w:rsid w:val="3D232D06"/>
    <w:rsid w:val="3D40298D"/>
    <w:rsid w:val="3D4C6097"/>
    <w:rsid w:val="3D513987"/>
    <w:rsid w:val="3D6343C2"/>
    <w:rsid w:val="3D6F637D"/>
    <w:rsid w:val="3DBE6FB6"/>
    <w:rsid w:val="3DDA6D85"/>
    <w:rsid w:val="3DEA1ED9"/>
    <w:rsid w:val="3DF90D30"/>
    <w:rsid w:val="3E2F4BD6"/>
    <w:rsid w:val="3E3627EB"/>
    <w:rsid w:val="3E3B6762"/>
    <w:rsid w:val="3E686346"/>
    <w:rsid w:val="3E7429AE"/>
    <w:rsid w:val="3EDB37E9"/>
    <w:rsid w:val="3EE93F65"/>
    <w:rsid w:val="3EFF7C65"/>
    <w:rsid w:val="3F142FA2"/>
    <w:rsid w:val="3F577B7D"/>
    <w:rsid w:val="3F77095F"/>
    <w:rsid w:val="3FA25561"/>
    <w:rsid w:val="3FA63A0C"/>
    <w:rsid w:val="3FA95C64"/>
    <w:rsid w:val="3FB35995"/>
    <w:rsid w:val="3FCC6874"/>
    <w:rsid w:val="3FD2219E"/>
    <w:rsid w:val="3FF90BEB"/>
    <w:rsid w:val="40141BB6"/>
    <w:rsid w:val="40170548"/>
    <w:rsid w:val="40370C3C"/>
    <w:rsid w:val="40550178"/>
    <w:rsid w:val="40B85F6C"/>
    <w:rsid w:val="40C041DE"/>
    <w:rsid w:val="40E06C7B"/>
    <w:rsid w:val="40E467EC"/>
    <w:rsid w:val="40F71E88"/>
    <w:rsid w:val="40F7797C"/>
    <w:rsid w:val="40FC1146"/>
    <w:rsid w:val="41384729"/>
    <w:rsid w:val="41540567"/>
    <w:rsid w:val="41667F61"/>
    <w:rsid w:val="41706924"/>
    <w:rsid w:val="41735C9B"/>
    <w:rsid w:val="41737E64"/>
    <w:rsid w:val="41A93AB4"/>
    <w:rsid w:val="41AF383C"/>
    <w:rsid w:val="41F05ADB"/>
    <w:rsid w:val="41FB5A41"/>
    <w:rsid w:val="42496C5F"/>
    <w:rsid w:val="42AA4053"/>
    <w:rsid w:val="42D63EDD"/>
    <w:rsid w:val="42FA621E"/>
    <w:rsid w:val="43072392"/>
    <w:rsid w:val="43400B55"/>
    <w:rsid w:val="43555D24"/>
    <w:rsid w:val="440F2A97"/>
    <w:rsid w:val="441043BC"/>
    <w:rsid w:val="44176A40"/>
    <w:rsid w:val="44190936"/>
    <w:rsid w:val="442B59B9"/>
    <w:rsid w:val="442C076D"/>
    <w:rsid w:val="447C4765"/>
    <w:rsid w:val="4498636A"/>
    <w:rsid w:val="44AE681A"/>
    <w:rsid w:val="44C15683"/>
    <w:rsid w:val="44C9471E"/>
    <w:rsid w:val="44CA3A8B"/>
    <w:rsid w:val="44EB2ED5"/>
    <w:rsid w:val="450064AF"/>
    <w:rsid w:val="450D5EC3"/>
    <w:rsid w:val="451B09B5"/>
    <w:rsid w:val="45490AC6"/>
    <w:rsid w:val="4551020F"/>
    <w:rsid w:val="456E0329"/>
    <w:rsid w:val="457452DD"/>
    <w:rsid w:val="459B7ABF"/>
    <w:rsid w:val="45AF576A"/>
    <w:rsid w:val="45B72151"/>
    <w:rsid w:val="45C773B0"/>
    <w:rsid w:val="45DA2553"/>
    <w:rsid w:val="45DB35CC"/>
    <w:rsid w:val="45F031A7"/>
    <w:rsid w:val="45FA18B3"/>
    <w:rsid w:val="46134067"/>
    <w:rsid w:val="463E38DF"/>
    <w:rsid w:val="465A2DAC"/>
    <w:rsid w:val="467E1B6A"/>
    <w:rsid w:val="469840C7"/>
    <w:rsid w:val="46D7531D"/>
    <w:rsid w:val="46E90FF8"/>
    <w:rsid w:val="47300859"/>
    <w:rsid w:val="473B2B1A"/>
    <w:rsid w:val="47437CEB"/>
    <w:rsid w:val="47534DED"/>
    <w:rsid w:val="47693359"/>
    <w:rsid w:val="477A1BAB"/>
    <w:rsid w:val="47924049"/>
    <w:rsid w:val="47A153EB"/>
    <w:rsid w:val="47BC5C53"/>
    <w:rsid w:val="47C03507"/>
    <w:rsid w:val="47CB3F96"/>
    <w:rsid w:val="47EF2A75"/>
    <w:rsid w:val="48174219"/>
    <w:rsid w:val="481F7486"/>
    <w:rsid w:val="483E5464"/>
    <w:rsid w:val="48444C35"/>
    <w:rsid w:val="486137EC"/>
    <w:rsid w:val="48650251"/>
    <w:rsid w:val="488B663B"/>
    <w:rsid w:val="48960DBA"/>
    <w:rsid w:val="48E1073A"/>
    <w:rsid w:val="48ED419F"/>
    <w:rsid w:val="49080BC6"/>
    <w:rsid w:val="49562C1C"/>
    <w:rsid w:val="4958415F"/>
    <w:rsid w:val="49726CC1"/>
    <w:rsid w:val="498C5E6D"/>
    <w:rsid w:val="49C51C46"/>
    <w:rsid w:val="49D1307F"/>
    <w:rsid w:val="49F8370C"/>
    <w:rsid w:val="4A27768E"/>
    <w:rsid w:val="4A2D6DD6"/>
    <w:rsid w:val="4A367F95"/>
    <w:rsid w:val="4A676C3C"/>
    <w:rsid w:val="4A6A0BDB"/>
    <w:rsid w:val="4A783AE0"/>
    <w:rsid w:val="4AAE0D22"/>
    <w:rsid w:val="4AC31738"/>
    <w:rsid w:val="4AD03EAC"/>
    <w:rsid w:val="4AFE6CB6"/>
    <w:rsid w:val="4B1B3E51"/>
    <w:rsid w:val="4B251E77"/>
    <w:rsid w:val="4B3302BC"/>
    <w:rsid w:val="4B393478"/>
    <w:rsid w:val="4B3C2C54"/>
    <w:rsid w:val="4B973712"/>
    <w:rsid w:val="4BA25B68"/>
    <w:rsid w:val="4BA7412B"/>
    <w:rsid w:val="4BA76EBA"/>
    <w:rsid w:val="4BFA712C"/>
    <w:rsid w:val="4C232DC6"/>
    <w:rsid w:val="4C2A5AD0"/>
    <w:rsid w:val="4C326731"/>
    <w:rsid w:val="4C5456D1"/>
    <w:rsid w:val="4C5E4223"/>
    <w:rsid w:val="4C714C8A"/>
    <w:rsid w:val="4CFE3E2D"/>
    <w:rsid w:val="4D0B5D4F"/>
    <w:rsid w:val="4D0E3054"/>
    <w:rsid w:val="4D1245EC"/>
    <w:rsid w:val="4D1A03F2"/>
    <w:rsid w:val="4D272AD5"/>
    <w:rsid w:val="4D4C6E7C"/>
    <w:rsid w:val="4D7353EA"/>
    <w:rsid w:val="4D765549"/>
    <w:rsid w:val="4D8900BE"/>
    <w:rsid w:val="4DBC4619"/>
    <w:rsid w:val="4DD26B67"/>
    <w:rsid w:val="4DD733F1"/>
    <w:rsid w:val="4DE3006C"/>
    <w:rsid w:val="4DED1DF1"/>
    <w:rsid w:val="4E0D0695"/>
    <w:rsid w:val="4E15379A"/>
    <w:rsid w:val="4E3E33B9"/>
    <w:rsid w:val="4E696C98"/>
    <w:rsid w:val="4E714CE8"/>
    <w:rsid w:val="4E8B1695"/>
    <w:rsid w:val="4E922BC4"/>
    <w:rsid w:val="4E9E188E"/>
    <w:rsid w:val="4EB45660"/>
    <w:rsid w:val="4EE91EB1"/>
    <w:rsid w:val="4EF74F0B"/>
    <w:rsid w:val="4F033A94"/>
    <w:rsid w:val="4F071D53"/>
    <w:rsid w:val="4F516C04"/>
    <w:rsid w:val="4F8469E3"/>
    <w:rsid w:val="4F8E184D"/>
    <w:rsid w:val="4FFB2408"/>
    <w:rsid w:val="50107CDA"/>
    <w:rsid w:val="50630B46"/>
    <w:rsid w:val="50972C39"/>
    <w:rsid w:val="509F435C"/>
    <w:rsid w:val="50B30149"/>
    <w:rsid w:val="50C2747E"/>
    <w:rsid w:val="50C77746"/>
    <w:rsid w:val="50E27AE7"/>
    <w:rsid w:val="50E66FB0"/>
    <w:rsid w:val="50FE637F"/>
    <w:rsid w:val="511D7548"/>
    <w:rsid w:val="51AE7C30"/>
    <w:rsid w:val="51C26A01"/>
    <w:rsid w:val="51D045C6"/>
    <w:rsid w:val="51F12AF7"/>
    <w:rsid w:val="51F45197"/>
    <w:rsid w:val="51FA6407"/>
    <w:rsid w:val="520D65B2"/>
    <w:rsid w:val="52163500"/>
    <w:rsid w:val="52200AD0"/>
    <w:rsid w:val="5264379B"/>
    <w:rsid w:val="52A43848"/>
    <w:rsid w:val="52A55D8A"/>
    <w:rsid w:val="52BA1001"/>
    <w:rsid w:val="52D07E1E"/>
    <w:rsid w:val="533B1B4E"/>
    <w:rsid w:val="53583442"/>
    <w:rsid w:val="535D7A5C"/>
    <w:rsid w:val="536A6145"/>
    <w:rsid w:val="53C04378"/>
    <w:rsid w:val="53E41A31"/>
    <w:rsid w:val="53E61B54"/>
    <w:rsid w:val="5406019B"/>
    <w:rsid w:val="54102BBB"/>
    <w:rsid w:val="541D19E8"/>
    <w:rsid w:val="5455706C"/>
    <w:rsid w:val="54746E19"/>
    <w:rsid w:val="547E6196"/>
    <w:rsid w:val="548051BF"/>
    <w:rsid w:val="54902A71"/>
    <w:rsid w:val="549F491C"/>
    <w:rsid w:val="54CB79E8"/>
    <w:rsid w:val="54E35FFA"/>
    <w:rsid w:val="54F77132"/>
    <w:rsid w:val="55004EF0"/>
    <w:rsid w:val="551B79EA"/>
    <w:rsid w:val="55375AB2"/>
    <w:rsid w:val="55430476"/>
    <w:rsid w:val="55500DAE"/>
    <w:rsid w:val="559D07C8"/>
    <w:rsid w:val="55B92AB5"/>
    <w:rsid w:val="560658A2"/>
    <w:rsid w:val="561050BE"/>
    <w:rsid w:val="56234988"/>
    <w:rsid w:val="56257782"/>
    <w:rsid w:val="564B3B23"/>
    <w:rsid w:val="566271B5"/>
    <w:rsid w:val="56804281"/>
    <w:rsid w:val="56C32B9A"/>
    <w:rsid w:val="57110819"/>
    <w:rsid w:val="57217C19"/>
    <w:rsid w:val="573A4DD3"/>
    <w:rsid w:val="573D662E"/>
    <w:rsid w:val="57627440"/>
    <w:rsid w:val="576E6E03"/>
    <w:rsid w:val="57A00F0A"/>
    <w:rsid w:val="57A52F21"/>
    <w:rsid w:val="57DE3A18"/>
    <w:rsid w:val="57F55CE4"/>
    <w:rsid w:val="580D571F"/>
    <w:rsid w:val="582E29EB"/>
    <w:rsid w:val="585C35DA"/>
    <w:rsid w:val="58780051"/>
    <w:rsid w:val="588B3182"/>
    <w:rsid w:val="589F763C"/>
    <w:rsid w:val="58A06A13"/>
    <w:rsid w:val="58A17435"/>
    <w:rsid w:val="58AF5F17"/>
    <w:rsid w:val="58D7647F"/>
    <w:rsid w:val="58D764EE"/>
    <w:rsid w:val="592E5727"/>
    <w:rsid w:val="5941599F"/>
    <w:rsid w:val="59500880"/>
    <w:rsid w:val="596451AB"/>
    <w:rsid w:val="59730A0E"/>
    <w:rsid w:val="598A4476"/>
    <w:rsid w:val="59DA1502"/>
    <w:rsid w:val="59FA0D84"/>
    <w:rsid w:val="5A094833"/>
    <w:rsid w:val="5A0E1B8B"/>
    <w:rsid w:val="5A286869"/>
    <w:rsid w:val="5A48456F"/>
    <w:rsid w:val="5A6B2D19"/>
    <w:rsid w:val="5A8914F5"/>
    <w:rsid w:val="5A961EB6"/>
    <w:rsid w:val="5AD520E6"/>
    <w:rsid w:val="5AF06F95"/>
    <w:rsid w:val="5B16238D"/>
    <w:rsid w:val="5B1671C0"/>
    <w:rsid w:val="5B346724"/>
    <w:rsid w:val="5B46763E"/>
    <w:rsid w:val="5B892EDD"/>
    <w:rsid w:val="5BA531E7"/>
    <w:rsid w:val="5BE33442"/>
    <w:rsid w:val="5C1273B9"/>
    <w:rsid w:val="5C941AB6"/>
    <w:rsid w:val="5CB97DFA"/>
    <w:rsid w:val="5CC01D7D"/>
    <w:rsid w:val="5CC5112B"/>
    <w:rsid w:val="5CE930F9"/>
    <w:rsid w:val="5D0C29C8"/>
    <w:rsid w:val="5D577184"/>
    <w:rsid w:val="5DC21B32"/>
    <w:rsid w:val="5E5446F1"/>
    <w:rsid w:val="5E5D781D"/>
    <w:rsid w:val="5E614A01"/>
    <w:rsid w:val="5E99120A"/>
    <w:rsid w:val="5EA126EF"/>
    <w:rsid w:val="5EB412CF"/>
    <w:rsid w:val="5ECF6B06"/>
    <w:rsid w:val="5EEC1D31"/>
    <w:rsid w:val="5F015A9E"/>
    <w:rsid w:val="5F0D5E90"/>
    <w:rsid w:val="5F1107F1"/>
    <w:rsid w:val="5F5247F3"/>
    <w:rsid w:val="5F5F5487"/>
    <w:rsid w:val="5F617312"/>
    <w:rsid w:val="5F692161"/>
    <w:rsid w:val="5F70771A"/>
    <w:rsid w:val="5F746408"/>
    <w:rsid w:val="5F7654E3"/>
    <w:rsid w:val="60011B79"/>
    <w:rsid w:val="606B724A"/>
    <w:rsid w:val="607D2117"/>
    <w:rsid w:val="60941A8D"/>
    <w:rsid w:val="60AF0E0A"/>
    <w:rsid w:val="60B463F8"/>
    <w:rsid w:val="60D635ED"/>
    <w:rsid w:val="60F06EC3"/>
    <w:rsid w:val="613F69A1"/>
    <w:rsid w:val="614A2293"/>
    <w:rsid w:val="614B43C0"/>
    <w:rsid w:val="615A6D48"/>
    <w:rsid w:val="615C4924"/>
    <w:rsid w:val="616D638D"/>
    <w:rsid w:val="61733548"/>
    <w:rsid w:val="619012B7"/>
    <w:rsid w:val="61E67E61"/>
    <w:rsid w:val="62064EAA"/>
    <w:rsid w:val="62170FBA"/>
    <w:rsid w:val="623E15AE"/>
    <w:rsid w:val="62461759"/>
    <w:rsid w:val="62683CD2"/>
    <w:rsid w:val="62720AA2"/>
    <w:rsid w:val="627E09BB"/>
    <w:rsid w:val="62802592"/>
    <w:rsid w:val="62A81F10"/>
    <w:rsid w:val="62CE4DB1"/>
    <w:rsid w:val="62E70F16"/>
    <w:rsid w:val="630C248B"/>
    <w:rsid w:val="630D1E20"/>
    <w:rsid w:val="631A4E4D"/>
    <w:rsid w:val="632C777C"/>
    <w:rsid w:val="63910079"/>
    <w:rsid w:val="63B62565"/>
    <w:rsid w:val="63BC48E6"/>
    <w:rsid w:val="64115862"/>
    <w:rsid w:val="6416457B"/>
    <w:rsid w:val="641B6AD2"/>
    <w:rsid w:val="642E0603"/>
    <w:rsid w:val="64583988"/>
    <w:rsid w:val="647C3B67"/>
    <w:rsid w:val="647F5DA0"/>
    <w:rsid w:val="6482162E"/>
    <w:rsid w:val="64871E3E"/>
    <w:rsid w:val="648D6872"/>
    <w:rsid w:val="64C7271F"/>
    <w:rsid w:val="64CF7C79"/>
    <w:rsid w:val="64D703D3"/>
    <w:rsid w:val="650B4AC2"/>
    <w:rsid w:val="65146F1B"/>
    <w:rsid w:val="653853C1"/>
    <w:rsid w:val="658546C0"/>
    <w:rsid w:val="659E4EC2"/>
    <w:rsid w:val="65B07DBE"/>
    <w:rsid w:val="65C67470"/>
    <w:rsid w:val="65C87B48"/>
    <w:rsid w:val="65CE4459"/>
    <w:rsid w:val="65E37B70"/>
    <w:rsid w:val="65F142C2"/>
    <w:rsid w:val="660D0E22"/>
    <w:rsid w:val="66154365"/>
    <w:rsid w:val="661A2D3B"/>
    <w:rsid w:val="667B0B5A"/>
    <w:rsid w:val="667D30C5"/>
    <w:rsid w:val="66976500"/>
    <w:rsid w:val="66BA1478"/>
    <w:rsid w:val="66CB45E1"/>
    <w:rsid w:val="66CD47AB"/>
    <w:rsid w:val="66D612AA"/>
    <w:rsid w:val="67025757"/>
    <w:rsid w:val="67032080"/>
    <w:rsid w:val="671C4D87"/>
    <w:rsid w:val="67620D9C"/>
    <w:rsid w:val="67667CB9"/>
    <w:rsid w:val="67A43382"/>
    <w:rsid w:val="67B971F6"/>
    <w:rsid w:val="67C80285"/>
    <w:rsid w:val="67DD77D5"/>
    <w:rsid w:val="67F8666A"/>
    <w:rsid w:val="682E5200"/>
    <w:rsid w:val="683070E3"/>
    <w:rsid w:val="68316FCC"/>
    <w:rsid w:val="683F46EA"/>
    <w:rsid w:val="68727D10"/>
    <w:rsid w:val="68855CC0"/>
    <w:rsid w:val="6889580D"/>
    <w:rsid w:val="688E25CD"/>
    <w:rsid w:val="68B074F0"/>
    <w:rsid w:val="68C3086F"/>
    <w:rsid w:val="68CC0FB1"/>
    <w:rsid w:val="68D64A85"/>
    <w:rsid w:val="68EB0793"/>
    <w:rsid w:val="692F0854"/>
    <w:rsid w:val="693818D3"/>
    <w:rsid w:val="693921F7"/>
    <w:rsid w:val="694F1E2A"/>
    <w:rsid w:val="698A7BAD"/>
    <w:rsid w:val="698D7E4D"/>
    <w:rsid w:val="69B021CC"/>
    <w:rsid w:val="69CA70C6"/>
    <w:rsid w:val="69DA0F33"/>
    <w:rsid w:val="69DE1DD3"/>
    <w:rsid w:val="69E43D62"/>
    <w:rsid w:val="69F92903"/>
    <w:rsid w:val="6A2809EB"/>
    <w:rsid w:val="6A53288E"/>
    <w:rsid w:val="6A5418AF"/>
    <w:rsid w:val="6A61635A"/>
    <w:rsid w:val="6A653877"/>
    <w:rsid w:val="6A69355F"/>
    <w:rsid w:val="6A7A31C8"/>
    <w:rsid w:val="6A844C16"/>
    <w:rsid w:val="6A9A11FC"/>
    <w:rsid w:val="6AA07D07"/>
    <w:rsid w:val="6AF36E66"/>
    <w:rsid w:val="6B0C7058"/>
    <w:rsid w:val="6B1E5EF9"/>
    <w:rsid w:val="6B297C3C"/>
    <w:rsid w:val="6B513F2F"/>
    <w:rsid w:val="6B71399E"/>
    <w:rsid w:val="6BBE1469"/>
    <w:rsid w:val="6C106D17"/>
    <w:rsid w:val="6C195BA7"/>
    <w:rsid w:val="6C7D3E51"/>
    <w:rsid w:val="6CBD73AA"/>
    <w:rsid w:val="6CCB5D07"/>
    <w:rsid w:val="6CD361B2"/>
    <w:rsid w:val="6D152207"/>
    <w:rsid w:val="6D2066DF"/>
    <w:rsid w:val="6D22071D"/>
    <w:rsid w:val="6D236BAB"/>
    <w:rsid w:val="6D3713F1"/>
    <w:rsid w:val="6D4B2429"/>
    <w:rsid w:val="6D9F46C2"/>
    <w:rsid w:val="6DD97827"/>
    <w:rsid w:val="6DE54528"/>
    <w:rsid w:val="6DFB11F0"/>
    <w:rsid w:val="6E3B0372"/>
    <w:rsid w:val="6E555947"/>
    <w:rsid w:val="6E732FDE"/>
    <w:rsid w:val="6E80259A"/>
    <w:rsid w:val="6E942605"/>
    <w:rsid w:val="6EC470D6"/>
    <w:rsid w:val="6EDE765D"/>
    <w:rsid w:val="6EEE1878"/>
    <w:rsid w:val="6F337466"/>
    <w:rsid w:val="6F3F3911"/>
    <w:rsid w:val="6F445777"/>
    <w:rsid w:val="6F995D5B"/>
    <w:rsid w:val="6FA068CC"/>
    <w:rsid w:val="7024797B"/>
    <w:rsid w:val="703D08CB"/>
    <w:rsid w:val="70415189"/>
    <w:rsid w:val="7057766E"/>
    <w:rsid w:val="705B7DA4"/>
    <w:rsid w:val="70656A15"/>
    <w:rsid w:val="70A5645D"/>
    <w:rsid w:val="70CB2FE1"/>
    <w:rsid w:val="70E20FA0"/>
    <w:rsid w:val="70E54799"/>
    <w:rsid w:val="70E571CE"/>
    <w:rsid w:val="70FB3443"/>
    <w:rsid w:val="70FE530A"/>
    <w:rsid w:val="71C310FB"/>
    <w:rsid w:val="7251271D"/>
    <w:rsid w:val="725714F2"/>
    <w:rsid w:val="725D2A44"/>
    <w:rsid w:val="726430F8"/>
    <w:rsid w:val="72A51C0A"/>
    <w:rsid w:val="730573C8"/>
    <w:rsid w:val="73371F10"/>
    <w:rsid w:val="73487813"/>
    <w:rsid w:val="734C67AB"/>
    <w:rsid w:val="734F7FBB"/>
    <w:rsid w:val="73896EF7"/>
    <w:rsid w:val="73C65456"/>
    <w:rsid w:val="73C82ADD"/>
    <w:rsid w:val="73CB4497"/>
    <w:rsid w:val="73EE1AF8"/>
    <w:rsid w:val="74217392"/>
    <w:rsid w:val="744C4ADA"/>
    <w:rsid w:val="748C0004"/>
    <w:rsid w:val="74923460"/>
    <w:rsid w:val="749E3359"/>
    <w:rsid w:val="74B91164"/>
    <w:rsid w:val="74F82479"/>
    <w:rsid w:val="751C0034"/>
    <w:rsid w:val="753C390C"/>
    <w:rsid w:val="754D2EA2"/>
    <w:rsid w:val="755A13F8"/>
    <w:rsid w:val="757170E3"/>
    <w:rsid w:val="75CE0C66"/>
    <w:rsid w:val="75F878C5"/>
    <w:rsid w:val="7625636A"/>
    <w:rsid w:val="762D3CF8"/>
    <w:rsid w:val="7659559A"/>
    <w:rsid w:val="766E5339"/>
    <w:rsid w:val="769A1E57"/>
    <w:rsid w:val="769C093E"/>
    <w:rsid w:val="769E3009"/>
    <w:rsid w:val="76C31E58"/>
    <w:rsid w:val="76CD2EA2"/>
    <w:rsid w:val="76E23D23"/>
    <w:rsid w:val="76EF6C5D"/>
    <w:rsid w:val="76F5657F"/>
    <w:rsid w:val="770F123E"/>
    <w:rsid w:val="771625EF"/>
    <w:rsid w:val="772103E2"/>
    <w:rsid w:val="774479DD"/>
    <w:rsid w:val="77706CDD"/>
    <w:rsid w:val="779F6E55"/>
    <w:rsid w:val="77B63105"/>
    <w:rsid w:val="77E42503"/>
    <w:rsid w:val="77FF7732"/>
    <w:rsid w:val="781818D3"/>
    <w:rsid w:val="782F62D1"/>
    <w:rsid w:val="78322B79"/>
    <w:rsid w:val="78381FBC"/>
    <w:rsid w:val="783A1775"/>
    <w:rsid w:val="78486053"/>
    <w:rsid w:val="786B05B4"/>
    <w:rsid w:val="78716AAF"/>
    <w:rsid w:val="787C35CA"/>
    <w:rsid w:val="78CF73E7"/>
    <w:rsid w:val="78E477E5"/>
    <w:rsid w:val="78ED6F6D"/>
    <w:rsid w:val="79005274"/>
    <w:rsid w:val="796C7111"/>
    <w:rsid w:val="797E6315"/>
    <w:rsid w:val="79AF1EA7"/>
    <w:rsid w:val="7A075D51"/>
    <w:rsid w:val="7A1A52BD"/>
    <w:rsid w:val="7A2C2D02"/>
    <w:rsid w:val="7A3128B7"/>
    <w:rsid w:val="7A38452E"/>
    <w:rsid w:val="7A896445"/>
    <w:rsid w:val="7ABC3E01"/>
    <w:rsid w:val="7AE6194F"/>
    <w:rsid w:val="7AEA50C3"/>
    <w:rsid w:val="7AF453A4"/>
    <w:rsid w:val="7B3976C8"/>
    <w:rsid w:val="7B7F52A9"/>
    <w:rsid w:val="7B921266"/>
    <w:rsid w:val="7B9D05ED"/>
    <w:rsid w:val="7BBA4B08"/>
    <w:rsid w:val="7BEE3E35"/>
    <w:rsid w:val="7BF43FF4"/>
    <w:rsid w:val="7C072441"/>
    <w:rsid w:val="7C3B3C9C"/>
    <w:rsid w:val="7C41491F"/>
    <w:rsid w:val="7C4B52B3"/>
    <w:rsid w:val="7C55085C"/>
    <w:rsid w:val="7C6900D3"/>
    <w:rsid w:val="7C97705A"/>
    <w:rsid w:val="7CA946C0"/>
    <w:rsid w:val="7CBC01F8"/>
    <w:rsid w:val="7CD20470"/>
    <w:rsid w:val="7CF337CC"/>
    <w:rsid w:val="7CF6688E"/>
    <w:rsid w:val="7D111303"/>
    <w:rsid w:val="7D287E7D"/>
    <w:rsid w:val="7D3F62F3"/>
    <w:rsid w:val="7D777E6C"/>
    <w:rsid w:val="7D7E0EF2"/>
    <w:rsid w:val="7D83601E"/>
    <w:rsid w:val="7DAF3F78"/>
    <w:rsid w:val="7DAF6DD7"/>
    <w:rsid w:val="7DB027C4"/>
    <w:rsid w:val="7DC5598E"/>
    <w:rsid w:val="7DCA2C4F"/>
    <w:rsid w:val="7DE328E0"/>
    <w:rsid w:val="7E6D6010"/>
    <w:rsid w:val="7E6F438B"/>
    <w:rsid w:val="7E823AE6"/>
    <w:rsid w:val="7E85222B"/>
    <w:rsid w:val="7EA57154"/>
    <w:rsid w:val="7F445EF7"/>
    <w:rsid w:val="7F826ABC"/>
    <w:rsid w:val="7FA030A6"/>
    <w:rsid w:val="7FBD4501"/>
    <w:rsid w:val="7FBD5229"/>
    <w:rsid w:val="7FBE1832"/>
    <w:rsid w:val="7FC461A5"/>
    <w:rsid w:val="7FCF4BBD"/>
    <w:rsid w:val="7FF77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qFormat="1" w:uiPriority="99"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outlineLvl w:val="0"/>
    </w:pPr>
    <w:rPr>
      <w:b/>
      <w:kern w:val="44"/>
      <w:sz w:val="30"/>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te Heading"/>
    <w:basedOn w:val="1"/>
    <w:next w:val="1"/>
    <w:unhideWhenUsed/>
    <w:qFormat/>
    <w:uiPriority w:val="99"/>
    <w:pPr>
      <w:jc w:val="center"/>
    </w:pPr>
    <w:rPr>
      <w:kern w:val="0"/>
      <w:sz w:val="20"/>
      <w:szCs w:val="20"/>
    </w:rPr>
  </w:style>
  <w:style w:type="paragraph" w:styleId="5">
    <w:name w:val="Normal Indent"/>
    <w:basedOn w:val="1"/>
    <w:next w:val="6"/>
    <w:qFormat/>
    <w:uiPriority w:val="0"/>
    <w:pPr>
      <w:ind w:firstLine="420" w:firstLineChars="200"/>
    </w:pPr>
    <w:rPr>
      <w:szCs w:val="20"/>
    </w:rPr>
  </w:style>
  <w:style w:type="paragraph" w:styleId="6">
    <w:name w:val="toc 1"/>
    <w:basedOn w:val="1"/>
    <w:next w:val="1"/>
    <w:qFormat/>
    <w:uiPriority w:val="0"/>
  </w:style>
  <w:style w:type="paragraph" w:styleId="7">
    <w:name w:val="annotation text"/>
    <w:basedOn w:val="1"/>
    <w:qFormat/>
    <w:uiPriority w:val="0"/>
    <w:pPr>
      <w:jc w:val="left"/>
    </w:pPr>
  </w:style>
  <w:style w:type="paragraph" w:styleId="8">
    <w:name w:val="Body Text"/>
    <w:basedOn w:val="1"/>
    <w:next w:val="9"/>
    <w:qFormat/>
    <w:uiPriority w:val="0"/>
    <w:rPr>
      <w:sz w:val="18"/>
    </w:rPr>
  </w:style>
  <w:style w:type="paragraph" w:styleId="9">
    <w:name w:val="List Bullet 5"/>
    <w:basedOn w:val="1"/>
    <w:qFormat/>
    <w:uiPriority w:val="0"/>
    <w:pPr>
      <w:numPr>
        <w:ilvl w:val="0"/>
        <w:numId w:val="1"/>
      </w:numPr>
    </w:pPr>
  </w:style>
  <w:style w:type="paragraph" w:styleId="10">
    <w:name w:val="Body Text Indent"/>
    <w:basedOn w:val="1"/>
    <w:qFormat/>
    <w:uiPriority w:val="0"/>
    <w:pPr>
      <w:ind w:firstLine="525"/>
    </w:pPr>
    <w:rPr>
      <w:sz w:val="28"/>
      <w:szCs w:val="20"/>
    </w:rPr>
  </w:style>
  <w:style w:type="paragraph" w:styleId="11">
    <w:name w:val="Plain Text"/>
    <w:basedOn w:val="1"/>
    <w:qFormat/>
    <w:uiPriority w:val="0"/>
    <w:rPr>
      <w:rFonts w:ascii="宋体" w:hAnsi="Courier New"/>
      <w:szCs w:val="21"/>
    </w:rPr>
  </w:style>
  <w:style w:type="paragraph" w:styleId="12">
    <w:name w:val="Body Text Indent 2"/>
    <w:basedOn w:val="1"/>
    <w:next w:val="1"/>
    <w:qFormat/>
    <w:uiPriority w:val="0"/>
    <w:pPr>
      <w:adjustRightInd w:val="0"/>
      <w:snapToGrid w:val="0"/>
      <w:spacing w:line="440" w:lineRule="atLeast"/>
      <w:ind w:firstLine="573"/>
    </w:pPr>
    <w:rPr>
      <w:rFonts w:ascii="宋体"/>
    </w:rPr>
  </w:style>
  <w:style w:type="paragraph" w:styleId="13">
    <w:name w:val="footer"/>
    <w:basedOn w:val="1"/>
    <w:qFormat/>
    <w:uiPriority w:val="99"/>
    <w:pPr>
      <w:tabs>
        <w:tab w:val="center" w:pos="4153"/>
        <w:tab w:val="right" w:pos="8306"/>
      </w:tabs>
      <w:snapToGrid w:val="0"/>
      <w:jc w:val="left"/>
    </w:pPr>
    <w:rPr>
      <w:kern w:val="0"/>
      <w:sz w:val="18"/>
      <w:szCs w:val="20"/>
    </w:rPr>
  </w:style>
  <w:style w:type="paragraph" w:styleId="14">
    <w:name w:val="header"/>
    <w:basedOn w:val="1"/>
    <w:next w:val="1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5">
    <w:name w:val="index heading"/>
    <w:basedOn w:val="1"/>
    <w:next w:val="16"/>
    <w:qFormat/>
    <w:uiPriority w:val="0"/>
    <w:rPr>
      <w:rFonts w:ascii="Arial" w:hAnsi="Arial"/>
      <w:b/>
    </w:rPr>
  </w:style>
  <w:style w:type="paragraph" w:styleId="16">
    <w:name w:val="index 1"/>
    <w:basedOn w:val="1"/>
    <w:next w:val="1"/>
    <w:qFormat/>
    <w:uiPriority w:val="0"/>
    <w:pPr>
      <w:spacing w:line="240" w:lineRule="exact"/>
      <w:jc w:val="left"/>
    </w:pPr>
    <w:rPr>
      <w:b/>
      <w:kern w:val="0"/>
      <w:szCs w:val="21"/>
    </w:rPr>
  </w:style>
  <w:style w:type="paragraph" w:styleId="17">
    <w:name w:val="List"/>
    <w:basedOn w:val="1"/>
    <w:qFormat/>
    <w:uiPriority w:val="0"/>
    <w:pPr>
      <w:ind w:left="200" w:hanging="200" w:hangingChars="200"/>
    </w:pPr>
  </w:style>
  <w:style w:type="paragraph" w:styleId="18">
    <w:name w:val="Normal (Web)"/>
    <w:basedOn w:val="1"/>
    <w:qFormat/>
    <w:uiPriority w:val="0"/>
    <w:pPr>
      <w:widowControl/>
      <w:spacing w:before="100" w:beforeAutospacing="1" w:after="100" w:afterAutospacing="1"/>
      <w:jc w:val="left"/>
    </w:pPr>
    <w:rPr>
      <w:rFonts w:ascii="宋体" w:hAnsi="宋体"/>
      <w:kern w:val="0"/>
      <w:szCs w:val="20"/>
    </w:rPr>
  </w:style>
  <w:style w:type="paragraph" w:styleId="19">
    <w:name w:val="Body Text First Indent"/>
    <w:basedOn w:val="8"/>
    <w:next w:val="1"/>
    <w:qFormat/>
    <w:uiPriority w:val="0"/>
    <w:pPr>
      <w:ind w:firstLine="420" w:firstLineChars="1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basedOn w:val="22"/>
    <w:qFormat/>
    <w:uiPriority w:val="0"/>
    <w:rPr>
      <w:color w:val="0000FF"/>
      <w:u w:val="single"/>
    </w:rPr>
  </w:style>
  <w:style w:type="paragraph" w:customStyle="1" w:styleId="25">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26">
    <w:name w:val="Default"/>
    <w:basedOn w:val="27"/>
    <w:next w:val="1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7">
    <w:name w:val="文本"/>
    <w:basedOn w:val="5"/>
    <w:next w:val="1"/>
    <w:qFormat/>
    <w:uiPriority w:val="0"/>
    <w:pPr>
      <w:adjustRightInd w:val="0"/>
      <w:snapToGrid w:val="0"/>
      <w:ind w:firstLine="480" w:firstLineChars="200"/>
    </w:pPr>
    <w:rPr>
      <w:rFonts w:cs="宋体"/>
      <w:szCs w:val="20"/>
    </w:rPr>
  </w:style>
  <w:style w:type="paragraph" w:customStyle="1" w:styleId="28">
    <w:name w:val="样式 标题 1 + 四号 段前: 0 磅 段后: 0 磅 行距: 1.5 倍行距"/>
    <w:basedOn w:val="29"/>
    <w:next w:val="30"/>
    <w:qFormat/>
    <w:uiPriority w:val="0"/>
    <w:pPr>
      <w:spacing w:line="360" w:lineRule="auto"/>
      <w:jc w:val="center"/>
    </w:pPr>
  </w:style>
  <w:style w:type="paragraph" w:customStyle="1" w:styleId="29">
    <w:name w:val="1正文"/>
    <w:basedOn w:val="1"/>
    <w:qFormat/>
    <w:uiPriority w:val="0"/>
    <w:pPr>
      <w:spacing w:line="500" w:lineRule="exact"/>
      <w:ind w:firstLine="588" w:firstLineChars="196"/>
    </w:pPr>
    <w:rPr>
      <w:rFonts w:eastAsia="楷体_GB2312"/>
      <w:sz w:val="30"/>
      <w:szCs w:val="30"/>
    </w:rPr>
  </w:style>
  <w:style w:type="paragraph" w:customStyle="1" w:styleId="30">
    <w:name w:val="文本正文"/>
    <w:basedOn w:val="1"/>
    <w:qFormat/>
    <w:uiPriority w:val="0"/>
    <w:pPr>
      <w:snapToGrid w:val="0"/>
      <w:ind w:firstLine="510"/>
      <w:jc w:val="left"/>
    </w:pPr>
    <w:rPr>
      <w:spacing w:val="4"/>
      <w:kern w:val="24"/>
      <w:lang w:val="zh-CN"/>
    </w:rPr>
  </w:style>
  <w:style w:type="paragraph" w:customStyle="1" w:styleId="31">
    <w:name w:val="样式 正文缩进正文缩进2正文缩进 Char Char正文缩进 Char Char Char Char正文缩进 Char ..."/>
    <w:basedOn w:val="5"/>
    <w:qFormat/>
    <w:uiPriority w:val="0"/>
    <w:pPr>
      <w:ind w:firstLine="200"/>
    </w:pPr>
    <w:rPr>
      <w:rFonts w:cs="宋体"/>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表格"/>
    <w:basedOn w:val="1"/>
    <w:next w:val="5"/>
    <w:qFormat/>
    <w:uiPriority w:val="0"/>
    <w:pPr>
      <w:adjustRightInd w:val="0"/>
      <w:snapToGrid w:val="0"/>
      <w:spacing w:beforeLines="10" w:afterLines="10" w:line="259" w:lineRule="auto"/>
      <w:jc w:val="center"/>
    </w:pPr>
    <w:rPr>
      <w:rFonts w:ascii="宋体"/>
      <w:kern w:val="0"/>
      <w:szCs w:val="20"/>
    </w:rPr>
  </w:style>
  <w:style w:type="paragraph" w:customStyle="1" w:styleId="34">
    <w:name w:val="中文报告书样式"/>
    <w:basedOn w:val="1"/>
    <w:qFormat/>
    <w:uiPriority w:val="0"/>
    <w:pPr>
      <w:adjustRightInd w:val="0"/>
      <w:spacing w:line="480" w:lineRule="atLeast"/>
      <w:ind w:firstLine="482"/>
      <w:textAlignment w:val="baseline"/>
    </w:pPr>
    <w:rPr>
      <w:kern w:val="24"/>
      <w:szCs w:val="20"/>
    </w:rPr>
  </w:style>
  <w:style w:type="paragraph" w:customStyle="1" w:styleId="35">
    <w:name w:val="报告书表格"/>
    <w:basedOn w:val="1"/>
    <w:qFormat/>
    <w:uiPriority w:val="0"/>
    <w:pPr>
      <w:adjustRightInd w:val="0"/>
      <w:spacing w:before="60" w:after="60" w:line="240" w:lineRule="atLeast"/>
      <w:jc w:val="center"/>
      <w:textAlignment w:val="baseline"/>
    </w:pPr>
    <w:rPr>
      <w:kern w:val="0"/>
      <w:szCs w:val="20"/>
    </w:rPr>
  </w:style>
  <w:style w:type="paragraph" w:customStyle="1" w:styleId="36">
    <w:name w:val="报告表正文"/>
    <w:basedOn w:val="1"/>
    <w:qFormat/>
    <w:uiPriority w:val="0"/>
    <w:pPr>
      <w:adjustRightInd w:val="0"/>
      <w:ind w:firstLine="602" w:firstLineChars="200"/>
      <w:textAlignment w:val="baseline"/>
    </w:pPr>
    <w:rPr>
      <w:kern w:val="0"/>
    </w:rPr>
  </w:style>
  <w:style w:type="paragraph" w:customStyle="1" w:styleId="37">
    <w:name w:val="表头"/>
    <w:basedOn w:val="1"/>
    <w:qFormat/>
    <w:uiPriority w:val="0"/>
    <w:pPr>
      <w:adjustRightInd w:val="0"/>
      <w:spacing w:line="24" w:lineRule="atLeast"/>
      <w:jc w:val="center"/>
      <w:textAlignment w:val="baseline"/>
    </w:pPr>
    <w:rPr>
      <w:b/>
      <w:bCs/>
      <w:kern w:val="0"/>
    </w:rPr>
  </w:style>
  <w:style w:type="paragraph" w:customStyle="1" w:styleId="38">
    <w:name w:val="报告表格"/>
    <w:basedOn w:val="1"/>
    <w:qFormat/>
    <w:uiPriority w:val="0"/>
    <w:pPr>
      <w:autoSpaceDE w:val="0"/>
      <w:autoSpaceDN w:val="0"/>
      <w:adjustRightInd w:val="0"/>
      <w:spacing w:line="240" w:lineRule="auto"/>
      <w:jc w:val="center"/>
    </w:pPr>
    <w:rPr>
      <w:kern w:val="0"/>
      <w:sz w:val="21"/>
      <w:szCs w:val="21"/>
    </w:rPr>
  </w:style>
  <w:style w:type="paragraph" w:customStyle="1" w:styleId="39">
    <w:name w:val="0"/>
    <w:basedOn w:val="1"/>
    <w:qFormat/>
    <w:uiPriority w:val="0"/>
    <w:pPr>
      <w:widowControl/>
      <w:snapToGrid w:val="0"/>
    </w:pPr>
    <w:rPr>
      <w:kern w:val="0"/>
      <w:szCs w:val="20"/>
    </w:rPr>
  </w:style>
  <w:style w:type="paragraph" w:customStyle="1" w:styleId="40">
    <w:name w:val="表格文字"/>
    <w:basedOn w:val="1"/>
    <w:qFormat/>
    <w:uiPriority w:val="0"/>
    <w:pPr>
      <w:jc w:val="center"/>
    </w:pPr>
    <w:rPr>
      <w:rFonts w:ascii="仿宋_GB2312" w:hAnsi="Arial Black" w:eastAsia="仿宋_GB2312"/>
      <w:kern w:val="44"/>
    </w:rPr>
  </w:style>
  <w:style w:type="paragraph" w:customStyle="1" w:styleId="41">
    <w:name w:val="正文l"/>
    <w:basedOn w:val="1"/>
    <w:qFormat/>
    <w:uiPriority w:val="0"/>
    <w:pPr>
      <w:adjustRightInd w:val="0"/>
      <w:snapToGrid w:val="0"/>
      <w:ind w:firstLine="200" w:firstLineChars="200"/>
    </w:pPr>
    <w:rPr>
      <w:color w:val="000000"/>
    </w:rPr>
  </w:style>
  <w:style w:type="table" w:customStyle="1" w:styleId="42">
    <w:name w:val="标准表格"/>
    <w:basedOn w:val="20"/>
    <w:qFormat/>
    <w:uiPriority w:val="99"/>
    <w:pPr>
      <w:spacing w:before="74"/>
      <w:jc w:val="center"/>
    </w:pPr>
    <w:rPr>
      <w:sz w:val="18"/>
    </w:rPr>
    <w:tblPr>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rPr>
      <w:jc w:val="center"/>
    </w:trPr>
    <w:tcPr>
      <w:shd w:val="clear" w:color="auto" w:fill="FFFFFF"/>
      <w:vAlign w:val="center"/>
    </w:tcPr>
    <w:tblStylePr w:type="firstRow">
      <w:pPr>
        <w:wordWrap/>
        <w:spacing w:before="0" w:beforeLines="0" w:beforeAutospacing="0" w:after="0" w:afterLines="0" w:afterAutospacing="0" w:line="240" w:lineRule="auto"/>
        <w:ind w:left="0" w:leftChars="0" w:right="0" w:rightChars="0" w:firstLine="0" w:firstLineChars="0"/>
        <w:jc w:val="center"/>
      </w:pPr>
      <w:rPr>
        <w:rFonts w:eastAsia="Symbol"/>
        <w:sz w:val="18"/>
      </w:rPr>
      <w:tblPr/>
      <w:trPr>
        <w:tblHeader/>
      </w:trPr>
    </w:tblStylePr>
    <w:tblStylePr w:type="firstCol">
      <w:pPr>
        <w:jc w:val="center"/>
      </w:pPr>
    </w:tblStylePr>
  </w:style>
  <w:style w:type="paragraph" w:customStyle="1" w:styleId="43">
    <w:name w:val="正文内容"/>
    <w:basedOn w:val="1"/>
    <w:qFormat/>
    <w:uiPriority w:val="0"/>
    <w:pPr>
      <w:adjustRightInd w:val="0"/>
      <w:snapToGrid w:val="0"/>
      <w:ind w:firstLine="200" w:firstLineChars="200"/>
    </w:pPr>
    <w:rPr>
      <w:rFonts w:cs="宋体"/>
      <w:szCs w:val="20"/>
    </w:rPr>
  </w:style>
  <w:style w:type="paragraph" w:customStyle="1" w:styleId="44">
    <w:name w:val=" Char"/>
    <w:basedOn w:val="1"/>
    <w:qFormat/>
    <w:uiPriority w:val="0"/>
    <w:pPr>
      <w:spacing w:line="240" w:lineRule="auto"/>
    </w:pPr>
    <w:rPr>
      <w:sz w:val="21"/>
      <w:szCs w:val="21"/>
    </w:rPr>
  </w:style>
  <w:style w:type="paragraph" w:customStyle="1" w:styleId="45">
    <w:name w:val="4-4"/>
    <w:basedOn w:val="1"/>
    <w:qFormat/>
    <w:uiPriority w:val="0"/>
    <w:pPr>
      <w:spacing w:line="360" w:lineRule="auto"/>
      <w:ind w:firstLine="480" w:firstLineChars="200"/>
    </w:pPr>
    <w:rPr>
      <w:color w:val="000000"/>
      <w:sz w:val="24"/>
      <w:szCs w:val="28"/>
    </w:rPr>
  </w:style>
  <w:style w:type="paragraph" w:customStyle="1" w:styleId="46">
    <w:name w:val="全文"/>
    <w:basedOn w:val="1"/>
    <w:qFormat/>
    <w:uiPriority w:val="0"/>
    <w:pPr>
      <w:widowControl/>
      <w:spacing w:line="500" w:lineRule="exact"/>
      <w:ind w:firstLine="200" w:firstLineChars="200"/>
      <w:jc w:val="left"/>
    </w:pPr>
    <w:rPr>
      <w:rFonts w:ascii="Times New Roman" w:hAnsi="Times New Roman" w:eastAsia="宋体" w:cs="Times New Roman"/>
      <w:kern w:val="0"/>
      <w:szCs w:val="24"/>
      <w:lang w:eastAsia="en-US" w:bidi="en-US"/>
    </w:rPr>
  </w:style>
  <w:style w:type="paragraph" w:customStyle="1" w:styleId="47">
    <w:name w:val="Table Paragraph"/>
    <w:basedOn w:val="1"/>
    <w:qFormat/>
    <w:uiPriority w:val="1"/>
    <w:rPr>
      <w:rFonts w:ascii="宋体" w:hAnsi="宋体" w:eastAsia="宋体" w:cs="宋体"/>
      <w:lang w:val="zh-CN" w:eastAsia="zh-CN" w:bidi="zh-CN"/>
    </w:rPr>
  </w:style>
  <w:style w:type="paragraph" w:customStyle="1" w:styleId="48">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49">
    <w:name w:val="15"/>
    <w:basedOn w:val="1"/>
    <w:qFormat/>
    <w:uiPriority w:val="0"/>
    <w:pPr>
      <w:widowControl/>
      <w:snapToGrid w:val="0"/>
      <w:spacing w:before="100" w:beforeLines="0" w:beforeAutospacing="1" w:after="100" w:afterLines="0" w:afterAutospacing="1"/>
    </w:pPr>
    <w:rPr>
      <w:kern w:val="0"/>
      <w:sz w:val="20"/>
      <w:szCs w:val="20"/>
    </w:rPr>
  </w:style>
  <w:style w:type="paragraph" w:customStyle="1" w:styleId="50">
    <w:name w:val="表格标题"/>
    <w:basedOn w:val="1"/>
    <w:qFormat/>
    <w:uiPriority w:val="0"/>
    <w:pPr>
      <w:adjustRightInd w:val="0"/>
      <w:snapToGrid w:val="0"/>
      <w:jc w:val="center"/>
    </w:pPr>
    <w:rPr>
      <w:rFonts w:ascii="宋体" w:hAnsi="宋体"/>
      <w:szCs w:val="21"/>
    </w:rPr>
  </w:style>
  <w:style w:type="paragraph" w:styleId="51">
    <w:name w:val="List Paragraph"/>
    <w:basedOn w:val="1"/>
    <w:qFormat/>
    <w:uiPriority w:val="34"/>
    <w:pPr>
      <w:ind w:firstLine="420" w:firstLineChars="200"/>
    </w:pPr>
    <w:rPr>
      <w:rFonts w:ascii="Times New Roman" w:hAnsi="Times New Roman" w:eastAsia="宋体" w:cs="Times New Roman"/>
      <w:szCs w:val="20"/>
    </w:rPr>
  </w:style>
  <w:style w:type="paragraph" w:customStyle="1" w:styleId="52">
    <w:name w:val="F正文"/>
    <w:basedOn w:val="1"/>
    <w:qFormat/>
    <w:uiPriority w:val="0"/>
    <w:pPr>
      <w:ind w:firstLine="480"/>
      <w:jc w:val="left"/>
    </w:pPr>
    <w:rPr>
      <w:kern w:val="0"/>
    </w:rPr>
  </w:style>
  <w:style w:type="paragraph" w:customStyle="1" w:styleId="53">
    <w:name w:val="表格内容"/>
    <w:basedOn w:val="1"/>
    <w:qFormat/>
    <w:uiPriority w:val="0"/>
    <w:pPr>
      <w:spacing w:line="240" w:lineRule="auto"/>
      <w:ind w:firstLine="0" w:firstLineChars="0"/>
      <w:jc w:val="center"/>
    </w:pPr>
    <w:rPr>
      <w:sz w:val="21"/>
    </w:rPr>
  </w:style>
  <w:style w:type="paragraph" w:customStyle="1" w:styleId="54">
    <w:name w:val="段"/>
    <w:qFormat/>
    <w:uiPriority w:val="0"/>
    <w:pPr>
      <w:autoSpaceDE w:val="0"/>
      <w:autoSpaceDN w:val="0"/>
      <w:ind w:firstLine="200" w:firstLineChars="200"/>
      <w:jc w:val="both"/>
    </w:pPr>
    <w:rPr>
      <w:rFonts w:ascii="宋体" w:hAnsi="Times New Roman" w:eastAsia="宋体" w:cs="Times New Roman"/>
      <w:sz w:val="21"/>
      <w:szCs w:val="22"/>
      <w:lang w:val="zh-CN" w:eastAsia="zh-CN" w:bidi="ar-SA"/>
    </w:rPr>
  </w:style>
  <w:style w:type="paragraph" w:customStyle="1" w:styleId="55">
    <w:name w:val="S报告正文"/>
    <w:basedOn w:val="1"/>
    <w:qFormat/>
    <w:uiPriority w:val="0"/>
    <w:pPr>
      <w:adjustRightInd w:val="0"/>
      <w:snapToGrid w:val="0"/>
      <w:spacing w:line="480" w:lineRule="exact"/>
      <w:ind w:firstLine="510"/>
      <w:jc w:val="left"/>
    </w:pPr>
    <w:rPr>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1.wmf"/><Relationship Id="rId22" Type="http://schemas.openxmlformats.org/officeDocument/2006/relationships/image" Target="media/image10.wmf"/><Relationship Id="rId21" Type="http://schemas.openxmlformats.org/officeDocument/2006/relationships/image" Target="media/image9.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image" Target="media/image7.wmf"/><Relationship Id="rId17" Type="http://schemas.openxmlformats.org/officeDocument/2006/relationships/image" Target="media/image6.wmf"/><Relationship Id="rId16" Type="http://schemas.openxmlformats.org/officeDocument/2006/relationships/image" Target="media/image5.wmf"/><Relationship Id="rId15" Type="http://schemas.openxmlformats.org/officeDocument/2006/relationships/image" Target="media/image4.wmf"/><Relationship Id="rId14" Type="http://schemas.openxmlformats.org/officeDocument/2006/relationships/image" Target="media/image3.emf"/><Relationship Id="rId13" Type="http://schemas.openxmlformats.org/officeDocument/2006/relationships/oleObject" Target="embeddings/oleObject2.bin"/><Relationship Id="rId12" Type="http://schemas.openxmlformats.org/officeDocument/2006/relationships/image" Target="media/image2.png"/><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10273</Words>
  <Characters>10668</Characters>
  <Lines>145</Lines>
  <Paragraphs>41</Paragraphs>
  <TotalTime>100</TotalTime>
  <ScaleCrop>false</ScaleCrop>
  <LinksUpToDate>false</LinksUpToDate>
  <CharactersWithSpaces>10865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2021-03-18T01:50:00Z</dcterms:created>
  <dc:creator>WPS_1534044737</dc:creator>
  <cp:lastModifiedBy>刘变香</cp:lastModifiedBy>
  <dcterms:modified xsi:type="dcterms:W3CDTF">2025-04-15T02:49:26Z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B04825207E014C128AEDFFF7881DDCAA_13</vt:lpwstr>
  </property>
</Properties>
</file>