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A8746D2">
      <w:pPr>
        <w:rPr>
          <w:rFonts w:hint="default" w:ascii="Times New Roman" w:hAnsi="Times New Roman" w:eastAsia="仿宋_GB2312" w:cs="Times New Roman"/>
          <w:color w:val="auto"/>
          <w:sz w:val="36"/>
          <w:szCs w:val="36"/>
        </w:rPr>
      </w:pPr>
    </w:p>
    <w:p w14:paraId="2F4F3D24">
      <w:pPr>
        <w:adjustRightInd w:val="0"/>
        <w:snapToGrid w:val="0"/>
        <w:jc w:val="center"/>
        <w:outlineLvl w:val="9"/>
        <w:rPr>
          <w:rFonts w:hint="default" w:ascii="Times New Roman" w:hAnsi="Times New Roman" w:eastAsia="方正小标宋_GBK" w:cs="Times New Roman"/>
          <w:bCs/>
          <w:color w:val="auto"/>
          <w:sz w:val="72"/>
          <w:szCs w:val="72"/>
        </w:rPr>
      </w:pPr>
    </w:p>
    <w:p w14:paraId="52E2E0B9">
      <w:pPr>
        <w:pStyle w:val="44"/>
        <w:keepNext w:val="0"/>
        <w:pageBreakBefore w:val="0"/>
        <w:widowControl w:val="0"/>
        <w:kinsoku/>
        <w:wordWrap/>
        <w:overflowPunct/>
        <w:topLinePunct w:val="0"/>
        <w:autoSpaceDE/>
        <w:autoSpaceDN/>
        <w:bidi w:val="0"/>
        <w:ind w:left="0" w:leftChars="0" w:firstLine="0" w:firstLineChars="0"/>
        <w:jc w:val="center"/>
        <w:textAlignment w:val="auto"/>
        <w:outlineLvl w:val="0"/>
        <w:rPr>
          <w:rFonts w:hint="eastAsia" w:ascii="方正小标宋_GBK" w:hAnsi="方正小标宋_GBK" w:eastAsia="方正小标宋_GBK" w:cs="方正小标宋_GBK"/>
          <w:color w:val="auto"/>
          <w:sz w:val="72"/>
          <w:szCs w:val="72"/>
        </w:rPr>
      </w:pPr>
      <w:bookmarkStart w:id="0" w:name="_Toc28231"/>
      <w:bookmarkStart w:id="1" w:name="_Toc24489"/>
      <w:r>
        <w:rPr>
          <w:rFonts w:hint="eastAsia" w:ascii="方正小标宋_GBK" w:hAnsi="方正小标宋_GBK" w:eastAsia="方正小标宋_GBK" w:cs="方正小标宋_GBK"/>
          <w:color w:val="auto"/>
          <w:sz w:val="72"/>
          <w:szCs w:val="72"/>
        </w:rPr>
        <w:t>建设项目环境影响报告表</w:t>
      </w:r>
      <w:bookmarkEnd w:id="0"/>
      <w:bookmarkEnd w:id="1"/>
    </w:p>
    <w:p w14:paraId="4C0DB8BD">
      <w:pPr>
        <w:keepNext w:val="0"/>
        <w:keepLines w:val="0"/>
        <w:pageBreakBefore w:val="0"/>
        <w:widowControl w:val="0"/>
        <w:kinsoku/>
        <w:wordWrap/>
        <w:overflowPunct/>
        <w:topLinePunct w:val="0"/>
        <w:autoSpaceDE/>
        <w:autoSpaceDN/>
        <w:bidi w:val="0"/>
        <w:adjustRightInd w:val="0"/>
        <w:snapToGrid w:val="0"/>
        <w:spacing w:before="192" w:beforeLines="80"/>
        <w:ind w:firstLine="0" w:firstLineChars="0"/>
        <w:jc w:val="center"/>
        <w:textAlignment w:val="auto"/>
        <w:rPr>
          <w:rFonts w:hint="default" w:ascii="Times New Roman" w:hAnsi="Times New Roman" w:eastAsia="楷体_GB2312" w:cs="Times New Roman"/>
          <w:bCs/>
          <w:color w:val="auto"/>
          <w:sz w:val="48"/>
          <w:szCs w:val="48"/>
        </w:rPr>
      </w:pPr>
      <w:r>
        <w:rPr>
          <w:rFonts w:hint="default" w:ascii="Times New Roman" w:hAnsi="Times New Roman" w:eastAsia="楷体_GB2312" w:cs="Times New Roman"/>
          <w:bCs/>
          <w:color w:val="auto"/>
          <w:sz w:val="48"/>
          <w:szCs w:val="48"/>
        </w:rPr>
        <w:t>（生态影响类）</w:t>
      </w:r>
    </w:p>
    <w:p w14:paraId="26F1588B">
      <w:pPr>
        <w:adjustRightInd w:val="0"/>
        <w:snapToGrid w:val="0"/>
        <w:spacing w:line="288" w:lineRule="auto"/>
        <w:ind w:left="0" w:leftChars="0" w:firstLine="0" w:firstLineChars="0"/>
        <w:jc w:val="center"/>
        <w:rPr>
          <w:rFonts w:hint="eastAsia" w:ascii="Times New Roman" w:hAnsi="Times New Roman" w:eastAsia="华文仿宋" w:cs="Times New Roman"/>
          <w:color w:val="auto"/>
          <w:kern w:val="44"/>
          <w:sz w:val="44"/>
          <w:szCs w:val="44"/>
          <w:lang w:eastAsia="zh-CN"/>
        </w:rPr>
      </w:pPr>
      <w:bookmarkStart w:id="2" w:name="_Hlk57883728"/>
      <w:r>
        <w:rPr>
          <w:rFonts w:hint="eastAsia" w:eastAsia="华文仿宋" w:cs="Times New Roman"/>
          <w:color w:val="auto"/>
          <w:kern w:val="44"/>
          <w:sz w:val="44"/>
          <w:szCs w:val="44"/>
          <w:lang w:eastAsia="zh-CN"/>
        </w:rPr>
        <w:t>（送审稿）</w:t>
      </w:r>
    </w:p>
    <w:p w14:paraId="53453E1F">
      <w:pPr>
        <w:ind w:firstLine="1040"/>
        <w:rPr>
          <w:rFonts w:hint="default" w:ascii="Times New Roman" w:hAnsi="Times New Roman" w:eastAsia="仿宋" w:cs="Times New Roman"/>
          <w:color w:val="auto"/>
          <w:sz w:val="44"/>
          <w:szCs w:val="44"/>
        </w:rPr>
      </w:pPr>
    </w:p>
    <w:p w14:paraId="2E2A2199">
      <w:pPr>
        <w:ind w:firstLine="1040"/>
        <w:rPr>
          <w:rFonts w:hint="default" w:ascii="Times New Roman" w:hAnsi="Times New Roman" w:eastAsia="仿宋" w:cs="Times New Roman"/>
          <w:color w:val="auto"/>
          <w:sz w:val="44"/>
          <w:szCs w:val="44"/>
        </w:rPr>
      </w:pPr>
    </w:p>
    <w:p w14:paraId="218DD554">
      <w:pPr>
        <w:ind w:firstLine="1040"/>
        <w:rPr>
          <w:rFonts w:hint="default" w:ascii="Times New Roman" w:hAnsi="Times New Roman" w:eastAsia="仿宋" w:cs="Times New Roman"/>
          <w:color w:val="auto"/>
          <w:sz w:val="44"/>
          <w:szCs w:val="44"/>
        </w:rPr>
      </w:pPr>
    </w:p>
    <w:p w14:paraId="6801082E">
      <w:pPr>
        <w:ind w:firstLine="1040"/>
        <w:rPr>
          <w:rFonts w:hint="default" w:ascii="Times New Roman" w:hAnsi="Times New Roman" w:eastAsia="仿宋" w:cs="Times New Roman"/>
          <w:color w:val="auto"/>
          <w:sz w:val="44"/>
          <w:szCs w:val="44"/>
        </w:rPr>
      </w:pPr>
    </w:p>
    <w:p w14:paraId="3EDE27DF">
      <w:pPr>
        <w:ind w:firstLine="1040"/>
        <w:rPr>
          <w:rFonts w:hint="default" w:ascii="Times New Roman" w:hAnsi="Times New Roman" w:eastAsia="仿宋" w:cs="Times New Roman"/>
          <w:color w:val="auto"/>
          <w:sz w:val="44"/>
          <w:szCs w:val="44"/>
        </w:rPr>
      </w:pPr>
    </w:p>
    <w:p w14:paraId="7FD4CED0">
      <w:pPr>
        <w:ind w:left="0" w:leftChars="0" w:firstLine="0" w:firstLineChars="0"/>
        <w:rPr>
          <w:rFonts w:hint="default" w:ascii="Times New Roman" w:hAnsi="Times New Roman" w:eastAsia="仿宋" w:cs="Times New Roman"/>
          <w:color w:val="auto"/>
          <w:sz w:val="44"/>
          <w:szCs w:val="44"/>
        </w:rPr>
      </w:pPr>
    </w:p>
    <w:p w14:paraId="6C041C61">
      <w:pPr>
        <w:ind w:firstLine="1040"/>
        <w:rPr>
          <w:rFonts w:hint="default" w:ascii="Times New Roman" w:hAnsi="Times New Roman" w:eastAsia="仿宋" w:cs="Times New Roman"/>
          <w:color w:val="auto"/>
          <w:sz w:val="32"/>
          <w:szCs w:val="32"/>
        </w:rPr>
      </w:pPr>
    </w:p>
    <w:bookmarkEnd w:id="2"/>
    <w:p w14:paraId="705B52B1">
      <w:pPr>
        <w:adjustRightInd w:val="0"/>
        <w:snapToGrid w:val="0"/>
        <w:spacing w:line="288" w:lineRule="auto"/>
        <w:ind w:left="1923" w:leftChars="266" w:hanging="1285" w:hangingChars="400"/>
        <w:rPr>
          <w:rFonts w:hint="default" w:cs="Times New Roman" w:eastAsiaTheme="minorEastAsia"/>
          <w:b/>
          <w:bCs/>
          <w:color w:val="auto"/>
          <w:sz w:val="32"/>
          <w:szCs w:val="32"/>
          <w:lang w:val="en-US" w:eastAsia="zh-CN"/>
        </w:rPr>
      </w:pPr>
      <w:r>
        <w:rPr>
          <w:rFonts w:hint="default" w:ascii="Times New Roman" w:hAnsi="Times New Roman" w:cs="Times New Roman" w:eastAsiaTheme="minorEastAsia"/>
          <w:b/>
          <w:bCs/>
          <w:color w:val="auto"/>
          <w:sz w:val="32"/>
          <w:szCs w:val="32"/>
        </w:rPr>
        <w:t>项目名称</w:t>
      </w:r>
      <w:r>
        <w:rPr>
          <w:rFonts w:hint="eastAsia" w:cs="Times New Roman" w:eastAsiaTheme="minorEastAsia"/>
          <w:b/>
          <w:bCs/>
          <w:color w:val="auto"/>
          <w:sz w:val="32"/>
          <w:szCs w:val="32"/>
          <w:lang w:eastAsia="zh-CN"/>
        </w:rPr>
        <w:t>：</w:t>
      </w:r>
      <w:r>
        <w:rPr>
          <w:rFonts w:hint="eastAsia" w:cs="Times New Roman" w:eastAsiaTheme="minorEastAsia"/>
          <w:b/>
          <w:bCs/>
          <w:color w:val="auto"/>
          <w:sz w:val="32"/>
          <w:szCs w:val="32"/>
          <w:u w:val="single"/>
          <w:lang w:val="en-US" w:eastAsia="zh-CN"/>
        </w:rPr>
        <w:t xml:space="preserve">   </w:t>
      </w:r>
      <w:r>
        <w:rPr>
          <w:rFonts w:hint="eastAsia" w:cs="Times New Roman" w:eastAsiaTheme="minorEastAsia"/>
          <w:b w:val="0"/>
          <w:bCs w:val="0"/>
          <w:color w:val="auto"/>
          <w:sz w:val="32"/>
          <w:szCs w:val="32"/>
          <w:u w:val="single"/>
          <w:lang w:val="en-US" w:eastAsia="zh-CN"/>
        </w:rPr>
        <w:t xml:space="preserve">芒市果朗河大新寨至芒里大桥段治理工程                                           </w:t>
      </w:r>
    </w:p>
    <w:p w14:paraId="7451FA94">
      <w:pPr>
        <w:adjustRightInd w:val="0"/>
        <w:snapToGrid w:val="0"/>
        <w:spacing w:line="288" w:lineRule="auto"/>
        <w:ind w:firstLine="643" w:firstLineChars="200"/>
        <w:rPr>
          <w:rFonts w:hint="default" w:ascii="Times New Roman" w:hAnsi="Times New Roman" w:cs="Times New Roman" w:eastAsiaTheme="minorEastAsia"/>
          <w:color w:val="auto"/>
          <w:sz w:val="32"/>
          <w:szCs w:val="32"/>
          <w:u w:val="single"/>
          <w:lang w:val="en-US" w:eastAsia="zh-CN"/>
        </w:rPr>
      </w:pPr>
      <w:r>
        <w:rPr>
          <w:rFonts w:hint="default" w:ascii="Times New Roman" w:hAnsi="Times New Roman" w:cs="Times New Roman" w:eastAsiaTheme="minorEastAsia"/>
          <w:b/>
          <w:bCs/>
          <w:color w:val="auto"/>
          <w:sz w:val="32"/>
          <w:szCs w:val="32"/>
        </w:rPr>
        <w:t>建设单位（盖章）：</w:t>
      </w:r>
      <w:r>
        <w:rPr>
          <w:rFonts w:hint="default" w:cs="Times New Roman" w:eastAsiaTheme="minorEastAsia"/>
          <w:b/>
          <w:bCs/>
          <w:color w:val="auto"/>
          <w:sz w:val="32"/>
          <w:szCs w:val="32"/>
          <w:u w:val="single"/>
          <w:lang w:val="en-US" w:eastAsia="zh-CN"/>
        </w:rPr>
        <w:t xml:space="preserve">  </w:t>
      </w:r>
      <w:r>
        <w:rPr>
          <w:rFonts w:hint="eastAsia" w:cs="Times New Roman" w:eastAsiaTheme="minorEastAsia"/>
          <w:b/>
          <w:bCs/>
          <w:color w:val="auto"/>
          <w:sz w:val="32"/>
          <w:szCs w:val="32"/>
          <w:u w:val="single"/>
          <w:lang w:val="en-US" w:eastAsia="zh-CN"/>
        </w:rPr>
        <w:t xml:space="preserve"> </w:t>
      </w:r>
      <w:r>
        <w:rPr>
          <w:rFonts w:hint="eastAsia" w:cs="Times New Roman" w:eastAsiaTheme="minorEastAsia"/>
          <w:b w:val="0"/>
          <w:bCs w:val="0"/>
          <w:color w:val="auto"/>
          <w:sz w:val="32"/>
          <w:szCs w:val="32"/>
          <w:u w:val="single"/>
          <w:lang w:val="en-US" w:eastAsia="zh-CN"/>
        </w:rPr>
        <w:t>芒市水利局</w:t>
      </w:r>
      <w:r>
        <w:rPr>
          <w:rFonts w:hint="default" w:cs="Times New Roman" w:eastAsiaTheme="minorEastAsia"/>
          <w:b/>
          <w:bCs/>
          <w:color w:val="auto"/>
          <w:sz w:val="32"/>
          <w:szCs w:val="32"/>
          <w:u w:val="single"/>
          <w:lang w:val="en-US" w:eastAsia="zh-CN"/>
        </w:rPr>
        <w:t xml:space="preserve"> </w:t>
      </w:r>
      <w:r>
        <w:rPr>
          <w:rFonts w:hint="eastAsia" w:cs="Times New Roman" w:eastAsiaTheme="minorEastAsia"/>
          <w:b/>
          <w:bCs/>
          <w:color w:val="auto"/>
          <w:sz w:val="32"/>
          <w:szCs w:val="32"/>
          <w:u w:val="single"/>
          <w:lang w:val="en-US" w:eastAsia="zh-CN"/>
        </w:rPr>
        <w:t xml:space="preserve">    </w:t>
      </w:r>
      <w:r>
        <w:rPr>
          <w:rFonts w:hint="eastAsia" w:cs="Times New Roman" w:eastAsiaTheme="minorEastAsia"/>
          <w:color w:val="auto"/>
          <w:sz w:val="32"/>
          <w:szCs w:val="32"/>
          <w:u w:val="single"/>
          <w:lang w:val="en-US" w:eastAsia="zh-CN"/>
        </w:rPr>
        <w:t xml:space="preserve">              </w:t>
      </w:r>
      <w:r>
        <w:rPr>
          <w:rFonts w:hint="default" w:ascii="Times New Roman" w:hAnsi="Times New Roman" w:cs="Times New Roman" w:eastAsiaTheme="minorEastAsia"/>
          <w:color w:val="auto"/>
          <w:sz w:val="32"/>
          <w:szCs w:val="32"/>
          <w:u w:val="single"/>
          <w:lang w:val="en-US" w:eastAsia="zh-CN"/>
        </w:rPr>
        <w:t xml:space="preserve"> </w:t>
      </w:r>
    </w:p>
    <w:p w14:paraId="564EA9C9">
      <w:pPr>
        <w:adjustRightInd w:val="0"/>
        <w:snapToGrid w:val="0"/>
        <w:spacing w:line="288" w:lineRule="auto"/>
        <w:ind w:firstLine="643" w:firstLineChars="200"/>
        <w:rPr>
          <w:rFonts w:hint="default" w:ascii="Times New Roman" w:hAnsi="Times New Roman" w:cs="Times New Roman" w:eastAsiaTheme="minorEastAsia"/>
          <w:color w:val="auto"/>
          <w:sz w:val="32"/>
          <w:szCs w:val="32"/>
          <w:u w:val="single"/>
          <w:lang w:val="en-US" w:eastAsia="zh-CN"/>
        </w:rPr>
      </w:pPr>
      <w:r>
        <w:rPr>
          <w:rFonts w:hint="default" w:ascii="Times New Roman" w:hAnsi="Times New Roman" w:cs="Times New Roman" w:eastAsiaTheme="minorEastAsia"/>
          <w:b/>
          <w:bCs/>
          <w:color w:val="auto"/>
          <w:sz w:val="32"/>
          <w:szCs w:val="32"/>
        </w:rPr>
        <w:t>编制日期：</w:t>
      </w:r>
      <w:r>
        <w:rPr>
          <w:rFonts w:hint="eastAsia" w:cs="Times New Roman" w:eastAsiaTheme="minorEastAsia"/>
          <w:b/>
          <w:bCs/>
          <w:color w:val="auto"/>
          <w:sz w:val="32"/>
          <w:szCs w:val="32"/>
          <w:u w:val="single"/>
          <w:lang w:val="en-US" w:eastAsia="zh-CN"/>
        </w:rPr>
        <w:t xml:space="preserve">           </w:t>
      </w:r>
      <w:r>
        <w:rPr>
          <w:rFonts w:hint="default" w:ascii="Times New Roman" w:hAnsi="Times New Roman" w:cs="Times New Roman" w:eastAsiaTheme="minorEastAsia"/>
          <w:color w:val="auto"/>
          <w:sz w:val="32"/>
          <w:szCs w:val="32"/>
          <w:u w:val="single"/>
        </w:rPr>
        <w:t>202</w:t>
      </w:r>
      <w:r>
        <w:rPr>
          <w:rFonts w:hint="eastAsia" w:cs="Times New Roman" w:eastAsiaTheme="minorEastAsia"/>
          <w:color w:val="auto"/>
          <w:sz w:val="32"/>
          <w:szCs w:val="32"/>
          <w:u w:val="single"/>
          <w:lang w:val="en-US" w:eastAsia="zh-CN"/>
        </w:rPr>
        <w:t>4</w:t>
      </w:r>
      <w:r>
        <w:rPr>
          <w:rFonts w:hint="default" w:ascii="Times New Roman" w:hAnsi="Times New Roman" w:cs="Times New Roman" w:eastAsiaTheme="minorEastAsia"/>
          <w:color w:val="auto"/>
          <w:sz w:val="32"/>
          <w:szCs w:val="32"/>
          <w:u w:val="single"/>
        </w:rPr>
        <w:t>年</w:t>
      </w:r>
      <w:r>
        <w:rPr>
          <w:rFonts w:hint="eastAsia" w:cs="Times New Roman" w:eastAsiaTheme="minorEastAsia"/>
          <w:color w:val="auto"/>
          <w:sz w:val="32"/>
          <w:szCs w:val="32"/>
          <w:u w:val="single"/>
          <w:lang w:val="en-US" w:eastAsia="zh-CN"/>
        </w:rPr>
        <w:t>5</w:t>
      </w:r>
      <w:r>
        <w:rPr>
          <w:rFonts w:hint="default" w:ascii="Times New Roman" w:hAnsi="Times New Roman" w:cs="Times New Roman" w:eastAsiaTheme="minorEastAsia"/>
          <w:color w:val="auto"/>
          <w:sz w:val="32"/>
          <w:szCs w:val="32"/>
          <w:u w:val="single"/>
        </w:rPr>
        <w:t>月</w:t>
      </w:r>
      <w:r>
        <w:rPr>
          <w:rFonts w:hint="default" w:ascii="Times New Roman" w:hAnsi="Times New Roman" w:cs="Times New Roman" w:eastAsiaTheme="minorEastAsia"/>
          <w:color w:val="auto"/>
          <w:sz w:val="32"/>
          <w:szCs w:val="32"/>
          <w:u w:val="single"/>
          <w:lang w:val="en-US" w:eastAsia="zh-CN"/>
        </w:rPr>
        <w:t xml:space="preserve">                   </w:t>
      </w:r>
      <w:r>
        <w:rPr>
          <w:rFonts w:hint="eastAsia" w:cs="Times New Roman" w:eastAsiaTheme="minorEastAsia"/>
          <w:color w:val="auto"/>
          <w:sz w:val="32"/>
          <w:szCs w:val="32"/>
          <w:u w:val="single"/>
          <w:lang w:val="en-US" w:eastAsia="zh-CN"/>
        </w:rPr>
        <w:t xml:space="preserve"> </w:t>
      </w:r>
      <w:r>
        <w:rPr>
          <w:rFonts w:hint="default" w:ascii="Times New Roman" w:hAnsi="Times New Roman" w:cs="Times New Roman" w:eastAsiaTheme="minorEastAsia"/>
          <w:color w:val="auto"/>
          <w:sz w:val="32"/>
          <w:szCs w:val="32"/>
          <w:u w:val="single"/>
          <w:lang w:val="en-US" w:eastAsia="zh-CN"/>
        </w:rPr>
        <w:t xml:space="preserve">    </w:t>
      </w:r>
      <w:r>
        <w:rPr>
          <w:rFonts w:hint="eastAsia" w:cs="Times New Roman" w:eastAsiaTheme="minorEastAsia"/>
          <w:color w:val="auto"/>
          <w:sz w:val="32"/>
          <w:szCs w:val="32"/>
          <w:u w:val="single"/>
          <w:lang w:val="en-US" w:eastAsia="zh-CN"/>
        </w:rPr>
        <w:t xml:space="preserve">    </w:t>
      </w:r>
    </w:p>
    <w:p w14:paraId="6504DFBD">
      <w:pPr>
        <w:adjustRightInd w:val="0"/>
        <w:snapToGrid w:val="0"/>
        <w:spacing w:line="288" w:lineRule="auto"/>
        <w:ind w:firstLine="1040"/>
        <w:rPr>
          <w:rFonts w:hint="default" w:ascii="Times New Roman" w:hAnsi="Times New Roman" w:cs="Times New Roman" w:eastAsiaTheme="minorEastAsia"/>
          <w:color w:val="auto"/>
          <w:sz w:val="32"/>
          <w:szCs w:val="32"/>
          <w:u w:val="single"/>
        </w:rPr>
      </w:pPr>
    </w:p>
    <w:p w14:paraId="5201BEE5">
      <w:pPr>
        <w:keepNext w:val="0"/>
        <w:keepLines w:val="0"/>
        <w:pageBreakBefore w:val="0"/>
        <w:widowControl w:val="0"/>
        <w:kinsoku/>
        <w:wordWrap/>
        <w:overflowPunct/>
        <w:topLinePunct w:val="0"/>
        <w:autoSpaceDE/>
        <w:autoSpaceDN/>
        <w:bidi w:val="0"/>
        <w:adjustRightInd w:val="0"/>
        <w:snapToGrid w:val="0"/>
        <w:spacing w:line="288" w:lineRule="auto"/>
        <w:ind w:firstLine="0" w:firstLineChars="0"/>
        <w:jc w:val="center"/>
        <w:textAlignment w:val="auto"/>
        <w:rPr>
          <w:rFonts w:hint="default" w:ascii="Times New Roman" w:hAnsi="Times New Roman" w:eastAsia="仿宋_GB2312" w:cs="Times New Roman"/>
          <w:color w:val="auto"/>
          <w:sz w:val="36"/>
          <w:szCs w:val="36"/>
        </w:rPr>
      </w:pPr>
    </w:p>
    <w:p w14:paraId="5E8DDEA9">
      <w:pPr>
        <w:keepNext w:val="0"/>
        <w:keepLines w:val="0"/>
        <w:pageBreakBefore w:val="0"/>
        <w:widowControl w:val="0"/>
        <w:kinsoku/>
        <w:wordWrap/>
        <w:overflowPunct/>
        <w:topLinePunct w:val="0"/>
        <w:autoSpaceDE/>
        <w:autoSpaceDN/>
        <w:bidi w:val="0"/>
        <w:adjustRightInd w:val="0"/>
        <w:snapToGrid w:val="0"/>
        <w:spacing w:line="288" w:lineRule="auto"/>
        <w:ind w:firstLine="0" w:firstLineChars="0"/>
        <w:jc w:val="center"/>
        <w:textAlignment w:val="auto"/>
        <w:outlineLvl w:val="0"/>
        <w:rPr>
          <w:rFonts w:hint="default" w:ascii="Times New Roman" w:hAnsi="Times New Roman" w:eastAsia="楷体_GB2312" w:cs="Times New Roman"/>
          <w:color w:val="auto"/>
          <w:sz w:val="36"/>
          <w:szCs w:val="36"/>
          <w:highlight w:val="none"/>
          <w:shd w:val="clear" w:color="auto" w:fill="auto"/>
        </w:rPr>
      </w:pPr>
      <w:bookmarkStart w:id="3" w:name="_Toc19983"/>
      <w:bookmarkStart w:id="4" w:name="_Toc5547"/>
      <w:r>
        <w:rPr>
          <w:rFonts w:hint="default" w:ascii="Times New Roman" w:hAnsi="Times New Roman" w:eastAsia="楷体_GB2312" w:cs="Times New Roman"/>
          <w:color w:val="auto"/>
          <w:sz w:val="36"/>
          <w:szCs w:val="36"/>
          <w:highlight w:val="none"/>
          <w:shd w:val="clear" w:color="auto" w:fill="auto"/>
        </w:rPr>
        <w:t>中华人民共和国生态环境部制</w:t>
      </w:r>
      <w:bookmarkEnd w:id="3"/>
      <w:bookmarkEnd w:id="4"/>
    </w:p>
    <w:p w14:paraId="0E96FE74">
      <w:pPr>
        <w:adjustRightInd w:val="0"/>
        <w:snapToGrid w:val="0"/>
        <w:spacing w:line="288" w:lineRule="auto"/>
        <w:ind w:firstLine="1040"/>
        <w:rPr>
          <w:rFonts w:hint="default" w:ascii="Times New Roman" w:hAnsi="Times New Roman" w:eastAsia="仿宋_GB2312" w:cs="Times New Roman"/>
          <w:color w:val="auto"/>
          <w:sz w:val="36"/>
          <w:szCs w:val="36"/>
        </w:rPr>
        <w:sectPr>
          <w:footerReference r:id="rId5" w:type="default"/>
          <w:footerReference r:id="rId6" w:type="even"/>
          <w:pgSz w:w="11906" w:h="16838"/>
          <w:pgMar w:top="1701" w:right="1531" w:bottom="1701" w:left="1531" w:header="851" w:footer="1077" w:gutter="0"/>
          <w:pgBorders>
            <w:top w:val="none" w:sz="0" w:space="0"/>
            <w:left w:val="none" w:sz="0" w:space="0"/>
            <w:bottom w:val="none" w:sz="0" w:space="0"/>
            <w:right w:val="none" w:sz="0" w:space="0"/>
          </w:pgBorders>
          <w:pgNumType w:start="21"/>
          <w:cols w:space="720" w:num="1"/>
          <w:docGrid w:linePitch="312" w:charSpace="0"/>
        </w:sectPr>
      </w:pPr>
    </w:p>
    <w:p w14:paraId="271BD511">
      <w:pPr>
        <w:ind w:left="0" w:leftChars="0" w:firstLine="0" w:firstLineChars="0"/>
        <w:jc w:val="center"/>
        <w:rPr>
          <w:rFonts w:hint="default" w:cs="Times New Roman"/>
          <w:b/>
          <w:bCs/>
          <w:color w:val="auto"/>
          <w:sz w:val="32"/>
          <w:szCs w:val="32"/>
          <w:lang w:val="en-US" w:eastAsia="zh-CN"/>
        </w:rPr>
      </w:pPr>
      <w:r>
        <w:rPr>
          <w:rFonts w:hint="eastAsia" w:cs="Times New Roman"/>
          <w:b/>
          <w:bCs/>
          <w:color w:val="auto"/>
          <w:sz w:val="32"/>
          <w:szCs w:val="32"/>
          <w:lang w:val="en-US" w:eastAsia="zh-CN"/>
        </w:rPr>
        <w:t>现场照片</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67"/>
        <w:gridCol w:w="4353"/>
      </w:tblGrid>
      <w:tr w14:paraId="4DE47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2" w:hRule="atLeast"/>
          <w:jc w:val="center"/>
        </w:trPr>
        <w:tc>
          <w:tcPr>
            <w:tcW w:w="4367" w:type="dxa"/>
            <w:vAlign w:val="center"/>
          </w:tcPr>
          <w:p w14:paraId="60C47ABA">
            <w:pPr>
              <w:keepNext w:val="0"/>
              <w:keepLines w:val="0"/>
              <w:pageBreakBefore w:val="0"/>
              <w:kinsoku/>
              <w:wordWrap/>
              <w:overflowPunct/>
              <w:topLinePunct w:val="0"/>
              <w:autoSpaceDE/>
              <w:autoSpaceDN/>
              <w:bidi w:val="0"/>
              <w:adjustRightInd/>
              <w:snapToGrid/>
              <w:ind w:left="0" w:leftChars="0" w:firstLine="0" w:firstLineChars="0"/>
              <w:jc w:val="center"/>
              <w:textAlignment w:val="auto"/>
              <w:rPr>
                <w:rFonts w:hint="eastAsia" w:cs="Times New Roman"/>
                <w:color w:val="auto"/>
                <w:sz w:val="24"/>
                <w:szCs w:val="24"/>
                <w:vertAlign w:val="baseline"/>
                <w:lang w:val="en-US" w:eastAsia="zh-CN"/>
              </w:rPr>
            </w:pPr>
            <w:r>
              <w:rPr>
                <w:sz w:val="24"/>
              </w:rPr>
              <mc:AlternateContent>
                <mc:Choice Requires="wps">
                  <w:drawing>
                    <wp:anchor distT="0" distB="0" distL="114300" distR="114300" simplePos="0" relativeHeight="251666432" behindDoc="0" locked="0" layoutInCell="1" allowOverlap="1">
                      <wp:simplePos x="0" y="0"/>
                      <wp:positionH relativeFrom="column">
                        <wp:posOffset>480695</wp:posOffset>
                      </wp:positionH>
                      <wp:positionV relativeFrom="paragraph">
                        <wp:posOffset>878205</wp:posOffset>
                      </wp:positionV>
                      <wp:extent cx="1219200" cy="276225"/>
                      <wp:effectExtent l="1270" t="29845" r="13970" b="13970"/>
                      <wp:wrapNone/>
                      <wp:docPr id="24" name="直接箭头连接符 24"/>
                      <wp:cNvGraphicFramePr/>
                      <a:graphic xmlns:a="http://schemas.openxmlformats.org/drawingml/2006/main">
                        <a:graphicData uri="http://schemas.microsoft.com/office/word/2010/wordprocessingShape">
                          <wps:wsp>
                            <wps:cNvCnPr/>
                            <wps:spPr>
                              <a:xfrm flipV="1">
                                <a:off x="1560830" y="2000885"/>
                                <a:ext cx="1219200" cy="27622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7.85pt;margin-top:69.15pt;height:21.75pt;width:96pt;z-index:251666432;mso-width-relative:page;mso-height-relative:page;" filled="f" stroked="t" coordsize="21600,21600" o:gfxdata="UEsDBAoAAAAAAIdO4kAAAAAAAAAAAAAAAAAEAAAAZHJzL1BLAwQUAAAACACHTuJAMLJol9YAAAAK&#10;AQAADwAAAGRycy9kb3ducmV2LnhtbE2PwU7DMAyG70i8Q2Qkbixpp7VRabrDJLggITEQ56zx2kLj&#10;lCbdxttjTnD051+/P9fbix/FCec4BDKQrRQIpDa4gToDb68PdxpETJacHQOhgW+MsG2ur2pbuXCm&#10;FzztUye4hGJlDfQpTZWUse3R27gKExLvjmH2NvE4d9LN9szlfpS5UoX0diC+0NsJdz22n/vFG3Ch&#10;e9Tv+ZdST73aFLtntxw/kjG3N5m6B5Hwkv7C8KvP6tCw0yEs5KIYDZSbkpPM13oNggN5UTI5MNGZ&#10;BtnU8v8LzQ9QSwMEFAAAAAgAh07iQE3I4i0cAgAA/AMAAA4AAABkcnMvZTJvRG9jLnhtbK1TvY4T&#10;MRDukXgHyz3ZTeByIcrmioTQIDiJn97xenct+U8zvmzyErwAEhVQHVTX8zRwPAZjbzjgaK6g2fV4&#10;Zr7P3+fx4mxvDdspQO1dxcejkjPlpK+1ayv++tXmwYwzjMLVwninKn5QyM+W9+8t+jBXE995Uytg&#10;BOJw3oeKdzGGeVGg7JQVOPJBOUo2HqyIFEJb1CB6QremmJTltOg91AG8VIi0ux6S/IgIdwH0TaOl&#10;Wnt5YZWLAyooIyJJwk4H5Mt82qZRMr5oGlSRmYqT0pi/RELrbfoWy4WYtyBCp+XxCOIuR7ilyQrt&#10;iPQGai2iYBeg/4GyWoJH38SR9LYYhGRHSMW4vOXNy04ElbWQ1RhuTMf/Byuf786B6brik0ecOWHp&#10;xq/fXX1/+/H6y+dvH65+fH2f1pefGOXJrD7gnHpW7hyOEYZzSMr3DVjWGB3e0FRlL0gd21NwMi1n&#10;D8nwA5GUZTmbnQy2q31kMhVMxo8pwZlMFafTySQXFANmwg6A8anylqVFxTGC0G0XV945umEPA5/Y&#10;PcNIp6LGXw2p2fmNNiZftHGsT3ynmU3Q9DY0NURsAzmAruVMmJaehYyQJaA3uk7tCQih3a4MsJ2g&#10;YdpsSEqeH6L7qyxxrwV2Q11ODXqtjvRyjLYVn6Xm4/RFoc0TV7N4CGS+APB9qidY4+iXHB88Tqut&#10;rw/Z+rxPQ5ELjwOcpu7POHf/frTL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DCyaJfWAAAACgEA&#10;AA8AAAAAAAAAAQAgAAAAIgAAAGRycy9kb3ducmV2LnhtbFBLAQIUABQAAAAIAIdO4kBNyOItHAIA&#10;APwDAAAOAAAAAAAAAAEAIAAAACUBAABkcnMvZTJvRG9jLnhtbFBLBQYAAAAABgAGAFkBAACzBQAA&#10;AAA=&#10;">
                      <v:fill on="f" focussize="0,0"/>
                      <v:stroke weight="1pt" color="#FF0000 [3204]" miterlimit="8" joinstyle="miter" endarrow="open"/>
                      <v:imagedata o:title=""/>
                      <o:lock v:ext="edit" aspectratio="f"/>
                    </v:shape>
                  </w:pict>
                </mc:Fallback>
              </mc:AlternateContent>
            </w:r>
            <w:r>
              <w:rPr>
                <w:sz w:val="24"/>
                <w:szCs w:val="24"/>
              </w:rPr>
              <w:drawing>
                <wp:inline distT="0" distB="0" distL="114300" distR="114300">
                  <wp:extent cx="2651125" cy="2326640"/>
                  <wp:effectExtent l="0" t="0" r="635"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1"/>
                          <a:stretch>
                            <a:fillRect/>
                          </a:stretch>
                        </pic:blipFill>
                        <pic:spPr>
                          <a:xfrm>
                            <a:off x="0" y="0"/>
                            <a:ext cx="2651125" cy="2326640"/>
                          </a:xfrm>
                          <a:prstGeom prst="rect">
                            <a:avLst/>
                          </a:prstGeom>
                          <a:noFill/>
                          <a:ln>
                            <a:noFill/>
                          </a:ln>
                        </pic:spPr>
                      </pic:pic>
                    </a:graphicData>
                  </a:graphic>
                </wp:inline>
              </w:drawing>
            </w:r>
          </w:p>
        </w:tc>
        <w:tc>
          <w:tcPr>
            <w:tcW w:w="4353" w:type="dxa"/>
            <w:vAlign w:val="center"/>
          </w:tcPr>
          <w:p w14:paraId="02E875BB">
            <w:pPr>
              <w:keepNext w:val="0"/>
              <w:keepLines w:val="0"/>
              <w:pageBreakBefore w:val="0"/>
              <w:kinsoku/>
              <w:wordWrap/>
              <w:overflowPunct/>
              <w:topLinePunct w:val="0"/>
              <w:autoSpaceDE/>
              <w:autoSpaceDN/>
              <w:bidi w:val="0"/>
              <w:adjustRightInd/>
              <w:snapToGrid/>
              <w:ind w:left="0" w:leftChars="0" w:firstLine="0" w:firstLineChars="0"/>
              <w:jc w:val="center"/>
              <w:textAlignment w:val="auto"/>
              <w:rPr>
                <w:rFonts w:hint="eastAsia" w:cs="Times New Roman"/>
                <w:color w:val="auto"/>
                <w:sz w:val="24"/>
                <w:szCs w:val="24"/>
                <w:vertAlign w:val="baseline"/>
                <w:lang w:val="en-US" w:eastAsia="zh-CN"/>
              </w:rPr>
            </w:pPr>
            <w:r>
              <w:rPr>
                <w:sz w:val="24"/>
              </w:rPr>
              <mc:AlternateContent>
                <mc:Choice Requires="wps">
                  <w:drawing>
                    <wp:anchor distT="0" distB="0" distL="114300" distR="114300" simplePos="0" relativeHeight="251667456" behindDoc="0" locked="0" layoutInCell="1" allowOverlap="1">
                      <wp:simplePos x="0" y="0"/>
                      <wp:positionH relativeFrom="column">
                        <wp:posOffset>288925</wp:posOffset>
                      </wp:positionH>
                      <wp:positionV relativeFrom="paragraph">
                        <wp:posOffset>1468755</wp:posOffset>
                      </wp:positionV>
                      <wp:extent cx="1219200" cy="209550"/>
                      <wp:effectExtent l="1270" t="6350" r="13970" b="43180"/>
                      <wp:wrapNone/>
                      <wp:docPr id="25" name="直接箭头连接符 25"/>
                      <wp:cNvGraphicFramePr/>
                      <a:graphic xmlns:a="http://schemas.openxmlformats.org/drawingml/2006/main">
                        <a:graphicData uri="http://schemas.microsoft.com/office/word/2010/wordprocessingShape">
                          <wps:wsp>
                            <wps:cNvCnPr/>
                            <wps:spPr>
                              <a:xfrm>
                                <a:off x="0" y="0"/>
                                <a:ext cx="1219200" cy="20955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2.75pt;margin-top:115.65pt;height:16.5pt;width:96pt;z-index:251667456;mso-width-relative:page;mso-height-relative:page;" filled="f" stroked="t" coordsize="21600,21600" o:gfxdata="UEsDBAoAAAAAAIdO4kAAAAAAAAAAAAAAAAAEAAAAZHJzL1BLAwQUAAAACACHTuJA72eJktgAAAAK&#10;AQAADwAAAGRycy9kb3ducmV2LnhtbE2PPU/DMBCGdyT+g3VIbNRO0pYqxOlQBBsCWujsxk4c1T5H&#10;sdOWf88x0e0+Hr33XLW+eMdOZox9QAnZTAAz2ATdYyfha/fysAIWk0KtXEAj4cdEWNe3N5UqdTjj&#10;pzltU8coBGOpJNiUhpLz2FjjVZyFwSDt2jB6lagdO65HdaZw73guxJJ71SNdsGowG2ua43byEp6/&#10;j+LDvr0Oe9279ylOLW52rZT3d5l4ApbMJf3D8KdP6lCT0yFMqCNzEuaLBZES8iIrgBGQF480OVCx&#10;nBfA64pfv1D/AlBLAwQUAAAACACHTuJApIGQOwoCAADmAwAADgAAAGRycy9lMm9Eb2MueG1srVPN&#10;jtMwEL4j8Q6W7zRppcJu1XQPLeWCYCXgAVzHSSz5TzPepn0JXgCJE3ACTnvnaWB5DMZO6MJy2QM5&#10;OLbH833+vhkvLw7WsL0C1N5VfDopOVNO+lq7tuJvXm8fnXGGUbhaGO9UxY8K+cXq4YNlHxZq5jtv&#10;agWMQBwu+lDxLsawKAqUnbICJz4oR8HGgxWRltAWNYie0K0pZmX5uOg91AG8VIi0uxmCfESE+wD6&#10;ptFSbby8ssrFARWUEZEkYacD8lW+bdMoGV82DarITMVJacwjkdB8l8ZitRSLFkTotByvIO5zhTua&#10;rNCOSE9QGxEFuwL9D5TVEjz6Jk6kt8UgJDtCKqblHW9edSKorIWsxnAyHf8frHyxvwSm64rP5pw5&#10;YaniN++uf7z9ePP1y/cP1z+/vU/zz58YxcmsPuCCctbuEsYVhktIyg8N2PQnTeyQDT6eDFaHyCRt&#10;TmfTc+oBziTFZuX5fJ4rUNxmB8D4THnL0qTiGEHototr7xzV0sM0uyz2zzESPyX+TkjUzm+1Mbmk&#10;xrE+8T3JbIL6tKH+IGIbSCu6ljNhWnoAMkKGRG90ndITEEK7Wxtge0Fts92W9CXxRPfXscS9EdgN&#10;53JoaCirI70Ro23Fz1Ly2GdRaPPU1SweA9ksAHw/whpH6Mnbwc002/n6mE3O+1T+zD+2auqvP9c5&#10;+/Z5rn4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72eJktgAAAAKAQAADwAAAAAAAAABACAAAAAi&#10;AAAAZHJzL2Rvd25yZXYueG1sUEsBAhQAFAAAAAgAh07iQKSBkDsKAgAA5gMAAA4AAAAAAAAAAQAg&#10;AAAAJwEAAGRycy9lMm9Eb2MueG1sUEsFBgAAAAAGAAYAWQEAAKMFAAAAAA==&#10;">
                      <v:fill on="f" focussize="0,0"/>
                      <v:stroke weight="1pt" color="#FF0000 [3204]" miterlimit="8" joinstyle="miter" endarrow="open"/>
                      <v:imagedata o:title=""/>
                      <o:lock v:ext="edit" aspectratio="f"/>
                    </v:shape>
                  </w:pict>
                </mc:Fallback>
              </mc:AlternateContent>
            </w:r>
            <w:r>
              <w:rPr>
                <w:sz w:val="24"/>
                <w:szCs w:val="24"/>
              </w:rPr>
              <w:drawing>
                <wp:inline distT="0" distB="0" distL="114300" distR="114300">
                  <wp:extent cx="2632710" cy="2289175"/>
                  <wp:effectExtent l="0" t="0" r="3810" b="1206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2"/>
                          <a:stretch>
                            <a:fillRect/>
                          </a:stretch>
                        </pic:blipFill>
                        <pic:spPr>
                          <a:xfrm>
                            <a:off x="0" y="0"/>
                            <a:ext cx="2632710" cy="2289175"/>
                          </a:xfrm>
                          <a:prstGeom prst="rect">
                            <a:avLst/>
                          </a:prstGeom>
                          <a:noFill/>
                          <a:ln>
                            <a:noFill/>
                          </a:ln>
                        </pic:spPr>
                      </pic:pic>
                    </a:graphicData>
                  </a:graphic>
                </wp:inline>
              </w:drawing>
            </w:r>
          </w:p>
        </w:tc>
      </w:tr>
      <w:tr w14:paraId="5C4FB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gridSpan w:val="2"/>
            <w:vAlign w:val="center"/>
          </w:tcPr>
          <w:p w14:paraId="2F85A125">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auto"/>
              <w:rPr>
                <w:rFonts w:hint="eastAsia" w:cs="Times New Roman"/>
                <w:color w:val="auto"/>
                <w:sz w:val="24"/>
                <w:szCs w:val="24"/>
                <w:vertAlign w:val="baseline"/>
                <w:lang w:val="en-US" w:eastAsia="zh-CN"/>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果朗河</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K5+000~K12+350</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段河道现状</w:t>
            </w:r>
          </w:p>
        </w:tc>
      </w:tr>
      <w:tr w14:paraId="1894C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7" w:type="dxa"/>
            <w:vAlign w:val="center"/>
          </w:tcPr>
          <w:p w14:paraId="79C9B3AF">
            <w:pPr>
              <w:keepNext w:val="0"/>
              <w:keepLines w:val="0"/>
              <w:pageBreakBefore w:val="0"/>
              <w:kinsoku/>
              <w:wordWrap/>
              <w:overflowPunct/>
              <w:topLinePunct w:val="0"/>
              <w:autoSpaceDE/>
              <w:autoSpaceDN/>
              <w:bidi w:val="0"/>
              <w:adjustRightInd/>
              <w:snapToGrid/>
              <w:ind w:left="0" w:leftChars="0" w:firstLine="0" w:firstLineChars="0"/>
              <w:jc w:val="center"/>
              <w:textAlignment w:val="auto"/>
              <w:rPr>
                <w:rFonts w:hint="eastAsia" w:cs="Times New Roman"/>
                <w:color w:val="auto"/>
                <w:sz w:val="24"/>
                <w:szCs w:val="24"/>
                <w:vertAlign w:val="baseline"/>
                <w:lang w:val="en-US" w:eastAsia="zh-CN"/>
              </w:rPr>
            </w:pPr>
            <w:r>
              <w:rPr>
                <w:sz w:val="24"/>
              </w:rPr>
              <mc:AlternateContent>
                <mc:Choice Requires="wps">
                  <w:drawing>
                    <wp:anchor distT="0" distB="0" distL="114300" distR="114300" simplePos="0" relativeHeight="251668480" behindDoc="0" locked="0" layoutInCell="1" allowOverlap="1">
                      <wp:simplePos x="0" y="0"/>
                      <wp:positionH relativeFrom="column">
                        <wp:posOffset>394970</wp:posOffset>
                      </wp:positionH>
                      <wp:positionV relativeFrom="paragraph">
                        <wp:posOffset>1667510</wp:posOffset>
                      </wp:positionV>
                      <wp:extent cx="1371600" cy="66675"/>
                      <wp:effectExtent l="0" t="6350" r="0" b="48895"/>
                      <wp:wrapNone/>
                      <wp:docPr id="26" name="直接箭头连接符 26"/>
                      <wp:cNvGraphicFramePr/>
                      <a:graphic xmlns:a="http://schemas.openxmlformats.org/drawingml/2006/main">
                        <a:graphicData uri="http://schemas.microsoft.com/office/word/2010/wordprocessingShape">
                          <wps:wsp>
                            <wps:cNvCnPr/>
                            <wps:spPr>
                              <a:xfrm>
                                <a:off x="0" y="0"/>
                                <a:ext cx="1371600" cy="6667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1.1pt;margin-top:131.3pt;height:5.25pt;width:108pt;z-index:251668480;mso-width-relative:page;mso-height-relative:page;" filled="f" stroked="t" coordsize="21600,21600" o:gfxdata="UEsDBAoAAAAAAIdO4kAAAAAAAAAAAAAAAAAEAAAAZHJzL1BLAwQUAAAACACHTuJAjr50J9YAAAAK&#10;AQAADwAAAGRycy9kb3ducmV2LnhtbE2PPU/DMBCGd6T+B+sqsVE7RgpViNOhCDYEtMDsxk4c1T5H&#10;sdOWf891gu0+Hr33XL25BM9OdkpDRAXFSgCz2EYzYK/gc/98twaWskajfUSr4Mcm2DSLm1pXJp7x&#10;w552uWcUgqnSClzOY8V5ap0NOq3iaJF2XZyCztROPTeTPlN48FwKUfKgB6QLTo9262x73M1BwdPX&#10;Uby715fx2wz+bU5zh9t9p9TtshCPwLK95D8YrvqkDg05HeKMJjGvoJSSSAWylCUwAuTDmiaHa3Ff&#10;AG9q/v+F5hdQSwMEFAAAAAgAh07iQD71ygEKAgAA5QMAAA4AAABkcnMvZTJvRG9jLnhtbK1TzY7T&#10;MBC+I/EOlu80bRHtKmq6h5ZyQVAJeICp4ySW/Kext2lfghdA4gScgNPeeRpYHoOxG7qwXPZADs54&#10;xvPNfJ/Hi8uD0WwvMShnKz4ZjTmTVrha2bbib15vHl1wFiLYGrSzsuJHGfjl8uGDRe9LOXWd07VE&#10;RiA2lL2veBejL4siiE4aCCPnpaVg49BApC22RY3QE7rRxXQ8nhW9w9qjEzIE8q5PQT4g4n0AXdMo&#10;IddOXBlp4wkVpYZIlEKnfODL3G3TSBFfNk2QkemKE9OYVypC9i6txXIBZYvgOyWGFuA+LdzhZEBZ&#10;KnqGWkMEdoXqHyijBLrgmjgSzhQnIlkRYjEZ39HmVQdeZi4kdfBn0cP/gxUv9ltkqq74dMaZBUM3&#10;fvPu+sfbjzdfv3z/cP3z2/tkf/7EKE5i9T6UlLOyWxx2wW8xMT80aNKfOLFDFvh4FlgeIhPknDye&#10;T2Zj0l5QbDabzZ8kzOI22WOIz6QzLBkVDxFBtV1cOWvpKh1Ossiwfx7iKfF3Qqps3UZpTX4otWU9&#10;lZvOczGgMW1oPKiu8UQ12JYz0C3Nv4iYIYPTqk7pKTtgu1tpZHugqdlsxvQNff51LNVeQ+hO53Io&#10;HYPSqEhPRCtT8YuUPIxZBKWf2prFoyeVAdH1A6y2pEKS9iRmsnauPmaNs59uP+s0TGoarz/3Ofv2&#10;dS5/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I6+dCfWAAAACgEAAA8AAAAAAAAAAQAgAAAAIgAA&#10;AGRycy9kb3ducmV2LnhtbFBLAQIUABQAAAAIAIdO4kA+9coBCgIAAOUDAAAOAAAAAAAAAAEAIAAA&#10;ACUBAABkcnMvZTJvRG9jLnhtbFBLBQYAAAAABgAGAFkBAAChBQAAAAA=&#10;">
                      <v:fill on="f" focussize="0,0"/>
                      <v:stroke weight="1pt" color="#FF0000 [3204]" miterlimit="8" joinstyle="miter" endarrow="open"/>
                      <v:imagedata o:title=""/>
                      <o:lock v:ext="edit" aspectratio="f"/>
                    </v:shape>
                  </w:pict>
                </mc:Fallback>
              </mc:AlternateContent>
            </w:r>
            <w:r>
              <w:rPr>
                <w:sz w:val="24"/>
                <w:szCs w:val="24"/>
              </w:rPr>
              <w:drawing>
                <wp:inline distT="0" distB="0" distL="114300" distR="114300">
                  <wp:extent cx="2660650" cy="2138045"/>
                  <wp:effectExtent l="0" t="0" r="6350" b="1079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3"/>
                          <a:stretch>
                            <a:fillRect/>
                          </a:stretch>
                        </pic:blipFill>
                        <pic:spPr>
                          <a:xfrm>
                            <a:off x="0" y="0"/>
                            <a:ext cx="2660650" cy="2138045"/>
                          </a:xfrm>
                          <a:prstGeom prst="rect">
                            <a:avLst/>
                          </a:prstGeom>
                          <a:noFill/>
                          <a:ln>
                            <a:noFill/>
                          </a:ln>
                        </pic:spPr>
                      </pic:pic>
                    </a:graphicData>
                  </a:graphic>
                </wp:inline>
              </w:drawing>
            </w:r>
          </w:p>
        </w:tc>
        <w:tc>
          <w:tcPr>
            <w:tcW w:w="4353" w:type="dxa"/>
            <w:vAlign w:val="center"/>
          </w:tcPr>
          <w:p w14:paraId="5AA77C84">
            <w:pPr>
              <w:keepNext w:val="0"/>
              <w:keepLines w:val="0"/>
              <w:pageBreakBefore w:val="0"/>
              <w:kinsoku/>
              <w:wordWrap/>
              <w:overflowPunct/>
              <w:topLinePunct w:val="0"/>
              <w:autoSpaceDE/>
              <w:autoSpaceDN/>
              <w:bidi w:val="0"/>
              <w:adjustRightInd/>
              <w:snapToGrid/>
              <w:ind w:left="0" w:leftChars="0" w:firstLine="0" w:firstLineChars="0"/>
              <w:jc w:val="center"/>
              <w:textAlignment w:val="auto"/>
              <w:rPr>
                <w:rFonts w:hint="eastAsia" w:cs="Times New Roman"/>
                <w:color w:val="auto"/>
                <w:sz w:val="24"/>
                <w:szCs w:val="24"/>
                <w:vertAlign w:val="baseline"/>
                <w:lang w:val="en-US" w:eastAsia="zh-CN"/>
              </w:rPr>
            </w:pPr>
            <w:r>
              <w:rPr>
                <w:sz w:val="24"/>
              </w:rPr>
              <mc:AlternateContent>
                <mc:Choice Requires="wps">
                  <w:drawing>
                    <wp:anchor distT="0" distB="0" distL="114300" distR="114300" simplePos="0" relativeHeight="251669504" behindDoc="0" locked="0" layoutInCell="1" allowOverlap="1">
                      <wp:simplePos x="0" y="0"/>
                      <wp:positionH relativeFrom="column">
                        <wp:posOffset>1517650</wp:posOffset>
                      </wp:positionH>
                      <wp:positionV relativeFrom="paragraph">
                        <wp:posOffset>476885</wp:posOffset>
                      </wp:positionV>
                      <wp:extent cx="47625" cy="1266825"/>
                      <wp:effectExtent l="6350" t="0" r="52705" b="13335"/>
                      <wp:wrapNone/>
                      <wp:docPr id="45" name="直接箭头连接符 45"/>
                      <wp:cNvGraphicFramePr/>
                      <a:graphic xmlns:a="http://schemas.openxmlformats.org/drawingml/2006/main">
                        <a:graphicData uri="http://schemas.microsoft.com/office/word/2010/wordprocessingShape">
                          <wps:wsp>
                            <wps:cNvCnPr/>
                            <wps:spPr>
                              <a:xfrm flipV="1">
                                <a:off x="0" y="0"/>
                                <a:ext cx="47625" cy="126682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19.5pt;margin-top:37.55pt;height:99.75pt;width:3.75pt;z-index:251669504;mso-width-relative:page;mso-height-relative:page;" filled="f" stroked="t" coordsize="21600,21600" o:gfxdata="UEsDBAoAAAAAAIdO4kAAAAAAAAAAAAAAAAAEAAAAZHJzL1BLAwQUAAAACACHTuJACp/1CtkAAAAK&#10;AQAADwAAAGRycy9kb3ducmV2LnhtbE2PwU7DMBBE70j8g7VI3Kid0KQlxOmhElyQkCiIsxtv40C8&#10;DrHTlr9nOcFtVjOafVNvzn4QR5xiH0hDtlAgkNpge+o0vL0+3KxBxGTImiEQavjGCJvm8qI2lQ0n&#10;esHjLnWCSyhWRoNLaaykjK1Db+IijEjsHcLkTeJz6qSdzInL/SBzpUrpTU/8wZkRtw7bz93sNdjQ&#10;Pa7f8y+lnpwqyu2znQ8fSevrq0zdg0h4Tn9h+MVndGiYaR9mslEMGvLbO96SNKyKDAQH8mVZgNiz&#10;WC1LkE0t/09ofgBQSwMEFAAAAAgAh07iQCQqjbQRAgAA7wMAAA4AAABkcnMvZTJvRG9jLnhtbK1T&#10;zY7TMBC+I/EOlu80abV0V1HTPbSUC4JK/NynjpNY8p/G3qZ9CV4AiRNwgj3tnaeB5TEYJ6HActkD&#10;OUTz4/lmvs/jxeXBaLaXGJSzJZ9Ocs6kFa5Stin561ebRxechQi2Au2sLPlRBn65fPhg0flCzlzr&#10;dCWREYgNRedL3sboiywLopUGwsR5aSlZOzQQycUmqxA6Qjc6m+X5POscVh6dkCFQdD0k+YiI9wF0&#10;da2EXDtxZaSNAypKDZEohVb5wJf9tHUtRXxR10FGpktOTGP/pyZk79I/Wy6gaBB8q8Q4AtxnhDuc&#10;DChLTU9Qa4jArlD9A2WUQBdcHSfCmWwg0itCLKb5HW1etuBlz4WkDv4kevh/sOL5fotMVSU/e8yZ&#10;BUM3fvvu5vvbj7fXX759uPnx9X2yP39ilCexOh8KqlnZLY5e8FtMzA81GlZr5d/QVvVaEDt26KU+&#10;nqSWh8gEBc/O5zNqKCgznc3nF+QQXjbAJDiPIT6VzrBklDxEBNW0ceWspUt1OLSA/bMQh8JfBanY&#10;uo3SmuJQaMu61OM8pysXQAtb06KQaTyRDrbhDHRDL0FE7KcOTqsqlafqgM1upZHtgfZns8npG+f8&#10;61jqvYbQDuf6VDoGhVGRHotWpuQXqXhcuAhKP7EVi0dPegOi60ZYbUmFJPIga7J2rjr2avdx2oNe&#10;p3Fn06L96ffVv9/p8i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Kn/UK2QAAAAoBAAAPAAAAAAAA&#10;AAEAIAAAACIAAABkcnMvZG93bnJldi54bWxQSwECFAAUAAAACACHTuJAJCqNtBECAADvAwAADgAA&#10;AAAAAAABACAAAAAoAQAAZHJzL2Uyb0RvYy54bWxQSwUGAAAAAAYABgBZAQAAqwUAAAAA&#10;">
                      <v:fill on="f" focussize="0,0"/>
                      <v:stroke weight="1pt" color="#FF0000 [3204]" miterlimit="8" joinstyle="miter" endarrow="open"/>
                      <v:imagedata o:title=""/>
                      <o:lock v:ext="edit" aspectratio="f"/>
                    </v:shape>
                  </w:pict>
                </mc:Fallback>
              </mc:AlternateContent>
            </w:r>
            <w:r>
              <w:rPr>
                <w:sz w:val="24"/>
                <w:szCs w:val="24"/>
              </w:rPr>
              <w:drawing>
                <wp:inline distT="0" distB="0" distL="114300" distR="114300">
                  <wp:extent cx="2658745" cy="2139315"/>
                  <wp:effectExtent l="0" t="0" r="8255" b="9525"/>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14"/>
                          <a:stretch>
                            <a:fillRect/>
                          </a:stretch>
                        </pic:blipFill>
                        <pic:spPr>
                          <a:xfrm>
                            <a:off x="0" y="0"/>
                            <a:ext cx="2658745" cy="2139315"/>
                          </a:xfrm>
                          <a:prstGeom prst="rect">
                            <a:avLst/>
                          </a:prstGeom>
                          <a:noFill/>
                          <a:ln>
                            <a:noFill/>
                          </a:ln>
                        </pic:spPr>
                      </pic:pic>
                    </a:graphicData>
                  </a:graphic>
                </wp:inline>
              </w:drawing>
            </w:r>
          </w:p>
        </w:tc>
      </w:tr>
      <w:tr w14:paraId="25494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gridSpan w:val="2"/>
            <w:vAlign w:val="center"/>
          </w:tcPr>
          <w:p w14:paraId="588BE336">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auto"/>
              <w:rPr>
                <w:rFonts w:hint="eastAsia" w:cs="Times New Roman"/>
                <w:color w:val="auto"/>
                <w:sz w:val="24"/>
                <w:szCs w:val="24"/>
                <w:vertAlign w:val="baseline"/>
                <w:lang w:val="en-US" w:eastAsia="zh-CN"/>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果朗河</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K5+000~K12+350</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段河道现状</w:t>
            </w:r>
          </w:p>
        </w:tc>
      </w:tr>
      <w:tr w14:paraId="5A970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gridSpan w:val="2"/>
            <w:vAlign w:val="center"/>
          </w:tcPr>
          <w:p w14:paraId="6970A631">
            <w:pPr>
              <w:keepNext w:val="0"/>
              <w:keepLines w:val="0"/>
              <w:pageBreakBefore w:val="0"/>
              <w:kinsoku/>
              <w:wordWrap/>
              <w:overflowPunct/>
              <w:topLinePunct w:val="0"/>
              <w:autoSpaceDE/>
              <w:autoSpaceDN/>
              <w:bidi w:val="0"/>
              <w:adjustRightInd/>
              <w:snapToGrid/>
              <w:ind w:left="0" w:leftChars="0" w:firstLine="0" w:firstLineChars="0"/>
              <w:jc w:val="center"/>
              <w:textAlignment w:val="auto"/>
              <w:rPr>
                <w:rFonts w:hint="eastAsia" w:cs="Times New Roman"/>
                <w:color w:val="auto"/>
                <w:sz w:val="24"/>
                <w:szCs w:val="24"/>
                <w:vertAlign w:val="baseline"/>
                <w:lang w:val="en-US" w:eastAsia="zh-CN"/>
              </w:rPr>
            </w:pPr>
            <w:r>
              <w:rPr>
                <w:sz w:val="24"/>
              </w:rPr>
              <mc:AlternateContent>
                <mc:Choice Requires="wps">
                  <w:drawing>
                    <wp:anchor distT="0" distB="0" distL="114300" distR="114300" simplePos="0" relativeHeight="251672576" behindDoc="0" locked="0" layoutInCell="1" allowOverlap="1">
                      <wp:simplePos x="0" y="0"/>
                      <wp:positionH relativeFrom="column">
                        <wp:posOffset>2080895</wp:posOffset>
                      </wp:positionH>
                      <wp:positionV relativeFrom="paragraph">
                        <wp:posOffset>616585</wp:posOffset>
                      </wp:positionV>
                      <wp:extent cx="571500" cy="390525"/>
                      <wp:effectExtent l="0" t="0" r="7620" b="5715"/>
                      <wp:wrapNone/>
                      <wp:docPr id="56" name="直接箭头连接符 56"/>
                      <wp:cNvGraphicFramePr/>
                      <a:graphic xmlns:a="http://schemas.openxmlformats.org/drawingml/2006/main">
                        <a:graphicData uri="http://schemas.microsoft.com/office/word/2010/wordprocessingShape">
                          <wps:wsp>
                            <wps:cNvCnPr/>
                            <wps:spPr>
                              <a:xfrm flipH="1" flipV="1">
                                <a:off x="0" y="0"/>
                                <a:ext cx="571500" cy="39052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63.85pt;margin-top:48.55pt;height:30.75pt;width:45pt;z-index:251672576;mso-width-relative:page;mso-height-relative:page;" filled="f" stroked="t" coordsize="21600,21600" o:gfxdata="UEsDBAoAAAAAAIdO4kAAAAAAAAAAAAAAAAAEAAAAZHJzL1BLAwQUAAAACACHTuJAYeld3dYAAAAK&#10;AQAADwAAAGRycy9kb3ducmV2LnhtbE2PQW7CMBBF95V6B2sqdVechEIgjcOiUqWoOwgHMLGdRMTj&#10;yDYBbt9hVZYz8/Tn/XJ3syObtQ+DQwHpIgGmsXVqwE7Asfn52AALUaKSo0Mt4K4D7KrXl1IWyl1x&#10;r+dD7BiFYCikgD7GqeA8tL22MizcpJFuxnkrI42+48rLK4XbkWdJsuZWDkgfejnp716358PFCthO&#10;BrOmMcv5fDQr83uvt76uhXh/S5MvYFHf4j8MD31Sh4qcTu6CKrBRwDLLc0IpLE+BEfCZPhYnIleb&#10;NfCq5M8Vqj9QSwMEFAAAAAgAh07iQMU68sAXAgAA+QMAAA4AAABkcnMvZTJvRG9jLnhtbK1TzW7U&#10;MBC+I/EOlu9s0kXblqjZHnZZOCCoxM996jiJJf9p7G52X4IXQOIEnAqn3nkaKI/B2AkFyqUHcojG&#10;Hn/fzPd5fHK6M5ptJQblbM0PZiVn0grXKNvV/PWrzYNjzkIE24B2VtZ8LwM/Xd6/dzL4Ss5d73Qj&#10;kRGJDdXga97H6KuiCKKXBsLMeWkp2To0EGmJXdEgDMRudDEvy8NicNh4dEKGQLvrMcknRrwLoWtb&#10;JeTaiQsjbRxZUWqIJCn0yge+zN22rRTxRdsGGZmuOSmN+U9FKD5P/2J5AlWH4HslphbgLi3c0mRA&#10;WSp6Q7WGCOwC1T9URgl0wbVxJpwpRiHZEVJxUN7y5mUPXmYtZHXwN6aH/0crnm/PkKmm5otDziwY&#10;uvHrd1ff3368/vL524erH1/fp/jyE6M8mTX4UBFmZc9wWgV/hkn5rkXDWq38U5oqnqM3KUo50sl2&#10;2fT9jelyF5mgzcXRwaKk6xCUevioXMwXqU4xEiawxxCfSGdYCmoeIoLq+rhy1tL1OhxLwPZZiCPw&#10;FyCBrdsorWkfKm3ZQA3Nj3I1oNFtaWSosPEkP9iOM9AdvQkRMXcdnFZNgid0wO58pZFtgSZpsynp&#10;m/r861iqvYbQj+dyKh2DyqhIz0YrU/PjBJ5GL4LSj23D4t6T84DoholWW3Ih2T0anKJz1+yz73mf&#10;JiL7NE1vGrk/1xn9+8Uufw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h6V3d1gAAAAoBAAAPAAAA&#10;AAAAAAEAIAAAACIAAABkcnMvZG93bnJldi54bWxQSwECFAAUAAAACACHTuJAxTrywBcCAAD5AwAA&#10;DgAAAAAAAAABACAAAAAlAQAAZHJzL2Uyb0RvYy54bWxQSwUGAAAAAAYABgBZAQAArgUAAAAA&#10;">
                      <v:fill on="f" focussize="0,0"/>
                      <v:stroke weight="1pt" color="#FF00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2709545</wp:posOffset>
                      </wp:positionH>
                      <wp:positionV relativeFrom="paragraph">
                        <wp:posOffset>1359535</wp:posOffset>
                      </wp:positionV>
                      <wp:extent cx="133350" cy="561975"/>
                      <wp:effectExtent l="6350" t="0" r="43180" b="1905"/>
                      <wp:wrapNone/>
                      <wp:docPr id="55" name="直接箭头连接符 55"/>
                      <wp:cNvGraphicFramePr/>
                      <a:graphic xmlns:a="http://schemas.openxmlformats.org/drawingml/2006/main">
                        <a:graphicData uri="http://schemas.microsoft.com/office/word/2010/wordprocessingShape">
                          <wps:wsp>
                            <wps:cNvCnPr/>
                            <wps:spPr>
                              <a:xfrm flipV="1">
                                <a:off x="0" y="0"/>
                                <a:ext cx="133350" cy="56197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13.35pt;margin-top:107.05pt;height:44.25pt;width:10.5pt;z-index:251671552;mso-width-relative:page;mso-height-relative:page;" filled="f" stroked="t" coordsize="21600,21600" o:gfxdata="UEsDBAoAAAAAAIdO4kAAAAAAAAAAAAAAAAAEAAAAZHJzL1BLAwQUAAAACACHTuJAgKaRs9gAAAAL&#10;AQAADwAAAGRycy9kb3ducmV2LnhtbE2PwU7DMAyG70i8Q2QkbixpKd3U1d1hElyQkBiIc9Z4TUfj&#10;lCbdxtsTTnC0/en399ebixvEiabQe0bIFgoEcetNzx3C+9vj3QpEiJqNHjwTwjcF2DTXV7WujD/z&#10;K512sRMphEOlEWyMYyVlaC05HRZ+JE63g5+cjmmcOmkmfU7hbpC5UqV0uuf0weqRtpbaz93sEIzv&#10;nlYf+ZdSz1Y9lNsXMx+OEfH2JlNrEJEu8Q+GX/2kDk1y2vuZTRADQpGXy4Qi5FmRgUhEUSzTZo9w&#10;r/ISZFPL/x2aH1BLAwQUAAAACACHTuJAPQ62IhMCAADvAwAADgAAAGRycy9lMm9Eb2MueG1srVO9&#10;jhMxEO6ReAfLPdlNotwdUTZXJIQGQSR+esdr71ryn8a+bPISvAASFVBxVNfzNHA8BmPvEuBormAL&#10;a+zZ+Wa+z58XlwejyV5AUM5WdDwqKRGWu1rZpqKvX20eXVASIrM1086Kih5FoJfLhw8WnZ+LiWud&#10;rgUQBLFh3vmKtjH6eVEE3grDwsh5YTEpHRgWcQtNUQPrEN3oYlKWZ0XnoPbguAgBT9d9kg6IcB9A&#10;J6XiYu34lRE29qggNItIKbTKB7rM00opeHwhZRCR6Ioi05hXbILxLq3FcsHmDTDfKj6MwO4zwh1O&#10;himLTU9QaxYZuQL1D5RRHFxwMo64M0VPJCuCLMblHW1etsyLzAWlDv4kevh/sPz5fgtE1RWdzSix&#10;zOCN3767+f724+2X628fbn58fZ/iz58I5lGszoc51qzsFoZd8FtIzA8SDJFa+TfoqqwFsiOHLPXx&#10;JLU4RMLxcDydTmd4CRxTs7Px4/OMXvQwCc5DiE+FMyQFFQ0RmGrauHLW4qU66Fuw/bMQcRAs/FWQ&#10;iq3bKK3z3WpLOmw3OS9TN4aGlWgUDI1H0sE2lDDd4EvgEfLUwWlVp/IEFKDZrTSQPUP/bDYlfkkF&#10;bPfXb6n3moW2/y+nemcZFfGxaGUqepGKB8NFpvQTW5N49Kg3A3DdAKstoieRe1lTtHP1Maudz9EH&#10;uf/g2WS0P/e5+vc7Xf4E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gKaRs9gAAAALAQAADwAAAAAA&#10;AAABACAAAAAiAAAAZHJzL2Rvd25yZXYueG1sUEsBAhQAFAAAAAgAh07iQD0OtiITAgAA7wMAAA4A&#10;AAAAAAAAAQAgAAAAJwEAAGRycy9lMm9Eb2MueG1sUEsFBgAAAAAGAAYAWQEAAKwFAAAAAA==&#10;">
                      <v:fill on="f" focussize="0,0"/>
                      <v:stroke weight="1pt" color="#FF00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70528" behindDoc="0" locked="0" layoutInCell="1" allowOverlap="1">
                      <wp:simplePos x="0" y="0"/>
                      <wp:positionH relativeFrom="column">
                        <wp:posOffset>2585720</wp:posOffset>
                      </wp:positionH>
                      <wp:positionV relativeFrom="paragraph">
                        <wp:posOffset>2207260</wp:posOffset>
                      </wp:positionV>
                      <wp:extent cx="104775" cy="542925"/>
                      <wp:effectExtent l="33020" t="0" r="14605" b="5715"/>
                      <wp:wrapNone/>
                      <wp:docPr id="54" name="直接箭头连接符 54"/>
                      <wp:cNvGraphicFramePr/>
                      <a:graphic xmlns:a="http://schemas.openxmlformats.org/drawingml/2006/main">
                        <a:graphicData uri="http://schemas.microsoft.com/office/word/2010/wordprocessingShape">
                          <wps:wsp>
                            <wps:cNvCnPr/>
                            <wps:spPr>
                              <a:xfrm flipH="1" flipV="1">
                                <a:off x="0" y="0"/>
                                <a:ext cx="104775" cy="54292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03.6pt;margin-top:173.8pt;height:42.75pt;width:8.25pt;z-index:251670528;mso-width-relative:page;mso-height-relative:page;" filled="f" stroked="t" coordsize="21600,21600" o:gfxdata="UEsDBAoAAAAAAIdO4kAAAAAAAAAAAAAAAAAEAAAAZHJzL1BLAwQUAAAACACHTuJAfAEFqtkAAAAL&#10;AQAADwAAAGRycy9kb3ducmV2LnhtbE2PQU7DMBBF90jcwRokdtROHBoa4nSBhBSxo+kB3NhOosbj&#10;yHbT9vaYFexmNE9/3q/3NzuTVfswORSQbRgQjb1TEw4Cjt3nyxuQECUqOTvUAu46wL55fKhlpdwV&#10;v/V6iANJIRgqKWCMcakoDf2orQwbt2hMN+O8lTGtfqDKy2sKtzPNGdtSKydMH0a56I9R9+fDxQrY&#10;LQbzrjN8PR/Nq/m6tzvftkI8P2XsHUjUt/gHw69+UocmOZ3cBVUgs4CClXlCBfCi3AJJRJHzEsgp&#10;DZxnQJua/u/Q/ABQSwMEFAAAAAgAh07iQBGQhsAYAgAA+QMAAA4AAABkcnMvZTJvRG9jLnhtbK1T&#10;zY7TMBC+I/EOlu80adXSJdp0Dy2FA4KV+LnPOk5iyX8ae5v2JXgBJE7AaeG0d54GlsdgnIQCy2UP&#10;5BCNPf6+me/z+PRsbzTbSQzK2ZJPJzln0gpXKduU/PWr7YMTzkIEW4F2Vpb8IAM/W92/d9r5Qs5c&#10;63QlkRGJDUXnS97G6IssC6KVBsLEeWkpWTs0EGmJTVYhdMRudDbL84dZ57Dy6IQMgXY3Q5KPjHgX&#10;QlfXSsiNE5dG2jiwotQQSVJolQ981Xdb11LEF3UdZGS65KQ09n8qQvFF+merUygaBN8qMbYAd2nh&#10;liYDylLRI9UGIrBLVP9QGSXQBVfHiXAmG4T0jpCKaX7Lm5cteNlrIauDP5oe/h+teL47R6aqki/m&#10;nFkwdOM3766/v/148+Xztw/XP76+T/HVJ0Z5MqvzoSDM2p7juAr+HJPyfY2G1Vr5pzRVvI/epCjl&#10;SCfb96YfjqbLfWSCNqf5fLlccCYotZjPHs0WqU42ECawxxCfSGdYCkoeIoJq2rh21tL1OhxKwO5Z&#10;iAPwFyCBrdsqrWkfCm1ZR+Vmy5wuXwCNbk0jQ6HxJD/YhjPQDb0JEbHvOjitqgRP6IDNxVoj2wFN&#10;0nab0zf2+dexVHsDoR3O9al0DAqjIj0brUzJTxJ4HL0ISj+2FYsHT84DoutGWm3JhWT3YHCKLlx1&#10;6H3v92kiep/G6U0j9+e6R/9+sau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fAEFqtkAAAALAQAA&#10;DwAAAAAAAAABACAAAAAiAAAAZHJzL2Rvd25yZXYueG1sUEsBAhQAFAAAAAgAh07iQBGQhsAYAgAA&#10;+QMAAA4AAAAAAAAAAQAgAAAAKAEAAGRycy9lMm9Eb2MueG1sUEsFBgAAAAAGAAYAWQEAALIFAAAA&#10;AA==&#10;">
                      <v:fill on="f" focussize="0,0"/>
                      <v:stroke weight="1pt" color="#FF0000 [3204]" miterlimit="8" joinstyle="miter" endarrow="open"/>
                      <v:imagedata o:title=""/>
                      <o:lock v:ext="edit" aspectratio="f"/>
                    </v:shape>
                  </w:pict>
                </mc:Fallback>
              </mc:AlternateContent>
            </w:r>
            <w:r>
              <w:rPr>
                <w:sz w:val="24"/>
                <w:szCs w:val="24"/>
              </w:rPr>
              <w:drawing>
                <wp:inline distT="0" distB="0" distL="114300" distR="114300">
                  <wp:extent cx="5403850" cy="2896870"/>
                  <wp:effectExtent l="0" t="0" r="6350" b="13970"/>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15"/>
                          <a:stretch>
                            <a:fillRect/>
                          </a:stretch>
                        </pic:blipFill>
                        <pic:spPr>
                          <a:xfrm>
                            <a:off x="0" y="0"/>
                            <a:ext cx="5403850" cy="2896870"/>
                          </a:xfrm>
                          <a:prstGeom prst="rect">
                            <a:avLst/>
                          </a:prstGeom>
                          <a:noFill/>
                          <a:ln>
                            <a:noFill/>
                          </a:ln>
                        </pic:spPr>
                      </pic:pic>
                    </a:graphicData>
                  </a:graphic>
                </wp:inline>
              </w:drawing>
            </w:r>
          </w:p>
        </w:tc>
      </w:tr>
      <w:tr w14:paraId="77235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gridSpan w:val="2"/>
            <w:vAlign w:val="center"/>
          </w:tcPr>
          <w:p w14:paraId="0A77A681">
            <w:pPr>
              <w:keepNext w:val="0"/>
              <w:keepLines w:val="0"/>
              <w:pageBreakBefore w:val="0"/>
              <w:kinsoku/>
              <w:wordWrap/>
              <w:overflowPunct/>
              <w:topLinePunct w:val="0"/>
              <w:autoSpaceDE/>
              <w:autoSpaceDN/>
              <w:bidi w:val="0"/>
              <w:adjustRightInd/>
              <w:snapToGrid/>
              <w:ind w:left="0" w:leftChars="0" w:firstLine="0" w:firstLineChars="0"/>
              <w:jc w:val="center"/>
              <w:textAlignment w:val="auto"/>
              <w:rPr>
                <w:rFonts w:hint="eastAsia" w:cs="Times New Roman"/>
                <w:color w:val="auto"/>
                <w:sz w:val="24"/>
                <w:szCs w:val="24"/>
                <w:vertAlign w:val="baseline"/>
                <w:lang w:val="en-US" w:eastAsia="zh-CN"/>
              </w:rPr>
            </w:pPr>
            <w:r>
              <w:rPr>
                <w:rFonts w:hint="eastAsia" w:cs="Times New Roman"/>
                <w:b/>
                <w:bCs/>
                <w:color w:val="auto"/>
                <w:sz w:val="24"/>
                <w:szCs w:val="24"/>
                <w:vertAlign w:val="baseline"/>
                <w:lang w:val="en-US" w:eastAsia="zh-CN"/>
              </w:rPr>
              <w:t>果朗河K12+350~K14+275段河道现状</w:t>
            </w:r>
          </w:p>
        </w:tc>
      </w:tr>
      <w:tr w14:paraId="24EF3B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0" w:hRule="atLeast"/>
          <w:jc w:val="center"/>
        </w:trPr>
        <w:tc>
          <w:tcPr>
            <w:tcW w:w="8720" w:type="dxa"/>
            <w:gridSpan w:val="2"/>
            <w:vAlign w:val="center"/>
          </w:tcPr>
          <w:p w14:paraId="6BE9331A">
            <w:pPr>
              <w:keepNext w:val="0"/>
              <w:keepLines w:val="0"/>
              <w:pageBreakBefore w:val="0"/>
              <w:kinsoku/>
              <w:wordWrap/>
              <w:overflowPunct/>
              <w:topLinePunct w:val="0"/>
              <w:autoSpaceDE/>
              <w:autoSpaceDN/>
              <w:bidi w:val="0"/>
              <w:adjustRightInd/>
              <w:snapToGrid/>
              <w:ind w:left="0" w:leftChars="0" w:firstLine="0" w:firstLineChars="0"/>
              <w:jc w:val="center"/>
              <w:textAlignment w:val="auto"/>
              <w:rPr>
                <w:rFonts w:hint="eastAsia" w:cs="Times New Roman"/>
                <w:color w:val="auto"/>
                <w:sz w:val="24"/>
                <w:szCs w:val="24"/>
                <w:vertAlign w:val="baseline"/>
                <w:lang w:val="en-US" w:eastAsia="zh-CN"/>
              </w:rPr>
            </w:pPr>
            <w:r>
              <w:rPr>
                <w:sz w:val="24"/>
              </w:rPr>
              <mc:AlternateContent>
                <mc:Choice Requires="wps">
                  <w:drawing>
                    <wp:anchor distT="0" distB="0" distL="114300" distR="114300" simplePos="0" relativeHeight="251676672" behindDoc="0" locked="0" layoutInCell="1" allowOverlap="1">
                      <wp:simplePos x="0" y="0"/>
                      <wp:positionH relativeFrom="column">
                        <wp:posOffset>2423795</wp:posOffset>
                      </wp:positionH>
                      <wp:positionV relativeFrom="paragraph">
                        <wp:posOffset>108585</wp:posOffset>
                      </wp:positionV>
                      <wp:extent cx="581025" cy="552450"/>
                      <wp:effectExtent l="4445" t="0" r="8890" b="11430"/>
                      <wp:wrapNone/>
                      <wp:docPr id="60" name="直接箭头连接符 60"/>
                      <wp:cNvGraphicFramePr/>
                      <a:graphic xmlns:a="http://schemas.openxmlformats.org/drawingml/2006/main">
                        <a:graphicData uri="http://schemas.microsoft.com/office/word/2010/wordprocessingShape">
                          <wps:wsp>
                            <wps:cNvCnPr/>
                            <wps:spPr>
                              <a:xfrm flipV="1">
                                <a:off x="0" y="0"/>
                                <a:ext cx="581025" cy="55245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90.85pt;margin-top:8.55pt;height:43.5pt;width:45.75pt;z-index:251676672;mso-width-relative:page;mso-height-relative:page;" filled="f" stroked="t" coordsize="21600,21600" o:gfxdata="UEsDBAoAAAAAAIdO4kAAAAAAAAAAAAAAAAAEAAAAZHJzL1BLAwQUAAAACACHTuJAlkFcEdcAAAAK&#10;AQAADwAAAGRycy9kb3ducmV2LnhtbE2PwU7DMAyG70i8Q2QkbixJN9aqNN1hElyQkBiIc9Z4baFx&#10;SpNu4+0xJ3a0/0+/P1ebsx/EEafYBzKgFwoEUhNcT62B97fHuwJETJacHQKhgR+MsKmvrypbunCi&#10;VzzuUiu4hGJpDXQpjaWUsenQ27gIIxJnhzB5m3icWukme+JyP8hMqbX0tie+0NkRtx02X7vZG3Ch&#10;fSo+sm+lnjt1v96+uPnwmYy5vdHqAUTCc/qH4U+f1aFmp32YyUUxGFgWOmeUg1yDYGCVLzMQe16o&#10;lQZZV/LyhfoXUEsDBBQAAAAIAIdO4kDvHm+0EgIAAO8DAAAOAAAAZHJzL2Uyb0RvYy54bWytU72O&#10;EzEQ7pF4B8s92U1EjijK5oqE0CCIxE/veL27lvynGV82eQleAIkKqIDqep4Gjsdg7A0BjuYKtrDG&#10;np1v5vv8eXF5sIbtFaD2ruLjUcmZctLX2rUVf/Vy82DGGUbhamG8UxU/KuSXy/v3Fn2Yq4nvvKkV&#10;MAJxOO9DxbsYw7woUHbKChz5oBwlGw9WRNpCW9QgekK3ppiU5UXRe6gDeKkQ6XQ9JPkJEe4C6JtG&#10;S7X28soqFwdUUEZEooSdDsiXedqmUTI+bxpUkZmKE9OYV2pC8S6txXIh5i2I0Gl5GkHcZYRbnKzQ&#10;jpqeodYiCnYF+h8oqyV49E0cSW+LgUhWhFiMy1vavOhEUJkLSY3hLDr+P1j5bL8FpuuKX5AkTli6&#10;8Zu319/ffLj58vnb++sfX9+l+NNHRnkSqw84p5qV28Jph2ELifmhAcsao8NrclXWgtixQ5b6eJZa&#10;HSKTdDidjcvJlDNJqel08nCa0YsBJsEFwPhEectSUHGMIHTbxZV3ji7Vw9BC7J9ipEGo8FdBKnZ+&#10;o43Jd2sc62mgyaOS+ElBhm3IKBTaQKTRtZwJ09JLkBHy1OiNrlN5AkJodysDbC/IP5tNSV9Sgdr9&#10;9VvqvRbYDf/l1OAsqyM9FqNtxWep+GS4KLR57GoWj4H0FgC+P8EaR+hJ5EHWFO18fcxq53PyQe5/&#10;8mwy2p/7XP37nS5/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ZBXBHXAAAACgEAAA8AAAAAAAAA&#10;AQAgAAAAIgAAAGRycy9kb3ducmV2LnhtbFBLAQIUABQAAAAIAIdO4kDvHm+0EgIAAO8DAAAOAAAA&#10;AAAAAAEAIAAAACYBAABkcnMvZTJvRG9jLnhtbFBLBQYAAAAABgAGAFkBAACqBQAAAAA=&#10;">
                      <v:fill on="f" focussize="0,0"/>
                      <v:stroke weight="1pt" color="#FF00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75648" behindDoc="0" locked="0" layoutInCell="1" allowOverlap="1">
                      <wp:simplePos x="0" y="0"/>
                      <wp:positionH relativeFrom="column">
                        <wp:posOffset>2499995</wp:posOffset>
                      </wp:positionH>
                      <wp:positionV relativeFrom="paragraph">
                        <wp:posOffset>937260</wp:posOffset>
                      </wp:positionV>
                      <wp:extent cx="361950" cy="762000"/>
                      <wp:effectExtent l="8255" t="0" r="10795" b="15240"/>
                      <wp:wrapNone/>
                      <wp:docPr id="59" name="直接箭头连接符 59"/>
                      <wp:cNvGraphicFramePr/>
                      <a:graphic xmlns:a="http://schemas.openxmlformats.org/drawingml/2006/main">
                        <a:graphicData uri="http://schemas.microsoft.com/office/word/2010/wordprocessingShape">
                          <wps:wsp>
                            <wps:cNvCnPr/>
                            <wps:spPr>
                              <a:xfrm flipH="1" flipV="1">
                                <a:off x="0" y="0"/>
                                <a:ext cx="361950" cy="76200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96.85pt;margin-top:73.8pt;height:60pt;width:28.5pt;z-index:251675648;mso-width-relative:page;mso-height-relative:page;" filled="f" stroked="t" coordsize="21600,21600" o:gfxdata="UEsDBAoAAAAAAIdO4kAAAAAAAAAAAAAAAAAEAAAAZHJzL1BLAwQUAAAACACHTuJAncn48NcAAAAL&#10;AQAADwAAAGRycy9kb3ducmV2LnhtbE2PwW6DMBBE75X6D9ZW6q0xgYQEismhUiXUW0M+wME2oOA1&#10;sh2S/H23p/a4M0+zM9Xhbie2aB9GhwLWqwSYxs6pEXsBp/bzbQ8sRIlKTg61gIcOcKifnypZKnfD&#10;b70cY88oBEMpBQwxziXnoRu0lWHlZo3kGeetjHT6nisvbxRuJ54mSc6tHJE+DHLWH4PuLserFVDM&#10;BtO2NdlyOZmt+Xo0hW8aIV5f1sk7sKjv8Q+G3/pUHWrqdHZXVIFNArIi2xFKxmaXAyNis01IOQtI&#10;c1J4XfH/G+ofUEsDBBQAAAAIAIdO4kDQ7kuDFwIAAPkDAAAOAAAAZHJzL2Uyb0RvYy54bWytU72O&#10;EzEQ7pF4B8s92STocndRNlckBAoEkfjpHa9315L/NOPLJi/BCyBRAdVBdT1PA8djMPbmAhzNFTS7&#10;Y4/nm/k+f55d7KxhWwWovSv5aDDkTDnpK+2akr95vXp0xhlG4SphvFMl3yvkF/OHD2ZdmKqxb72p&#10;FDACcTjtQsnbGMO0KFC2ygoc+KAcJWsPVkRaQlNUIDpCt6YYD4eTovNQBfBSIdLusk/yAyLcB9DX&#10;tZZq6eWlVS72qKCMiEQJWx2Qz/O0da1kfFnXqCIzJSemMX+pCcWb9C3mMzFtQIRWy8MI4j4j3OFk&#10;hXbU9Ai1FFGwS9D/QFktwaOv40B6W/REsiLEYjS8o82rVgSVuZDUGI6i4/+DlS+2a2C6KvnJOWdO&#10;WLrxm/fXP959uvn65fvH65/fPqT46jOjPInVBZxSzcKt4bDCsIbEfFeDZbXR4Rm5iufobYpSjniy&#10;XRZ9fxRd7SKTtPl4Mjo/oeuQlDqdkEPypRQ9YCoOgPGp8paloOQYQeimjQvvHF2vh76F2D7HSCNR&#10;4W1BKnZ+pY3Jt2wc62ig8Sl1YFKQdWuyDIU2EH10DWfCNPQmZIQ8NXqjq1SegBCazcIA2wpy0mpF&#10;Y97O+dex1HspsO3P5VTvMasjPRujbcnPUvHBelFo88RVLO4DKS8AfJfOEwvj6Jfk7gVO0cZX+6x7&#10;3idH5IMH9ybL/bnO1b9f7Pw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ncn48NcAAAALAQAADwAA&#10;AAAAAAABACAAAAAiAAAAZHJzL2Rvd25yZXYueG1sUEsBAhQAFAAAAAgAh07iQNDuS4MXAgAA+QMA&#10;AA4AAAAAAAAAAQAgAAAAJgEAAGRycy9lMm9Eb2MueG1sUEsFBgAAAAAGAAYAWQEAAK8FAAAAAA==&#10;">
                      <v:fill on="f" focussize="0,0"/>
                      <v:stroke weight="1pt" color="#FF00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74624" behindDoc="0" locked="0" layoutInCell="1" allowOverlap="1">
                      <wp:simplePos x="0" y="0"/>
                      <wp:positionH relativeFrom="column">
                        <wp:posOffset>2233295</wp:posOffset>
                      </wp:positionH>
                      <wp:positionV relativeFrom="paragraph">
                        <wp:posOffset>1965960</wp:posOffset>
                      </wp:positionV>
                      <wp:extent cx="533400" cy="590550"/>
                      <wp:effectExtent l="4445" t="0" r="10795" b="19050"/>
                      <wp:wrapNone/>
                      <wp:docPr id="58" name="直接箭头连接符 58"/>
                      <wp:cNvGraphicFramePr/>
                      <a:graphic xmlns:a="http://schemas.openxmlformats.org/drawingml/2006/main">
                        <a:graphicData uri="http://schemas.microsoft.com/office/word/2010/wordprocessingShape">
                          <wps:wsp>
                            <wps:cNvCnPr/>
                            <wps:spPr>
                              <a:xfrm flipV="1">
                                <a:off x="3313430" y="2692400"/>
                                <a:ext cx="533400" cy="59055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75.85pt;margin-top:154.8pt;height:46.5pt;width:42pt;z-index:251674624;mso-width-relative:page;mso-height-relative:page;" filled="f" stroked="t" coordsize="21600,21600" o:gfxdata="UEsDBAoAAAAAAIdO4kAAAAAAAAAAAAAAAAAEAAAAZHJzL1BLAwQUAAAACACHTuJAK/iiftgAAAAL&#10;AQAADwAAAGRycy9kb3ducmV2LnhtbE2PQU/DMAyF70j8h8hI3FjSjpZRmu4wCS5ISAzEOWu8ptA4&#10;pUm38e8xJ3Z79nt6/lyvT34QB5xiH0hDtlAgkNpge+o0vL893qxAxGTImiEQavjBCOvm8qI2lQ1H&#10;esXDNnWCSyhWRoNLaaykjK1Db+IijEjs7cPkTeJx6qSdzJHL/SBzpUrpTU98wZkRNw7br+3sNdjQ&#10;Pa0+8m+lnp0qys2LnfefSevrq0w9gEh4Sv9h+MNndGiYaRdmslEMGpZFdsdRFuq+BMGJ22XBmx0L&#10;lZcgm1qe/9D8AlBLAwQUAAAACACHTuJAnLMBQh8CAAD7AwAADgAAAGRycy9lMm9Eb2MueG1srVPN&#10;jtMwEL4j8Q6W7zRps112o6Z7aCkXBJX4ubuOk1jyn8bepn0JXgCJE3BaOO2dp4HlMRg7YYHlsgdy&#10;iMaemW/m+2a8uDhoRfYCvLSmotNJTokw3NbStBV9/Wrz6IwSH5ipmbJGVPQoPL1YPnyw6F0pZraz&#10;qhZAEMT4sncV7UJwZZZ53gnN/MQ6YdDZWNAs4BHarAbWI7pW2SzPT7PeQu3AcuE93q4HJx0R4T6A&#10;tmkkF2vLL7UwYUAFoVhASr6TztNl6rZpBA8vmsaLQFRFkWlIfyyC9i7+s+WClS0w10k+tsDu08Id&#10;TppJg0VvodYsMHIJ8h8oLTlYb5sw4VZnA5GkCLKY5ne0edkxJxIXlNq7W9H9/4Plz/dbILKu6Bzn&#10;bpjGid+8u/7+9uPNl8/fPlz/+Po+2lefCPpRrN75EnNWZgvjybstROaHBjRplHRvcKuSFsiOHCpa&#10;FNPipEDBjxWdnZ7PTvJRdnEIhGPAvCjiHeEYMD/P5/PkzwbICO3Ah6fCahKNivoATLZdWFljcMAW&#10;hnJs/8wHbAoTfyXEZGM3Uqk0Z2VIj83NHqdqDJe3waXBwtqhAN60lDDV4qvgARIDb5WsY3oE8tDu&#10;VgrInuEubTY5flERLPdXWKy9Zr4b4pJr2DItAz4cJXVFz2LyqEJgUj0xNQlHh9ozANuPsMogehR8&#10;kDhaO1sfk/LpHnci1R/3Ny7dn+eU/fvNLn8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K/iiftgA&#10;AAALAQAADwAAAAAAAAABACAAAAAiAAAAZHJzL2Rvd25yZXYueG1sUEsBAhQAFAAAAAgAh07iQJyz&#10;AUIfAgAA+wMAAA4AAAAAAAAAAQAgAAAAJwEAAGRycy9lMm9Eb2MueG1sUEsFBgAAAAAGAAYAWQEA&#10;ALgFAAAAAA==&#10;">
                      <v:fill on="f" focussize="0,0"/>
                      <v:stroke weight="1pt" color="#FF0000 [3204]" miterlimit="8" joinstyle="miter" endarrow="open"/>
                      <v:imagedata o:title=""/>
                      <o:lock v:ext="edit" aspectratio="f"/>
                    </v:shape>
                  </w:pict>
                </mc:Fallback>
              </mc:AlternateContent>
            </w:r>
            <w:r>
              <w:rPr>
                <w:sz w:val="24"/>
                <w:szCs w:val="24"/>
              </w:rPr>
              <w:drawing>
                <wp:inline distT="0" distB="0" distL="114300" distR="114300">
                  <wp:extent cx="5361940" cy="2679065"/>
                  <wp:effectExtent l="0" t="0" r="2540" b="3175"/>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16"/>
                          <a:stretch>
                            <a:fillRect/>
                          </a:stretch>
                        </pic:blipFill>
                        <pic:spPr>
                          <a:xfrm>
                            <a:off x="0" y="0"/>
                            <a:ext cx="5361940" cy="2679065"/>
                          </a:xfrm>
                          <a:prstGeom prst="rect">
                            <a:avLst/>
                          </a:prstGeom>
                          <a:noFill/>
                          <a:ln>
                            <a:noFill/>
                          </a:ln>
                        </pic:spPr>
                      </pic:pic>
                    </a:graphicData>
                  </a:graphic>
                </wp:inline>
              </w:drawing>
            </w:r>
          </w:p>
        </w:tc>
      </w:tr>
      <w:tr w14:paraId="1A04F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gridSpan w:val="2"/>
            <w:vAlign w:val="center"/>
          </w:tcPr>
          <w:p w14:paraId="764C18C1">
            <w:pPr>
              <w:keepNext w:val="0"/>
              <w:keepLines w:val="0"/>
              <w:pageBreakBefore w:val="0"/>
              <w:kinsoku/>
              <w:wordWrap/>
              <w:overflowPunct/>
              <w:topLinePunct w:val="0"/>
              <w:autoSpaceDE/>
              <w:autoSpaceDN/>
              <w:bidi w:val="0"/>
              <w:adjustRightInd/>
              <w:snapToGrid/>
              <w:ind w:left="0" w:leftChars="0" w:firstLine="0" w:firstLineChars="0"/>
              <w:jc w:val="center"/>
              <w:textAlignment w:val="auto"/>
              <w:rPr>
                <w:rFonts w:hint="eastAsia" w:cs="Times New Roman"/>
                <w:color w:val="auto"/>
                <w:sz w:val="24"/>
                <w:szCs w:val="24"/>
                <w:vertAlign w:val="baseline"/>
                <w:lang w:val="en-US" w:eastAsia="zh-CN"/>
              </w:rPr>
            </w:pPr>
            <w:r>
              <w:rPr>
                <w:rFonts w:hint="eastAsia" w:cs="Times New Roman"/>
                <w:b/>
                <w:bCs/>
                <w:color w:val="auto"/>
                <w:sz w:val="24"/>
                <w:szCs w:val="24"/>
                <w:vertAlign w:val="baseline"/>
                <w:lang w:val="en-US" w:eastAsia="zh-CN"/>
              </w:rPr>
              <w:t>果朗河K12+350~K14+275段河道现状</w:t>
            </w:r>
          </w:p>
        </w:tc>
      </w:tr>
      <w:tr w14:paraId="6E48D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8" w:hRule="atLeast"/>
          <w:jc w:val="center"/>
        </w:trPr>
        <w:tc>
          <w:tcPr>
            <w:tcW w:w="4367" w:type="dxa"/>
            <w:vAlign w:val="center"/>
          </w:tcPr>
          <w:p w14:paraId="532E9136">
            <w:pPr>
              <w:keepNext w:val="0"/>
              <w:keepLines w:val="0"/>
              <w:pageBreakBefore w:val="0"/>
              <w:kinsoku/>
              <w:wordWrap/>
              <w:overflowPunct/>
              <w:topLinePunct w:val="0"/>
              <w:autoSpaceDE/>
              <w:autoSpaceDN/>
              <w:bidi w:val="0"/>
              <w:adjustRightInd/>
              <w:snapToGrid/>
              <w:ind w:left="0" w:leftChars="0" w:firstLine="0" w:firstLineChars="0"/>
              <w:jc w:val="center"/>
              <w:textAlignment w:val="auto"/>
              <w:rPr>
                <w:rFonts w:hint="eastAsia" w:cs="Times New Roman"/>
                <w:color w:val="auto"/>
                <w:sz w:val="24"/>
                <w:szCs w:val="24"/>
                <w:vertAlign w:val="baseline"/>
                <w:lang w:val="en-US" w:eastAsia="zh-CN"/>
              </w:rPr>
            </w:pPr>
            <w:r>
              <w:rPr>
                <w:sz w:val="24"/>
              </w:rPr>
              <mc:AlternateContent>
                <mc:Choice Requires="wps">
                  <w:drawing>
                    <wp:anchor distT="0" distB="0" distL="114300" distR="114300" simplePos="0" relativeHeight="251677696" behindDoc="0" locked="0" layoutInCell="1" allowOverlap="1">
                      <wp:simplePos x="0" y="0"/>
                      <wp:positionH relativeFrom="column">
                        <wp:posOffset>290195</wp:posOffset>
                      </wp:positionH>
                      <wp:positionV relativeFrom="paragraph">
                        <wp:posOffset>1138555</wp:posOffset>
                      </wp:positionV>
                      <wp:extent cx="1171575" cy="322580"/>
                      <wp:effectExtent l="1905" t="25400" r="0" b="17780"/>
                      <wp:wrapNone/>
                      <wp:docPr id="61" name="直接箭头连接符 61"/>
                      <wp:cNvGraphicFramePr/>
                      <a:graphic xmlns:a="http://schemas.openxmlformats.org/drawingml/2006/main">
                        <a:graphicData uri="http://schemas.microsoft.com/office/word/2010/wordprocessingShape">
                          <wps:wsp>
                            <wps:cNvCnPr/>
                            <wps:spPr>
                              <a:xfrm flipV="1">
                                <a:off x="0" y="0"/>
                                <a:ext cx="1171575" cy="32258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2.85pt;margin-top:89.65pt;height:25.4pt;width:92.25pt;z-index:251677696;mso-width-relative:page;mso-height-relative:page;" filled="f" stroked="t" coordsize="21600,21600" o:gfxdata="UEsDBAoAAAAAAIdO4kAAAAAAAAAAAAAAAAAEAAAAZHJzL1BLAwQUAAAACACHTuJA4b0wWdcAAAAK&#10;AQAADwAAAGRycy9kb3ducmV2LnhtbE2Py07DMBBF90j8gzVI7KidlL7SOF1Ugg0SEgWxduNpHIjH&#10;IXba8vcMbMpuHkd3zpSbs+/EEYfYBtKQTRQIpDrYlhoNb68Pd0sQMRmypguEGr4xwqa6vipNYcOJ&#10;XvC4S43gEIqF0eBS6gspY+3QmzgJPRLvDmHwJnE7NNIO5sThvpO5UnPpTUt8wZketw7rz93oNdjQ&#10;PC7f8y+lnpyazbfPdjx8JK1vbzK1BpHwnC4w/OqzOlTstA8j2Sg6DfezBZM8X6ymIBjIpyoHsf8r&#10;MpBVKf+/UP0AUEsDBBQAAAAIAIdO4kC82VelFQIAAPADAAAOAAAAZHJzL2Uyb0RvYy54bWytU82O&#10;0zAQviPxDpbvNElRt1XUdA8t5YKgEj9313ESS/7T2Nu0L8ELIHECTrCnvfM0sDwGYycUWC57IAfL&#10;9mS+me+bz8vLo1bkIMBLaypaTHJKhOG2lqat6OtX20cLSnxgpmbKGlHRk/D0cvXwwbJ3pZjazqpa&#10;AEEQ48veVbQLwZVZ5nknNPMT64TBYGNBs4BHaLMaWI/oWmXTPL/Iegu1A8uF93i7GYJ0RIT7ANqm&#10;kVxsLL/SwoQBFYRiASn5TjpPV6nbphE8vGgaLwJRFUWmIa1YBPf7uGarJStbYK6TfGyB3aeFO5w0&#10;kwaLnqE2LDByBfIfKC05WG+bMOFWZwORpAiyKPI72rzsmBOJC0rt3Vl0//9g+fPDDoisK3pRUGKY&#10;xonfvrv5/vbj7fWXbx9ufnx9H/efPxGMo1i98yXmrM0OxpN3O4jMjw1o0ijp3qCrkhbIjhyT1Kez&#10;1OIYCMfLopgXs/mMEo6xx9PpbJFmkQ04Ec+BD0+F1SRuKuoDMNl2YW2NwalaGGqwwzMfsBNM/JUQ&#10;k43dSqXScJUhPdabznOcOWfo2AadglvtkLU3LSVMtfgUeIDUtrdK1jE9Anlo92sF5MDQQNttjl+U&#10;Acv99VusvWG+G/5LocFaWgZ8LUrqii5i8ui4wKR6YmoSTg4FZwC2H2GVQfSo8qBr3O1tfUpyp3s0&#10;Qqo/mjY67c9zyv79UFc/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OG9MFnXAAAACgEAAA8AAAAA&#10;AAAAAQAgAAAAIgAAAGRycy9kb3ducmV2LnhtbFBLAQIUABQAAAAIAIdO4kC82VelFQIAAPADAAAO&#10;AAAAAAAAAAEAIAAAACYBAABkcnMvZTJvRG9jLnhtbFBLBQYAAAAABgAGAFkBAACtBQAAAAA=&#10;">
                      <v:fill on="f" focussize="0,0"/>
                      <v:stroke weight="1pt" color="#FF0000 [3204]" miterlimit="8" joinstyle="miter" endarrow="open"/>
                      <v:imagedata o:title=""/>
                      <o:lock v:ext="edit" aspectratio="f"/>
                    </v:shape>
                  </w:pict>
                </mc:Fallback>
              </mc:AlternateContent>
            </w:r>
            <w:r>
              <w:rPr>
                <w:sz w:val="24"/>
                <w:szCs w:val="24"/>
              </w:rPr>
              <w:drawing>
                <wp:inline distT="0" distB="0" distL="114300" distR="114300">
                  <wp:extent cx="2674620" cy="2519680"/>
                  <wp:effectExtent l="0" t="0" r="7620" b="10160"/>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pic:cNvPicPr>
                            <a:picLocks noChangeAspect="1"/>
                          </pic:cNvPicPr>
                        </pic:nvPicPr>
                        <pic:blipFill>
                          <a:blip r:embed="rId17"/>
                          <a:stretch>
                            <a:fillRect/>
                          </a:stretch>
                        </pic:blipFill>
                        <pic:spPr>
                          <a:xfrm>
                            <a:off x="0" y="0"/>
                            <a:ext cx="2674620" cy="2519680"/>
                          </a:xfrm>
                          <a:prstGeom prst="rect">
                            <a:avLst/>
                          </a:prstGeom>
                          <a:noFill/>
                          <a:ln>
                            <a:noFill/>
                          </a:ln>
                        </pic:spPr>
                      </pic:pic>
                    </a:graphicData>
                  </a:graphic>
                </wp:inline>
              </w:drawing>
            </w:r>
          </w:p>
        </w:tc>
        <w:tc>
          <w:tcPr>
            <w:tcW w:w="4353" w:type="dxa"/>
            <w:vAlign w:val="center"/>
          </w:tcPr>
          <w:p w14:paraId="0B8A1A2E">
            <w:pPr>
              <w:keepNext w:val="0"/>
              <w:keepLines w:val="0"/>
              <w:pageBreakBefore w:val="0"/>
              <w:kinsoku/>
              <w:wordWrap/>
              <w:overflowPunct/>
              <w:topLinePunct w:val="0"/>
              <w:autoSpaceDE/>
              <w:autoSpaceDN/>
              <w:bidi w:val="0"/>
              <w:adjustRightInd/>
              <w:snapToGrid/>
              <w:ind w:left="0" w:leftChars="0" w:firstLine="0" w:firstLineChars="0"/>
              <w:jc w:val="center"/>
              <w:textAlignment w:val="auto"/>
              <w:rPr>
                <w:rFonts w:hint="eastAsia" w:cs="Times New Roman"/>
                <w:color w:val="auto"/>
                <w:sz w:val="24"/>
                <w:szCs w:val="24"/>
                <w:vertAlign w:val="baseline"/>
                <w:lang w:val="en-US" w:eastAsia="zh-CN"/>
              </w:rPr>
            </w:pPr>
            <w:r>
              <w:rPr>
                <w:sz w:val="24"/>
              </w:rPr>
              <mc:AlternateContent>
                <mc:Choice Requires="wps">
                  <w:drawing>
                    <wp:anchor distT="0" distB="0" distL="114300" distR="114300" simplePos="0" relativeHeight="251673600" behindDoc="0" locked="0" layoutInCell="1" allowOverlap="1">
                      <wp:simplePos x="0" y="0"/>
                      <wp:positionH relativeFrom="column">
                        <wp:posOffset>1136650</wp:posOffset>
                      </wp:positionH>
                      <wp:positionV relativeFrom="paragraph">
                        <wp:posOffset>965200</wp:posOffset>
                      </wp:positionV>
                      <wp:extent cx="219075" cy="638175"/>
                      <wp:effectExtent l="5715" t="0" r="34290" b="1905"/>
                      <wp:wrapNone/>
                      <wp:docPr id="57" name="直接箭头连接符 57"/>
                      <wp:cNvGraphicFramePr/>
                      <a:graphic xmlns:a="http://schemas.openxmlformats.org/drawingml/2006/main">
                        <a:graphicData uri="http://schemas.microsoft.com/office/word/2010/wordprocessingShape">
                          <wps:wsp>
                            <wps:cNvCnPr/>
                            <wps:spPr>
                              <a:xfrm flipV="1">
                                <a:off x="0" y="0"/>
                                <a:ext cx="219075" cy="63817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89.5pt;margin-top:76pt;height:50.25pt;width:17.25pt;z-index:251673600;mso-width-relative:page;mso-height-relative:page;" filled="f" stroked="t" coordsize="21600,21600" o:gfxdata="UEsDBAoAAAAAAIdO4kAAAAAAAAAAAAAAAAAEAAAAZHJzL1BLAwQUAAAACACHTuJADapXbdYAAAAL&#10;AQAADwAAAGRycy9kb3ducmV2LnhtbE2PwU7DMBBE70j8g7VI3KidIJcS4vRQCS5ISLSIsxtv40C8&#10;DrHTlr9nOcHtjXY0O1Ovz2EQR5xSH8lAsVAgkNroeuoMvO0eb1YgUrbk7BAJDXxjgnVzeVHbysUT&#10;veJxmzvBIZQqa8DnPFZSptZjsGkRRyS+HeIUbGY5ddJN9sThYZClUksZbE/8wdsRNx7bz+0cDLjY&#10;Pa3eyy+lnr3Sy82Lmw8f2Zjrq0I9gMh4zn9m+K3P1aHhTvs4k0tiYH13z1sygy4Z2FEWtxrEnkGX&#10;GmRTy/8bmh9QSwMEFAAAAAgAh07iQHX4MM4TAgAA7wMAAA4AAABkcnMvZTJvRG9jLnhtbK1TzY7T&#10;MBC+I/EOlu80adFul6jpHlrKBUElfu5Tx0ks+U9jb9O+BC+AxAk4Aae98zSwPAbjJBRYLnsgh2js&#10;8ffNfJ/Hi8uD0WwvMShnSz6d5JxJK1ylbFPyVy83Dy44CxFsBdpZWfKjDPxyef/eovOFnLnW6Uoi&#10;IxIbis6XvI3RF1kWRCsNhInz0lKydmgg0hKbrELoiN3obJbn51nnsPLohAyBdtdDko+MeBdCV9dK&#10;yLUTV0baOLCi1BBJUmiVD3zZd1vXUsTndR1kZLrkpDT2fypC8S79s+UCigbBt0qMLcBdWrilyYCy&#10;VPREtYYI7ArVP1RGCXTB1XEinMkGIb0jpGKa3/LmRQte9lrI6uBPpof/Ryue7bfIVFXyszlnFgzd&#10;+M3b6+9vPtx8+fzt/fWPr+9S/OkjozyZ1flQEGZltziugt9iUn6o0bBaK/+apqr3gtSxQ2/18WS1&#10;PEQmaHM2fZTPzzgTlDp/eDGlmPiygSbReQzxiXSGpaDkISKopo0rZy1dqsOhBOyfhjgAfwES2LqN&#10;0pr2odCWddTQbJ7TlQugga1pUCg0nkQH23AGuqGXICL2XQenVZXgCR2w2a00sj3Q/Gw2OX1jn38d&#10;S7XXENrhXJ9Kx6AwKtJj0cqU/CKBx4GLoPRjW7F49OQ3ILpupNWWXEgmD7amaOeqY+92v09z0Ps0&#10;zmwatD/XPfr3O13+B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A2qV23WAAAACwEAAA8AAAAAAAAA&#10;AQAgAAAAIgAAAGRycy9kb3ducmV2LnhtbFBLAQIUABQAAAAIAIdO4kB1+DDOEwIAAO8DAAAOAAAA&#10;AAAAAAEAIAAAACUBAABkcnMvZTJvRG9jLnhtbFBLBQYAAAAABgAGAFkBAACqBQAAAAA=&#10;">
                      <v:fill on="f" focussize="0,0"/>
                      <v:stroke weight="1pt" color="#FF00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78720" behindDoc="0" locked="0" layoutInCell="1" allowOverlap="1">
                      <wp:simplePos x="0" y="0"/>
                      <wp:positionH relativeFrom="column">
                        <wp:posOffset>317500</wp:posOffset>
                      </wp:positionH>
                      <wp:positionV relativeFrom="paragraph">
                        <wp:posOffset>976630</wp:posOffset>
                      </wp:positionV>
                      <wp:extent cx="495300" cy="493395"/>
                      <wp:effectExtent l="4445" t="4445" r="3175" b="5080"/>
                      <wp:wrapNone/>
                      <wp:docPr id="62" name="直接箭头连接符 62"/>
                      <wp:cNvGraphicFramePr/>
                      <a:graphic xmlns:a="http://schemas.openxmlformats.org/drawingml/2006/main">
                        <a:graphicData uri="http://schemas.microsoft.com/office/word/2010/wordprocessingShape">
                          <wps:wsp>
                            <wps:cNvCnPr/>
                            <wps:spPr>
                              <a:xfrm>
                                <a:off x="0" y="0"/>
                                <a:ext cx="495300" cy="49339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5pt;margin-top:76.9pt;height:38.85pt;width:39pt;z-index:251678720;mso-width-relative:page;mso-height-relative:page;" filled="f" stroked="t" coordsize="21600,21600" o:gfxdata="UEsDBAoAAAAAAIdO4kAAAAAAAAAAAAAAAAAEAAAAZHJzL1BLAwQUAAAACACHTuJAnfvzvNYAAAAK&#10;AQAADwAAAGRycy9kb3ducmV2LnhtbE2PwU7DMBBE70j8g7VI3KidVEFViNNDEdwQ0BbObryJo8br&#10;KHba8vdsT3Dc2dHMvGp98YM44RT7QBqyhQKB1ATbU6dhv3t5WIGIyZA1QyDU8IMR1vXtTWVKG870&#10;iadt6gSHUCyNBpfSWEoZG4fexEUYkfjXhsmbxOfUSTuZM4f7QeZKPUpveuIGZ0bcOGyO29lreP46&#10;qg/39jp+2354n+Pc0mbXan1/l6knEAkv6c8M1/k8HWredAgz2SgGDYVilMR6sWSEqyFfsXLQkC+z&#10;AmRdyf8I9S9QSwMEFAAAAAgAh07iQJyLmK4MAgAA5QMAAA4AAABkcnMvZTJvRG9jLnhtbK1TzW7U&#10;MBC+I/EOlu80u9sf2mizPXRZLggqAQ8w6ziJJf9p7G52X4IXQOIEnCin3nkaKI/B2AlbKJceyMEZ&#10;z3i+me/zeH6+NZptJAblbMWnBxPOpBWuVrat+Ns3qyennIUItgbtrKz4TgZ+vnj8aN77Us5c53Qt&#10;kRGIDWXvK97F6MuiCKKTBsKB89JSsHFoINIW26JG6And6GI2mZwUvcPaoxMyBPIuhyAfEfEhgK5p&#10;lJBLJ66MtHFARakhEqXQKR/4InfbNFLEV00TZGS64sQ05pWKkL1Oa7GYQ9ki+E6JsQV4SAv3OBlQ&#10;loruoZYQgV2h+gfKKIEuuCYeCGeKgUhWhFhMJ/e0ed2Bl5kLSR38XvTw/2DFy80lMlVX/GTGmQVD&#10;N377/ubHu0+3X6+/f7z5+e1Dsr98ZhQnsXofSsq5sJc47oK/xMR826BJf+LEtlng3V5guY1MkPPo&#10;7PhwQtILCh2dHR6eHSfM4i7ZY4jPpTMsGRUPEUG1Xbxw1tJVOpxmkWHzIsQh8XdCqmzdSmlNfii1&#10;ZT0N9+xprgY0pg2NBxU2nqgG23IGuqX5FxEzZHBa1Sk9ZQds1xca2QZoalarCX1jn38dS7WXELrh&#10;XA6lY1AaFemJaGUqfpqSxzGLoPQzW7O486QyILp+hNWWVEjSDmIma+3qXdY4++n2s07jpKbx+nOf&#10;s+9e5+I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nfvzvNYAAAAKAQAADwAAAAAAAAABACAAAAAi&#10;AAAAZHJzL2Rvd25yZXYueG1sUEsBAhQAFAAAAAgAh07iQJyLmK4MAgAA5QMAAA4AAAAAAAAAAQAg&#10;AAAAJQEAAGRycy9lMm9Eb2MueG1sUEsFBgAAAAAGAAYAWQEAAKMFAAAAAA==&#10;">
                      <v:fill on="f" focussize="0,0"/>
                      <v:stroke weight="1pt" color="#FF0000 [3204]" miterlimit="8" joinstyle="miter" endarrow="open"/>
                      <v:imagedata o:title=""/>
                      <o:lock v:ext="edit" aspectratio="f"/>
                    </v:shape>
                  </w:pict>
                </mc:Fallback>
              </mc:AlternateContent>
            </w:r>
            <w:r>
              <w:rPr>
                <w:sz w:val="24"/>
                <w:szCs w:val="24"/>
              </w:rPr>
              <w:drawing>
                <wp:inline distT="0" distB="0" distL="114300" distR="114300">
                  <wp:extent cx="2623185" cy="2523490"/>
                  <wp:effectExtent l="0" t="0" r="13335" b="6350"/>
                  <wp:docPr id="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pic:cNvPicPr>
                            <a:picLocks noChangeAspect="1"/>
                          </pic:cNvPicPr>
                        </pic:nvPicPr>
                        <pic:blipFill>
                          <a:blip r:embed="rId18"/>
                          <a:stretch>
                            <a:fillRect/>
                          </a:stretch>
                        </pic:blipFill>
                        <pic:spPr>
                          <a:xfrm>
                            <a:off x="0" y="0"/>
                            <a:ext cx="2623185" cy="2523490"/>
                          </a:xfrm>
                          <a:prstGeom prst="rect">
                            <a:avLst/>
                          </a:prstGeom>
                          <a:noFill/>
                          <a:ln>
                            <a:noFill/>
                          </a:ln>
                        </pic:spPr>
                      </pic:pic>
                    </a:graphicData>
                  </a:graphic>
                </wp:inline>
              </w:drawing>
            </w:r>
          </w:p>
        </w:tc>
      </w:tr>
      <w:tr w14:paraId="309A9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gridSpan w:val="2"/>
            <w:vAlign w:val="center"/>
          </w:tcPr>
          <w:p w14:paraId="2B6F4B7F">
            <w:pPr>
              <w:keepNext w:val="0"/>
              <w:keepLines w:val="0"/>
              <w:pageBreakBefore w:val="0"/>
              <w:kinsoku/>
              <w:wordWrap/>
              <w:overflowPunct/>
              <w:topLinePunct w:val="0"/>
              <w:autoSpaceDE/>
              <w:autoSpaceDN/>
              <w:bidi w:val="0"/>
              <w:adjustRightInd/>
              <w:snapToGrid/>
              <w:ind w:left="0" w:leftChars="0" w:firstLine="0" w:firstLineChars="0"/>
              <w:jc w:val="center"/>
              <w:textAlignment w:val="auto"/>
              <w:rPr>
                <w:rFonts w:hint="eastAsia" w:cs="Times New Roman"/>
                <w:color w:val="auto"/>
                <w:sz w:val="24"/>
                <w:szCs w:val="24"/>
                <w:vertAlign w:val="baseline"/>
                <w:lang w:val="en-US" w:eastAsia="zh-CN"/>
              </w:rPr>
            </w:pPr>
            <w:r>
              <w:rPr>
                <w:rFonts w:hint="eastAsia" w:cs="Times New Roman"/>
                <w:b/>
                <w:bCs/>
                <w:color w:val="auto"/>
                <w:sz w:val="24"/>
                <w:szCs w:val="24"/>
                <w:vertAlign w:val="baseline"/>
                <w:lang w:val="en-US" w:eastAsia="zh-CN"/>
              </w:rPr>
              <w:t>果朗河K12+275~K20+200段河道现状</w:t>
            </w:r>
          </w:p>
        </w:tc>
      </w:tr>
      <w:tr w14:paraId="47FA8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0" w:hRule="atLeast"/>
          <w:jc w:val="center"/>
        </w:trPr>
        <w:tc>
          <w:tcPr>
            <w:tcW w:w="4367" w:type="dxa"/>
            <w:vAlign w:val="center"/>
          </w:tcPr>
          <w:p w14:paraId="63E3ED7E">
            <w:pPr>
              <w:keepNext w:val="0"/>
              <w:keepLines w:val="0"/>
              <w:pageBreakBefore w:val="0"/>
              <w:kinsoku/>
              <w:wordWrap/>
              <w:overflowPunct/>
              <w:topLinePunct w:val="0"/>
              <w:autoSpaceDE/>
              <w:autoSpaceDN/>
              <w:bidi w:val="0"/>
              <w:adjustRightInd/>
              <w:snapToGrid/>
              <w:ind w:left="0" w:leftChars="0" w:firstLine="0" w:firstLineChars="0"/>
              <w:jc w:val="center"/>
              <w:textAlignment w:val="auto"/>
              <w:rPr>
                <w:rFonts w:hint="eastAsia" w:cs="Times New Roman"/>
                <w:color w:val="auto"/>
                <w:sz w:val="24"/>
                <w:szCs w:val="24"/>
                <w:vertAlign w:val="baseline"/>
                <w:lang w:val="en-US" w:eastAsia="zh-CN"/>
              </w:rPr>
            </w:pPr>
            <w:r>
              <w:rPr>
                <w:sz w:val="24"/>
              </w:rPr>
              <mc:AlternateContent>
                <mc:Choice Requires="wps">
                  <w:drawing>
                    <wp:anchor distT="0" distB="0" distL="114300" distR="114300" simplePos="0" relativeHeight="251679744" behindDoc="0" locked="0" layoutInCell="1" allowOverlap="1">
                      <wp:simplePos x="0" y="0"/>
                      <wp:positionH relativeFrom="column">
                        <wp:posOffset>404495</wp:posOffset>
                      </wp:positionH>
                      <wp:positionV relativeFrom="paragraph">
                        <wp:posOffset>983615</wp:posOffset>
                      </wp:positionV>
                      <wp:extent cx="1209675" cy="163830"/>
                      <wp:effectExtent l="635" t="38735" r="8890" b="10795"/>
                      <wp:wrapNone/>
                      <wp:docPr id="65" name="直接箭头连接符 65"/>
                      <wp:cNvGraphicFramePr/>
                      <a:graphic xmlns:a="http://schemas.openxmlformats.org/drawingml/2006/main">
                        <a:graphicData uri="http://schemas.microsoft.com/office/word/2010/wordprocessingShape">
                          <wps:wsp>
                            <wps:cNvCnPr/>
                            <wps:spPr>
                              <a:xfrm flipV="1">
                                <a:off x="0" y="0"/>
                                <a:ext cx="1209675" cy="16383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1.85pt;margin-top:77.45pt;height:12.9pt;width:95.25pt;z-index:251679744;mso-width-relative:page;mso-height-relative:page;" filled="f" stroked="t" coordsize="21600,21600" o:gfxdata="UEsDBAoAAAAAAIdO4kAAAAAAAAAAAAAAAAAEAAAAZHJzL1BLAwQUAAAACACHTuJADTQsUNcAAAAK&#10;AQAADwAAAGRycy9kb3ducmV2LnhtbE2PwU7DMAyG70i8Q2QkbixZWbtSmu4wCS5ISAzEOWu8ptA4&#10;pUm38faYExz9+9Pvz/Xm7AdxxCn2gTQsFwoEUhtsT52Gt9eHmxJETIasGQKhhm+MsGkuL2pT2XCi&#10;FzzuUie4hGJlNLiUxkrK2Dr0Ji7CiMS7Q5i8STxOnbSTOXG5H2SmVCG96YkvODPi1mH7uZu9Bhu6&#10;x/I9+1Lqyam82D7b+fCRtL6+Wqp7EAnP6Q+GX31Wh4ad9mEmG8WgobhdM8l5vroDwUCWrzIQe05K&#10;tQbZ1PL/C80PUEsDBBQAAAAIAIdO4kCOD3VtEwIAAPADAAAOAAAAZHJzL2Uyb0RvYy54bWytU72O&#10;EzEQ7pF4B8s92U1O5I4omysSQoMgEj+94/XuWvKfZnzZ5CV4ASQqoAKq63kaOB6DsTcEOJor2MKy&#10;PTvfzPfN5/nl3hq2U4Dau4qPRyVnyklfa9dW/NXL9YMLzjAKVwvjnar4QSG/XNy/N+/DTE18502t&#10;gBGIw1kfKt7FGGZFgbJTVuDIB+Uo2HiwItIR2qIG0RO6NcWkLKdF76EO4KVCpNvVEORHRLgLoG8a&#10;LdXKyyurXBxQQRkRiRJ2OiBf5G6bRsn4vGlQRWYqTkxjXqkI7bdpLRZzMWtBhE7LYwviLi3c4mSF&#10;dlT0BLUSUbAr0P9AWS3Bo2/iSHpbDESyIsRiXN7S5kUngspcSGoMJ9Hx/8HKZ7sNMF1XfPqQMycs&#10;Tfzm7fX3Nx9uvnz+9v76x9d3af/pI6M4idUHnFHO0m3geMKwgcR834BljdHhNbkqa0Hs2D5LfThJ&#10;rfaRSbocT8pH03MqKSk2np5dnOVZFANOwguA8YnylqVNxTGC0G0Xl945mqqHoYbYPcVInVDir4SU&#10;7PxaG5OHaxzrU73zkmYuBTm2IafQ1gZija7lTJiWnoKMkNtGb3Sd0hMQQrtdGmA7QQZar0v6kgxU&#10;7q/fUu2VwG74L4cGa1kd6bUYbSt+kZKPjotCm8euZvEQSHAB4PsjrHGEnlQedE27ra8PWe58T0bI&#10;9Y+mTU7785yzfz/UxU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NNCxQ1wAAAAoBAAAPAAAAAAAA&#10;AAEAIAAAACIAAABkcnMvZG93bnJldi54bWxQSwECFAAUAAAACACHTuJAjg91bRMCAADwAwAADgAA&#10;AAAAAAABACAAAAAmAQAAZHJzL2Uyb0RvYy54bWxQSwUGAAAAAAYABgBZAQAAqwUAAAAA&#10;">
                      <v:fill on="f" focussize="0,0"/>
                      <v:stroke weight="1pt" color="#FF0000 [3204]" miterlimit="8" joinstyle="miter" endarrow="open"/>
                      <v:imagedata o:title=""/>
                      <o:lock v:ext="edit" aspectratio="f"/>
                    </v:shape>
                  </w:pict>
                </mc:Fallback>
              </mc:AlternateContent>
            </w:r>
            <w:r>
              <w:rPr>
                <w:sz w:val="24"/>
                <w:szCs w:val="24"/>
              </w:rPr>
              <w:drawing>
                <wp:inline distT="0" distB="0" distL="114300" distR="114300">
                  <wp:extent cx="2673350" cy="2487930"/>
                  <wp:effectExtent l="0" t="0" r="8890" b="11430"/>
                  <wp:docPr id="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9"/>
                          <pic:cNvPicPr>
                            <a:picLocks noChangeAspect="1"/>
                          </pic:cNvPicPr>
                        </pic:nvPicPr>
                        <pic:blipFill>
                          <a:blip r:embed="rId19"/>
                          <a:stretch>
                            <a:fillRect/>
                          </a:stretch>
                        </pic:blipFill>
                        <pic:spPr>
                          <a:xfrm>
                            <a:off x="0" y="0"/>
                            <a:ext cx="2673350" cy="2487930"/>
                          </a:xfrm>
                          <a:prstGeom prst="rect">
                            <a:avLst/>
                          </a:prstGeom>
                          <a:noFill/>
                          <a:ln>
                            <a:noFill/>
                          </a:ln>
                        </pic:spPr>
                      </pic:pic>
                    </a:graphicData>
                  </a:graphic>
                </wp:inline>
              </w:drawing>
            </w:r>
          </w:p>
        </w:tc>
        <w:tc>
          <w:tcPr>
            <w:tcW w:w="4353" w:type="dxa"/>
            <w:vAlign w:val="center"/>
          </w:tcPr>
          <w:p w14:paraId="3A322C77">
            <w:pPr>
              <w:keepNext w:val="0"/>
              <w:keepLines w:val="0"/>
              <w:pageBreakBefore w:val="0"/>
              <w:kinsoku/>
              <w:wordWrap/>
              <w:overflowPunct/>
              <w:topLinePunct w:val="0"/>
              <w:autoSpaceDE/>
              <w:autoSpaceDN/>
              <w:bidi w:val="0"/>
              <w:adjustRightInd/>
              <w:snapToGrid/>
              <w:ind w:firstLine="0" w:firstLineChars="0"/>
              <w:jc w:val="center"/>
              <w:textAlignment w:val="auto"/>
              <w:rPr>
                <w:rFonts w:hint="eastAsia" w:cs="Times New Roman"/>
                <w:color w:val="auto"/>
                <w:sz w:val="24"/>
                <w:szCs w:val="24"/>
                <w:vertAlign w:val="baseline"/>
                <w:lang w:val="en-US" w:eastAsia="zh-CN"/>
              </w:rPr>
            </w:pPr>
            <w:r>
              <w:rPr>
                <w:sz w:val="24"/>
              </w:rPr>
              <mc:AlternateContent>
                <mc:Choice Requires="wps">
                  <w:drawing>
                    <wp:anchor distT="0" distB="0" distL="114300" distR="114300" simplePos="0" relativeHeight="251680768" behindDoc="0" locked="0" layoutInCell="1" allowOverlap="1">
                      <wp:simplePos x="0" y="0"/>
                      <wp:positionH relativeFrom="column">
                        <wp:posOffset>841375</wp:posOffset>
                      </wp:positionH>
                      <wp:positionV relativeFrom="paragraph">
                        <wp:posOffset>1078865</wp:posOffset>
                      </wp:positionV>
                      <wp:extent cx="876300" cy="421005"/>
                      <wp:effectExtent l="2540" t="8255" r="5080" b="12700"/>
                      <wp:wrapNone/>
                      <wp:docPr id="66" name="直接箭头连接符 66"/>
                      <wp:cNvGraphicFramePr/>
                      <a:graphic xmlns:a="http://schemas.openxmlformats.org/drawingml/2006/main">
                        <a:graphicData uri="http://schemas.microsoft.com/office/word/2010/wordprocessingShape">
                          <wps:wsp>
                            <wps:cNvCnPr/>
                            <wps:spPr>
                              <a:xfrm flipV="1">
                                <a:off x="0" y="0"/>
                                <a:ext cx="876300" cy="42100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66.25pt;margin-top:84.95pt;height:33.15pt;width:69pt;z-index:251680768;mso-width-relative:page;mso-height-relative:page;" filled="f" stroked="t" coordsize="21600,21600" o:gfxdata="UEsDBAoAAAAAAIdO4kAAAAAAAAAAAAAAAAAEAAAAZHJzL1BLAwQUAAAACACHTuJABbhPLdcAAAAL&#10;AQAADwAAAGRycy9kb3ducmV2LnhtbE2PQU/DMAyF70j8h8hI3FiyTCtbabrDJLggIbEhzlnjNYXG&#10;KU26jX+POcHtPfvp+XO1uYRenHBMXSQD85kCgdRE11Fr4G3/eLcCkbIlZ/tIaOAbE2zq66vKli6e&#10;6RVPu9wKLqFUWgM+56GUMjUeg02zOCDx7hjHYDPbsZVutGcuD73UShUy2I74grcDbj02n7spGHCx&#10;fVq96y+lnr1aFtsXNx0/sjG3N3P1ACLjJf+F4Ref0aFmpkOcyCXRs1/oJUdZFOs1CE7oe8WTA4tF&#10;oUHWlfz/Q/0DUEsDBBQAAAAIAIdO4kCol1UFEQIAAO8DAAAOAAAAZHJzL2Uyb0RvYy54bWytU81u&#10;1DAQviPxDpbvbNIFtlXUbA9dlguClfi5zzpOYsl/Grub3ZfgBZA4ASfKqXeeBspjMHZCgXLpgRwi&#10;e8bfN/N9Hp+e7Y1mO4lBOVvzo1nJmbTCNcp2NX/9av3ghLMQwTagnZU1P8jAz5b3750OvpJz1zvd&#10;SGREYkM1+Jr3MfqqKILopYEwc15aSrYODUTaYlc0CAOxG13My3JRDA4bj07IECi6GpN8YsS7ELq2&#10;VUKunLgw0saRFaWGSJJCr3zgy9xt20oRX7RtkJHpmpPSmP9UhNbb9C+Wp1B1CL5XYmoB7tLCLU0G&#10;lKWiN1QriMAuUP1DZZRAF1wbZ8KZYhSSHSEVR+Utb1724GXWQlYHf2N6+H+04vlug0w1NV8sOLNg&#10;6Mav3119f/vx+svltw9XP76+T+vPnxjlyazBh4ow53aD0y74DSbl+xYNa7Xyb2iqshekju2z1Ycb&#10;q+U+MkHBk+PFw5IuQVDq0fyoLB8n9mKkSXQeQ3wqnWFpUfMQEVTXx3NnLV2qw7EE7J6FOAJ/ARLY&#10;urXSmuJQacsGamh+nKsBDWxLg0KFjSfRwXacge7oJYiIuevgtGoSPKEDdttzjWwHND/rdUnf1Odf&#10;x1LtFYR+PJdT6RhURkV6LFoZUpzA08BFUPqJbVg8ePIbEN0w0WpLLiSTR1vTauuaQ3Y7x2kOsk/T&#10;zKZB+3Of0b/f6fI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BbhPLdcAAAALAQAADwAAAAAAAAAB&#10;ACAAAAAiAAAAZHJzL2Rvd25yZXYueG1sUEsBAhQAFAAAAAgAh07iQKiXVQURAgAA7wMAAA4AAAAA&#10;AAAAAQAgAAAAJgEAAGRycy9lMm9Eb2MueG1sUEsFBgAAAAAGAAYAWQEAAKkFAAAAAA==&#10;">
                      <v:fill on="f" focussize="0,0"/>
                      <v:stroke weight="1pt" color="#FF0000 [3204]" miterlimit="8" joinstyle="miter" endarrow="open"/>
                      <v:imagedata o:title=""/>
                      <o:lock v:ext="edit" aspectratio="f"/>
                    </v:shape>
                  </w:pict>
                </mc:Fallback>
              </mc:AlternateContent>
            </w:r>
            <w:r>
              <w:rPr>
                <w:sz w:val="24"/>
                <w:szCs w:val="24"/>
              </w:rPr>
              <w:drawing>
                <wp:inline distT="0" distB="0" distL="114300" distR="114300">
                  <wp:extent cx="2707640" cy="2459355"/>
                  <wp:effectExtent l="0" t="0" r="5080" b="9525"/>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pic:cNvPicPr>
                        </pic:nvPicPr>
                        <pic:blipFill>
                          <a:blip r:embed="rId20"/>
                          <a:stretch>
                            <a:fillRect/>
                          </a:stretch>
                        </pic:blipFill>
                        <pic:spPr>
                          <a:xfrm>
                            <a:off x="0" y="0"/>
                            <a:ext cx="2707640" cy="2459355"/>
                          </a:xfrm>
                          <a:prstGeom prst="rect">
                            <a:avLst/>
                          </a:prstGeom>
                          <a:noFill/>
                          <a:ln>
                            <a:noFill/>
                          </a:ln>
                        </pic:spPr>
                      </pic:pic>
                    </a:graphicData>
                  </a:graphic>
                </wp:inline>
              </w:drawing>
            </w:r>
          </w:p>
        </w:tc>
      </w:tr>
      <w:tr w14:paraId="5F07E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gridSpan w:val="2"/>
            <w:vAlign w:val="center"/>
          </w:tcPr>
          <w:p w14:paraId="0DD5EE83">
            <w:pPr>
              <w:keepNext w:val="0"/>
              <w:keepLines w:val="0"/>
              <w:pageBreakBefore w:val="0"/>
              <w:kinsoku/>
              <w:wordWrap/>
              <w:overflowPunct/>
              <w:topLinePunct w:val="0"/>
              <w:autoSpaceDE/>
              <w:autoSpaceDN/>
              <w:bidi w:val="0"/>
              <w:adjustRightInd/>
              <w:snapToGrid/>
              <w:ind w:left="0" w:leftChars="0" w:firstLine="0" w:firstLineChars="0"/>
              <w:jc w:val="center"/>
              <w:textAlignment w:val="auto"/>
              <w:rPr>
                <w:sz w:val="24"/>
                <w:szCs w:val="24"/>
              </w:rPr>
            </w:pPr>
            <w:r>
              <w:rPr>
                <w:rFonts w:hint="eastAsia" w:cs="Times New Roman"/>
                <w:b/>
                <w:bCs/>
                <w:color w:val="auto"/>
                <w:sz w:val="24"/>
                <w:szCs w:val="24"/>
                <w:vertAlign w:val="baseline"/>
                <w:lang w:val="en-US" w:eastAsia="zh-CN"/>
              </w:rPr>
              <w:t>果朗河K12+275~K20+200段河道现状</w:t>
            </w:r>
          </w:p>
        </w:tc>
      </w:tr>
      <w:tr w14:paraId="5C7D7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6" w:hRule="atLeast"/>
          <w:jc w:val="center"/>
        </w:trPr>
        <w:tc>
          <w:tcPr>
            <w:tcW w:w="4367" w:type="dxa"/>
            <w:vAlign w:val="center"/>
          </w:tcPr>
          <w:p w14:paraId="692E0964">
            <w:pPr>
              <w:keepNext w:val="0"/>
              <w:keepLines w:val="0"/>
              <w:pageBreakBefore w:val="0"/>
              <w:kinsoku/>
              <w:wordWrap/>
              <w:overflowPunct/>
              <w:topLinePunct w:val="0"/>
              <w:autoSpaceDE/>
              <w:autoSpaceDN/>
              <w:bidi w:val="0"/>
              <w:adjustRightInd/>
              <w:snapToGrid/>
              <w:ind w:left="0" w:leftChars="0" w:firstLine="0" w:firstLineChars="0"/>
              <w:jc w:val="center"/>
              <w:textAlignment w:val="auto"/>
              <w:rPr>
                <w:sz w:val="24"/>
                <w:szCs w:val="24"/>
              </w:rPr>
            </w:pPr>
            <w:r>
              <w:rPr>
                <w:sz w:val="24"/>
              </w:rPr>
              <mc:AlternateContent>
                <mc:Choice Requires="wps">
                  <w:drawing>
                    <wp:anchor distT="0" distB="0" distL="114300" distR="114300" simplePos="0" relativeHeight="251681792" behindDoc="0" locked="0" layoutInCell="1" allowOverlap="1">
                      <wp:simplePos x="0" y="0"/>
                      <wp:positionH relativeFrom="column">
                        <wp:posOffset>385445</wp:posOffset>
                      </wp:positionH>
                      <wp:positionV relativeFrom="paragraph">
                        <wp:posOffset>969645</wp:posOffset>
                      </wp:positionV>
                      <wp:extent cx="1057275" cy="352425"/>
                      <wp:effectExtent l="0" t="5715" r="9525" b="22860"/>
                      <wp:wrapNone/>
                      <wp:docPr id="67" name="直接箭头连接符 67"/>
                      <wp:cNvGraphicFramePr/>
                      <a:graphic xmlns:a="http://schemas.openxmlformats.org/drawingml/2006/main">
                        <a:graphicData uri="http://schemas.microsoft.com/office/word/2010/wordprocessingShape">
                          <wps:wsp>
                            <wps:cNvCnPr/>
                            <wps:spPr>
                              <a:xfrm flipH="1">
                                <a:off x="0" y="0"/>
                                <a:ext cx="1057275" cy="35242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0.35pt;margin-top:76.35pt;height:27.75pt;width:83.25pt;z-index:251681792;mso-width-relative:page;mso-height-relative:page;" filled="f" stroked="t" coordsize="21600,21600" o:gfxdata="UEsDBAoAAAAAAIdO4kAAAAAAAAAAAAAAAAAEAAAAZHJzL1BLAwQUAAAACACHTuJAuMfit9YAAAAK&#10;AQAADwAAAGRycy9kb3ducmV2LnhtbE2PQU/DMAyF70j8h8hI3FiySOuq0nSHSXBBQmIgzlnjNd0a&#10;pzTpNv495gS3Z7+n58/15hoGccYp9ZEMLBcKBFIbXU+dgY/3p4cSRMqWnB0ioYFvTLBpbm9qW7l4&#10;oTc873InuIRSZQ34nMdKytR6DDYt4ojE3iFOwWYep066yV64PAxSK1XIYHviC96OuPXYnnZzMOBi&#10;91x+6i+lXrxaFdtXNx+O2Zj7u6V6BJHxmv/C8IvP6NAw0z7O5JIYDBRqzUnerzQLDmi91iD2LFSp&#10;QTa1/P9C8wNQSwMEFAAAAAgAh07iQJKN4tQVAgAA8AMAAA4AAABkcnMvZTJvRG9jLnhtbK1TzY7T&#10;MBC+I/EOlu80aaHbVdR0Dy2FA4KVgAeYOk5iyX8ae5v2JXgBJE7ACTjtnaeB5TEYJ6HActkDOURj&#10;j79v5vs8Xl4cjGZ7iUE5W/LpJOdMWuEqZZuSv361fXDOWYhgK9DOypIfZeAXq/v3lp0v5My1TlcS&#10;GZHYUHS+5G2MvsiyIFppIEycl5aStUMDkZbYZBVCR+xGZ7M8P8s6h5VHJ2QItLsZknxkxLsQurpW&#10;Qm6cuDLSxoEVpYZIkkKrfOCrvtu6liK+qOsgI9MlJ6Wx/1MRinfpn62WUDQIvlVibAHu0sItTQaU&#10;paInqg1EYFeo/qEySqALro4T4Uw2COkdIRXT/JY3L1vwstdCVgd/Mj38P1rxfH+JTFUlP1twZsHQ&#10;jd+8vf7+5sPNl8/f3l//+PouxZ8+MsqTWZ0PBWHW9hLHVfCXmJQfajSs1so/panqvSB17NBbfTxZ&#10;LQ+RCdqc5vPFbDHnTFDu4Xz2aDZP9NnAk/g8hvhEOsNSUPIQEVTTxrWzlm7V4VAD9s9CHIC/AAls&#10;3VZpTftQaMs6qjdb5HTnAmhia5oUCo0n1cE2nIFu6CmIiH3bwWlVJXhCB2x2a41sDzRA221O39jn&#10;X8dS7Q2EdjjXp9IxKIyK9Fq0MiU/T+Bx4iIo/dhWLB49GQ6IrhtptSUXksuDrynauerY293v0yD0&#10;Po1Dmybtz3WP/v1QVz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Mfit9YAAAAKAQAADwAAAAAA&#10;AAABACAAAAAiAAAAZHJzL2Rvd25yZXYueG1sUEsBAhQAFAAAAAgAh07iQJKN4tQVAgAA8AMAAA4A&#10;AAAAAAAAAQAgAAAAJQEAAGRycy9lMm9Eb2MueG1sUEsFBgAAAAAGAAYAWQEAAKwFAAAAAA==&#10;">
                      <v:fill on="f" focussize="0,0"/>
                      <v:stroke weight="1pt" color="#FF0000 [3204]" miterlimit="8" joinstyle="miter" endarrow="open"/>
                      <v:imagedata o:title=""/>
                      <o:lock v:ext="edit" aspectratio="f"/>
                    </v:shape>
                  </w:pict>
                </mc:Fallback>
              </mc:AlternateContent>
            </w:r>
            <w:r>
              <w:rPr>
                <w:sz w:val="24"/>
                <w:szCs w:val="24"/>
              </w:rPr>
              <w:drawing>
                <wp:inline distT="0" distB="0" distL="114300" distR="114300">
                  <wp:extent cx="2662555" cy="2271395"/>
                  <wp:effectExtent l="0" t="0" r="4445" b="14605"/>
                  <wp:docPr id="3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1"/>
                          <pic:cNvPicPr>
                            <a:picLocks noChangeAspect="1"/>
                          </pic:cNvPicPr>
                        </pic:nvPicPr>
                        <pic:blipFill>
                          <a:blip r:embed="rId21"/>
                          <a:stretch>
                            <a:fillRect/>
                          </a:stretch>
                        </pic:blipFill>
                        <pic:spPr>
                          <a:xfrm>
                            <a:off x="0" y="0"/>
                            <a:ext cx="2662555" cy="2271395"/>
                          </a:xfrm>
                          <a:prstGeom prst="rect">
                            <a:avLst/>
                          </a:prstGeom>
                          <a:noFill/>
                          <a:ln>
                            <a:noFill/>
                          </a:ln>
                        </pic:spPr>
                      </pic:pic>
                    </a:graphicData>
                  </a:graphic>
                </wp:inline>
              </w:drawing>
            </w:r>
          </w:p>
        </w:tc>
        <w:tc>
          <w:tcPr>
            <w:tcW w:w="4353" w:type="dxa"/>
            <w:vAlign w:val="center"/>
          </w:tcPr>
          <w:p w14:paraId="52701399">
            <w:pPr>
              <w:keepNext w:val="0"/>
              <w:keepLines w:val="0"/>
              <w:pageBreakBefore w:val="0"/>
              <w:kinsoku/>
              <w:wordWrap/>
              <w:overflowPunct/>
              <w:topLinePunct w:val="0"/>
              <w:autoSpaceDE/>
              <w:autoSpaceDN/>
              <w:bidi w:val="0"/>
              <w:adjustRightInd/>
              <w:snapToGrid/>
              <w:ind w:left="0" w:leftChars="0" w:firstLine="0" w:firstLineChars="0"/>
              <w:jc w:val="center"/>
              <w:textAlignment w:val="auto"/>
              <w:rPr>
                <w:sz w:val="24"/>
                <w:szCs w:val="24"/>
              </w:rPr>
            </w:pPr>
            <w:r>
              <w:rPr>
                <w:sz w:val="24"/>
              </w:rPr>
              <mc:AlternateContent>
                <mc:Choice Requires="wps">
                  <w:drawing>
                    <wp:anchor distT="0" distB="0" distL="114300" distR="114300" simplePos="0" relativeHeight="251682816" behindDoc="0" locked="0" layoutInCell="1" allowOverlap="1">
                      <wp:simplePos x="0" y="0"/>
                      <wp:positionH relativeFrom="column">
                        <wp:posOffset>336550</wp:posOffset>
                      </wp:positionH>
                      <wp:positionV relativeFrom="paragraph">
                        <wp:posOffset>940435</wp:posOffset>
                      </wp:positionV>
                      <wp:extent cx="1438275" cy="683260"/>
                      <wp:effectExtent l="2540" t="8255" r="6985" b="9525"/>
                      <wp:wrapNone/>
                      <wp:docPr id="68" name="直接箭头连接符 68"/>
                      <wp:cNvGraphicFramePr/>
                      <a:graphic xmlns:a="http://schemas.openxmlformats.org/drawingml/2006/main">
                        <a:graphicData uri="http://schemas.microsoft.com/office/word/2010/wordprocessingShape">
                          <wps:wsp>
                            <wps:cNvCnPr/>
                            <wps:spPr>
                              <a:xfrm flipV="1">
                                <a:off x="0" y="0"/>
                                <a:ext cx="1438275" cy="68326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6.5pt;margin-top:74.05pt;height:53.8pt;width:113.25pt;z-index:251682816;mso-width-relative:page;mso-height-relative:page;" filled="f" stroked="t" coordsize="21600,21600" o:gfxdata="UEsDBAoAAAAAAIdO4kAAAAAAAAAAAAAAAAAEAAAAZHJzL1BLAwQUAAAACACHTuJAw9xTkNgAAAAK&#10;AQAADwAAAGRycy9kb3ducmV2LnhtbE2PQU/DMAyF70j8h8hI3FjSQrdSmu4wCS5ISAzEOWu8ptA4&#10;pUm38e8xJ3az/Z6ev1evT34QB5xiH0hDtlAgkNpge+o0vL893pQgYjJkzRAINfxghHVzeVGbyoYj&#10;veJhmzrBIRQro8GlNFZSxtahN3ERRiTW9mHyJvE6ddJO5sjhfpC5UkvpTU/8wZkRNw7br+3sNdjQ&#10;PZUf+bdSz04Vy82LnfefSevrq0w9gEh4Sv9m+MNndGiYaRdmslEMGopbrpL4fldmINiQr+4LEDse&#10;imIFsqnleYXmF1BLAwQUAAAACACHTuJA/ODd8xQCAADwAwAADgAAAGRycy9lMm9Eb2MueG1srVO9&#10;jhMxEO6ReAfLPdlNDnJRlM0VCaFBcBI/veP17lryn2Z82eQleAEkKqACqut5Gjgeg7E3BDiaK9jC&#10;sj0738z3zefFxd4atlOA2ruKj0clZ8pJX2vXVvzVy82DGWcYhauF8U5V/KCQXyzv31v0Ya4mvvOm&#10;VsAIxOG8DxXvYgzzokDZKStw5INyFGw8WBHpCG1Rg+gJ3ZpiUpbTovdQB/BSIdLtegjyIyLcBdA3&#10;jZZq7eWVVS4OqKCMiEQJOx2QL3O3TaNkfN40qCIzFSemMa9UhPbbtBbLhZi3IEKn5bEFcZcWbnGy&#10;QjsqeoJaiyjYFeh/oKyW4NE3cSS9LQYiWRFiMS5vafOiE0FlLiQ1hpPo+P9g5bPdJTBdV3xKc3fC&#10;0sRv3l5/f/Ph5svnb++vf3x9l/afPjKKk1h9wDnlrNwlHE8YLiEx3zdgWWN0eE2uyloQO7bPUh9O&#10;Uqt9ZJIuxw/PZpPzR5xJik1nZ5NpnkUx4CS8ABifKG9Z2lQcIwjddnHlnaOpehhqiN1TjNQJJf5K&#10;SMnOb7QxebjGsZ7qTc5LmrkU5NiGnEJbG4g1upYzYVp6CjJCbhu90XVKT0AI7XZlgO0EGWizKelL&#10;MlC5v35LtdcCu+G/HBqsZXWk12K0rfgsJR8dF4U2j13N4iGQ4ALA90dY4wg9qTzomnZbXx+y3Pme&#10;jJDrH02bnPbnOWf/fqjL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MPcU5DYAAAACgEAAA8AAAAA&#10;AAAAAQAgAAAAIgAAAGRycy9kb3ducmV2LnhtbFBLAQIUABQAAAAIAIdO4kD84N3zFAIAAPADAAAO&#10;AAAAAAAAAAEAIAAAACcBAABkcnMvZTJvRG9jLnhtbFBLBQYAAAAABgAGAFkBAACtBQAAAAA=&#10;">
                      <v:fill on="f" focussize="0,0"/>
                      <v:stroke weight="1pt" color="#FF0000 [3204]" miterlimit="8" joinstyle="miter" endarrow="open"/>
                      <v:imagedata o:title=""/>
                      <o:lock v:ext="edit" aspectratio="f"/>
                    </v:shape>
                  </w:pict>
                </mc:Fallback>
              </mc:AlternateContent>
            </w:r>
            <w:r>
              <w:rPr>
                <w:sz w:val="24"/>
                <w:szCs w:val="24"/>
              </w:rPr>
              <w:drawing>
                <wp:inline distT="0" distB="0" distL="114300" distR="114300">
                  <wp:extent cx="2667000" cy="2254250"/>
                  <wp:effectExtent l="0" t="0" r="0" b="1270"/>
                  <wp:docPr id="3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2"/>
                          <pic:cNvPicPr>
                            <a:picLocks noChangeAspect="1"/>
                          </pic:cNvPicPr>
                        </pic:nvPicPr>
                        <pic:blipFill>
                          <a:blip r:embed="rId22"/>
                          <a:stretch>
                            <a:fillRect/>
                          </a:stretch>
                        </pic:blipFill>
                        <pic:spPr>
                          <a:xfrm>
                            <a:off x="0" y="0"/>
                            <a:ext cx="2667000" cy="2254250"/>
                          </a:xfrm>
                          <a:prstGeom prst="rect">
                            <a:avLst/>
                          </a:prstGeom>
                          <a:noFill/>
                          <a:ln>
                            <a:noFill/>
                          </a:ln>
                        </pic:spPr>
                      </pic:pic>
                    </a:graphicData>
                  </a:graphic>
                </wp:inline>
              </w:drawing>
            </w:r>
          </w:p>
        </w:tc>
      </w:tr>
      <w:tr w14:paraId="0900C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gridSpan w:val="2"/>
            <w:vAlign w:val="center"/>
          </w:tcPr>
          <w:p w14:paraId="2D1F8270">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auto"/>
              <w:rPr>
                <w:b/>
                <w:bCs/>
                <w:sz w:val="24"/>
                <w:szCs w:val="24"/>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果朗河</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K20+200~K24+250</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段河道现状</w:t>
            </w:r>
          </w:p>
        </w:tc>
      </w:tr>
      <w:tr w14:paraId="12309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6" w:hRule="atLeast"/>
          <w:jc w:val="center"/>
        </w:trPr>
        <w:tc>
          <w:tcPr>
            <w:tcW w:w="4367" w:type="dxa"/>
            <w:vAlign w:val="center"/>
          </w:tcPr>
          <w:p w14:paraId="27C51A94">
            <w:pPr>
              <w:keepNext w:val="0"/>
              <w:keepLines w:val="0"/>
              <w:pageBreakBefore w:val="0"/>
              <w:kinsoku/>
              <w:wordWrap/>
              <w:overflowPunct/>
              <w:topLinePunct w:val="0"/>
              <w:autoSpaceDE/>
              <w:autoSpaceDN/>
              <w:bidi w:val="0"/>
              <w:adjustRightInd/>
              <w:snapToGrid/>
              <w:ind w:left="0" w:leftChars="0" w:firstLine="0" w:firstLineChars="0"/>
              <w:jc w:val="center"/>
              <w:textAlignment w:val="auto"/>
              <w:rPr>
                <w:sz w:val="24"/>
                <w:szCs w:val="24"/>
              </w:rPr>
            </w:pPr>
            <w:r>
              <w:rPr>
                <w:sz w:val="24"/>
              </w:rPr>
              <mc:AlternateContent>
                <mc:Choice Requires="wps">
                  <w:drawing>
                    <wp:anchor distT="0" distB="0" distL="114300" distR="114300" simplePos="0" relativeHeight="251683840" behindDoc="0" locked="0" layoutInCell="1" allowOverlap="1">
                      <wp:simplePos x="0" y="0"/>
                      <wp:positionH relativeFrom="column">
                        <wp:posOffset>394970</wp:posOffset>
                      </wp:positionH>
                      <wp:positionV relativeFrom="paragraph">
                        <wp:posOffset>1205230</wp:posOffset>
                      </wp:positionV>
                      <wp:extent cx="952500" cy="333375"/>
                      <wp:effectExtent l="0" t="5715" r="7620" b="26670"/>
                      <wp:wrapNone/>
                      <wp:docPr id="69" name="直接箭头连接符 69"/>
                      <wp:cNvGraphicFramePr/>
                      <a:graphic xmlns:a="http://schemas.openxmlformats.org/drawingml/2006/main">
                        <a:graphicData uri="http://schemas.microsoft.com/office/word/2010/wordprocessingShape">
                          <wps:wsp>
                            <wps:cNvCnPr/>
                            <wps:spPr>
                              <a:xfrm flipH="1">
                                <a:off x="0" y="0"/>
                                <a:ext cx="952500" cy="33337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1.1pt;margin-top:94.9pt;height:26.25pt;width:75pt;z-index:251683840;mso-width-relative:page;mso-height-relative:page;" filled="f" stroked="t" coordsize="21600,21600" o:gfxdata="UEsDBAoAAAAAAIdO4kAAAAAAAAAAAAAAAAAEAAAAZHJzL1BLAwQUAAAACACHTuJAS9JSeNYAAAAK&#10;AQAADwAAAGRycy9kb3ducmV2LnhtbE2PQU/DMAyF70j8h8hI3FjSAFUpTXeYBBckJDbEOWu8tlvj&#10;lCbdxr/HO8HNfn56/l61PPtBHHGKfSAD2UKBQGqC66k18Ll5uStAxGTJ2SEQGvjBCMv6+qqypQsn&#10;+sDjOrWCQyiW1kCX0lhKGZsOvY2LMCLxbRcmbxOvUyvdZE8c7geplcqltz3xh86OuOqwOaxnb8CF&#10;9rX40t9KvXXqMV+9u3m3T8bc3mTqGUTCc/ozwwWf0aFmpm2YyUUxGMi1ZifrxRNXYIPOLsqWhwd9&#10;D7Ku5P8K9S9QSwMEFAAAAAgAh07iQJBB1K4RAgAA7wMAAA4AAABkcnMvZTJvRG9jLnhtbK1TS24U&#10;MRDdI3EHy3umO4Pya6UniwwDCwQjAQeocbu7LfmnsjM9cwkugMQKWBFW2XMaCMeg7G4ChE0WeGGV&#10;q1yv6j2Xz853RrOtxKCcrfnBrORMWuEaZbuav3m9enTCWYhgG9DOyprvZeDni4cPzgZfybnrnW4k&#10;MgKxoRp8zfsYfVUUQfTSQJg5Ly0FW4cGIh2xKxqEgdCNLuZleVQMDhuPTsgQyLscg3xCxPsAurZV&#10;Qi6duDTSxhEVpYZIlEKvfOCL3G3bShFftm2QkemaE9OYdypC9ibtxeIMqg7B90pMLcB9WrjDyYCy&#10;VPQWagkR2CWqf6CMEuiCa+NMOFOMRLIixOKgvKPNqx68zFxI6uBvRQ//D1a82K6RqabmR6ecWTD0&#10;4jfvrr+//Xjz5erbh+sfX98n+/MnRnESa/ChopwLu8bpFPwaE/Ndi4a1WvlnNFVZC2LHdlnq/a3U&#10;cheZIOfp4fywpEcQFHpM6/gwoRcjTILzGOJT6QxLRs1DRFBdHy+ctfSoDscSsH0e4pj4KyElW7dS&#10;WpMfKm3ZQA3Nj3M1oIFtaVCosPFEOtiOM9Ad/QQRMXcdnFZNSk/ZAbvNhUa2BZqf1aqkNfX517VU&#10;ewmhH+/lULoGlVGRPotWpuYnKXkauAhKP7ENi3tPegOiGyZYbUmFJPIoa7I2rtlntbOf5iDrNM1s&#10;GrQ/zzn79z9d/A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L0lJ41gAAAAoBAAAPAAAAAAAAAAEA&#10;IAAAACIAAABkcnMvZG93bnJldi54bWxQSwECFAAUAAAACACHTuJAkEHUrhECAADvAwAADgAAAAAA&#10;AAABACAAAAAlAQAAZHJzL2Uyb0RvYy54bWxQSwUGAAAAAAYABgBZAQAAqAUAAAAA&#10;">
                      <v:fill on="f" focussize="0,0"/>
                      <v:stroke weight="1pt" color="#FF0000 [3204]" miterlimit="8" joinstyle="miter" endarrow="open"/>
                      <v:imagedata o:title=""/>
                      <o:lock v:ext="edit" aspectratio="f"/>
                    </v:shape>
                  </w:pict>
                </mc:Fallback>
              </mc:AlternateContent>
            </w:r>
            <w:r>
              <w:rPr>
                <w:sz w:val="24"/>
                <w:szCs w:val="24"/>
              </w:rPr>
              <w:drawing>
                <wp:inline distT="0" distB="0" distL="114300" distR="114300">
                  <wp:extent cx="2664460" cy="2429510"/>
                  <wp:effectExtent l="0" t="0" r="2540" b="8890"/>
                  <wp:docPr id="3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3"/>
                          <pic:cNvPicPr>
                            <a:picLocks noChangeAspect="1"/>
                          </pic:cNvPicPr>
                        </pic:nvPicPr>
                        <pic:blipFill>
                          <a:blip r:embed="rId23"/>
                          <a:stretch>
                            <a:fillRect/>
                          </a:stretch>
                        </pic:blipFill>
                        <pic:spPr>
                          <a:xfrm>
                            <a:off x="0" y="0"/>
                            <a:ext cx="2664460" cy="2429510"/>
                          </a:xfrm>
                          <a:prstGeom prst="rect">
                            <a:avLst/>
                          </a:prstGeom>
                          <a:noFill/>
                          <a:ln>
                            <a:noFill/>
                          </a:ln>
                        </pic:spPr>
                      </pic:pic>
                    </a:graphicData>
                  </a:graphic>
                </wp:inline>
              </w:drawing>
            </w:r>
          </w:p>
        </w:tc>
        <w:tc>
          <w:tcPr>
            <w:tcW w:w="4353" w:type="dxa"/>
            <w:vAlign w:val="center"/>
          </w:tcPr>
          <w:p w14:paraId="0649AA14">
            <w:pPr>
              <w:keepNext w:val="0"/>
              <w:keepLines w:val="0"/>
              <w:pageBreakBefore w:val="0"/>
              <w:kinsoku/>
              <w:wordWrap/>
              <w:overflowPunct/>
              <w:topLinePunct w:val="0"/>
              <w:autoSpaceDE/>
              <w:autoSpaceDN/>
              <w:bidi w:val="0"/>
              <w:adjustRightInd/>
              <w:snapToGrid/>
              <w:ind w:left="0" w:leftChars="0" w:firstLine="0" w:firstLineChars="0"/>
              <w:jc w:val="center"/>
              <w:textAlignment w:val="auto"/>
              <w:rPr>
                <w:sz w:val="24"/>
                <w:szCs w:val="24"/>
              </w:rPr>
            </w:pPr>
            <w:r>
              <w:rPr>
                <w:sz w:val="24"/>
              </w:rPr>
              <mc:AlternateContent>
                <mc:Choice Requires="wps">
                  <w:drawing>
                    <wp:anchor distT="0" distB="0" distL="114300" distR="114300" simplePos="0" relativeHeight="251684864" behindDoc="0" locked="0" layoutInCell="1" allowOverlap="1">
                      <wp:simplePos x="0" y="0"/>
                      <wp:positionH relativeFrom="column">
                        <wp:posOffset>708025</wp:posOffset>
                      </wp:positionH>
                      <wp:positionV relativeFrom="paragraph">
                        <wp:posOffset>605155</wp:posOffset>
                      </wp:positionV>
                      <wp:extent cx="819150" cy="1245870"/>
                      <wp:effectExtent l="0" t="0" r="19050" b="3810"/>
                      <wp:wrapNone/>
                      <wp:docPr id="70" name="直接箭头连接符 70"/>
                      <wp:cNvGraphicFramePr/>
                      <a:graphic xmlns:a="http://schemas.openxmlformats.org/drawingml/2006/main">
                        <a:graphicData uri="http://schemas.microsoft.com/office/word/2010/wordprocessingShape">
                          <wps:wsp>
                            <wps:cNvCnPr/>
                            <wps:spPr>
                              <a:xfrm flipH="1" flipV="1">
                                <a:off x="0" y="0"/>
                                <a:ext cx="819150" cy="124587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55.75pt;margin-top:47.65pt;height:98.1pt;width:64.5pt;z-index:251684864;mso-width-relative:page;mso-height-relative:page;" filled="f" stroked="t" coordsize="21600,21600" o:gfxdata="UEsDBAoAAAAAAIdO4kAAAAAAAAAAAAAAAAAEAAAAZHJzL1BLAwQUAAAACACHTuJA59T6D9UAAAAK&#10;AQAADwAAAGRycy9kb3ducmV2LnhtbE2PwU7DMBBE70j8g7VI3KidlFQkxOkBCSniRtMPcGM7iRqv&#10;I9tN279nOcFtZ2c0+7be39zMVhPi5FFCthHADPZeTzhIOHafL2/AYlKo1ezRSLibCPvm8aFWlfZX&#10;/DbrIQ2MSjBWSsKY0lJxHvvROBU3fjFInvXBqUQyDFwHdaVyN/NciB13akK6MKrFfIymPx8uTkK5&#10;WMy7zm7X89EW9uvelqFtpXx+ysQ7sGRu6S8Mv/iEDg0xnfwFdWQz6SwrKEplxRYYBfJXQYsTDSU5&#10;vKn5/xeaH1BLAwQUAAAACACHTuJAGx9RkhQCAAD6AwAADgAAAGRycy9lMm9Eb2MueG1srVO9jhMx&#10;EO6ReAfLPdkk4rgQZXNFQqBAEImf3vF6dy35TzO+bPISvAASFVAB1fU8DRyPwdi7BDiaK9jCGnt2&#10;vm++z+PFxcEatleA2ruST0ZjzpSTvtKuKfmrl5t7M84wClcJ450q+VEhv1jevbPowlxNfetNpYAR&#10;iMN5F0rexhjmRYGyVVbgyAflKFl7sCLSFpqiAtERujXFdDx+UHQeqgBeKkQ6XfdJPiDCbQB9XWup&#10;1l5eWuVijwrKiEiSsNUB+TJ3W9dKxud1jSoyU3JSGvNKJBTv0losF2LegAitlkML4jYt3NBkhXZE&#10;eoJaiyjYJeh/oKyW4NHXcSS9LXoh2RFSMRnf8OZFK4LKWshqDCfT8f/Bymf7LTBdlfycLHHC0o1f&#10;v736/ubD9ZfP395f/fj6LsWfPjLKk1ldwDnVrNwWhh2GLSTlhxosq40OT2iqeI5epyjlSCc7ZNOP&#10;J9PVITJJh7PJw8kZcUtKTab3z2Y9UdEjpuoAGB8rb1kKSo4RhG7auPLO0f166DnE/ilG6okKfxWk&#10;Yuc32ph8zcaxLnGcjxOdoNmtaWYotIH0o2s4E6ahRyEj5LbRG12l8gSE0OxWBthe0ChtNmP6kiFE&#10;99dviXstsO3/y6l+yKyO9G6MtiQ5FQ+zF4U2j1zF4jGQ9QLAdwOscYSe/O4dTtHOV8dsfD6nkcj8&#10;w/immftzn6t/P9nlT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OfU+g/VAAAACgEAAA8AAAAAAAAA&#10;AQAgAAAAIgAAAGRycy9kb3ducmV2LnhtbFBLAQIUABQAAAAIAIdO4kAbH1GSFAIAAPoDAAAOAAAA&#10;AAAAAAEAIAAAACQBAABkcnMvZTJvRG9jLnhtbFBLBQYAAAAABgAGAFkBAACqBQAAAAA=&#10;">
                      <v:fill on="f" focussize="0,0"/>
                      <v:stroke weight="1pt" color="#FF0000 [3204]" miterlimit="8" joinstyle="miter" endarrow="open"/>
                      <v:imagedata o:title=""/>
                      <o:lock v:ext="edit" aspectratio="f"/>
                    </v:shape>
                  </w:pict>
                </mc:Fallback>
              </mc:AlternateContent>
            </w:r>
            <w:r>
              <w:rPr>
                <w:sz w:val="24"/>
                <w:szCs w:val="24"/>
              </w:rPr>
              <w:drawing>
                <wp:inline distT="0" distB="0" distL="114300" distR="114300">
                  <wp:extent cx="2644140" cy="2418080"/>
                  <wp:effectExtent l="0" t="0" r="7620" b="5080"/>
                  <wp:docPr id="3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4"/>
                          <pic:cNvPicPr>
                            <a:picLocks noChangeAspect="1"/>
                          </pic:cNvPicPr>
                        </pic:nvPicPr>
                        <pic:blipFill>
                          <a:blip r:embed="rId24"/>
                          <a:stretch>
                            <a:fillRect/>
                          </a:stretch>
                        </pic:blipFill>
                        <pic:spPr>
                          <a:xfrm>
                            <a:off x="0" y="0"/>
                            <a:ext cx="2644140" cy="2418080"/>
                          </a:xfrm>
                          <a:prstGeom prst="rect">
                            <a:avLst/>
                          </a:prstGeom>
                          <a:noFill/>
                          <a:ln>
                            <a:noFill/>
                          </a:ln>
                        </pic:spPr>
                      </pic:pic>
                    </a:graphicData>
                  </a:graphic>
                </wp:inline>
              </w:drawing>
            </w:r>
          </w:p>
        </w:tc>
      </w:tr>
      <w:tr w14:paraId="04C90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gridSpan w:val="2"/>
            <w:vAlign w:val="center"/>
          </w:tcPr>
          <w:p w14:paraId="4FD94C74">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auto"/>
              <w:rPr>
                <w:sz w:val="24"/>
                <w:szCs w:val="24"/>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果朗河</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K20+200~K24+250</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段河道现状</w:t>
            </w:r>
          </w:p>
        </w:tc>
      </w:tr>
      <w:tr w14:paraId="119A5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0" w:hRule="atLeast"/>
          <w:jc w:val="center"/>
        </w:trPr>
        <w:tc>
          <w:tcPr>
            <w:tcW w:w="4367" w:type="dxa"/>
            <w:vAlign w:val="center"/>
          </w:tcPr>
          <w:p w14:paraId="3D8F3BEC">
            <w:pPr>
              <w:keepNext w:val="0"/>
              <w:keepLines w:val="0"/>
              <w:pageBreakBefore w:val="0"/>
              <w:kinsoku/>
              <w:wordWrap/>
              <w:overflowPunct/>
              <w:topLinePunct w:val="0"/>
              <w:autoSpaceDE/>
              <w:autoSpaceDN/>
              <w:bidi w:val="0"/>
              <w:adjustRightInd/>
              <w:snapToGrid/>
              <w:ind w:left="0" w:leftChars="0" w:firstLine="0" w:firstLineChars="0"/>
              <w:jc w:val="center"/>
              <w:textAlignment w:val="auto"/>
              <w:rPr>
                <w:sz w:val="24"/>
                <w:szCs w:val="24"/>
              </w:rPr>
            </w:pPr>
            <w:r>
              <w:rPr>
                <w:sz w:val="24"/>
              </w:rPr>
              <mc:AlternateContent>
                <mc:Choice Requires="wps">
                  <w:drawing>
                    <wp:anchor distT="0" distB="0" distL="114300" distR="114300" simplePos="0" relativeHeight="251686912" behindDoc="0" locked="0" layoutInCell="1" allowOverlap="1">
                      <wp:simplePos x="0" y="0"/>
                      <wp:positionH relativeFrom="column">
                        <wp:posOffset>3111500</wp:posOffset>
                      </wp:positionH>
                      <wp:positionV relativeFrom="paragraph">
                        <wp:posOffset>1437640</wp:posOffset>
                      </wp:positionV>
                      <wp:extent cx="1226185" cy="595630"/>
                      <wp:effectExtent l="2540" t="5715" r="5715" b="8255"/>
                      <wp:wrapNone/>
                      <wp:docPr id="72" name="直接箭头连接符 72"/>
                      <wp:cNvGraphicFramePr/>
                      <a:graphic xmlns:a="http://schemas.openxmlformats.org/drawingml/2006/main">
                        <a:graphicData uri="http://schemas.microsoft.com/office/word/2010/wordprocessingShape">
                          <wps:wsp>
                            <wps:cNvCnPr/>
                            <wps:spPr>
                              <a:xfrm>
                                <a:off x="0" y="0"/>
                                <a:ext cx="1226185" cy="59563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45pt;margin-top:113.2pt;height:46.9pt;width:96.55pt;z-index:251686912;mso-width-relative:page;mso-height-relative:page;" filled="f" stroked="t" coordsize="21600,21600" o:gfxdata="UEsDBAoAAAAAAIdO4kAAAAAAAAAAAAAAAAAEAAAAZHJzL1BLAwQUAAAACACHTuJAoPttvNgAAAAL&#10;AQAADwAAAGRycy9kb3ducmV2LnhtbE2PMU/DMBSEdyT+g/WQ2Kgdt4pKyEuHItgQ0AKzGztxVPs5&#10;ip22/HvMBOPpTnff1ZuLd+xkpjgEQigWApihNuiBeoSP/dPdGlhMirRygQzCt4mwaa6valXpcKZ3&#10;c9qlnuUSipVCsCmNFeextcaruAijoex1YfIqZTn1XE/qnMu941KIkns1UF6wajRba9rjbvYIj59H&#10;8WZfnscvPbjXOc4dbfcd4u1NIR6AJXNJf2H4xc/o0GSmQ5hJR+YQVvcif0kIUpYrYDlRrpcFsAPC&#10;UgoJvKn5/w/ND1BLAwQUAAAACACHTuJAwIt4dQ0CAADmAwAADgAAAGRycy9lMm9Eb2MueG1srVPN&#10;jtMwEL4j8Q6W7zRpUbularqHlnJBUAl4ANdxEkv+04y3aV+CF0DiBJyA0955Glgeg7FburBc9kAO&#10;ydiT+T5/34znl3tr2E4Bau8qPhyUnCknfa1dW/E3r9ePppxhFK4WxjtV8YNCfrl4+GDeh5ka+c6b&#10;WgEjEIezPlS8izHMigJlp6zAgQ/KUbLxYEWkJbRFDaIndGuKUVlOit5DHcBLhUi7q2OSnxDhPoC+&#10;abRUKy+vrHLxiArKiEiSsNMB+SKftmmUjC+bBlVkpuKkNOY3kVC8Te9iMRezFkTotDwdQdznCHc0&#10;WaEdkZ6hViIKdgX6HyirJXj0TRxIb4ujkOwIqRiWd7x51YmgshayGsPZdPx/sPLFbgNM1xW/GHHm&#10;hKWO37y7/vH2483XL98/XP/89j7Fnz8xypNZfcAZ1SzdBk4rDBtIyvcN2PQlTWyfDT6cDVb7yCRt&#10;DkejyXA65kxSbvxkPHmcO1DcVgfA+Ex5y1JQcYwgdNvFpXeOeulhmF0Wu+cYiZ8KfxckaufX2pjc&#10;UuNYn/guSuq0FDSnDc0HhTaQVnQtZ8K0dAFkhAyJ3ug6lScghHa7NMB2gsZmvS7pSeKJ7q/fEvdK&#10;YHf8L6eOA2V1pDtitK34NBWf5iwKbZ66msVDIJsFgO9PsMYRevL26GaKtr4+ZJPzPrU/859GNc3X&#10;n+tcfXs9F7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oPttvNgAAAALAQAADwAAAAAAAAABACAA&#10;AAAiAAAAZHJzL2Rvd25yZXYueG1sUEsBAhQAFAAAAAgAh07iQMCLeHUNAgAA5gMAAA4AAAAAAAAA&#10;AQAgAAAAJwEAAGRycy9lMm9Eb2MueG1sUEsFBgAAAAAGAAYAWQEAAKYFAAAAAA==&#10;">
                      <v:fill on="f" focussize="0,0"/>
                      <v:stroke weight="1pt" color="#FF00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85888" behindDoc="0" locked="0" layoutInCell="1" allowOverlap="1">
                      <wp:simplePos x="0" y="0"/>
                      <wp:positionH relativeFrom="column">
                        <wp:posOffset>243840</wp:posOffset>
                      </wp:positionH>
                      <wp:positionV relativeFrom="paragraph">
                        <wp:posOffset>620395</wp:posOffset>
                      </wp:positionV>
                      <wp:extent cx="921385" cy="955675"/>
                      <wp:effectExtent l="0" t="0" r="8255" b="4445"/>
                      <wp:wrapNone/>
                      <wp:docPr id="71" name="直接箭头连接符 71"/>
                      <wp:cNvGraphicFramePr/>
                      <a:graphic xmlns:a="http://schemas.openxmlformats.org/drawingml/2006/main">
                        <a:graphicData uri="http://schemas.microsoft.com/office/word/2010/wordprocessingShape">
                          <wps:wsp>
                            <wps:cNvCnPr/>
                            <wps:spPr>
                              <a:xfrm flipH="1" flipV="1">
                                <a:off x="0" y="0"/>
                                <a:ext cx="921385" cy="95567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9.2pt;margin-top:48.85pt;height:75.25pt;width:72.55pt;z-index:251685888;mso-width-relative:page;mso-height-relative:page;" filled="f" stroked="t" coordsize="21600,21600" o:gfxdata="UEsDBAoAAAAAAIdO4kAAAAAAAAAAAAAAAAAEAAAAZHJzL1BLAwQUAAAACACHTuJA4gQsY9YAAAAJ&#10;AQAADwAAAGRycy9kb3ducmV2LnhtbE2PQW7CMBBF95W4gzVI3RWHBEpI47CoVCnqroQDmHicRMTj&#10;yDYBbl+zapej//X+m/JwNyOb0fnBkoD1KgGG1Fo1UCfg1Hy95cB8kKTkaAkFPNDDoVq8lLJQ9kY/&#10;OB9DxyKEfCEF9CFMBee+7dFIv7ITUsy0dUaGeLqOKydvEW5GnibJOzdyoLjQywk/e2wvx6sRsJ80&#10;pU2js/ly0lv9/aj3rq6FeF2ukw9gAe/hrwxP/agOVXQ62yspz0YBWb6Jzcja7YA98zzbAjsLSDd5&#10;Crwq+f8Pql9QSwMEFAAAAAgAh07iQPJsH7YZAgAA+QMAAA4AAABkcnMvZTJvRG9jLnhtbK1TzY7T&#10;MBC+I/EOlu80bVG33ajpHloKBwQr8XOfOk5iyX8ae5v2JXgBJE7ACTjtnaeB5TEYJ6HActkDOURj&#10;j79v5vs8Xl4cjGZ7iUE5W/DJaMyZtMKVytYFf/Vy+2DBWYhgS9DOyoIfZeAXq/v3lq3P5dQ1TpcS&#10;GZHYkLe+4E2MPs+yIBppIIycl5aSlUMDkZZYZyVCS+xGZ9Px+CxrHZYenZAh0O6mT/KBEe9C6KpK&#10;Cblx4spIG3tWlBoiSQqN8oGvum6rSor4vKqCjEwXnJTG7k9FKN6lf7ZaQl4j+EaJoQW4Swu3NBlQ&#10;loqeqDYQgV2h+ofKKIEuuCqOhDNZL6RzhFRMxre8edGAl50Wsjr4k+nh/9GKZ/tLZKos+HzCmQVD&#10;N37z9vr7mw83Xz5/e3/94+u7FH/6yChPZrU+5IRZ20scVsFfYlJ+qNCwSiv/hKaKd9HrFKUc6WSH&#10;zvTjyXR5iEzQ5vl08nAx40xQ6nw2O5vPUp2sJ0xgjyE+ls6wFBQ8RARVN3HtrKXrddiXgP3TEHvg&#10;L0ACW7dVWtM+5Nqylhqazsd0+QJodCsaGQqNJ/nB1pyBrulNiIhd18FpVSZ4Qgesd2uNbA80Sdvt&#10;mL6hz7+OpdobCE1/rkulY5AbFenZaGUKvkjgYfQiKP3IliwePTkPiK4daLUlF5LdvcEp2rny2Pne&#10;7dNEdD4N05tG7s91h/79Ylc/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OIELGPWAAAACQEAAA8A&#10;AAAAAAAAAQAgAAAAIgAAAGRycy9kb3ducmV2LnhtbFBLAQIUABQAAAAIAIdO4kDybB+2GQIAAPkD&#10;AAAOAAAAAAAAAAEAIAAAACUBAABkcnMvZTJvRG9jLnhtbFBLBQYAAAAABgAGAFkBAACwBQAAAAA=&#10;">
                      <v:fill on="f" focussize="0,0"/>
                      <v:stroke weight="1pt" color="#FF0000 [3204]" miterlimit="8" joinstyle="miter" endarrow="open"/>
                      <v:imagedata o:title=""/>
                      <o:lock v:ext="edit" aspectratio="f"/>
                    </v:shape>
                  </w:pict>
                </mc:Fallback>
              </mc:AlternateContent>
            </w:r>
            <w:r>
              <w:rPr>
                <w:sz w:val="24"/>
                <w:szCs w:val="24"/>
              </w:rPr>
              <w:drawing>
                <wp:inline distT="0" distB="0" distL="114300" distR="114300">
                  <wp:extent cx="2672715" cy="2454275"/>
                  <wp:effectExtent l="0" t="0" r="9525" b="14605"/>
                  <wp:docPr id="4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5"/>
                          <pic:cNvPicPr>
                            <a:picLocks noChangeAspect="1"/>
                          </pic:cNvPicPr>
                        </pic:nvPicPr>
                        <pic:blipFill>
                          <a:blip r:embed="rId25"/>
                          <a:stretch>
                            <a:fillRect/>
                          </a:stretch>
                        </pic:blipFill>
                        <pic:spPr>
                          <a:xfrm>
                            <a:off x="0" y="0"/>
                            <a:ext cx="2672715" cy="2454275"/>
                          </a:xfrm>
                          <a:prstGeom prst="rect">
                            <a:avLst/>
                          </a:prstGeom>
                          <a:noFill/>
                          <a:ln>
                            <a:noFill/>
                          </a:ln>
                        </pic:spPr>
                      </pic:pic>
                    </a:graphicData>
                  </a:graphic>
                </wp:inline>
              </w:drawing>
            </w:r>
          </w:p>
        </w:tc>
        <w:tc>
          <w:tcPr>
            <w:tcW w:w="4353" w:type="dxa"/>
            <w:vAlign w:val="center"/>
          </w:tcPr>
          <w:p w14:paraId="589BB9B4">
            <w:pPr>
              <w:keepNext w:val="0"/>
              <w:keepLines w:val="0"/>
              <w:pageBreakBefore w:val="0"/>
              <w:kinsoku/>
              <w:wordWrap/>
              <w:overflowPunct/>
              <w:topLinePunct w:val="0"/>
              <w:autoSpaceDE/>
              <w:autoSpaceDN/>
              <w:bidi w:val="0"/>
              <w:adjustRightInd/>
              <w:snapToGrid/>
              <w:ind w:left="0" w:leftChars="0" w:firstLine="0" w:firstLineChars="0"/>
              <w:jc w:val="center"/>
              <w:textAlignment w:val="auto"/>
              <w:rPr>
                <w:sz w:val="24"/>
                <w:szCs w:val="24"/>
              </w:rPr>
            </w:pPr>
            <w:r>
              <w:rPr>
                <w:sz w:val="24"/>
                <w:szCs w:val="24"/>
              </w:rPr>
              <w:drawing>
                <wp:inline distT="0" distB="0" distL="114300" distR="114300">
                  <wp:extent cx="2651760" cy="2446020"/>
                  <wp:effectExtent l="0" t="0" r="0" b="7620"/>
                  <wp:docPr id="4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6"/>
                          <pic:cNvPicPr>
                            <a:picLocks noChangeAspect="1"/>
                          </pic:cNvPicPr>
                        </pic:nvPicPr>
                        <pic:blipFill>
                          <a:blip r:embed="rId26"/>
                          <a:stretch>
                            <a:fillRect/>
                          </a:stretch>
                        </pic:blipFill>
                        <pic:spPr>
                          <a:xfrm>
                            <a:off x="0" y="0"/>
                            <a:ext cx="2651760" cy="2446020"/>
                          </a:xfrm>
                          <a:prstGeom prst="rect">
                            <a:avLst/>
                          </a:prstGeom>
                          <a:noFill/>
                          <a:ln>
                            <a:noFill/>
                          </a:ln>
                        </pic:spPr>
                      </pic:pic>
                    </a:graphicData>
                  </a:graphic>
                </wp:inline>
              </w:drawing>
            </w:r>
          </w:p>
        </w:tc>
      </w:tr>
      <w:tr w14:paraId="1C0AD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gridSpan w:val="2"/>
            <w:vAlign w:val="center"/>
          </w:tcPr>
          <w:p w14:paraId="73F71E2C">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auto"/>
              <w:rPr>
                <w:sz w:val="24"/>
                <w:szCs w:val="24"/>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果朗河</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K24+250~K29+460</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段河道现状</w:t>
            </w:r>
          </w:p>
        </w:tc>
      </w:tr>
      <w:tr w14:paraId="350CD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4" w:hRule="atLeast"/>
          <w:jc w:val="center"/>
        </w:trPr>
        <w:tc>
          <w:tcPr>
            <w:tcW w:w="4367" w:type="dxa"/>
            <w:vAlign w:val="center"/>
          </w:tcPr>
          <w:p w14:paraId="6C0CA7FF">
            <w:pPr>
              <w:keepNext w:val="0"/>
              <w:keepLines w:val="0"/>
              <w:pageBreakBefore w:val="0"/>
              <w:kinsoku/>
              <w:wordWrap/>
              <w:overflowPunct/>
              <w:topLinePunct w:val="0"/>
              <w:autoSpaceDE/>
              <w:autoSpaceDN/>
              <w:bidi w:val="0"/>
              <w:adjustRightInd/>
              <w:snapToGrid/>
              <w:ind w:left="0" w:leftChars="0" w:firstLine="0" w:firstLineChars="0"/>
              <w:jc w:val="center"/>
              <w:textAlignment w:val="auto"/>
              <w:rPr>
                <w:sz w:val="24"/>
                <w:szCs w:val="24"/>
              </w:rPr>
            </w:pPr>
            <w:r>
              <w:rPr>
                <w:sz w:val="24"/>
              </w:rPr>
              <mc:AlternateContent>
                <mc:Choice Requires="wps">
                  <w:drawing>
                    <wp:anchor distT="0" distB="0" distL="114300" distR="114300" simplePos="0" relativeHeight="251687936" behindDoc="0" locked="0" layoutInCell="1" allowOverlap="1">
                      <wp:simplePos x="0" y="0"/>
                      <wp:positionH relativeFrom="column">
                        <wp:posOffset>320040</wp:posOffset>
                      </wp:positionH>
                      <wp:positionV relativeFrom="paragraph">
                        <wp:posOffset>1486535</wp:posOffset>
                      </wp:positionV>
                      <wp:extent cx="1385570" cy="27940"/>
                      <wp:effectExtent l="0" t="48895" r="1270" b="29845"/>
                      <wp:wrapNone/>
                      <wp:docPr id="73" name="直接箭头连接符 73"/>
                      <wp:cNvGraphicFramePr/>
                      <a:graphic xmlns:a="http://schemas.openxmlformats.org/drawingml/2006/main">
                        <a:graphicData uri="http://schemas.microsoft.com/office/word/2010/wordprocessingShape">
                          <wps:wsp>
                            <wps:cNvCnPr/>
                            <wps:spPr>
                              <a:xfrm flipV="1">
                                <a:off x="1400175" y="2212975"/>
                                <a:ext cx="1385570" cy="2794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5.2pt;margin-top:117.05pt;height:2.2pt;width:109.1pt;z-index:251687936;mso-width-relative:page;mso-height-relative:page;" filled="f" stroked="t" coordsize="21600,21600" o:gfxdata="UEsDBAoAAAAAAIdO4kAAAAAAAAAAAAAAAAAEAAAAZHJzL1BLAwQUAAAACACHTuJAuxJNktcAAAAK&#10;AQAADwAAAGRycy9kb3ducmV2LnhtbE2PwU7DMAyG70i8Q2QkbixpWauq1N1hElyQkBiIc9Z4TaFx&#10;SpNu4+3JTnC0/en39zebsxvFkeYweEbIVgoEcefNwD3C+9vjXQUiRM1Gj54J4YcCbNrrq0bXxp/4&#10;lY672IsUwqHWCDbGqZYydJacDis/Eafbwc9OxzTOvTSzPqVwN8pcqVI6PXD6YPVEW0vd125xCMb3&#10;T9VH/q3Us1VFuX0xy+EzIt7eZOoBRKRz/IPhop/UoU1Oe7+wCWJEKNQ6kQj5/ToDkYC8rEoQ+8um&#10;KkC2jfxfof0FUEsDBBQAAAAIAIdO4kBzSxbUHwIAAPsDAAAOAAAAZHJzL2Uyb0RvYy54bWytU82O&#10;0zAQviPxDpbvNGl2S7tV0z20lAuCSrDcXcdJLPlPY2/TvgQvgMQJOC2c9s7TsMtjMHbCAstlD+QQ&#10;zXg83+fv83hxftCK7AV4aU1Jx6OcEmG4raRpSnrxZvNkRokPzFRMWSNKehSeni8fP1p0bi4K21pV&#10;CSAIYvy8cyVtQ3DzLPO8FZr5kXXCYLG2oFnAFJqsAtYhulZZkedPs85C5cBy4T2urvsiHRDhIYC2&#10;riUXa8svtTChRwWhWEBJvpXO02U6bV0LHl7VtReBqJKi0pD+SILxLv6z5YLNG2CulXw4AnvIEe5p&#10;0kwaJL2DWrPAyCXIf6C05GC9rcOIW531QpIjqGKc3/PmdcucSFrQau/uTPf/D5a/3G+ByKqk0xNK&#10;DNN447fvr2/efbr9+uX7x+sf3z7E+OozwTqa1Tk/x56V2cKQebeFqPxQgya1ku4tTlXyAtWRAyan&#10;eT6eTig5lrQoxsUZxsl2cQiExw0ns8lkijfC447p2Wm6lqyHjNAOfHgurCYxKKkPwGTThpU1Bi/Y&#10;Qk/H9i98QGBs/NUQm43dSKUSoTKkQ7pimkcyhsNb49BgqB0a4E1DCVMNvgoeICnwVskqtkcgD81u&#10;pYDsGc7SZpPjF3Ug3V/bIvea+bbfl0q9XC0DPhwldUlnsXkYvsCkemYqEo4OvWcAthtglUH0aHhv&#10;cYx2tjom59M6zkTiH+Y3Dt2feer+/WaXP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7Ek2S1wAA&#10;AAoBAAAPAAAAAAAAAAEAIAAAACIAAABkcnMvZG93bnJldi54bWxQSwECFAAUAAAACACHTuJAc0sW&#10;1B8CAAD7AwAADgAAAAAAAAABACAAAAAmAQAAZHJzL2Uyb0RvYy54bWxQSwUGAAAAAAYABgBZAQAA&#10;twUAAAAA&#10;">
                      <v:fill on="f" focussize="0,0"/>
                      <v:stroke weight="1pt" color="#FF0000 [3204]" miterlimit="8" joinstyle="miter" endarrow="open"/>
                      <v:imagedata o:title=""/>
                      <o:lock v:ext="edit" aspectratio="f"/>
                    </v:shape>
                  </w:pict>
                </mc:Fallback>
              </mc:AlternateContent>
            </w:r>
            <w:r>
              <w:rPr>
                <w:sz w:val="24"/>
                <w:szCs w:val="24"/>
              </w:rPr>
              <w:drawing>
                <wp:inline distT="0" distB="0" distL="114300" distR="114300">
                  <wp:extent cx="2667635" cy="2301240"/>
                  <wp:effectExtent l="0" t="0" r="14605" b="0"/>
                  <wp:docPr id="4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7"/>
                          <pic:cNvPicPr>
                            <a:picLocks noChangeAspect="1"/>
                          </pic:cNvPicPr>
                        </pic:nvPicPr>
                        <pic:blipFill>
                          <a:blip r:embed="rId27"/>
                          <a:stretch>
                            <a:fillRect/>
                          </a:stretch>
                        </pic:blipFill>
                        <pic:spPr>
                          <a:xfrm>
                            <a:off x="0" y="0"/>
                            <a:ext cx="2667635" cy="2301240"/>
                          </a:xfrm>
                          <a:prstGeom prst="rect">
                            <a:avLst/>
                          </a:prstGeom>
                          <a:noFill/>
                          <a:ln>
                            <a:noFill/>
                          </a:ln>
                        </pic:spPr>
                      </pic:pic>
                    </a:graphicData>
                  </a:graphic>
                </wp:inline>
              </w:drawing>
            </w:r>
          </w:p>
        </w:tc>
        <w:tc>
          <w:tcPr>
            <w:tcW w:w="4353" w:type="dxa"/>
            <w:vAlign w:val="center"/>
          </w:tcPr>
          <w:p w14:paraId="7E2ADA4E">
            <w:pPr>
              <w:keepNext w:val="0"/>
              <w:keepLines w:val="0"/>
              <w:pageBreakBefore w:val="0"/>
              <w:kinsoku/>
              <w:wordWrap/>
              <w:overflowPunct/>
              <w:topLinePunct w:val="0"/>
              <w:autoSpaceDE/>
              <w:autoSpaceDN/>
              <w:bidi w:val="0"/>
              <w:adjustRightInd/>
              <w:snapToGrid/>
              <w:ind w:left="0" w:leftChars="0" w:firstLine="0" w:firstLineChars="0"/>
              <w:jc w:val="center"/>
              <w:textAlignment w:val="auto"/>
              <w:rPr>
                <w:sz w:val="24"/>
                <w:szCs w:val="24"/>
              </w:rPr>
            </w:pPr>
            <w:r>
              <w:rPr>
                <w:sz w:val="24"/>
              </w:rPr>
              <mc:AlternateContent>
                <mc:Choice Requires="wps">
                  <w:drawing>
                    <wp:anchor distT="0" distB="0" distL="114300" distR="114300" simplePos="0" relativeHeight="251688960" behindDoc="0" locked="0" layoutInCell="1" allowOverlap="1">
                      <wp:simplePos x="0" y="0"/>
                      <wp:positionH relativeFrom="column">
                        <wp:posOffset>278765</wp:posOffset>
                      </wp:positionH>
                      <wp:positionV relativeFrom="paragraph">
                        <wp:posOffset>1237615</wp:posOffset>
                      </wp:positionV>
                      <wp:extent cx="1015365" cy="440055"/>
                      <wp:effectExtent l="2540" t="12065" r="3175" b="20320"/>
                      <wp:wrapNone/>
                      <wp:docPr id="74" name="直接箭头连接符 74"/>
                      <wp:cNvGraphicFramePr/>
                      <a:graphic xmlns:a="http://schemas.openxmlformats.org/drawingml/2006/main">
                        <a:graphicData uri="http://schemas.microsoft.com/office/word/2010/wordprocessingShape">
                          <wps:wsp>
                            <wps:cNvCnPr/>
                            <wps:spPr>
                              <a:xfrm flipV="1">
                                <a:off x="0" y="0"/>
                                <a:ext cx="1015365" cy="44005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1.95pt;margin-top:97.45pt;height:34.65pt;width:79.95pt;z-index:251688960;mso-width-relative:page;mso-height-relative:page;" filled="f" stroked="t" coordsize="21600,21600" o:gfxdata="UEsDBAoAAAAAAIdO4kAAAAAAAAAAAAAAAAAEAAAAZHJzL1BLAwQUAAAACACHTuJAvq4669cAAAAK&#10;AQAADwAAAGRycy9kb3ducmV2LnhtbE2PQU/DMAyF70j8h8hI3FiyrlRbabrDJLggITEQ56zxmm6N&#10;U5p0G/8ec2K3Z/vp+XvV+uJ7ccIxdoE0zGcKBFITbEeths+P54cliJgMWdMHQg0/GGFd395UprTh&#10;TO942qZWcAjF0mhwKQ2llLFx6E2chQGJb/swepN4HFtpR3PmcN/LTKlCetMRf3BmwI3D5ridvAYb&#10;2pflV/at1KtTj8XmzU77Q9L6/m6unkAkvKR/M/zhMzrUzLQLE9koeg35YsVO3q9yFmzI1IK77FgU&#10;eQayruR1hfoXUEsDBBQAAAAIAIdO4kBwlM6gFQIAAPADAAAOAAAAZHJzL2Uyb0RvYy54bWytU82O&#10;0zAQviPxDpbvNGlpd1fRpntoKRcElfi5zzpOYsl/Gnub9iV4ASROwInltHeeBpbHYJyEAstlD+QQ&#10;jT3+vpnv8/j8Ym8020kMytmSTyc5Z9IKVynblPz1q82jM85CBFuBdlaW/CADv1g+fHDe+ULOXOt0&#10;JZERiQ1F50vexuiLLAuilQbCxHlpKVk7NBBpiU1WIXTEbnQ2y/OTrHNYeXRChkC76yHJR0a8D6Gr&#10;ayXk2okrI20cWFFqiCQptMoHvuy7rWsp4ou6DjIyXXJSGvs/FaH4Mv2z5TkUDYJvlRhbgPu0cEeT&#10;AWWp6JFqDRHYFap/qIwS6IKr40Q4kw1CekdIxTS/483LFrzstZDVwR9ND/+PVjzfbZGpquSnc84s&#10;GLrx23c3399+vP1y/e3DzY+v71P8+ROjPJnV+VAQZmW3OK6C32JSvq/RsFor/4amqveC1LF9b/Xh&#10;aLXcRyZoc5pPF49PFpwJys3neb5YJPps4El8HkN8Kp1hKSh5iAiqaePKWUu36nCoAbtnIQ7AX4AE&#10;tm6jtKZ9KLRlHdWbneZ05wJoYmuaFAqNJ9XBNpyBbugpiIh928FpVSV4QgdsLlca2Q5ogDabnL6x&#10;z7+OpdprCO1wrk+lY1AYFem1aGVKfpbA48RFUPqJrVg8eDIcEF030mpLLiSXB19TdOmqQ293v0+D&#10;0Ps0Dm2atD/XPfr3Q13+B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6uOuvXAAAACgEAAA8AAAAA&#10;AAAAAQAgAAAAIgAAAGRycy9kb3ducmV2LnhtbFBLAQIUABQAAAAIAIdO4kBwlM6gFQIAAPADAAAO&#10;AAAAAAAAAAEAIAAAACYBAABkcnMvZTJvRG9jLnhtbFBLBQYAAAAABgAGAFkBAACtBQAAAAA=&#10;">
                      <v:fill on="f" focussize="0,0"/>
                      <v:stroke weight="1pt" color="#FF0000 [3204]" miterlimit="8" joinstyle="miter" endarrow="open"/>
                      <v:imagedata o:title=""/>
                      <o:lock v:ext="edit" aspectratio="f"/>
                    </v:shape>
                  </w:pict>
                </mc:Fallback>
              </mc:AlternateContent>
            </w:r>
            <w:r>
              <w:rPr>
                <w:sz w:val="24"/>
                <w:szCs w:val="24"/>
              </w:rPr>
              <w:drawing>
                <wp:inline distT="0" distB="0" distL="114300" distR="114300">
                  <wp:extent cx="2649855" cy="2275840"/>
                  <wp:effectExtent l="0" t="0" r="1905" b="10160"/>
                  <wp:docPr id="4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9"/>
                          <pic:cNvPicPr>
                            <a:picLocks noChangeAspect="1"/>
                          </pic:cNvPicPr>
                        </pic:nvPicPr>
                        <pic:blipFill>
                          <a:blip r:embed="rId28"/>
                          <a:stretch>
                            <a:fillRect/>
                          </a:stretch>
                        </pic:blipFill>
                        <pic:spPr>
                          <a:xfrm>
                            <a:off x="0" y="0"/>
                            <a:ext cx="2649855" cy="2275840"/>
                          </a:xfrm>
                          <a:prstGeom prst="rect">
                            <a:avLst/>
                          </a:prstGeom>
                          <a:noFill/>
                          <a:ln>
                            <a:noFill/>
                          </a:ln>
                        </pic:spPr>
                      </pic:pic>
                    </a:graphicData>
                  </a:graphic>
                </wp:inline>
              </w:drawing>
            </w:r>
          </w:p>
        </w:tc>
      </w:tr>
      <w:tr w14:paraId="5FE87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gridSpan w:val="2"/>
            <w:vAlign w:val="center"/>
          </w:tcPr>
          <w:p w14:paraId="3BC02D8E">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auto"/>
              <w:rPr>
                <w:sz w:val="24"/>
                <w:szCs w:val="24"/>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果朗河</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K24+250~K29+460</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段河道现状</w:t>
            </w:r>
          </w:p>
        </w:tc>
      </w:tr>
      <w:tr w14:paraId="1D92E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0" w:hRule="atLeast"/>
          <w:jc w:val="center"/>
        </w:trPr>
        <w:tc>
          <w:tcPr>
            <w:tcW w:w="8720" w:type="dxa"/>
            <w:gridSpan w:val="2"/>
            <w:vAlign w:val="center"/>
          </w:tcPr>
          <w:p w14:paraId="3C7A4B88">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auto"/>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sz w:val="24"/>
              </w:rPr>
              <mc:AlternateContent>
                <mc:Choice Requires="wps">
                  <w:drawing>
                    <wp:anchor distT="0" distB="0" distL="114300" distR="114300" simplePos="0" relativeHeight="251692032" behindDoc="0" locked="0" layoutInCell="1" allowOverlap="1">
                      <wp:simplePos x="0" y="0"/>
                      <wp:positionH relativeFrom="column">
                        <wp:posOffset>3686810</wp:posOffset>
                      </wp:positionH>
                      <wp:positionV relativeFrom="paragraph">
                        <wp:posOffset>38100</wp:posOffset>
                      </wp:positionV>
                      <wp:extent cx="13335" cy="693420"/>
                      <wp:effectExtent l="39370" t="0" r="53975" b="7620"/>
                      <wp:wrapNone/>
                      <wp:docPr id="77" name="直接箭头连接符 77"/>
                      <wp:cNvGraphicFramePr/>
                      <a:graphic xmlns:a="http://schemas.openxmlformats.org/drawingml/2006/main">
                        <a:graphicData uri="http://schemas.microsoft.com/office/word/2010/wordprocessingShape">
                          <wps:wsp>
                            <wps:cNvCnPr/>
                            <wps:spPr>
                              <a:xfrm flipV="1">
                                <a:off x="0" y="0"/>
                                <a:ext cx="13335" cy="69342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90.3pt;margin-top:3pt;height:54.6pt;width:1.05pt;z-index:251692032;mso-width-relative:page;mso-height-relative:page;" filled="f" stroked="t" coordsize="21600,21600" o:gfxdata="UEsDBAoAAAAAAIdO4kAAAAAAAAAAAAAAAAAEAAAAZHJzL1BLAwQUAAAACACHTuJA7JxIq9YAAAAJ&#10;AQAADwAAAGRycy9kb3ducmV2LnhtbE2PwU7DMBBE70j8g7WVuFE7kRKiEKeHSnBBQqKgnt14G4fG&#10;6xA7bfl7lhMcV/M0+6bZXP0ozjjHIZCGbK1AIHXBDtRr+Hh/uq9AxGTImjEQavjGCJv29qYxtQ0X&#10;esPzLvWCSyjWRoNLaaqljJ1Db+I6TEicHcPsTeJz7qWdzYXL/ShzpUrpzUD8wZkJtw67027xGmzo&#10;n6t9/qXUi1NFuX21y/EzaX23ytQjiITX9AfDrz6rQ8tOh7CQjWLUUFSqZFRDyZM4L6r8AcSBwazI&#10;QbaN/L+g/QFQSwMEFAAAAAgAh07iQM8XFBETAgAA7gMAAA4AAABkcnMvZTJvRG9jLnhtbK1TvY4T&#10;MRDukXgHyz3ZTQKXI8rmioTQIIjET+947V1L/tPYl01eghdAogKqg+p6ngaOx2DsXQIczRVsYdme&#10;nW/m++bz4uJgNNkLCMrZio5HJSXCclcr21T09avNg3NKQmS2ZtpZUdGjCPRief/eovNzMXGt07UA&#10;giA2zDtf0TZGPy+KwFthWBg5LywGpQPDIh6hKWpgHaIbXUzK8qzoHNQeHBch4O26D9IBEe4C6KRU&#10;XKwdvzTCxh4VhGYRKYVW+UCXuVspBY8vpAwiEl1RZBrzikVwv0trsVyweQPMt4oPLbC7tHCLk2HK&#10;YtET1JpFRi5B/QNlFAcXnIwj7kzRE8mKIItxeUubly3zInNBqYM/iR7+Hyx/vt8CUXVFZzNKLDM4&#10;8Zt319/ffrz58vnbh+sfX9+n/dUngnEUq/Nhjjkru4XhFPwWEvODBEOkVv4NuiprgezIIUt9PEkt&#10;DpFwvBxPp9NHlHCMnD2ePpzkSRQ9SkLzEOJT4QxJm4qGCEw1bVw5a3GmDvoKbP8sROwDE38lpGTr&#10;NkrrPFptSYfVJrMSJ84Z+lWiT3BrPHIOtqGE6QYfAo+Qmw5OqzqlJ6AAzW6lgewZ2mezKfFLImC5&#10;v35LtdcstP1/OdQby6iIb0UrU9HzlDz4LTKln9iaxKNHuRmA6wZYbRE9adyrmnY7Vx+z2PkebZDr&#10;D5ZNPvvznLN/P9PlT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OycSKvWAAAACQEAAA8AAAAAAAAA&#10;AQAgAAAAIgAAAGRycy9kb3ducmV2LnhtbFBLAQIUABQAAAAIAIdO4kDPFxQREwIAAO4DAAAOAAAA&#10;AAAAAAEAIAAAACUBAABkcnMvZTJvRG9jLnhtbFBLBQYAAAAABgAGAFkBAACqBQAAAAA=&#10;">
                      <v:fill on="f" focussize="0,0"/>
                      <v:stroke weight="1pt" color="#FF00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91008" behindDoc="0" locked="0" layoutInCell="1" allowOverlap="1">
                      <wp:simplePos x="0" y="0"/>
                      <wp:positionH relativeFrom="column">
                        <wp:posOffset>2917825</wp:posOffset>
                      </wp:positionH>
                      <wp:positionV relativeFrom="paragraph">
                        <wp:posOffset>925195</wp:posOffset>
                      </wp:positionV>
                      <wp:extent cx="851535" cy="554990"/>
                      <wp:effectExtent l="3175" t="0" r="13970" b="8890"/>
                      <wp:wrapNone/>
                      <wp:docPr id="76" name="直接箭头连接符 76"/>
                      <wp:cNvGraphicFramePr/>
                      <a:graphic xmlns:a="http://schemas.openxmlformats.org/drawingml/2006/main">
                        <a:graphicData uri="http://schemas.microsoft.com/office/word/2010/wordprocessingShape">
                          <wps:wsp>
                            <wps:cNvCnPr/>
                            <wps:spPr>
                              <a:xfrm flipV="1">
                                <a:off x="0" y="0"/>
                                <a:ext cx="851535" cy="55499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29.75pt;margin-top:72.85pt;height:43.7pt;width:67.05pt;z-index:251691008;mso-width-relative:page;mso-height-relative:page;" filled="f" stroked="t" coordsize="21600,21600" o:gfxdata="UEsDBAoAAAAAAIdO4kAAAAAAAAAAAAAAAAAEAAAAZHJzL1BLAwQUAAAACACHTuJAnjbPltkAAAAL&#10;AQAADwAAAGRycy9kb3ducmV2LnhtbE2PwU7DMBBE70j8g7VI3KidpA5tiNNDJbggIVEQZzfexoF4&#10;HWKnLX+POdHjap5m3tabsxvYEafQe1KQLQQwpNabnjoF72+PdytgIWoyevCECn4wwKa5vqp1ZfyJ&#10;XvG4ix1LJRQqrcDGOFach9ai02HhR6SUHfzkdEzn1HEz6VMqdwPPhSi50z2lBatH3Fpsv3azU2B8&#10;97T6yL+FeLZCltsXMx8+o1K3N5l4ABbxHP9h+NNP6tAkp72fyQQ2KFjKtUxoCpbyHlgi5Looge0V&#10;5EWRAW9qfvlD8wtQSwMEFAAAAAgAh07iQE7rEZoUAgAA7wMAAA4AAABkcnMvZTJvRG9jLnhtbK1T&#10;S44TMRDdI3EHy3vSnUDmE6Uzi4SwQTASn73jdndb8k9VnnRyCS6AxApYAavZcxoYjkHZHQIMm1nQ&#10;C8t2db2q9+p5frGzhm0VoPau4uNRyZly0tfatRV/9XL94IwzjMLVwninKr5XyC8W9+/N+zBTE995&#10;UytgBOJw1oeKdzGGWVGg7JQVOPJBOQo2HqyIdIS2qEH0hG5NMSnLk6L3UAfwUiHS7WoI8gMi3AXQ&#10;N42WauXllVUuDqigjIhECTsdkC9yt02jZHzeNKgiMxUnpjGvVIT2m7QWi7mYtSBCp+WhBXGXFm5x&#10;skI7KnqEWoko2BXof6CsluDRN3EkvS0GIlkRYjEub2nzohNBZS4kNYaj6Pj/YOWz7SUwXVf89IQz&#10;JyxN/Obt9fc3H26+fP72/vrH13dp/+kjoziJ1QecUc7SXcLhhOESEvNdA5Y1RofX5KqsBbFjuyz1&#10;/ii12kUm6fJsOp4+nHImKTSdPjo/z6MoBpgEFwDjE+UtS5uKYwSh2y4uvXM0VA9DCbF9ipEaocRf&#10;CSnZ+bU2Js/WONZTQ5PTkkYuBRm2IaPQ1gYija7lTJiWXoKMkLtGb3Sd0hMQQrtZGmBbQf5Zr0v6&#10;kgpU7q/fUu2VwG74L4cGZ1kd6bEYbYlxSj4YLgptHruaxX0gvQWA7w+wxhF6EnmQNe02vt5ntfM9&#10;+SDXP3g2Ge3Pc87+/U4XP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eNs+W2QAAAAsBAAAPAAAA&#10;AAAAAAEAIAAAACIAAABkcnMvZG93bnJldi54bWxQSwECFAAUAAAACACHTuJATusRmhQCAADvAwAA&#10;DgAAAAAAAAABACAAAAAoAQAAZHJzL2Uyb0RvYy54bWxQSwUGAAAAAAYABgBZAQAArgUAAAAA&#10;">
                      <v:fill on="f" focussize="0,0"/>
                      <v:stroke weight="1pt" color="#FF00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89984" behindDoc="0" locked="0" layoutInCell="1" allowOverlap="1">
                      <wp:simplePos x="0" y="0"/>
                      <wp:positionH relativeFrom="column">
                        <wp:posOffset>2675255</wp:posOffset>
                      </wp:positionH>
                      <wp:positionV relativeFrom="paragraph">
                        <wp:posOffset>1873885</wp:posOffset>
                      </wp:positionV>
                      <wp:extent cx="90170" cy="824230"/>
                      <wp:effectExtent l="40640" t="0" r="6350" b="13970"/>
                      <wp:wrapNone/>
                      <wp:docPr id="75" name="直接箭头连接符 75"/>
                      <wp:cNvGraphicFramePr/>
                      <a:graphic xmlns:a="http://schemas.openxmlformats.org/drawingml/2006/main">
                        <a:graphicData uri="http://schemas.microsoft.com/office/word/2010/wordprocessingShape">
                          <wps:wsp>
                            <wps:cNvCnPr/>
                            <wps:spPr>
                              <a:xfrm flipH="1" flipV="1">
                                <a:off x="3755390" y="5323205"/>
                                <a:ext cx="90170" cy="82423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10.65pt;margin-top:147.55pt;height:64.9pt;width:7.1pt;z-index:251689984;mso-width-relative:page;mso-height-relative:page;" filled="f" stroked="t" coordsize="21600,21600" o:gfxdata="UEsDBAoAAAAAAIdO4kAAAAAAAAAAAAAAAAAEAAAAZHJzL1BLAwQUAAAACACHTuJAsf2MNtcAAAAL&#10;AQAADwAAAGRycy9kb3ducmV2LnhtbE2Py2rDMBBF94X8g5hAd438DLVrOYtCwXTXOB+g2CPbxBoZ&#10;SXGSv6+yapfDPdx7pjrc9cxWtG4yJCDeRcCQOtNPNAg4tV9v78Ccl9TL2RAKeKCDQ715qWTZmxv9&#10;4Hr0Awsl5EopYPR+KTl33Yhaup1ZkEKmjNXSh9MOvLfyFsr1zJMo2nMtJwoLo1zwc8TucrxqAcWi&#10;KGlbla6Xk8rV96MpbNMI8bqNow9gHu/+D4anflCHOjidzZV6x2YBWRKnARWQFHkMLBBZmufAzs8o&#10;K4DXFf//Q/0LUEsDBBQAAAAIAIdO4kBcnzIIJQIAAAQEAAAOAAAAZHJzL2Uyb0RvYy54bWytU82O&#10;0zAQviPxDpbvbNKU0t2o6R5aCgcElfi5u46TWPKfxt6mfQleAIkT7Ak47Z2ngeUxGDthgeWyB3KI&#10;xh7PN/6++bw4P2hF9gK8tKaik5OcEmG4raVpK/r61ebBKSU+MFMzZY2o6FF4er68f2/Ru1IUtrOq&#10;FkAQxPiydxXtQnBllnneCc38iXXCYLKxoFnAJbRZDaxHdK2yIs8fZb2F2oHlwnvcXQ9JOiLCXQBt&#10;00gu1pZfaGHCgApCsYCUfCedp8t026YRPLxoGi8CURVFpiH9sQnGu/jPlgtWtsBcJ/l4BXaXK9zi&#10;pJk02PQGas0CIxcg/4HSkoP1tgkn3OpsIJIUQRaT/JY2LzvmROKCUnt3I7r/f7D8+X4LRNYVnc8o&#10;MUzjxK/fXX1/+/H6y+dvH65+fH0f40+XBPMoVu98iTUrs4Vx5d0WIvNDA5o0Srqn6Cqaojcxijnk&#10;SQ4Vnc5ns+kZSn+s6GxaTIs8YbJSHALheOAsn8wxzTF/Wjwspmk+2YAdcRz48ERYTWJQUR+AybYL&#10;K2sMTtrC0I3tn/mAt8PCXwWx2NiNVCoNXBnS492KeR67MXRxg+7BUDtUwpuWEqZafB48QCLgrZJ1&#10;LI9AHtrdSgHZMzTVZpPjF6XBdn8di73XzHfDuZQa7KZlwBekpEaWsXh0YWBSPTY1CUeHQ2AAth9h&#10;lUH0qPygdYx2tj6mEaR9NEfqPxo5uu/Pdar+/XiXP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x&#10;/Yw21wAAAAsBAAAPAAAAAAAAAAEAIAAAACIAAABkcnMvZG93bnJldi54bWxQSwECFAAUAAAACACH&#10;TuJAXJ8yCCUCAAAEBAAADgAAAAAAAAABACAAAAAmAQAAZHJzL2Uyb0RvYy54bWxQSwUGAAAAAAYA&#10;BgBZAQAAvQUAAAAA&#10;">
                      <v:fill on="f" focussize="0,0"/>
                      <v:stroke weight="1pt" color="#FF0000 [3204]" miterlimit="8" joinstyle="miter" endarrow="open"/>
                      <v:imagedata o:title=""/>
                      <o:lock v:ext="edit" aspectratio="f"/>
                    </v:shape>
                  </w:pict>
                </mc:Fallback>
              </mc:AlternateContent>
            </w:r>
            <w:r>
              <w:rPr>
                <w:sz w:val="24"/>
                <w:szCs w:val="24"/>
              </w:rPr>
              <w:drawing>
                <wp:inline distT="0" distB="0" distL="114300" distR="114300">
                  <wp:extent cx="5409565" cy="2766060"/>
                  <wp:effectExtent l="0" t="0" r="635" b="7620"/>
                  <wp:docPr id="4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0"/>
                          <pic:cNvPicPr>
                            <a:picLocks noChangeAspect="1"/>
                          </pic:cNvPicPr>
                        </pic:nvPicPr>
                        <pic:blipFill>
                          <a:blip r:embed="rId29"/>
                          <a:stretch>
                            <a:fillRect/>
                          </a:stretch>
                        </pic:blipFill>
                        <pic:spPr>
                          <a:xfrm>
                            <a:off x="0" y="0"/>
                            <a:ext cx="5409565" cy="2766060"/>
                          </a:xfrm>
                          <a:prstGeom prst="rect">
                            <a:avLst/>
                          </a:prstGeom>
                          <a:noFill/>
                          <a:ln>
                            <a:noFill/>
                          </a:ln>
                        </pic:spPr>
                      </pic:pic>
                    </a:graphicData>
                  </a:graphic>
                </wp:inline>
              </w:drawing>
            </w:r>
          </w:p>
        </w:tc>
      </w:tr>
      <w:tr w14:paraId="54F6A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gridSpan w:val="2"/>
            <w:vAlign w:val="center"/>
          </w:tcPr>
          <w:p w14:paraId="7D5433A9">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auto"/>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果朗河</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K29+460~K31+870</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段河道现状</w:t>
            </w:r>
          </w:p>
        </w:tc>
      </w:tr>
      <w:tr w14:paraId="2BD6A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gridSpan w:val="2"/>
            <w:vAlign w:val="center"/>
          </w:tcPr>
          <w:p w14:paraId="48E00721">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auto"/>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sz w:val="24"/>
              </w:rPr>
              <mc:AlternateContent>
                <mc:Choice Requires="wps">
                  <w:drawing>
                    <wp:anchor distT="0" distB="0" distL="114300" distR="114300" simplePos="0" relativeHeight="251694080" behindDoc="0" locked="0" layoutInCell="1" allowOverlap="1">
                      <wp:simplePos x="0" y="0"/>
                      <wp:positionH relativeFrom="column">
                        <wp:posOffset>2640330</wp:posOffset>
                      </wp:positionH>
                      <wp:positionV relativeFrom="paragraph">
                        <wp:posOffset>1635760</wp:posOffset>
                      </wp:positionV>
                      <wp:extent cx="90170" cy="755650"/>
                      <wp:effectExtent l="6350" t="0" r="40640" b="6350"/>
                      <wp:wrapNone/>
                      <wp:docPr id="79" name="直接箭头连接符 79"/>
                      <wp:cNvGraphicFramePr/>
                      <a:graphic xmlns:a="http://schemas.openxmlformats.org/drawingml/2006/main">
                        <a:graphicData uri="http://schemas.microsoft.com/office/word/2010/wordprocessingShape">
                          <wps:wsp>
                            <wps:cNvCnPr/>
                            <wps:spPr>
                              <a:xfrm flipV="1">
                                <a:off x="0" y="0"/>
                                <a:ext cx="90170" cy="75565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07.9pt;margin-top:128.8pt;height:59.5pt;width:7.1pt;z-index:251694080;mso-width-relative:page;mso-height-relative:page;" filled="f" stroked="t" coordsize="21600,21600" o:gfxdata="UEsDBAoAAAAAAIdO4kAAAAAAAAAAAAAAAAAEAAAAZHJzL1BLAwQUAAAACACHTuJAY+WjXtkAAAAL&#10;AQAADwAAAGRycy9kb3ducmV2LnhtbE2PwU7DMBBE70j8g7VI3KidtHGrEKeHSnBBQqIgzm68TQLx&#10;OsROW/6e5QTH0Yxm3lTbix/ECafYBzKQLRQIpCa4nloDb68PdxsQMVlydgiEBr4xwra+vqps6cKZ&#10;XvC0T63gEoqlNdClNJZSxqZDb+MijEjsHcPkbWI5tdJN9szlfpC5Ulp62xMvdHbEXYfN5372Blxo&#10;Hzfv+ZdST50q9O7ZzcePZMztTabuQSS8pL8w/OIzOtTMdAgzuSgGA6usYPRkIC/WGgQnVkvF7w4G&#10;lmutQdaV/P+h/gFQSwMEFAAAAAgAh07iQHcSL0USAgAA7gMAAA4AAABkcnMvZTJvRG9jLnhtbK1T&#10;vY4TMRDukXgHyz3ZTaRc7qJsrrgQGgSR+Okdr3fXkv8048smL8ELIFEBFVBdz9PA8RiMvSHA0VzB&#10;Fpbt2flmvm8+Ly731rCdAtTeVXw8KjlTTvpau7bir16uH51zhlG4WhjvVMUPCvnl8uGDRR/mauI7&#10;b2oFjEAczvtQ8S7GMC8KlJ2yAkc+KEfBxoMVkY7QFjWIntCtKSZleVb0HuoAXipEul0NQX5EhPsA&#10;+qbRUq28vLbKxQEVlBGRKGGnA/Jl7rZplIzPmwZVZKbixDTmlYrQfpvWYrkQ8xZE6LQ8tiDu08Id&#10;TlZoR0VPUCsRBbsG/Q+U1RI8+iaOpLfFQCQrQizG5R1tXnQiqMyFpMZwEh3/H6x8ttsA03XFZxec&#10;OWFp4rdvb76/+XD75fO39zc/vr5L+08fGcVJrD7gnHKu3AaOJwwbSMz3DVjWGB1ek6uyFsSO7bPU&#10;h5PUah+ZpMuLcjyjGUiKzKbTs2meRDGgJLQAGJ8ob1naVBwjCN128co7RzP1MFQQu6cYqQ9K/JWQ&#10;kp1fa2PyaI1jPfUzmZWpmiC/NuQT2tpAnNG1nAnT0kOQEXLT6I2uU3oCQmi3VwbYTpB91uuSviQC&#10;lfvrt1R7JbAb/suhwVhWR3orRtuKn6fko9+i0Oaxq1k8BJJbAPj+CGscoSeNB1XTbuvrQxY735MN&#10;cv2jZZPP/jzn7N/PdPkT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Y+WjXtkAAAALAQAADwAAAAAA&#10;AAABACAAAAAiAAAAZHJzL2Rvd25yZXYueG1sUEsBAhQAFAAAAAgAh07iQHcSL0USAgAA7gMAAA4A&#10;AAAAAAAAAQAgAAAAKAEAAGRycy9lMm9Eb2MueG1sUEsFBgAAAAAGAAYAWQEAAKwFAAAAAA==&#10;">
                      <v:fill on="f" focussize="0,0"/>
                      <v:stroke weight="1pt" color="#FF00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93056" behindDoc="0" locked="0" layoutInCell="1" allowOverlap="1">
                      <wp:simplePos x="0" y="0"/>
                      <wp:positionH relativeFrom="column">
                        <wp:posOffset>2280285</wp:posOffset>
                      </wp:positionH>
                      <wp:positionV relativeFrom="paragraph">
                        <wp:posOffset>610235</wp:posOffset>
                      </wp:positionV>
                      <wp:extent cx="401955" cy="728345"/>
                      <wp:effectExtent l="2540" t="0" r="6985" b="3175"/>
                      <wp:wrapNone/>
                      <wp:docPr id="78" name="直接箭头连接符 78"/>
                      <wp:cNvGraphicFramePr/>
                      <a:graphic xmlns:a="http://schemas.openxmlformats.org/drawingml/2006/main">
                        <a:graphicData uri="http://schemas.microsoft.com/office/word/2010/wordprocessingShape">
                          <wps:wsp>
                            <wps:cNvCnPr/>
                            <wps:spPr>
                              <a:xfrm flipH="1" flipV="1">
                                <a:off x="0" y="0"/>
                                <a:ext cx="401955" cy="72834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79.55pt;margin-top:48.05pt;height:57.35pt;width:31.65pt;z-index:251693056;mso-width-relative:page;mso-height-relative:page;" filled="f" stroked="t" coordsize="21600,21600" o:gfxdata="UEsDBAoAAAAAAIdO4kAAAAAAAAAAAAAAAAAEAAAAZHJzL1BLAwQUAAAACACHTuJA96AGKdgAAAAK&#10;AQAADwAAAGRycy9kb3ducmV2LnhtbE2Py2rDMBBF94X+g5hCd41k50HsWs6iUDDdNc4HKJZkm1gj&#10;IylO8vedrtrVMMzlzLnV4e4mtpgQR48SspUAZrDzesRewqn9fNsDi0mhVpNHI+FhIhzq56dKldrf&#10;8Nssx9QzgmAslYQhpbnkPHaDcSqu/GyQbtYHpxKtoec6qBvB3cRzIXbcqRHpw6Bm8zGY7nK8OgnF&#10;bDFvW7teLie7tV+PpghNI+XrSybegSVzT39h+NUndajJ6eyvqCObJKy3RUZRgu1oUmCT5xtgZwl5&#10;JvbA64r/r1D/AFBLAwQUAAAACACHTuJAu+ThWRgCAAD5AwAADgAAAGRycy9lMm9Eb2MueG1srVPN&#10;jtMwEL4j8Q6W72zSsmWXqOkeWgoHBJX4uU8dJ7HkP429TfsSvAASJ+AEnPbO08DyGIyTUGC57IEc&#10;orHH3zfzfR7PL/ZGs53EoJwt+eQk50xa4Splm5K/erm+d85ZiGAr0M7Kkh9k4BeLu3fmnS/k1LVO&#10;VxIZkdhQdL7kbYy+yLIgWmkgnDgvLSVrhwYiLbHJKoSO2I3Opnn+IOscVh6dkCHQ7mpI8pERb0Po&#10;6loJuXLi0kgbB1aUGiJJCq3ygS/6butaivi8roOMTJeclMb+T0Uo3qZ/tphD0SD4VomxBbhNCzc0&#10;GVCWih6pVhCBXaL6h8oogS64Op4IZ7JBSO8IqZjkN7x50YKXvRayOvij6eH/0Ypnuw0yVZX8jO7d&#10;gqEbv3579f3Nh+svn7+9v/rx9V2KP31klCezOh8KwiztBsdV8BtMyvc1GlZr5Z/QVPE+ep2ilCOd&#10;bN+bfjiaLveRCdo8zScPZzPOBKXOpuf3T2epTjYQJrDHEB9LZ1gKSh4igmrauHTW0vU6HErA7mmI&#10;A/AXIIGtWyutaR8KbVlHDU3Pcrp8ATS6NY0MhcaT/GAbzkA39CZExL7r4LSqEjyhAzbbpUa2A5qk&#10;9Tqnb+zzr2Op9gpCO5zrU+kYFEZFejZamZKfJ/A4ehGUfmQrFg+enAdE14202pILye7B4BRtXXXo&#10;fe/3aSJ6n8bpTSP357pH/36xi5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3oAYp2AAAAAoBAAAP&#10;AAAAAAAAAAEAIAAAACIAAABkcnMvZG93bnJldi54bWxQSwECFAAUAAAACACHTuJAu+ThWRgCAAD5&#10;AwAADgAAAAAAAAABACAAAAAnAQAAZHJzL2Uyb0RvYy54bWxQSwUGAAAAAAYABgBZAQAAsQUAAAAA&#10;">
                      <v:fill on="f" focussize="0,0"/>
                      <v:stroke weight="1pt" color="#FF0000 [3204]" miterlimit="8" joinstyle="miter" endarrow="open"/>
                      <v:imagedata o:title=""/>
                      <o:lock v:ext="edit" aspectratio="f"/>
                    </v:shape>
                  </w:pict>
                </mc:Fallback>
              </mc:AlternateContent>
            </w:r>
            <w:r>
              <w:rPr>
                <w:sz w:val="24"/>
                <w:szCs w:val="24"/>
              </w:rPr>
              <w:drawing>
                <wp:inline distT="0" distB="0" distL="114300" distR="114300">
                  <wp:extent cx="5397500" cy="2541905"/>
                  <wp:effectExtent l="0" t="0" r="12700" b="3175"/>
                  <wp:docPr id="4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1"/>
                          <pic:cNvPicPr>
                            <a:picLocks noChangeAspect="1"/>
                          </pic:cNvPicPr>
                        </pic:nvPicPr>
                        <pic:blipFill>
                          <a:blip r:embed="rId30"/>
                          <a:stretch>
                            <a:fillRect/>
                          </a:stretch>
                        </pic:blipFill>
                        <pic:spPr>
                          <a:xfrm>
                            <a:off x="0" y="0"/>
                            <a:ext cx="5397500" cy="2541905"/>
                          </a:xfrm>
                          <a:prstGeom prst="rect">
                            <a:avLst/>
                          </a:prstGeom>
                          <a:noFill/>
                          <a:ln>
                            <a:noFill/>
                          </a:ln>
                        </pic:spPr>
                      </pic:pic>
                    </a:graphicData>
                  </a:graphic>
                </wp:inline>
              </w:drawing>
            </w:r>
          </w:p>
        </w:tc>
      </w:tr>
      <w:tr w14:paraId="666C43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gridSpan w:val="2"/>
            <w:vAlign w:val="center"/>
          </w:tcPr>
          <w:p w14:paraId="6155AADD">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auto"/>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果朗河</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K29+460~K31+870</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段河道现状</w:t>
            </w:r>
          </w:p>
        </w:tc>
      </w:tr>
      <w:tr w14:paraId="00446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gridSpan w:val="2"/>
            <w:vAlign w:val="center"/>
          </w:tcPr>
          <w:p w14:paraId="71CD665B">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auto"/>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sz w:val="24"/>
              </w:rPr>
              <mc:AlternateContent>
                <mc:Choice Requires="wps">
                  <w:drawing>
                    <wp:anchor distT="0" distB="0" distL="114300" distR="114300" simplePos="0" relativeHeight="251695104" behindDoc="0" locked="0" layoutInCell="1" allowOverlap="1">
                      <wp:simplePos x="0" y="0"/>
                      <wp:positionH relativeFrom="column">
                        <wp:posOffset>2606040</wp:posOffset>
                      </wp:positionH>
                      <wp:positionV relativeFrom="paragraph">
                        <wp:posOffset>560070</wp:posOffset>
                      </wp:positionV>
                      <wp:extent cx="207645" cy="1939925"/>
                      <wp:effectExtent l="6350" t="0" r="45085" b="10795"/>
                      <wp:wrapNone/>
                      <wp:docPr id="80" name="直接箭头连接符 80"/>
                      <wp:cNvGraphicFramePr/>
                      <a:graphic xmlns:a="http://schemas.openxmlformats.org/drawingml/2006/main">
                        <a:graphicData uri="http://schemas.microsoft.com/office/word/2010/wordprocessingShape">
                          <wps:wsp>
                            <wps:cNvCnPr/>
                            <wps:spPr>
                              <a:xfrm flipV="1">
                                <a:off x="0" y="0"/>
                                <a:ext cx="207645" cy="193992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05.2pt;margin-top:44.1pt;height:152.75pt;width:16.35pt;z-index:251695104;mso-width-relative:page;mso-height-relative:page;" filled="f" stroked="t" coordsize="21600,21600" o:gfxdata="UEsDBAoAAAAAAIdO4kAAAAAAAAAAAAAAAAAEAAAAZHJzL1BLAwQUAAAACACHTuJAZNaNd9kAAAAK&#10;AQAADwAAAGRycy9kb3ducmV2LnhtbE2Py07DMBBF90j8gzVI7KidByVNM+miEmyQkCiItRtPk0A8&#10;DrHTlr/HrOhydI/uPVNtznYQR5p87xghWSgQxI0zPbcI72+PdwUIHzQbPTgmhB/ysKmvrypdGnfi&#10;VzruQitiCftSI3QhjKWUvunIar9wI3HMDm6yOsRzaqWZ9CmW20GmSi2l1T3HhU6PtO2o+drNFsG4&#10;9qn4SL+Veu7U/XL7YubDZ0C8vUnUGkSgc/iH4U8/qkMdnfZuZuPFgJAnKo8oQlGkICKQ51kCYo+Q&#10;rbIHkHUlL1+ofwFQSwMEFAAAAAgAh07iQE7IUmUTAgAA8AMAAA4AAABkcnMvZTJvRG9jLnhtbK1T&#10;zY7TMBC+I/EOlu80aWF/GjXdQ0u5IKjEz33qOIkl/2nsbdqX4AWQOAGnhdPeeRpYHoNx0i2wXPZA&#10;DtbY4++b+b6MZxc7o9lWYlDOlnw8yjmTVrhK2abkb16vHp1zFiLYCrSzsuR7GfjF/OGDWecLOXGt&#10;05VERiQ2FJ0veRujL7IsiFYaCCPnpaVk7dBApC02WYXQEbvR2STPT7POYeXRCRkCnS6HJD8w4n0I&#10;XV0rIZdOXBpp48CKUkMkSaFVPvB5321dSxFf1nWQkemSk9LYr1SE4k1as/kMigbBt0ocWoD7tHBH&#10;kwFlqeiRagkR2CWqf6iMEuiCq+NIOJMNQnpHSMU4v+PNqxa87LWQ1cEfTQ//j1a82K6Rqark52SJ&#10;BUN//Ob99Y93n26+fvn+8frntw8pvvrMKE9mdT4UhFnYNR52wa8xKd/VaFitlX9LU9V7QerYrrd6&#10;f7Ra7iITdDjJz06fnHAmKDWePp5OJyeJPht4Ep/HEJ9JZ1gKSh4igmrauHDW0l91ONSA7fMQB+At&#10;IIGtWymt6RwKbVlHNSZnOQkUQBNb06RQaDypDrbhDHRDT0FE7NsOTqsqwRM6YLNZaGRboAFarXL6&#10;Dn3+dS3VXkJoh3t9Kl2DwqhIr0Urkwy+RUMRQemntmJx78lwQHTdgVZbciG5PPiaoo2r9r3d/TkN&#10;Qu/TYWjTpP2579G/H+r8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GTWjXfZAAAACgEAAA8AAAAA&#10;AAAAAQAgAAAAIgAAAGRycy9kb3ducmV2LnhtbFBLAQIUABQAAAAIAIdO4kBOyFJlEwIAAPADAAAO&#10;AAAAAAAAAAEAIAAAACgBAABkcnMvZTJvRG9jLnhtbFBLBQYAAAAABgAGAFkBAACtBQAAAAA=&#10;">
                      <v:fill on="f" focussize="0,0"/>
                      <v:stroke weight="1pt" color="#FF0000 [3204]" miterlimit="8" joinstyle="miter" endarrow="open"/>
                      <v:imagedata o:title=""/>
                      <o:lock v:ext="edit" aspectratio="f"/>
                    </v:shape>
                  </w:pict>
                </mc:Fallback>
              </mc:AlternateContent>
            </w:r>
            <w:r>
              <w:rPr>
                <w:sz w:val="24"/>
                <w:szCs w:val="24"/>
              </w:rPr>
              <w:drawing>
                <wp:inline distT="0" distB="0" distL="114300" distR="114300">
                  <wp:extent cx="5397500" cy="2588260"/>
                  <wp:effectExtent l="0" t="0" r="12700" b="2540"/>
                  <wp:docPr id="4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2"/>
                          <pic:cNvPicPr>
                            <a:picLocks noChangeAspect="1"/>
                          </pic:cNvPicPr>
                        </pic:nvPicPr>
                        <pic:blipFill>
                          <a:blip r:embed="rId31"/>
                          <a:stretch>
                            <a:fillRect/>
                          </a:stretch>
                        </pic:blipFill>
                        <pic:spPr>
                          <a:xfrm>
                            <a:off x="0" y="0"/>
                            <a:ext cx="5397500" cy="2588260"/>
                          </a:xfrm>
                          <a:prstGeom prst="rect">
                            <a:avLst/>
                          </a:prstGeom>
                          <a:noFill/>
                          <a:ln>
                            <a:noFill/>
                          </a:ln>
                        </pic:spPr>
                      </pic:pic>
                    </a:graphicData>
                  </a:graphic>
                </wp:inline>
              </w:drawing>
            </w:r>
          </w:p>
        </w:tc>
      </w:tr>
      <w:tr w14:paraId="49C51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gridSpan w:val="2"/>
            <w:vAlign w:val="center"/>
          </w:tcPr>
          <w:p w14:paraId="2B7B7261">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auto"/>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果朗河</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K31+870~K32+970</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段河道现状</w:t>
            </w:r>
          </w:p>
        </w:tc>
      </w:tr>
      <w:tr w14:paraId="555AE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gridSpan w:val="2"/>
            <w:vAlign w:val="center"/>
          </w:tcPr>
          <w:p w14:paraId="4C554001">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auto"/>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sz w:val="24"/>
              </w:rPr>
              <mc:AlternateContent>
                <mc:Choice Requires="wps">
                  <w:drawing>
                    <wp:anchor distT="0" distB="0" distL="114300" distR="114300" simplePos="0" relativeHeight="251698176" behindDoc="0" locked="0" layoutInCell="1" allowOverlap="1">
                      <wp:simplePos x="0" y="0"/>
                      <wp:positionH relativeFrom="column">
                        <wp:posOffset>2665730</wp:posOffset>
                      </wp:positionH>
                      <wp:positionV relativeFrom="paragraph">
                        <wp:posOffset>1901825</wp:posOffset>
                      </wp:positionV>
                      <wp:extent cx="128905" cy="697230"/>
                      <wp:effectExtent l="6350" t="1270" r="47625" b="2540"/>
                      <wp:wrapNone/>
                      <wp:docPr id="83" name="直接箭头连接符 83"/>
                      <wp:cNvGraphicFramePr/>
                      <a:graphic xmlns:a="http://schemas.openxmlformats.org/drawingml/2006/main">
                        <a:graphicData uri="http://schemas.microsoft.com/office/word/2010/wordprocessingShape">
                          <wps:wsp>
                            <wps:cNvCnPr/>
                            <wps:spPr>
                              <a:xfrm>
                                <a:off x="0" y="0"/>
                                <a:ext cx="128905" cy="69723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09.9pt;margin-top:149.75pt;height:54.9pt;width:10.15pt;z-index:251698176;mso-width-relative:page;mso-height-relative:page;" filled="f" stroked="t" coordsize="21600,21600" o:gfxdata="UEsDBAoAAAAAAIdO4kAAAAAAAAAAAAAAAAAEAAAAZHJzL1BLAwQUAAAACACHTuJAfzaWYtgAAAAL&#10;AQAADwAAAGRycy9kb3ducmV2LnhtbE2PzU7DMBCE70i8g7VI3KidEhAJcXooghuCtsDZjTc/qr2O&#10;Yqctb89ygtuOdjTzTbU6eyeOOMUhkIZsoUAgNcEO1Gn42D3fPICIyZA1LhBq+MYIq/ryojKlDSfa&#10;4HGbOsEhFEujoU9pLKWMTY/exEUYkfjXhsmbxHLqpJ3MicO9k0ul7qU3A3FDb0Zc99gctrPX8PR5&#10;UO/968v4ZQf3Nse5pfWu1fr6KlOPIBKe058ZfvEZHWpm2oeZbBROQ54VjJ40LIviDgQ78lxlIPZ8&#10;qOIWZF3J/xvqH1BLAwQUAAAACACHTuJAy8NtGgsCAADlAwAADgAAAGRycy9lMm9Eb2MueG1srVPN&#10;jtMwEL4j8Q6W7zRpV+xP1XQPLeWCoBLwAK7jJJb8pxlv074EL4DECTjBnvbO08DyGIyd0oXlsgdy&#10;SMaezDf+vvk8u9xZw7YKUHtX8fGo5Ew56Wvt2oq/fbN6cs4ZRuFqYbxTFd8r5Jfzx49mfZiqie+8&#10;qRUwAnE47UPFuxjDtChQdsoKHPmgHCUbD1ZEWkJb1CB6QremmJTladF7qAN4qRBpdzkk+QERHgLo&#10;m0ZLtfTyyioXB1RQRkSihJ0OyOf5tE2jZHzVNKgiMxUnpjG/qQnFm/Qu5jMxbUGETsvDEcRDjnCP&#10;kxXaUdMj1FJEwa5A/wNltQSPvokj6W0xEMmKEItxeU+b150IKnMhqTEcRcf/BytfbtfAdF3x8xPO&#10;nLA08dv3Nz/efbq9/vr9483Pbx9S/OUzozyJ1QecUs3CreGwwrCGxHzXgE1f4sR2WeD9UWC1i0zS&#10;5nhyflE+5UxS6vTibHKSB1DcFQfA+Fx5y1JQcYwgdNvFhXeORulhnEUW2xcYqT0V/i5InZ1faWPy&#10;RI1jfWp3VtKgpSCbNmQPCm0gquhazoRpyf8yQoZEb3SdyhMQQrtZGGBbQa5ZrUp6Endq99dvqfdS&#10;YDf8l1ODn6yOdEWMtqRqKj7YLAptnrmaxX0glQWA7w+wxhF6knYQM0UbX++zxnmfpp/7H5ya7PXn&#10;Olff3c75L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82lmLYAAAACwEAAA8AAAAAAAAAAQAgAAAA&#10;IgAAAGRycy9kb3ducmV2LnhtbFBLAQIUABQAAAAIAIdO4kDLw20aCwIAAOUDAAAOAAAAAAAAAAEA&#10;IAAAACcBAABkcnMvZTJvRG9jLnhtbFBLBQYAAAAABgAGAFkBAACkBQAAAAA=&#10;">
                      <v:fill on="f" focussize="0,0"/>
                      <v:stroke weight="1pt" color="#FF00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97152" behindDoc="0" locked="0" layoutInCell="1" allowOverlap="1">
                      <wp:simplePos x="0" y="0"/>
                      <wp:positionH relativeFrom="column">
                        <wp:posOffset>2929255</wp:posOffset>
                      </wp:positionH>
                      <wp:positionV relativeFrom="paragraph">
                        <wp:posOffset>1016635</wp:posOffset>
                      </wp:positionV>
                      <wp:extent cx="1172210" cy="375285"/>
                      <wp:effectExtent l="0" t="6350" r="16510" b="29845"/>
                      <wp:wrapNone/>
                      <wp:docPr id="82" name="直接箭头连接符 82"/>
                      <wp:cNvGraphicFramePr/>
                      <a:graphic xmlns:a="http://schemas.openxmlformats.org/drawingml/2006/main">
                        <a:graphicData uri="http://schemas.microsoft.com/office/word/2010/wordprocessingShape">
                          <wps:wsp>
                            <wps:cNvCnPr/>
                            <wps:spPr>
                              <a:xfrm flipH="1">
                                <a:off x="0" y="0"/>
                                <a:ext cx="1172210" cy="37528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30.65pt;margin-top:80.05pt;height:29.55pt;width:92.3pt;z-index:251697152;mso-width-relative:page;mso-height-relative:page;" filled="f" stroked="t" coordsize="21600,21600" o:gfxdata="UEsDBAoAAAAAAIdO4kAAAAAAAAAAAAAAAAAEAAAAZHJzL1BLAwQUAAAACACHTuJA0sbmZ9gAAAAL&#10;AQAADwAAAGRycy9kb3ducmV2LnhtbE2PwU7DMBBE70j8g7VI3Kjt0FptiNNDJbggIVEQZzfexmlj&#10;O8ROW/6e5USPq3maeVutL75nJxxTF4MGORPAMDTRdqHV8Pnx/LAElrIJ1vQxoIYfTLCub28qU9p4&#10;Du942uaWUUlIpdHgch5KzlPj0Js0iwMGyvZx9CbTObbcjuZM5b7nhRCKe9MFWnBmwI3D5ridvAYb&#10;25flV/EtxKsTC7V5s9P+kLW+v5PiCVjGS/6H4U+f1KEmp12cgk2s1zBX8pFQCpSQwIhQ88UK2E5D&#10;IVcF8Lri1z/Uv1BLAwQUAAAACACHTuJAK6EAWhICAADwAwAADgAAAGRycy9lMm9Eb2MueG1srVPN&#10;jtMwEL4j8Q6W7zRt0NIqarqHlsIBQSXgAaaOk1jyn8bepn0JXgCJE3ACTnvnaWB5DMZJKLBc9kAO&#10;0djj75v5Po+Xl0ej2UFiUM6WfDaZciatcJWyTclfv9o+WHAWItgKtLOy5CcZ+OXq/r1l5wuZu9bp&#10;SiIjEhuKzpe8jdEXWRZEKw2EifPSUrJ2aCDSEpusQuiI3egsn04fZZ3DyqMTMgTa3QxJPjLiXQhd&#10;XSshN05cGWnjwIpSQyRJoVU+8FXfbV1LEV/UdZCR6ZKT0tj/qQjF+/TPVksoGgTfKjG2AHdp4ZYm&#10;A8pS0TPVBiKwK1T/UBkl0AVXx4lwJhuE9I6Qitn0ljcvW/Cy10JWB382Pfw/WvH8sEOmqpIvcs4s&#10;GLrxm7fX3998uPny+dv76x9f36X400dGeTKr86EgzNrucFwFv8Ok/FijYbVW/ilNVe8FqWPH3urT&#10;2Wp5jEzQ5mw2z/MZ3YKg3MP5Rb64SPTZwJP4PIb4RDrDUlDyEBFU08a1s5Zu1eFQAw7PQhyAvwAJ&#10;bN1WaU37UGjLOqqXz6epGtDE1jQpFBpPqoNtOAPd0FMQEfu2g9OqSvCEDtjs1xrZAWiAttspfWOf&#10;fx1LtTcQ2uFcn0rHoDAq0mvRypDBCTxOXASlH9uKxZMnwwHRdSOttuRCcnnwNUV7V516u/t9GoTe&#10;p3Fo06T9ue7Rvx/q6i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SxuZn2AAAAAsBAAAPAAAAAAAA&#10;AAEAIAAAACIAAABkcnMvZG93bnJldi54bWxQSwECFAAUAAAACACHTuJAK6EAWhICAADwAwAADgAA&#10;AAAAAAABACAAAAAnAQAAZHJzL2Uyb0RvYy54bWxQSwUGAAAAAAYABgBZAQAAqwUAAAAA&#10;">
                      <v:fill on="f" focussize="0,0"/>
                      <v:stroke weight="1pt" color="#FF00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96128" behindDoc="0" locked="0" layoutInCell="1" allowOverlap="1">
                      <wp:simplePos x="0" y="0"/>
                      <wp:positionH relativeFrom="column">
                        <wp:posOffset>4646930</wp:posOffset>
                      </wp:positionH>
                      <wp:positionV relativeFrom="paragraph">
                        <wp:posOffset>178435</wp:posOffset>
                      </wp:positionV>
                      <wp:extent cx="187325" cy="633095"/>
                      <wp:effectExtent l="23495" t="1905" r="17780" b="5080"/>
                      <wp:wrapNone/>
                      <wp:docPr id="81" name="直接箭头连接符 81"/>
                      <wp:cNvGraphicFramePr/>
                      <a:graphic xmlns:a="http://schemas.openxmlformats.org/drawingml/2006/main">
                        <a:graphicData uri="http://schemas.microsoft.com/office/word/2010/wordprocessingShape">
                          <wps:wsp>
                            <wps:cNvCnPr/>
                            <wps:spPr>
                              <a:xfrm flipH="1">
                                <a:off x="0" y="0"/>
                                <a:ext cx="187325" cy="63309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65.9pt;margin-top:14.05pt;height:49.85pt;width:14.75pt;z-index:251696128;mso-width-relative:page;mso-height-relative:page;" filled="f" stroked="t" coordsize="21600,21600" o:gfxdata="UEsDBAoAAAAAAIdO4kAAAAAAAAAAAAAAAAAEAAAAZHJzL1BLAwQUAAAACACHTuJAJ2OibtcAAAAK&#10;AQAADwAAAGRycy9kb3ducmV2LnhtbE2PwU7DMBBE70j8g7VI3KidVCRRiNNDJbggIVEqzm68jQPx&#10;OsROW/6e5QTH1TzNvG02Fz+KE85xCKQhWykQSF2wA/Ua9m+PdxWImAxZMwZCDd8YYdNeXzWmtuFM&#10;r3japV5wCcXaaHApTbWUsXPoTVyFCYmzY5i9SXzOvbSzOXO5H2WuVCG9GYgXnJlw67D73C1egw39&#10;U/Wefyn17NR9sX2xy/EjaX17k6kHEAkv6Q+GX31Wh5adDmEhG8WooVxnrJ405FUGgoGyyNYgDkzm&#10;ZQWybeT/F9ofUEsDBBQAAAAIAIdO4kAL/zLPFAIAAO8DAAAOAAAAZHJzL2Uyb0RvYy54bWytU82O&#10;0zAQviPxDpbvNGmr3S3RpntoKRwQVAIeYNZxEkv+09jbtC/BCyBxAk4sp73zNLA8BuMkFFgueyCH&#10;aOzx9818n8fnF3uj2U5iUM6WfDrJOZNWuErZpuRvXm8eLTgLEWwF2llZ8oMM/GL58MF55ws5c63T&#10;lURGJDYUnS95G6MvsiyIVhoIE+elpWTt0ECkJTZZhdARu9HZLM9Ps85h5dEJGQLtrockHxnxPoSu&#10;rpWQayeujLRxYEWpIZKk0Cof+LLvtq6liC/rOsjIdMlJaez/VITiy/TPludQNAi+VWJsAe7Twh1N&#10;BpSlokeqNURgV6j+oTJKoAuujhPhTDYI6R0hFdP8jjevWvCy10JWB380Pfw/WvFit0WmqpIvppxZ&#10;MHTjt+9uvr/9ePvl+tuHmx9f36f48ydGeTKr86EgzMpucVwFv8WkfF+jYbVW/hlNVe8FqWP73urD&#10;0Wq5j0zQ5nRxNp+dcCYodTqf549PEns20CQ6jyE+lc6wFJQ8RATVtHHlrKVLdTiUgN3zEAfgL0AC&#10;W7dRWtM+FNqyjsrNznK6cgE0sDUNCoXGk+hgG85AN/QSRMS+6+C0qhI8oQM2lyuNbAc0P5tNTt/Y&#10;51/HUu01hHY416fSMSiMivRYtDLkbwKPAxdB6Se2YvHgyW9AdN1Iqy25kEwebE3RpasOvdv9Ps1B&#10;79M4s2nQ/lz36N/vdPkT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J2OibtcAAAAKAQAADwAAAAAA&#10;AAABACAAAAAiAAAAZHJzL2Rvd25yZXYueG1sUEsBAhQAFAAAAAgAh07iQAv/Ms8UAgAA7wMAAA4A&#10;AAAAAAAAAQAgAAAAJgEAAGRycy9lMm9Eb2MueG1sUEsFBgAAAAAGAAYAWQEAAKwFAAAAAA==&#10;">
                      <v:fill on="f" focussize="0,0"/>
                      <v:stroke weight="1pt" color="#FF0000 [3204]" miterlimit="8" joinstyle="miter" endarrow="open"/>
                      <v:imagedata o:title=""/>
                      <o:lock v:ext="edit" aspectratio="f"/>
                    </v:shape>
                  </w:pict>
                </mc:Fallback>
              </mc:AlternateContent>
            </w:r>
            <w:r>
              <w:rPr>
                <w:sz w:val="24"/>
                <w:szCs w:val="24"/>
              </w:rPr>
              <w:drawing>
                <wp:inline distT="0" distB="0" distL="114300" distR="114300">
                  <wp:extent cx="5397500" cy="2725420"/>
                  <wp:effectExtent l="0" t="0" r="12700" b="2540"/>
                  <wp:docPr id="5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3"/>
                          <pic:cNvPicPr>
                            <a:picLocks noChangeAspect="1"/>
                          </pic:cNvPicPr>
                        </pic:nvPicPr>
                        <pic:blipFill>
                          <a:blip r:embed="rId32"/>
                          <a:stretch>
                            <a:fillRect/>
                          </a:stretch>
                        </pic:blipFill>
                        <pic:spPr>
                          <a:xfrm>
                            <a:off x="0" y="0"/>
                            <a:ext cx="5397500" cy="2725420"/>
                          </a:xfrm>
                          <a:prstGeom prst="rect">
                            <a:avLst/>
                          </a:prstGeom>
                          <a:noFill/>
                          <a:ln>
                            <a:noFill/>
                          </a:ln>
                        </pic:spPr>
                      </pic:pic>
                    </a:graphicData>
                  </a:graphic>
                </wp:inline>
              </w:drawing>
            </w:r>
          </w:p>
        </w:tc>
      </w:tr>
      <w:tr w14:paraId="03C86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gridSpan w:val="2"/>
            <w:vAlign w:val="center"/>
          </w:tcPr>
          <w:p w14:paraId="75CB2941">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auto"/>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果朗河</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K31+870~K32+970</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段河道现状</w:t>
            </w:r>
          </w:p>
        </w:tc>
      </w:tr>
      <w:tr w14:paraId="62C0E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gridSpan w:val="2"/>
            <w:vAlign w:val="center"/>
          </w:tcPr>
          <w:p w14:paraId="6D67229D">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auto"/>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sz w:val="24"/>
              </w:rPr>
              <mc:AlternateContent>
                <mc:Choice Requires="wps">
                  <w:drawing>
                    <wp:anchor distT="0" distB="0" distL="114300" distR="114300" simplePos="0" relativeHeight="251701248" behindDoc="0" locked="0" layoutInCell="1" allowOverlap="1">
                      <wp:simplePos x="0" y="0"/>
                      <wp:positionH relativeFrom="column">
                        <wp:posOffset>2337435</wp:posOffset>
                      </wp:positionH>
                      <wp:positionV relativeFrom="paragraph">
                        <wp:posOffset>782320</wp:posOffset>
                      </wp:positionV>
                      <wp:extent cx="146685" cy="474980"/>
                      <wp:effectExtent l="22860" t="0" r="13335" b="12700"/>
                      <wp:wrapNone/>
                      <wp:docPr id="86" name="直接箭头连接符 86"/>
                      <wp:cNvGraphicFramePr/>
                      <a:graphic xmlns:a="http://schemas.openxmlformats.org/drawingml/2006/main">
                        <a:graphicData uri="http://schemas.microsoft.com/office/word/2010/wordprocessingShape">
                          <wps:wsp>
                            <wps:cNvCnPr/>
                            <wps:spPr>
                              <a:xfrm flipH="1" flipV="1">
                                <a:off x="0" y="0"/>
                                <a:ext cx="146685" cy="47498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84.05pt;margin-top:61.6pt;height:37.4pt;width:11.55pt;z-index:251701248;mso-width-relative:page;mso-height-relative:page;" filled="f" stroked="t" coordsize="21600,21600" o:gfxdata="UEsDBAoAAAAAAIdO4kAAAAAAAAAAAAAAAAAEAAAAZHJzL1BLAwQUAAAACACHTuJAQi/bs9cAAAAL&#10;AQAADwAAAGRycy9kb3ducmV2LnhtbE2PzWrDMBCE74W8g9hAb438Q4PtWM6hUDC9Nc4DKJZkm1gr&#10;IylO8vbdntrb7s4w+019fNiZrdqHyaGAdJcA09g7NeEg4Nx9vhXAQpSo5OxQC3jqAMdm81LLSrk7&#10;fuv1FAdGIRgqKWCMcak4D/2orQw7t2gkzThvZaTVD1x5eadwO/MsSfbcygnpwygX/THq/nq6WQHl&#10;YjDrOpOv17N5N1/PtvRtK8TrNk0OwKJ+xD8z/OITOjTEdHE3VIHNAvJ9kZKVhCzPgJEjL1MaLnQp&#10;iwR4U/P/HZofUEsDBBQAAAAIAIdO4kDhryJpGAIAAPkDAAAOAAAAZHJzL2Uyb0RvYy54bWytU72O&#10;EzEQ7pF4B8s92U0UciHK5oqEQIHgJH56x2vvWvKfxr5s8hK8ABIVUB1U1/M0cDwGY+8S4GiuYAtr&#10;7Nn5Zr7Pn5fnB6PJXkBQzlZ0PCopEZa7Wtmmoq9fbR/MKQmR2ZppZ0VFjyLQ89X9e8vOL8TEtU7X&#10;AgiC2LDofEXbGP2iKAJvhWFh5LywmJQODIu4haaogXWIbnQxKctZ0TmoPTguQsDTTZ+kAyLcBdBJ&#10;qbjYOH5phI09KgjNIlIKrfKBrvK0UgoeX0gZRCS6osg05hWbYLxLa7FaskUDzLeKDyOwu4xwi5Nh&#10;ymLTE9SGRUYuQf0DZRQHF5yMI+5M0RPJiiCLcXlLm5ct8yJzQamDP4ke/h8sf76/AKLqis5nlFhm&#10;8MZv3l1/f/vx5svnbx+uf3x9n+KrTwTzKFbnwwJr1vYChl3wF5CYHyQYIrXyT9FVNEdvUpRyyJMc&#10;sujHk+jiEAnHw/F0Nps/pIRjano2fTTPl1L0gKnYQ4hPhDMkBRUNEZhq2rh21uL1OuhbsP2zEHEk&#10;LPxVkIqt2yqt8y1rSzpsNzkr8fI5Q+tKtAyGxiP9YBtKmG7wTfAIeergtKpTeQIK0OzWGsieoZO2&#10;2xK/pAe2++u31HvDQtv/l1O9x4yK+Gy0Mqh0Kh6sF5nSj21N4tGj8gzAdQOstoie5O4FTtHO1ces&#10;ez5HR+T+g3uT5f7c5+rfL3b1E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EIv27PXAAAACwEAAA8A&#10;AAAAAAAAAQAgAAAAIgAAAGRycy9kb3ducmV2LnhtbFBLAQIUABQAAAAIAIdO4kDhryJpGAIAAPkD&#10;AAAOAAAAAAAAAAEAIAAAACYBAABkcnMvZTJvRG9jLnhtbFBLBQYAAAAABgAGAFkBAACwBQAAAAA=&#10;">
                      <v:fill on="f" focussize="0,0"/>
                      <v:stroke weight="1pt" color="#FF00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700224" behindDoc="0" locked="0" layoutInCell="1" allowOverlap="1">
                      <wp:simplePos x="0" y="0"/>
                      <wp:positionH relativeFrom="column">
                        <wp:posOffset>2689225</wp:posOffset>
                      </wp:positionH>
                      <wp:positionV relativeFrom="paragraph">
                        <wp:posOffset>1392555</wp:posOffset>
                      </wp:positionV>
                      <wp:extent cx="563245" cy="187960"/>
                      <wp:effectExtent l="0" t="20320" r="15875" b="20320"/>
                      <wp:wrapNone/>
                      <wp:docPr id="85" name="直接箭头连接符 85"/>
                      <wp:cNvGraphicFramePr/>
                      <a:graphic xmlns:a="http://schemas.openxmlformats.org/drawingml/2006/main">
                        <a:graphicData uri="http://schemas.microsoft.com/office/word/2010/wordprocessingShape">
                          <wps:wsp>
                            <wps:cNvCnPr/>
                            <wps:spPr>
                              <a:xfrm flipH="1" flipV="1">
                                <a:off x="0" y="0"/>
                                <a:ext cx="563245" cy="18796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11.75pt;margin-top:109.65pt;height:14.8pt;width:44.35pt;z-index:251700224;mso-width-relative:page;mso-height-relative:page;" filled="f" stroked="t" coordsize="21600,21600" o:gfxdata="UEsDBAoAAAAAAIdO4kAAAAAAAAAAAAAAAAAEAAAAZHJzL1BLAwQUAAAACACHTuJA+3qSx9gAAAAL&#10;AQAADwAAAGRycy9kb3ducmV2LnhtbE2PQW6DMBBF95V6B2sqddcYTIgCxWRRqRLqriEHcLANKHiM&#10;sEOS23e6apcz8/Tn/epwdxNbzRJGjxLSTQLMYOf1iL2EU/v5tgcWokKtJo9GwsMEONTPT5Uqtb/h&#10;t1mPsWcUgqFUEoYY55Lz0A3GqbDxs0G6Wb84FWlceq4XdaNwN3GRJDvu1Ij0YVCz+RhMdzlenYRi&#10;tija1mbr5WRz+/VoiqVppHx9SZN3YNHc4x8Mv/qkDjU5nf0VdWCThK3IckIliLTIgBGRp0IAO9Nm&#10;uy+A1xX/36H+AVBLAwQUAAAACACHTuJAgWmM2xcCAAD5AwAADgAAAGRycy9lMm9Eb2MueG1srVO9&#10;jhMxEO6ReAfLPdlN4HIhyuaKhECBIBI/veO1dy35T2NfNnkJXgCJCqiA6nqeBo7HYOxdAhzNFWxh&#10;jT0738z3+fPi4mA02QsIytmKjkclJcJyVyvbVPTVy829GSUhMlsz7ayo6FEEerG8e2fR+bmYuNbp&#10;WgBBEBvmna9oG6OfF0XgrTAsjJwXFpPSgWERt9AUNbAO0Y0uJmU5LToHtQfHRQh4uu6TdECE2wA6&#10;KRUXa8cvjbCxRwWhWURKoVU+0GWeVkrB43Mpg4hEVxSZxrxiE4x3aS2WCzZvgPlW8WEEdpsRbnAy&#10;TFlseoJas8jIJah/oIzi4IKTccSdKXoiWRFkMS5vaPOiZV5kLih18CfRw/+D5c/2WyCqrujsjBLL&#10;DN749dur728+XH/5/O391Y+v71L86SPBPIrV+TDHmpXdwrALfguJ+UGCIVIr/wRdRXP0OkUphzzJ&#10;IYt+PIkuDpFwPDyb3p88wN4cU+PZ+cNpvpSiB0zFHkJ8LJwhKahoiMBU08aVsxav10Hfgu2fhogj&#10;YeGvglRs3UZpnW9ZW9Jhi8l5iZfPGVpXomUwNB7pB9tQwnSDb4JHyFMHp1WdyhNQgGa30kD2DJ20&#10;2ZT4JT2w3V+/pd5rFtr+v5zqPWZUxGejlUGlU/FgvciUfmRrEo8elWcArhtgtUX0JHcvcIp2rj5m&#10;3fM5OiL3H9ybLPfnPlf/frHL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t6ksfYAAAACwEAAA8A&#10;AAAAAAAAAQAgAAAAIgAAAGRycy9kb3ducmV2LnhtbFBLAQIUABQAAAAIAIdO4kCBaYzbFwIAAPkD&#10;AAAOAAAAAAAAAAEAIAAAACcBAABkcnMvZTJvRG9jLnhtbFBLBQYAAAAABgAGAFkBAACwBQAAAAA=&#10;">
                      <v:fill on="f" focussize="0,0"/>
                      <v:stroke weight="1pt" color="#FF00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99200" behindDoc="0" locked="0" layoutInCell="1" allowOverlap="1">
                      <wp:simplePos x="0" y="0"/>
                      <wp:positionH relativeFrom="column">
                        <wp:posOffset>2794635</wp:posOffset>
                      </wp:positionH>
                      <wp:positionV relativeFrom="paragraph">
                        <wp:posOffset>1843405</wp:posOffset>
                      </wp:positionV>
                      <wp:extent cx="568325" cy="293370"/>
                      <wp:effectExtent l="3175" t="5080" r="7620" b="6350"/>
                      <wp:wrapNone/>
                      <wp:docPr id="84" name="直接箭头连接符 84"/>
                      <wp:cNvGraphicFramePr/>
                      <a:graphic xmlns:a="http://schemas.openxmlformats.org/drawingml/2006/main">
                        <a:graphicData uri="http://schemas.microsoft.com/office/word/2010/wordprocessingShape">
                          <wps:wsp>
                            <wps:cNvCnPr/>
                            <wps:spPr>
                              <a:xfrm flipV="1">
                                <a:off x="0" y="0"/>
                                <a:ext cx="568325" cy="29337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20.05pt;margin-top:145.15pt;height:23.1pt;width:44.75pt;z-index:251699200;mso-width-relative:page;mso-height-relative:page;" filled="f" stroked="t" coordsize="21600,21600" o:gfxdata="UEsDBAoAAAAAAIdO4kAAAAAAAAAAAAAAAAAEAAAAZHJzL1BLAwQUAAAACACHTuJAF4lk/tkAAAAL&#10;AQAADwAAAGRycy9kb3ducmV2LnhtbE2PwU7DMBBE70j8g7VI3KidpInaNJseKsEFCYmCOLvxNkmJ&#10;1yF22vL3mBMcV/M087baXu0gzjT53jFCslAgiBtnem4R3t8eH1YgfNBs9OCYEL7Jw7a+val0adyF&#10;X+m8D62IJexLjdCFMJZS+qYjq/3CjcQxO7rJ6hDPqZVm0pdYbgeZKlVIq3uOC50eaddR87mfLYJx&#10;7dPqI/1S6rlTebF7MfPxFBDv7xK1ARHoGv5g+NWP6lBHp4Ob2XgxICyXKokoQrpWGYhI5Om6AHFA&#10;yLIiB1lX8v8P9Q9QSwMEFAAAAAgAh07iQHFbhdcUAgAA7wMAAA4AAABkcnMvZTJvRG9jLnhtbK1T&#10;vY4TMRDukXgHyz3ZvYS7C1E2VySEBsFJ/PSO17tryX+a8WWTl+AFkKiACqiu52ngeAzG3hDgaK5g&#10;C8v27Hwz3zef5xc7a9hWAWrvKn4yKjlTTvpau7bir16uH0w5wyhcLYx3quJ7hfxicf/evA8zNfad&#10;N7UCRiAOZ32oeBdjmBUFyk5ZgSMflKNg48GKSEdoixpET+jWFOOyPCt6D3UALxUi3a6GID8gwl0A&#10;fdNoqVZeXlnl4oAKyohIlLDTAfkid9s0SsbnTYMqMlNxYhrzSkVov0lrsZiLWQsidFoeWhB3aeEW&#10;Jyu0o6JHqJWIgl2B/gfKagkefRNH0ttiIJIVIRYn5S1tXnQiqMyFpMZwFB3/H6x8tr0EpuuKTx9y&#10;5oSlid+8vf7+5sPNl8/f3l//+Pou7T99ZBQnsfqAM8pZuks4nDBcQmK+a8CyxujwmlyVtSB2bJel&#10;3h+lVrvIJF2enk0n41POJIXGjyaT8zyKYoBJcAEwPlHesrSpOEYQuu3i0jtHQ/UwlBDbpxipEUr8&#10;lZCSnV9rY/JsjWM9NTQ+L2nkUpBhGzIKbW0g0uhazoRp6SXICLlr9EbXKT0BIbSbpQG2FeSf9bqk&#10;L6lA5f76LdVeCeyG/3JocJbVkR6L0Zb0TckHw0WhzWNXs7gPpLcA8P0B1jhCTyIPsqbdxtf7rHa+&#10;Jx/k+gfPJqP9ec7Zv9/p4i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XiWT+2QAAAAsBAAAPAAAA&#10;AAAAAAEAIAAAACIAAABkcnMvZG93bnJldi54bWxQSwECFAAUAAAACACHTuJAcVuF1xQCAADvAwAA&#10;DgAAAAAAAAABACAAAAAoAQAAZHJzL2Uyb0RvYy54bWxQSwUGAAAAAAYABgBZAQAArgUAAAAA&#10;">
                      <v:fill on="f" focussize="0,0"/>
                      <v:stroke weight="1pt" color="#FF0000 [3204]" miterlimit="8" joinstyle="miter" endarrow="open"/>
                      <v:imagedata o:title=""/>
                      <o:lock v:ext="edit" aspectratio="f"/>
                    </v:shape>
                  </w:pict>
                </mc:Fallback>
              </mc:AlternateContent>
            </w:r>
            <w:r>
              <w:rPr>
                <w:sz w:val="24"/>
                <w:szCs w:val="24"/>
              </w:rPr>
              <w:drawing>
                <wp:inline distT="0" distB="0" distL="114300" distR="114300">
                  <wp:extent cx="5397500" cy="2374900"/>
                  <wp:effectExtent l="0" t="0" r="12700" b="2540"/>
                  <wp:docPr id="5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4"/>
                          <pic:cNvPicPr>
                            <a:picLocks noChangeAspect="1"/>
                          </pic:cNvPicPr>
                        </pic:nvPicPr>
                        <pic:blipFill>
                          <a:blip r:embed="rId33"/>
                          <a:stretch>
                            <a:fillRect/>
                          </a:stretch>
                        </pic:blipFill>
                        <pic:spPr>
                          <a:xfrm>
                            <a:off x="0" y="0"/>
                            <a:ext cx="5397500" cy="2374900"/>
                          </a:xfrm>
                          <a:prstGeom prst="rect">
                            <a:avLst/>
                          </a:prstGeom>
                          <a:noFill/>
                          <a:ln>
                            <a:noFill/>
                          </a:ln>
                        </pic:spPr>
                      </pic:pic>
                    </a:graphicData>
                  </a:graphic>
                </wp:inline>
              </w:drawing>
            </w:r>
          </w:p>
        </w:tc>
      </w:tr>
      <w:tr w14:paraId="42B5C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gridSpan w:val="2"/>
            <w:vAlign w:val="center"/>
          </w:tcPr>
          <w:p w14:paraId="754973D3">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auto"/>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果朗河</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K32+970~K34+435</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段河道现状</w:t>
            </w:r>
          </w:p>
        </w:tc>
      </w:tr>
      <w:tr w14:paraId="6482C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7" w:type="dxa"/>
            <w:vAlign w:val="center"/>
          </w:tcPr>
          <w:p w14:paraId="4A9A3416">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auto"/>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sz w:val="24"/>
              </w:rPr>
              <mc:AlternateContent>
                <mc:Choice Requires="wps">
                  <w:drawing>
                    <wp:anchor distT="0" distB="0" distL="114300" distR="114300" simplePos="0" relativeHeight="251702272" behindDoc="0" locked="0" layoutInCell="1" allowOverlap="1">
                      <wp:simplePos x="0" y="0"/>
                      <wp:positionH relativeFrom="column">
                        <wp:posOffset>285750</wp:posOffset>
                      </wp:positionH>
                      <wp:positionV relativeFrom="paragraph">
                        <wp:posOffset>1112520</wp:posOffset>
                      </wp:positionV>
                      <wp:extent cx="1066800" cy="299085"/>
                      <wp:effectExtent l="1905" t="25400" r="13335" b="10795"/>
                      <wp:wrapNone/>
                      <wp:docPr id="87" name="直接箭头连接符 87"/>
                      <wp:cNvGraphicFramePr/>
                      <a:graphic xmlns:a="http://schemas.openxmlformats.org/drawingml/2006/main">
                        <a:graphicData uri="http://schemas.microsoft.com/office/word/2010/wordprocessingShape">
                          <wps:wsp>
                            <wps:cNvCnPr/>
                            <wps:spPr>
                              <a:xfrm flipV="1">
                                <a:off x="0" y="0"/>
                                <a:ext cx="1066800" cy="29908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2.5pt;margin-top:87.6pt;height:23.55pt;width:84pt;z-index:251702272;mso-width-relative:page;mso-height-relative:page;" filled="f" stroked="t" coordsize="21600,21600" o:gfxdata="UEsDBAoAAAAAAIdO4kAAAAAAAAAAAAAAAAAEAAAAZHJzL1BLAwQUAAAACACHTuJAPs0ebtcAAAAK&#10;AQAADwAAAGRycy9kb3ducmV2LnhtbE2PQU/DMAyF70j8h8hI3FjSjI6pNN1hElyQkBiIc9Z4TaFx&#10;SpNu499jTnCzn5+ev1dvzmEQR5xSH8lAsVAgkNroeuoMvL0+3KxBpGzJ2SESGvjGBJvm8qK2lYsn&#10;esHjLneCQyhV1oDPeaykTK3HYNMijkh8O8Qp2Mzr1Ek32ROHh0FqpVYy2J74g7cjbj22n7s5GHCx&#10;e1y/6y+lnrwqV9tnNx8+sjHXV4W6B5HxnP/M8IvP6NAw0z7O5JIYDNyWXCWzfldqEGzQxZKVPQ9a&#10;L0E2tfxfofkBUEsDBBQAAAAIAIdO4kDK9E7WEgIAAPADAAAOAAAAZHJzL2Uyb0RvYy54bWytU81u&#10;1DAQviPxDpbvNOlKtNtosz3sslwQVOLnPnWcxJL/NHY3uy/BCyBxAk7QU+88DZTHYOyEBcqlB3KI&#10;7Bl/38z3ebw43xnNthKDcrbmx0clZ9IK1yjb1fz1q82jOWchgm1AOytrvpeBny8fPlgMvpIz1zvd&#10;SGREYkM1+Jr3MfqqKILopYFw5Ly0lGwdGoi0xa5oEAZiN7qYleVJMThsPDohQ6DoekzyiRHvQ+ja&#10;Vgm5duLKSBtHVpQaIkkKvfKBL3O3bStFfNG2QUama05KY/5TEVpfpn+xXEDVIfheiakFuE8LdzQZ&#10;UJaKHqjWEIFdofqHyiiBLrg2HglnilFIdoRUHJd3vHnZg5dZC1kd/MH08P9oxfPtBTLV1Hx+ypkF&#10;Qzd+++7m+9uPt9dfvn24+fH1fVp//sQoT2YNPlSEWdkLnHbBX2BSvmvRsFYr/4amKntB6tguW70/&#10;WC13kQkKHpcnJ/OSbkFQbnZ2Vs4fJ/pi5El8HkN8Kp1haVHzEBFU18eVs5Zu1eFYA7bPQhyBvwAJ&#10;bN1GaU1xqLRlA9WbneZqQBPb0qRQYeNJdbAdZ6A7egoiYm47OK2aBE/ogN3lSiPbAg3QZlPSN/X5&#10;17FUew2hH8/lVDoGlVGRXotWhgxO4GniIij9xDYs7j0ZDohumGi1JReSy6OvaXXpmn22O8dpELJP&#10;09CmSftzn9G/H+ryJ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D7NHm7XAAAACgEAAA8AAAAAAAAA&#10;AQAgAAAAIgAAAGRycy9kb3ducmV2LnhtbFBLAQIUABQAAAAIAIdO4kDK9E7WEgIAAPADAAAOAAAA&#10;AAAAAAEAIAAAACYBAABkcnMvZTJvRG9jLnhtbFBLBQYAAAAABgAGAFkBAACqBQAAAAA=&#10;">
                      <v:fill on="f" focussize="0,0"/>
                      <v:stroke weight="1pt" color="#FF0000 [3204]" miterlimit="8" joinstyle="miter" endarrow="open"/>
                      <v:imagedata o:title=""/>
                      <o:lock v:ext="edit" aspectratio="f"/>
                    </v:shape>
                  </w:pict>
                </mc:Fallback>
              </mc:AlternateContent>
            </w:r>
            <w:r>
              <w:rPr>
                <w:sz w:val="24"/>
                <w:szCs w:val="24"/>
              </w:rPr>
              <w:drawing>
                <wp:inline distT="0" distB="0" distL="114300" distR="114300">
                  <wp:extent cx="2649855" cy="2300605"/>
                  <wp:effectExtent l="0" t="0" r="1905" b="635"/>
                  <wp:docPr id="5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5"/>
                          <pic:cNvPicPr>
                            <a:picLocks noChangeAspect="1"/>
                          </pic:cNvPicPr>
                        </pic:nvPicPr>
                        <pic:blipFill>
                          <a:blip r:embed="rId34"/>
                          <a:stretch>
                            <a:fillRect/>
                          </a:stretch>
                        </pic:blipFill>
                        <pic:spPr>
                          <a:xfrm>
                            <a:off x="0" y="0"/>
                            <a:ext cx="2649855" cy="2300605"/>
                          </a:xfrm>
                          <a:prstGeom prst="rect">
                            <a:avLst/>
                          </a:prstGeom>
                          <a:noFill/>
                          <a:ln>
                            <a:noFill/>
                          </a:ln>
                        </pic:spPr>
                      </pic:pic>
                    </a:graphicData>
                  </a:graphic>
                </wp:inline>
              </w:drawing>
            </w:r>
          </w:p>
        </w:tc>
        <w:tc>
          <w:tcPr>
            <w:tcW w:w="4353" w:type="dxa"/>
            <w:vAlign w:val="center"/>
          </w:tcPr>
          <w:p w14:paraId="3876904F">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auto"/>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sz w:val="24"/>
              </w:rPr>
              <mc:AlternateContent>
                <mc:Choice Requires="wps">
                  <w:drawing>
                    <wp:anchor distT="0" distB="0" distL="114300" distR="114300" simplePos="0" relativeHeight="251703296" behindDoc="0" locked="0" layoutInCell="1" allowOverlap="1">
                      <wp:simplePos x="0" y="0"/>
                      <wp:positionH relativeFrom="column">
                        <wp:posOffset>537210</wp:posOffset>
                      </wp:positionH>
                      <wp:positionV relativeFrom="paragraph">
                        <wp:posOffset>767080</wp:posOffset>
                      </wp:positionV>
                      <wp:extent cx="808990" cy="749935"/>
                      <wp:effectExtent l="4445" t="0" r="9525" b="12065"/>
                      <wp:wrapNone/>
                      <wp:docPr id="88" name="直接箭头连接符 88"/>
                      <wp:cNvGraphicFramePr/>
                      <a:graphic xmlns:a="http://schemas.openxmlformats.org/drawingml/2006/main">
                        <a:graphicData uri="http://schemas.microsoft.com/office/word/2010/wordprocessingShape">
                          <wps:wsp>
                            <wps:cNvCnPr/>
                            <wps:spPr>
                              <a:xfrm flipV="1">
                                <a:off x="0" y="0"/>
                                <a:ext cx="808990" cy="74993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42.3pt;margin-top:60.4pt;height:59.05pt;width:63.7pt;z-index:251703296;mso-width-relative:page;mso-height-relative:page;" filled="f" stroked="t" coordsize="21600,21600" o:gfxdata="UEsDBAoAAAAAAIdO4kAAAAAAAAAAAAAAAAAEAAAAZHJzL1BLAwQUAAAACACHTuJAtQ2UtdYAAAAK&#10;AQAADwAAAGRycy9kb3ducmV2LnhtbE2PQU/DMAyF70j7D5EncWPJClSla7rDJLggITEQ56zxmm6N&#10;0zXpNv495gS3Z/vp+XvV+up7ccYxdoE0LBcKBFITbEeths+P57sCREyGrOkDoYZvjLCuZzeVKW24&#10;0Duet6kVHEKxNBpcSkMpZWwcehMXYUDi2z6M3iQex1ba0Vw43PcyUyqX3nTEH5wZcOOwOW4nr8GG&#10;9qX4yk5KvTr1mG/e7LQ/JK1v50u1ApHwmv7M8IvP6FAz0y5MZKPoNRQPOTt5nymuwIaMFYgdi/vi&#10;CWRdyf8V6h9QSwMEFAAAAAgAh07iQD5Fx/YSAgAA7wMAAA4AAABkcnMvZTJvRG9jLnhtbK1TzY7T&#10;MBC+I/EOlu802fKzbdR0Dy3lgmAlfu5Tx0ks+U9jb9O+BC+AxAk4LZz2ztPA8hiMk2yB5bIHcojG&#10;M55v5vtmvDjbG812EoNytuQnk5wzaYWrlG1K/ub15sGMsxDBVqCdlSU/yMDPlvfvLTpfyKlrna4k&#10;MgKxoeh8ydsYfZFlQbTSQJg4Ly0Fa4cGIh2xySqEjtCNzqZ5/iTrHFYenZAhkHc9BPmIiHcBdHWt&#10;hFw7cWGkjQMqSg2RKIVW+cCXfbd1LUV8WddBRqZLTkxj/6ciZG/TP1suoGgQfKvE2ALcpYVbnAwo&#10;S0WPUGuIwC5Q/QNllEAXXB0nwplsINIrQixO8lvavGrBy54LSR38UfTw/2DFi905MlWVfEZzt2Bo&#10;4tfvr368+3T99cv3j1c/v31I9uVnRnESq/OhoJyVPcfxFPw5Jub7Gg2rtfJvaat6LYgd2/dSH45S&#10;y31kgpyzfDaf0xAEhU4fzecPHyf0bIBJcB5DfCadYckoeYgIqmnjyllLQ3U4lIDd8xCHxJuElGzd&#10;RmlNfii0ZR01ND3NUzWgha1pUcg0nkgH23AGuqGXICL2XQenVZXSU3bAZrvSyHZA+7PZ5PSNff51&#10;LdVeQ2iHe30oXYPCqEiPRSuTGN9kQxFB6ae2YvHgSW9AdN0Iqy2pkEQeZE3W1lWHXu3eT3vQ6zTu&#10;bFq0P8999u93uvw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tQ2UtdYAAAAKAQAADwAAAAAAAAAB&#10;ACAAAAAiAAAAZHJzL2Rvd25yZXYueG1sUEsBAhQAFAAAAAgAh07iQD5Fx/YSAgAA7wMAAA4AAAAA&#10;AAAAAQAgAAAAJQEAAGRycy9lMm9Eb2MueG1sUEsFBgAAAAAGAAYAWQEAAKkFAAAAAA==&#10;">
                      <v:fill on="f" focussize="0,0"/>
                      <v:stroke weight="1pt" color="#FF0000 [3204]" miterlimit="8" joinstyle="miter" endarrow="open"/>
                      <v:imagedata o:title=""/>
                      <o:lock v:ext="edit" aspectratio="f"/>
                    </v:shape>
                  </w:pict>
                </mc:Fallback>
              </mc:AlternateContent>
            </w:r>
            <w:r>
              <w:rPr>
                <w:sz w:val="24"/>
                <w:szCs w:val="24"/>
              </w:rPr>
              <w:drawing>
                <wp:inline distT="0" distB="0" distL="114300" distR="114300">
                  <wp:extent cx="2665095" cy="2341245"/>
                  <wp:effectExtent l="0" t="0" r="1905" b="5715"/>
                  <wp:docPr id="5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6"/>
                          <pic:cNvPicPr>
                            <a:picLocks noChangeAspect="1"/>
                          </pic:cNvPicPr>
                        </pic:nvPicPr>
                        <pic:blipFill>
                          <a:blip r:embed="rId35"/>
                          <a:stretch>
                            <a:fillRect/>
                          </a:stretch>
                        </pic:blipFill>
                        <pic:spPr>
                          <a:xfrm>
                            <a:off x="0" y="0"/>
                            <a:ext cx="2665095" cy="2341245"/>
                          </a:xfrm>
                          <a:prstGeom prst="rect">
                            <a:avLst/>
                          </a:prstGeom>
                          <a:noFill/>
                          <a:ln>
                            <a:noFill/>
                          </a:ln>
                        </pic:spPr>
                      </pic:pic>
                    </a:graphicData>
                  </a:graphic>
                </wp:inline>
              </w:drawing>
            </w:r>
          </w:p>
        </w:tc>
      </w:tr>
      <w:tr w14:paraId="0CD1D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gridSpan w:val="2"/>
            <w:vAlign w:val="center"/>
          </w:tcPr>
          <w:p w14:paraId="266C84CD">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center"/>
              <w:textAlignment w:val="auto"/>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rFonts w:hint="eastAsia" w:ascii="宋体" w:hAnsi="宋体" w:cs="宋体"/>
                <w:b/>
                <w:bCs/>
                <w:color w:val="000000" w:themeColor="text1"/>
                <w:kern w:val="0"/>
                <w:sz w:val="24"/>
                <w:szCs w:val="24"/>
                <w:lang w:val="en-US" w:eastAsia="zh-CN" w:bidi="ar"/>
                <w14:textFill>
                  <w14:solidFill>
                    <w14:schemeClr w14:val="tx1"/>
                  </w14:solidFill>
                </w14:textFill>
              </w:rPr>
              <w:t>果</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朗河</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K32+970~K34+435</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段河道现状照片</w:t>
            </w:r>
          </w:p>
        </w:tc>
      </w:tr>
    </w:tbl>
    <w:p w14:paraId="646861AE">
      <w:pPr>
        <w:ind w:left="0" w:leftChars="0" w:firstLine="0" w:firstLineChars="0"/>
        <w:rPr>
          <w:rFonts w:hint="eastAsia" w:cs="Times New Roman"/>
          <w:color w:val="auto"/>
          <w:lang w:val="en-US" w:eastAsia="zh-CN"/>
        </w:rPr>
      </w:pPr>
    </w:p>
    <w:p w14:paraId="06E24347">
      <w:pPr>
        <w:rPr>
          <w:rFonts w:hint="eastAsia" w:cs="Times New Roman"/>
          <w:color w:val="auto"/>
          <w:lang w:val="en-US" w:eastAsia="zh-CN"/>
        </w:rPr>
      </w:pPr>
    </w:p>
    <w:p w14:paraId="1BEA6549">
      <w:pPr>
        <w:rPr>
          <w:rFonts w:hint="eastAsia" w:cs="Times New Roman"/>
          <w:color w:val="auto"/>
          <w:lang w:val="en-US" w:eastAsia="zh-CN"/>
        </w:rPr>
      </w:pPr>
    </w:p>
    <w:p w14:paraId="04F6224D">
      <w:pPr>
        <w:rPr>
          <w:rFonts w:hint="eastAsia"/>
          <w:color w:val="auto"/>
          <w:lang w:val="en-US" w:eastAsia="zh-CN"/>
        </w:rPr>
        <w:sectPr>
          <w:footerReference r:id="rId7" w:type="default"/>
          <w:pgSz w:w="11906" w:h="16838"/>
          <w:pgMar w:top="1134" w:right="1701" w:bottom="1134" w:left="1701"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14:paraId="5D3EB28F">
      <w:pPr>
        <w:rPr>
          <w:rFonts w:hint="eastAsia"/>
          <w:color w:val="auto"/>
          <w:lang w:val="en-US" w:eastAsia="zh-CN"/>
        </w:rPr>
      </w:pPr>
    </w:p>
    <w:sdt>
      <w:sdtPr>
        <w:rPr>
          <w:rFonts w:ascii="宋体" w:hAnsi="宋体" w:eastAsia="宋体" w:cs="Times New Roman"/>
          <w:b/>
          <w:bCs/>
          <w:color w:val="000000" w:themeColor="text1"/>
          <w:kern w:val="2"/>
          <w:sz w:val="48"/>
          <w:szCs w:val="48"/>
          <w:lang w:val="en-US" w:eastAsia="zh-CN" w:bidi="ar-SA"/>
          <w14:textFill>
            <w14:solidFill>
              <w14:schemeClr w14:val="tx1"/>
            </w14:solidFill>
          </w14:textFill>
        </w:rPr>
        <w:id w:val="147464436"/>
        <w15:color w:val="DBDBDB"/>
        <w:docPartObj>
          <w:docPartGallery w:val="Table of Contents"/>
          <w:docPartUnique/>
        </w:docPartObj>
      </w:sdtPr>
      <w:sdtEndPr>
        <w:rPr>
          <w:rFonts w:ascii="宋体" w:hAnsi="宋体" w:eastAsia="宋体" w:cs="Times New Roman"/>
          <w:b/>
          <w:bCs/>
          <w:color w:val="000000" w:themeColor="text1"/>
          <w:kern w:val="2"/>
          <w:sz w:val="48"/>
          <w:szCs w:val="48"/>
          <w:lang w:val="en-US" w:eastAsia="zh-CN" w:bidi="ar-SA"/>
          <w14:textFill>
            <w14:solidFill>
              <w14:schemeClr w14:val="tx1"/>
            </w14:solidFill>
          </w14:textFill>
        </w:rPr>
      </w:sdtEndPr>
      <w:sdtContent>
        <w:p w14:paraId="1CCD3EDC">
          <w:pPr>
            <w:spacing w:before="0" w:beforeLines="0" w:after="0" w:afterLines="0" w:line="240" w:lineRule="auto"/>
            <w:ind w:left="0" w:leftChars="0" w:right="0" w:rightChars="0" w:firstLine="0" w:firstLineChars="0"/>
            <w:jc w:val="center"/>
            <w:rPr>
              <w:b/>
              <w:bCs/>
              <w:sz w:val="48"/>
              <w:szCs w:val="48"/>
            </w:rPr>
          </w:pPr>
          <w:r>
            <w:rPr>
              <w:rFonts w:ascii="宋体" w:hAnsi="宋体" w:eastAsia="宋体"/>
              <w:b/>
              <w:bCs/>
              <w:sz w:val="48"/>
              <w:szCs w:val="48"/>
            </w:rPr>
            <w:t>目录</w:t>
          </w:r>
        </w:p>
        <w:p w14:paraId="4E3760B5">
          <w:pPr>
            <w:pStyle w:val="15"/>
            <w:tabs>
              <w:tab w:val="right" w:leader="dot" w:pos="8504"/>
            </w:tabs>
            <w:rPr>
              <w:sz w:val="28"/>
              <w:szCs w:val="28"/>
            </w:rPr>
          </w:pPr>
          <w:r>
            <w:fldChar w:fldCharType="begin"/>
          </w:r>
          <w:r>
            <w:instrText xml:space="preserve">TOC \o "1-1" \h \u </w:instrText>
          </w:r>
          <w:r>
            <w:fldChar w:fldCharType="separate"/>
          </w:r>
        </w:p>
        <w:p w14:paraId="5D8D4C50">
          <w:pPr>
            <w:pStyle w:val="15"/>
            <w:tabs>
              <w:tab w:val="right" w:leader="dot" w:pos="8504"/>
            </w:tabs>
            <w:rPr>
              <w:sz w:val="28"/>
              <w:szCs w:val="28"/>
            </w:rPr>
          </w:pPr>
          <w:r>
            <w:rPr>
              <w:sz w:val="28"/>
              <w:szCs w:val="28"/>
            </w:rPr>
            <w:fldChar w:fldCharType="begin"/>
          </w:r>
          <w:r>
            <w:rPr>
              <w:sz w:val="28"/>
              <w:szCs w:val="28"/>
            </w:rPr>
            <w:instrText xml:space="preserve"> HYPERLINK \l _Toc15414 </w:instrText>
          </w:r>
          <w:r>
            <w:rPr>
              <w:sz w:val="28"/>
              <w:szCs w:val="28"/>
            </w:rPr>
            <w:fldChar w:fldCharType="separate"/>
          </w:r>
          <w:r>
            <w:rPr>
              <w:rFonts w:hint="default"/>
              <w:sz w:val="28"/>
              <w:szCs w:val="28"/>
            </w:rPr>
            <w:t>一、建设项目基本情况</w:t>
          </w:r>
          <w:r>
            <w:rPr>
              <w:sz w:val="28"/>
              <w:szCs w:val="28"/>
            </w:rPr>
            <w:tab/>
          </w:r>
          <w:r>
            <w:rPr>
              <w:sz w:val="28"/>
              <w:szCs w:val="28"/>
            </w:rPr>
            <w:fldChar w:fldCharType="begin"/>
          </w:r>
          <w:r>
            <w:rPr>
              <w:sz w:val="28"/>
              <w:szCs w:val="28"/>
            </w:rPr>
            <w:instrText xml:space="preserve"> PAGEREF _Toc15414 \h </w:instrText>
          </w:r>
          <w:r>
            <w:rPr>
              <w:sz w:val="28"/>
              <w:szCs w:val="28"/>
            </w:rPr>
            <w:fldChar w:fldCharType="separate"/>
          </w:r>
          <w:r>
            <w:rPr>
              <w:sz w:val="28"/>
              <w:szCs w:val="28"/>
            </w:rPr>
            <w:t>3</w:t>
          </w:r>
          <w:r>
            <w:rPr>
              <w:sz w:val="28"/>
              <w:szCs w:val="28"/>
            </w:rPr>
            <w:fldChar w:fldCharType="end"/>
          </w:r>
          <w:r>
            <w:rPr>
              <w:sz w:val="28"/>
              <w:szCs w:val="28"/>
            </w:rPr>
            <w:fldChar w:fldCharType="end"/>
          </w:r>
        </w:p>
        <w:p w14:paraId="0DCBA4CE">
          <w:pPr>
            <w:pStyle w:val="15"/>
            <w:tabs>
              <w:tab w:val="right" w:leader="dot" w:pos="8504"/>
            </w:tabs>
            <w:rPr>
              <w:sz w:val="28"/>
              <w:szCs w:val="28"/>
            </w:rPr>
          </w:pPr>
          <w:r>
            <w:rPr>
              <w:sz w:val="28"/>
              <w:szCs w:val="28"/>
            </w:rPr>
            <w:fldChar w:fldCharType="begin"/>
          </w:r>
          <w:r>
            <w:rPr>
              <w:sz w:val="28"/>
              <w:szCs w:val="28"/>
            </w:rPr>
            <w:instrText xml:space="preserve"> HYPERLINK \l _Toc20857 </w:instrText>
          </w:r>
          <w:r>
            <w:rPr>
              <w:sz w:val="28"/>
              <w:szCs w:val="28"/>
            </w:rPr>
            <w:fldChar w:fldCharType="separate"/>
          </w:r>
          <w:r>
            <w:rPr>
              <w:rFonts w:hint="default"/>
              <w:sz w:val="28"/>
              <w:szCs w:val="28"/>
            </w:rPr>
            <w:t>二、建设内容</w:t>
          </w:r>
          <w:r>
            <w:rPr>
              <w:sz w:val="28"/>
              <w:szCs w:val="28"/>
            </w:rPr>
            <w:tab/>
          </w:r>
          <w:r>
            <w:rPr>
              <w:sz w:val="28"/>
              <w:szCs w:val="28"/>
            </w:rPr>
            <w:fldChar w:fldCharType="begin"/>
          </w:r>
          <w:r>
            <w:rPr>
              <w:sz w:val="28"/>
              <w:szCs w:val="28"/>
            </w:rPr>
            <w:instrText xml:space="preserve"> PAGEREF _Toc20857 \h </w:instrText>
          </w:r>
          <w:r>
            <w:rPr>
              <w:sz w:val="28"/>
              <w:szCs w:val="28"/>
            </w:rPr>
            <w:fldChar w:fldCharType="separate"/>
          </w:r>
          <w:r>
            <w:rPr>
              <w:sz w:val="28"/>
              <w:szCs w:val="28"/>
            </w:rPr>
            <w:t>28</w:t>
          </w:r>
          <w:r>
            <w:rPr>
              <w:sz w:val="28"/>
              <w:szCs w:val="28"/>
            </w:rPr>
            <w:fldChar w:fldCharType="end"/>
          </w:r>
          <w:r>
            <w:rPr>
              <w:sz w:val="28"/>
              <w:szCs w:val="28"/>
            </w:rPr>
            <w:fldChar w:fldCharType="end"/>
          </w:r>
        </w:p>
        <w:p w14:paraId="0AA8CCEC">
          <w:pPr>
            <w:pStyle w:val="15"/>
            <w:tabs>
              <w:tab w:val="right" w:leader="dot" w:pos="8504"/>
            </w:tabs>
            <w:rPr>
              <w:sz w:val="28"/>
              <w:szCs w:val="28"/>
            </w:rPr>
          </w:pPr>
          <w:r>
            <w:rPr>
              <w:sz w:val="28"/>
              <w:szCs w:val="28"/>
            </w:rPr>
            <w:fldChar w:fldCharType="begin"/>
          </w:r>
          <w:r>
            <w:rPr>
              <w:sz w:val="28"/>
              <w:szCs w:val="28"/>
            </w:rPr>
            <w:instrText xml:space="preserve"> HYPERLINK \l _Toc24076 </w:instrText>
          </w:r>
          <w:r>
            <w:rPr>
              <w:sz w:val="28"/>
              <w:szCs w:val="28"/>
            </w:rPr>
            <w:fldChar w:fldCharType="separate"/>
          </w:r>
          <w:r>
            <w:rPr>
              <w:rFonts w:hint="default"/>
              <w:sz w:val="28"/>
              <w:szCs w:val="28"/>
            </w:rPr>
            <w:t>三、生态环境现状、保护目标及评价标准</w:t>
          </w:r>
          <w:r>
            <w:rPr>
              <w:sz w:val="28"/>
              <w:szCs w:val="28"/>
            </w:rPr>
            <w:tab/>
          </w:r>
          <w:r>
            <w:rPr>
              <w:sz w:val="28"/>
              <w:szCs w:val="28"/>
            </w:rPr>
            <w:fldChar w:fldCharType="begin"/>
          </w:r>
          <w:r>
            <w:rPr>
              <w:sz w:val="28"/>
              <w:szCs w:val="28"/>
            </w:rPr>
            <w:instrText xml:space="preserve"> PAGEREF _Toc24076 \h </w:instrText>
          </w:r>
          <w:r>
            <w:rPr>
              <w:sz w:val="28"/>
              <w:szCs w:val="28"/>
            </w:rPr>
            <w:fldChar w:fldCharType="separate"/>
          </w:r>
          <w:r>
            <w:rPr>
              <w:sz w:val="28"/>
              <w:szCs w:val="28"/>
            </w:rPr>
            <w:t>60</w:t>
          </w:r>
          <w:r>
            <w:rPr>
              <w:sz w:val="28"/>
              <w:szCs w:val="28"/>
            </w:rPr>
            <w:fldChar w:fldCharType="end"/>
          </w:r>
          <w:r>
            <w:rPr>
              <w:sz w:val="28"/>
              <w:szCs w:val="28"/>
            </w:rPr>
            <w:fldChar w:fldCharType="end"/>
          </w:r>
        </w:p>
        <w:p w14:paraId="3C6D2ADF">
          <w:pPr>
            <w:pStyle w:val="15"/>
            <w:tabs>
              <w:tab w:val="right" w:leader="dot" w:pos="8504"/>
            </w:tabs>
            <w:rPr>
              <w:sz w:val="28"/>
              <w:szCs w:val="28"/>
            </w:rPr>
          </w:pPr>
          <w:r>
            <w:rPr>
              <w:sz w:val="28"/>
              <w:szCs w:val="28"/>
            </w:rPr>
            <w:fldChar w:fldCharType="begin"/>
          </w:r>
          <w:r>
            <w:rPr>
              <w:sz w:val="28"/>
              <w:szCs w:val="28"/>
            </w:rPr>
            <w:instrText xml:space="preserve"> HYPERLINK \l _Toc9840 </w:instrText>
          </w:r>
          <w:r>
            <w:rPr>
              <w:sz w:val="28"/>
              <w:szCs w:val="28"/>
            </w:rPr>
            <w:fldChar w:fldCharType="separate"/>
          </w:r>
          <w:r>
            <w:rPr>
              <w:rFonts w:hint="default"/>
              <w:sz w:val="28"/>
              <w:szCs w:val="28"/>
            </w:rPr>
            <w:t>四、生态环境影响分析</w:t>
          </w:r>
          <w:r>
            <w:rPr>
              <w:sz w:val="28"/>
              <w:szCs w:val="28"/>
            </w:rPr>
            <w:tab/>
          </w:r>
          <w:r>
            <w:rPr>
              <w:sz w:val="28"/>
              <w:szCs w:val="28"/>
            </w:rPr>
            <w:fldChar w:fldCharType="begin"/>
          </w:r>
          <w:r>
            <w:rPr>
              <w:sz w:val="28"/>
              <w:szCs w:val="28"/>
            </w:rPr>
            <w:instrText xml:space="preserve"> PAGEREF _Toc9840 \h </w:instrText>
          </w:r>
          <w:r>
            <w:rPr>
              <w:sz w:val="28"/>
              <w:szCs w:val="28"/>
            </w:rPr>
            <w:fldChar w:fldCharType="separate"/>
          </w:r>
          <w:r>
            <w:rPr>
              <w:sz w:val="28"/>
              <w:szCs w:val="28"/>
            </w:rPr>
            <w:t>78</w:t>
          </w:r>
          <w:r>
            <w:rPr>
              <w:sz w:val="28"/>
              <w:szCs w:val="28"/>
            </w:rPr>
            <w:fldChar w:fldCharType="end"/>
          </w:r>
          <w:r>
            <w:rPr>
              <w:sz w:val="28"/>
              <w:szCs w:val="28"/>
            </w:rPr>
            <w:fldChar w:fldCharType="end"/>
          </w:r>
        </w:p>
        <w:p w14:paraId="09780E34">
          <w:pPr>
            <w:pStyle w:val="15"/>
            <w:tabs>
              <w:tab w:val="right" w:leader="dot" w:pos="8504"/>
            </w:tabs>
            <w:rPr>
              <w:sz w:val="28"/>
              <w:szCs w:val="28"/>
            </w:rPr>
          </w:pPr>
          <w:r>
            <w:rPr>
              <w:sz w:val="28"/>
              <w:szCs w:val="28"/>
            </w:rPr>
            <w:fldChar w:fldCharType="begin"/>
          </w:r>
          <w:r>
            <w:rPr>
              <w:sz w:val="28"/>
              <w:szCs w:val="28"/>
            </w:rPr>
            <w:instrText xml:space="preserve"> HYPERLINK \l _Toc18777 </w:instrText>
          </w:r>
          <w:r>
            <w:rPr>
              <w:sz w:val="28"/>
              <w:szCs w:val="28"/>
            </w:rPr>
            <w:fldChar w:fldCharType="separate"/>
          </w:r>
          <w:r>
            <w:rPr>
              <w:rFonts w:hint="default"/>
              <w:sz w:val="28"/>
              <w:szCs w:val="28"/>
            </w:rPr>
            <w:t>五、主要生态环境保护措施</w:t>
          </w:r>
          <w:r>
            <w:rPr>
              <w:sz w:val="28"/>
              <w:szCs w:val="28"/>
            </w:rPr>
            <w:tab/>
          </w:r>
          <w:r>
            <w:rPr>
              <w:sz w:val="28"/>
              <w:szCs w:val="28"/>
            </w:rPr>
            <w:fldChar w:fldCharType="begin"/>
          </w:r>
          <w:r>
            <w:rPr>
              <w:sz w:val="28"/>
              <w:szCs w:val="28"/>
            </w:rPr>
            <w:instrText xml:space="preserve"> PAGEREF _Toc18777 \h </w:instrText>
          </w:r>
          <w:r>
            <w:rPr>
              <w:sz w:val="28"/>
              <w:szCs w:val="28"/>
            </w:rPr>
            <w:fldChar w:fldCharType="separate"/>
          </w:r>
          <w:r>
            <w:rPr>
              <w:sz w:val="28"/>
              <w:szCs w:val="28"/>
            </w:rPr>
            <w:t>96</w:t>
          </w:r>
          <w:r>
            <w:rPr>
              <w:sz w:val="28"/>
              <w:szCs w:val="28"/>
            </w:rPr>
            <w:fldChar w:fldCharType="end"/>
          </w:r>
          <w:r>
            <w:rPr>
              <w:sz w:val="28"/>
              <w:szCs w:val="28"/>
            </w:rPr>
            <w:fldChar w:fldCharType="end"/>
          </w:r>
        </w:p>
        <w:p w14:paraId="1E36E48D">
          <w:pPr>
            <w:pStyle w:val="15"/>
            <w:tabs>
              <w:tab w:val="right" w:leader="dot" w:pos="8504"/>
            </w:tabs>
            <w:rPr>
              <w:sz w:val="28"/>
              <w:szCs w:val="28"/>
            </w:rPr>
          </w:pPr>
          <w:r>
            <w:rPr>
              <w:sz w:val="28"/>
              <w:szCs w:val="28"/>
            </w:rPr>
            <w:fldChar w:fldCharType="begin"/>
          </w:r>
          <w:r>
            <w:rPr>
              <w:sz w:val="28"/>
              <w:szCs w:val="28"/>
            </w:rPr>
            <w:instrText xml:space="preserve"> HYPERLINK \l _Toc22802 </w:instrText>
          </w:r>
          <w:r>
            <w:rPr>
              <w:sz w:val="28"/>
              <w:szCs w:val="28"/>
            </w:rPr>
            <w:fldChar w:fldCharType="separate"/>
          </w:r>
          <w:r>
            <w:rPr>
              <w:rFonts w:hint="default"/>
              <w:sz w:val="28"/>
              <w:szCs w:val="28"/>
            </w:rPr>
            <w:t>六、生态环境保护措施监督检查清单</w:t>
          </w:r>
          <w:r>
            <w:rPr>
              <w:sz w:val="28"/>
              <w:szCs w:val="28"/>
            </w:rPr>
            <w:tab/>
          </w:r>
          <w:r>
            <w:rPr>
              <w:sz w:val="28"/>
              <w:szCs w:val="28"/>
            </w:rPr>
            <w:fldChar w:fldCharType="begin"/>
          </w:r>
          <w:r>
            <w:rPr>
              <w:sz w:val="28"/>
              <w:szCs w:val="28"/>
            </w:rPr>
            <w:instrText xml:space="preserve"> PAGEREF _Toc22802 \h </w:instrText>
          </w:r>
          <w:r>
            <w:rPr>
              <w:sz w:val="28"/>
              <w:szCs w:val="28"/>
            </w:rPr>
            <w:fldChar w:fldCharType="separate"/>
          </w:r>
          <w:r>
            <w:rPr>
              <w:sz w:val="28"/>
              <w:szCs w:val="28"/>
            </w:rPr>
            <w:t>106</w:t>
          </w:r>
          <w:r>
            <w:rPr>
              <w:sz w:val="28"/>
              <w:szCs w:val="28"/>
            </w:rPr>
            <w:fldChar w:fldCharType="end"/>
          </w:r>
          <w:r>
            <w:rPr>
              <w:sz w:val="28"/>
              <w:szCs w:val="28"/>
            </w:rPr>
            <w:fldChar w:fldCharType="end"/>
          </w:r>
        </w:p>
        <w:p w14:paraId="4C5E0608">
          <w:pPr>
            <w:pStyle w:val="15"/>
            <w:tabs>
              <w:tab w:val="right" w:leader="dot" w:pos="8504"/>
            </w:tabs>
            <w:rPr>
              <w:sz w:val="28"/>
              <w:szCs w:val="28"/>
            </w:rPr>
          </w:pPr>
          <w:r>
            <w:rPr>
              <w:sz w:val="28"/>
              <w:szCs w:val="28"/>
            </w:rPr>
            <w:fldChar w:fldCharType="begin"/>
          </w:r>
          <w:r>
            <w:rPr>
              <w:sz w:val="28"/>
              <w:szCs w:val="28"/>
            </w:rPr>
            <w:instrText xml:space="preserve"> HYPERLINK \l _Toc14968 </w:instrText>
          </w:r>
          <w:r>
            <w:rPr>
              <w:sz w:val="28"/>
              <w:szCs w:val="28"/>
            </w:rPr>
            <w:fldChar w:fldCharType="separate"/>
          </w:r>
          <w:r>
            <w:rPr>
              <w:rFonts w:hint="default"/>
              <w:sz w:val="28"/>
              <w:szCs w:val="28"/>
            </w:rPr>
            <w:t>七、结论</w:t>
          </w:r>
          <w:r>
            <w:rPr>
              <w:sz w:val="28"/>
              <w:szCs w:val="28"/>
            </w:rPr>
            <w:tab/>
          </w:r>
          <w:r>
            <w:rPr>
              <w:sz w:val="28"/>
              <w:szCs w:val="28"/>
            </w:rPr>
            <w:fldChar w:fldCharType="begin"/>
          </w:r>
          <w:r>
            <w:rPr>
              <w:sz w:val="28"/>
              <w:szCs w:val="28"/>
            </w:rPr>
            <w:instrText xml:space="preserve"> PAGEREF _Toc14968 \h </w:instrText>
          </w:r>
          <w:r>
            <w:rPr>
              <w:sz w:val="28"/>
              <w:szCs w:val="28"/>
            </w:rPr>
            <w:fldChar w:fldCharType="separate"/>
          </w:r>
          <w:r>
            <w:rPr>
              <w:sz w:val="28"/>
              <w:szCs w:val="28"/>
            </w:rPr>
            <w:t>110</w:t>
          </w:r>
          <w:r>
            <w:rPr>
              <w:sz w:val="28"/>
              <w:szCs w:val="28"/>
            </w:rPr>
            <w:fldChar w:fldCharType="end"/>
          </w:r>
          <w:r>
            <w:rPr>
              <w:sz w:val="28"/>
              <w:szCs w:val="28"/>
            </w:rPr>
            <w:fldChar w:fldCharType="end"/>
          </w:r>
        </w:p>
        <w:p w14:paraId="437BFF99">
          <w:r>
            <w:fldChar w:fldCharType="end"/>
          </w:r>
        </w:p>
      </w:sdtContent>
    </w:sdt>
    <w:p w14:paraId="15AE4853">
      <w:pPr>
        <w:pStyle w:val="36"/>
        <w:bidi w:val="0"/>
        <w:ind w:left="0" w:leftChars="0" w:firstLine="0" w:firstLineChars="0"/>
        <w:outlineLvl w:val="0"/>
        <w:rPr>
          <w:rFonts w:hint="eastAsia"/>
          <w:b/>
          <w:bCs/>
          <w:color w:val="auto"/>
          <w:lang w:val="en-US" w:eastAsia="zh-CN"/>
        </w:rPr>
      </w:pPr>
      <w:bookmarkStart w:id="5" w:name="_Toc17373"/>
      <w:bookmarkStart w:id="6" w:name="_Toc29519"/>
      <w:r>
        <w:rPr>
          <w:rFonts w:hint="eastAsia"/>
          <w:b/>
          <w:bCs/>
          <w:color w:val="auto"/>
          <w:lang w:val="en-US" w:eastAsia="zh-CN"/>
        </w:rPr>
        <w:t>附件</w:t>
      </w:r>
      <w:bookmarkEnd w:id="5"/>
      <w:bookmarkEnd w:id="6"/>
    </w:p>
    <w:p w14:paraId="4F4C88F2">
      <w:pPr>
        <w:pStyle w:val="36"/>
        <w:bidi w:val="0"/>
        <w:rPr>
          <w:rFonts w:hint="eastAsia"/>
          <w:color w:val="auto"/>
          <w:lang w:val="en-US" w:eastAsia="zh-CN"/>
        </w:rPr>
      </w:pPr>
      <w:r>
        <w:rPr>
          <w:rFonts w:hint="eastAsia"/>
          <w:color w:val="auto"/>
          <w:lang w:val="en-US" w:eastAsia="zh-CN"/>
        </w:rPr>
        <w:t>附件1 项目环评委托书；</w:t>
      </w:r>
    </w:p>
    <w:p w14:paraId="181BED7F">
      <w:pPr>
        <w:pStyle w:val="36"/>
        <w:bidi w:val="0"/>
        <w:rPr>
          <w:rFonts w:hint="eastAsia"/>
          <w:color w:val="auto"/>
          <w:lang w:val="en-US" w:eastAsia="zh-CN"/>
        </w:rPr>
      </w:pPr>
      <w:r>
        <w:rPr>
          <w:rFonts w:hint="eastAsia"/>
          <w:color w:val="auto"/>
          <w:lang w:val="en-US" w:eastAsia="zh-CN"/>
        </w:rPr>
        <w:t>附件2 德宏州水利局关于准予芒市果朗河大新寨至芒里大桥段治理工程初步设计报告的行政许可决定书(德水规计许﹝2023﹞16号）；</w:t>
      </w:r>
    </w:p>
    <w:p w14:paraId="567D0CE9">
      <w:pPr>
        <w:pStyle w:val="36"/>
        <w:bidi w:val="0"/>
        <w:rPr>
          <w:rFonts w:hint="eastAsia"/>
          <w:color w:val="auto"/>
          <w:lang w:val="en-US" w:eastAsia="zh-CN"/>
        </w:rPr>
      </w:pPr>
      <w:r>
        <w:rPr>
          <w:rFonts w:hint="eastAsia"/>
          <w:color w:val="auto"/>
          <w:lang w:val="en-US" w:eastAsia="zh-CN"/>
        </w:rPr>
        <w:t>附件3 云南省水利水电勘测设计研究院关于芒市果朗河大新寨至芒里大桥段治理工程初步设计报告省级合规性审核意见；</w:t>
      </w:r>
    </w:p>
    <w:p w14:paraId="686460CD">
      <w:pPr>
        <w:pStyle w:val="36"/>
        <w:bidi w:val="0"/>
        <w:rPr>
          <w:rFonts w:hint="default"/>
          <w:color w:val="auto"/>
          <w:lang w:val="en-US" w:eastAsia="zh-CN"/>
        </w:rPr>
      </w:pPr>
    </w:p>
    <w:p w14:paraId="05D9C734">
      <w:pPr>
        <w:pStyle w:val="36"/>
        <w:bidi w:val="0"/>
        <w:ind w:left="0" w:leftChars="0" w:firstLine="0" w:firstLineChars="0"/>
        <w:outlineLvl w:val="0"/>
        <w:rPr>
          <w:rFonts w:hint="eastAsia"/>
          <w:b/>
          <w:bCs/>
          <w:color w:val="auto"/>
          <w:lang w:val="en-US" w:eastAsia="zh-CN"/>
        </w:rPr>
      </w:pPr>
      <w:bookmarkStart w:id="7" w:name="_Toc17954"/>
      <w:bookmarkStart w:id="8" w:name="_Toc22811"/>
      <w:r>
        <w:rPr>
          <w:rFonts w:hint="eastAsia"/>
          <w:b/>
          <w:bCs/>
          <w:color w:val="auto"/>
          <w:lang w:val="en-US" w:eastAsia="zh-CN"/>
        </w:rPr>
        <w:t>附图</w:t>
      </w:r>
      <w:bookmarkEnd w:id="7"/>
      <w:bookmarkEnd w:id="8"/>
    </w:p>
    <w:p w14:paraId="6E2CB05F">
      <w:pPr>
        <w:pStyle w:val="36"/>
        <w:bidi w:val="0"/>
        <w:rPr>
          <w:rFonts w:hint="eastAsia"/>
          <w:color w:val="auto"/>
          <w:lang w:val="en-US" w:eastAsia="zh-CN"/>
        </w:rPr>
      </w:pPr>
      <w:r>
        <w:rPr>
          <w:rFonts w:hint="eastAsia"/>
          <w:color w:val="auto"/>
          <w:lang w:val="en-US" w:eastAsia="zh-CN"/>
        </w:rPr>
        <w:t>附图1 项目地理位置图；</w:t>
      </w:r>
    </w:p>
    <w:p w14:paraId="5CB21CC5">
      <w:pPr>
        <w:pStyle w:val="36"/>
        <w:bidi w:val="0"/>
        <w:rPr>
          <w:rFonts w:hint="eastAsia"/>
          <w:color w:val="auto"/>
          <w:lang w:val="en-US" w:eastAsia="zh-CN"/>
        </w:rPr>
      </w:pPr>
      <w:r>
        <w:rPr>
          <w:rFonts w:hint="eastAsia"/>
          <w:color w:val="auto"/>
          <w:lang w:val="en-US" w:eastAsia="zh-CN"/>
        </w:rPr>
        <w:t>附图2 项目周围水系图；</w:t>
      </w:r>
    </w:p>
    <w:p w14:paraId="1B309401">
      <w:pPr>
        <w:pStyle w:val="36"/>
        <w:bidi w:val="0"/>
        <w:rPr>
          <w:rFonts w:hint="default"/>
          <w:color w:val="auto"/>
          <w:lang w:val="en-US" w:eastAsia="zh-CN"/>
        </w:rPr>
      </w:pPr>
      <w:r>
        <w:rPr>
          <w:rFonts w:hint="eastAsia"/>
          <w:color w:val="auto"/>
          <w:lang w:val="en-US" w:eastAsia="zh-CN"/>
        </w:rPr>
        <w:t>附图3 项目周边关系图；</w:t>
      </w:r>
    </w:p>
    <w:p w14:paraId="6252D4F4">
      <w:pPr>
        <w:pStyle w:val="36"/>
        <w:bidi w:val="0"/>
        <w:rPr>
          <w:rFonts w:hint="eastAsia"/>
          <w:color w:val="auto"/>
          <w:lang w:val="en-US" w:eastAsia="zh-CN"/>
        </w:rPr>
      </w:pPr>
      <w:r>
        <w:rPr>
          <w:rFonts w:hint="eastAsia"/>
          <w:color w:val="auto"/>
          <w:lang w:val="en-US" w:eastAsia="zh-CN"/>
        </w:rPr>
        <w:t>附图4 总体平面布置图；</w:t>
      </w:r>
    </w:p>
    <w:p w14:paraId="77A3AABB">
      <w:pPr>
        <w:pStyle w:val="36"/>
        <w:bidi w:val="0"/>
        <w:rPr>
          <w:rFonts w:hint="eastAsia"/>
          <w:color w:val="auto"/>
          <w:lang w:val="en-US" w:eastAsia="zh-CN"/>
        </w:rPr>
      </w:pPr>
      <w:r>
        <w:rPr>
          <w:rFonts w:hint="eastAsia"/>
          <w:color w:val="auto"/>
          <w:lang w:val="en-US" w:eastAsia="zh-CN"/>
        </w:rPr>
        <w:t>附图5 果朗河治理方案示意图；</w:t>
      </w:r>
    </w:p>
    <w:p w14:paraId="1E25C456">
      <w:pPr>
        <w:pStyle w:val="36"/>
        <w:bidi w:val="0"/>
        <w:rPr>
          <w:rFonts w:hint="eastAsia"/>
          <w:color w:val="auto"/>
          <w:lang w:val="en-US" w:eastAsia="zh-CN"/>
        </w:rPr>
      </w:pPr>
      <w:r>
        <w:rPr>
          <w:rFonts w:hint="eastAsia"/>
          <w:color w:val="auto"/>
          <w:lang w:val="en-US" w:eastAsia="zh-CN"/>
        </w:rPr>
        <w:t>附图6 支流汇口横断面图；</w:t>
      </w:r>
    </w:p>
    <w:p w14:paraId="6B1101FF">
      <w:pPr>
        <w:pStyle w:val="36"/>
        <w:bidi w:val="0"/>
        <w:rPr>
          <w:rFonts w:hint="default"/>
          <w:color w:val="auto"/>
          <w:lang w:val="en-US" w:eastAsia="zh-CN"/>
        </w:rPr>
      </w:pPr>
      <w:r>
        <w:rPr>
          <w:rFonts w:hint="eastAsia"/>
          <w:color w:val="auto"/>
          <w:lang w:val="en-US" w:eastAsia="zh-CN"/>
        </w:rPr>
        <w:t>附图7 项目区植被类型图；</w:t>
      </w:r>
    </w:p>
    <w:p w14:paraId="33B8D9A7">
      <w:pPr>
        <w:pStyle w:val="36"/>
        <w:bidi w:val="0"/>
        <w:rPr>
          <w:rFonts w:hint="default"/>
          <w:color w:val="auto"/>
          <w:lang w:val="en-US" w:eastAsia="zh-CN"/>
        </w:rPr>
      </w:pPr>
    </w:p>
    <w:p w14:paraId="21F03C1A">
      <w:pPr>
        <w:pStyle w:val="4"/>
        <w:keepNext w:val="0"/>
        <w:keepLines w:val="0"/>
        <w:pageBreakBefore/>
        <w:widowControl w:val="0"/>
        <w:kinsoku/>
        <w:wordWrap/>
        <w:overflowPunct/>
        <w:topLinePunct w:val="0"/>
        <w:autoSpaceDE/>
        <w:autoSpaceDN/>
        <w:bidi w:val="0"/>
        <w:adjustRightInd/>
        <w:snapToGrid w:val="0"/>
        <w:ind w:firstLine="0" w:firstLineChars="0"/>
        <w:textAlignment w:val="auto"/>
        <w:outlineLvl w:val="9"/>
        <w:rPr>
          <w:rFonts w:hint="default"/>
          <w:color w:val="auto"/>
        </w:rPr>
        <w:sectPr>
          <w:pgSz w:w="11906" w:h="16838"/>
          <w:pgMar w:top="1134" w:right="1701" w:bottom="1134" w:left="1701"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14:paraId="7AD94290">
      <w:pPr>
        <w:pStyle w:val="4"/>
        <w:keepNext w:val="0"/>
        <w:keepLines w:val="0"/>
        <w:pageBreakBefore/>
        <w:widowControl w:val="0"/>
        <w:kinsoku/>
        <w:wordWrap/>
        <w:overflowPunct/>
        <w:topLinePunct w:val="0"/>
        <w:autoSpaceDE/>
        <w:autoSpaceDN/>
        <w:bidi w:val="0"/>
        <w:adjustRightInd/>
        <w:snapToGrid w:val="0"/>
        <w:ind w:firstLine="0" w:firstLineChars="0"/>
        <w:textAlignment w:val="auto"/>
        <w:outlineLvl w:val="0"/>
        <w:rPr>
          <w:rFonts w:hint="default"/>
          <w:color w:val="auto"/>
        </w:rPr>
      </w:pPr>
      <w:bookmarkStart w:id="9" w:name="_Toc21266"/>
      <w:bookmarkStart w:id="10" w:name="_Toc2591"/>
      <w:r>
        <w:rPr>
          <w:rFonts w:hint="default"/>
          <w:color w:val="auto"/>
        </w:rPr>
        <w:t>前言</w:t>
      </w:r>
      <w:bookmarkEnd w:id="9"/>
      <w:bookmarkEnd w:id="10"/>
    </w:p>
    <w:p w14:paraId="7FB4A256">
      <w:pPr>
        <w:pStyle w:val="36"/>
        <w:bidi w:val="0"/>
        <w:rPr>
          <w:rFonts w:hint="eastAsia"/>
          <w:color w:val="auto"/>
          <w:lang w:eastAsia="zh-CN"/>
        </w:rPr>
      </w:pPr>
      <w:r>
        <w:rPr>
          <w:rFonts w:hint="eastAsia"/>
          <w:color w:val="auto"/>
          <w:lang w:eastAsia="zh-CN"/>
        </w:rPr>
        <w:t>芒市果朗河大新寨至芒里大桥段治理工程治理起点为勐戛镇大新寨村，终点为风平镇芒里村芒里大桥，河长34.44km，治理河段现状大部分不满足10年一遇防洪标准，汛期洪水暴涨暴落，经常冲毁沿岸农田、道路。通过本次河道治理工程，能提高河岸的抗冲刷能力，稳定河势，保证河道行洪畅通，提高河道防洪能力，使沿岸勐戛镇勐戛村、勐稳村、勐旺村及风平镇芒里村等4个村委6.60万亩耕地，1.72万人的生命财产安全得到保障，从根本上解决工程区内的基本民生问题，同时还是巩固</w:t>
      </w:r>
      <w:r>
        <w:rPr>
          <w:rFonts w:hint="eastAsia"/>
          <w:color w:val="auto"/>
          <w:lang w:val="en-US" w:eastAsia="zh-CN"/>
        </w:rPr>
        <w:t>拓展</w:t>
      </w:r>
      <w:r>
        <w:rPr>
          <w:rFonts w:hint="eastAsia"/>
          <w:color w:val="auto"/>
          <w:lang w:eastAsia="zh-CN"/>
        </w:rPr>
        <w:t>脱贫攻坚成果，实现乡村振兴的有力保障，社会效益显著，因此，本次工程的实施是非常必要及迫切的。</w:t>
      </w:r>
    </w:p>
    <w:p w14:paraId="06049C84">
      <w:pPr>
        <w:pStyle w:val="36"/>
        <w:bidi w:val="0"/>
        <w:rPr>
          <w:rFonts w:hint="eastAsia"/>
          <w:color w:val="auto"/>
          <w:lang w:eastAsia="zh-CN"/>
        </w:rPr>
      </w:pPr>
      <w:r>
        <w:rPr>
          <w:rFonts w:hint="eastAsia"/>
          <w:color w:val="auto"/>
          <w:lang w:eastAsia="zh-CN"/>
        </w:rPr>
        <w:t>2023年4月德宏州水利局编制完成《德宏州果朗河治理方案》，其规划主要结论为：果朗河属芒市界内河流，全长44.0km，防洪任务河长31.8km。果朗河有防洪任务未安排治理河段分4段进行治理，其中：果朗河勐戛段长7.83km、果朗河勐稳段 5.50km 、果朗河干沟坪段3.97km、果朗河芒里段14.50km。</w:t>
      </w:r>
    </w:p>
    <w:p w14:paraId="15DE76A0">
      <w:pPr>
        <w:pStyle w:val="36"/>
        <w:bidi w:val="0"/>
        <w:rPr>
          <w:rFonts w:hint="eastAsia"/>
          <w:color w:val="auto"/>
          <w:lang w:eastAsia="zh-CN"/>
        </w:rPr>
      </w:pPr>
      <w:r>
        <w:rPr>
          <w:rFonts w:hint="eastAsia"/>
          <w:color w:val="auto"/>
          <w:lang w:eastAsia="zh-CN"/>
        </w:rPr>
        <w:t>本次治理设计以《德宏州果朗河治理方案》规划结果为基础，结合实地走访、调查、勘测，并根据保护耕地面积、建设单位意见、建议及现场实际治理需要，将治理河段分为勐戛段、勐稳段、干沟坪段及芒里段等四段，其中：勐戛段K5+000~K12+350河长7.35km，治理河道长7.35km；勐稳段K14+275~K20+200河长5.92km，治理道河长5.92km；干沟坪段K24+250~K29+460河长5.21km，治理河道长4.39km；芒里段K31+870~K34+435河长2.57km，治理河道长2.57km；合计治理河道长20.23km。</w:t>
      </w:r>
    </w:p>
    <w:p w14:paraId="47170F61">
      <w:pPr>
        <w:pStyle w:val="36"/>
        <w:bidi w:val="0"/>
        <w:rPr>
          <w:color w:val="auto"/>
        </w:rPr>
      </w:pPr>
      <w:r>
        <w:rPr>
          <w:rFonts w:hint="eastAsia"/>
          <w:b w:val="0"/>
          <w:bCs w:val="0"/>
          <w:color w:val="auto"/>
          <w:lang w:val="en-US" w:eastAsia="zh-CN"/>
        </w:rPr>
        <w:t>与规划成果相比，本次设计根据保护耕地面积、建设单位意见、建议及现场实际治理需要，对拟治理河段分段起始位置及分段长度进行了局部调整，其治理总长度20.23km及治理方案与规划成果基本一致。</w:t>
      </w:r>
    </w:p>
    <w:p w14:paraId="1EA982FB">
      <w:pPr>
        <w:pStyle w:val="36"/>
        <w:bidi w:val="0"/>
        <w:rPr>
          <w:rFonts w:hint="eastAsia"/>
          <w:color w:val="auto"/>
          <w:lang w:val="en-US" w:eastAsia="zh-CN"/>
        </w:rPr>
      </w:pPr>
      <w:r>
        <w:rPr>
          <w:rFonts w:hint="eastAsia"/>
          <w:color w:val="auto"/>
          <w:lang w:eastAsia="zh-CN"/>
        </w:rPr>
        <w:t>项目建设单位于</w:t>
      </w:r>
      <w:r>
        <w:rPr>
          <w:rFonts w:hint="eastAsia"/>
          <w:color w:val="auto"/>
          <w:lang w:val="en-US" w:eastAsia="zh-CN"/>
        </w:rPr>
        <w:t>2023年12月29日向德宏州水务局</w:t>
      </w:r>
      <w:r>
        <w:rPr>
          <w:rFonts w:hint="eastAsia"/>
          <w:color w:val="auto"/>
          <w:lang w:eastAsia="zh-CN"/>
        </w:rPr>
        <w:t>提出芒市果朗河大新寨至芒里大桥段治理工程（项目代码：2310-533103-04-01-153137）初步设计报告审批的申请。</w:t>
      </w:r>
      <w:r>
        <w:rPr>
          <w:rFonts w:hint="eastAsia"/>
          <w:color w:val="auto"/>
          <w:lang w:val="en-US" w:eastAsia="zh-CN"/>
        </w:rPr>
        <w:t>2024年1月2日，德宏州水利局出具了《德宏州水利局关于准予芒市果朗河大新寨至芒里大桥段治理工程初步设计报告的行政许可决定书》，同意项目实施。</w:t>
      </w:r>
    </w:p>
    <w:p w14:paraId="1F1A6423">
      <w:pPr>
        <w:spacing w:line="360" w:lineRule="auto"/>
        <w:ind w:firstLine="475" w:firstLineChars="198"/>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根据中华人民共和国国务院第682号令《建设项目环境保护管理条例》、《中华人民共和国环境影响评价法》等法律法规规定，</w:t>
      </w:r>
      <w:r>
        <w:rPr>
          <w:rFonts w:hint="default"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芒市果朗河大新寨至芒里大桥段治理工程</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须开展环境影响评价工作，</w:t>
      </w:r>
      <w:r>
        <w:rPr>
          <w:rFonts w:hint="default" w:ascii="Times New Roman" w:hAnsi="Times New Roman" w:eastAsia="宋体" w:cs="Times New Roman"/>
          <w:color w:val="auto"/>
          <w:lang w:eastAsia="zh-CN"/>
        </w:rPr>
        <w:t>项目涉及</w:t>
      </w:r>
      <w:r>
        <w:rPr>
          <w:rFonts w:hint="eastAsia" w:ascii="Times New Roman" w:hAnsi="Times New Roman" w:eastAsia="宋体" w:cs="Times New Roman"/>
          <w:color w:val="auto"/>
          <w:lang w:val="en-US" w:eastAsia="zh-CN"/>
        </w:rPr>
        <w:t>果朗河勐戛段、勐稳段、干沟坪段及芒里段等四段</w:t>
      </w:r>
      <w:r>
        <w:rPr>
          <w:rFonts w:hint="eastAsia" w:cs="Times New Roman"/>
          <w:color w:val="auto"/>
          <w:lang w:val="en-US" w:eastAsia="zh-CN"/>
        </w:rPr>
        <w:t>的</w:t>
      </w:r>
      <w:r>
        <w:rPr>
          <w:rFonts w:hint="eastAsia" w:ascii="Times New Roman" w:hAnsi="Times New Roman" w:eastAsia="宋体" w:cs="Times New Roman"/>
          <w:color w:val="auto"/>
          <w:lang w:val="en-US" w:eastAsia="zh-CN"/>
        </w:rPr>
        <w:t>治理，旨在提高河道</w:t>
      </w:r>
      <w:r>
        <w:rPr>
          <w:rFonts w:hint="eastAsia" w:cs="Times New Roman"/>
          <w:color w:val="auto"/>
          <w:lang w:val="en-US" w:eastAsia="zh-CN"/>
        </w:rPr>
        <w:t>防</w:t>
      </w:r>
      <w:r>
        <w:rPr>
          <w:rFonts w:hint="eastAsia" w:ascii="Times New Roman" w:hAnsi="Times New Roman" w:eastAsia="宋体" w:cs="Times New Roman"/>
          <w:color w:val="auto"/>
          <w:lang w:val="en-US" w:eastAsia="zh-CN"/>
        </w:rPr>
        <w:t>洪能力。根据</w:t>
      </w:r>
      <w:r>
        <w:rPr>
          <w:rFonts w:hint="default" w:ascii="Times New Roman" w:hAnsi="Times New Roman" w:eastAsia="宋体" w:cs="Times New Roman"/>
          <w:color w:val="auto"/>
        </w:rPr>
        <w:t>《建设项目环境影响评价分类管理名录</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2021年版）</w:t>
      </w: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w:t>
      </w:r>
      <w:r>
        <w:rPr>
          <w:rFonts w:hint="eastAsia" w:cs="Times New Roman"/>
          <w:color w:val="auto"/>
          <w:lang w:val="en-US" w:eastAsia="zh-CN"/>
        </w:rPr>
        <w:t>（</w:t>
      </w:r>
      <w:r>
        <w:rPr>
          <w:rFonts w:hint="default" w:ascii="Times New Roman" w:hAnsi="Times New Roman" w:eastAsia="宋体" w:cs="Times New Roman"/>
          <w:color w:val="auto"/>
          <w:lang w:eastAsia="zh-CN"/>
        </w:rPr>
        <w:t>下简称“名录”</w:t>
      </w:r>
      <w:r>
        <w:rPr>
          <w:rFonts w:hint="default" w:ascii="Times New Roman" w:hAnsi="Times New Roman" w:eastAsia="宋体" w:cs="Times New Roman"/>
          <w:color w:val="auto"/>
          <w:lang w:val="en-US" w:eastAsia="zh-CN"/>
        </w:rPr>
        <w:t>)</w:t>
      </w:r>
      <w:r>
        <w:rPr>
          <w:rFonts w:hint="eastAsia" w:cs="Times New Roman"/>
          <w:color w:val="auto"/>
          <w:lang w:val="en-US" w:eastAsia="zh-CN"/>
        </w:rPr>
        <w:t>，</w:t>
      </w:r>
      <w:r>
        <w:rPr>
          <w:rFonts w:hint="eastAsia"/>
          <w:color w:val="auto"/>
          <w:lang w:eastAsia="zh-CN"/>
        </w:rPr>
        <w:t>“</w:t>
      </w:r>
      <w:r>
        <w:rPr>
          <w:rFonts w:hint="default"/>
          <w:color w:val="auto"/>
        </w:rPr>
        <w:t>五十</w:t>
      </w:r>
      <w:r>
        <w:rPr>
          <w:rFonts w:hint="eastAsia"/>
          <w:color w:val="auto"/>
          <w:lang w:eastAsia="zh-CN"/>
        </w:rPr>
        <w:t>一</w:t>
      </w:r>
      <w:r>
        <w:rPr>
          <w:rFonts w:hint="default"/>
          <w:color w:val="auto"/>
        </w:rPr>
        <w:t>、</w:t>
      </w:r>
      <w:r>
        <w:rPr>
          <w:rFonts w:hint="eastAsia"/>
          <w:color w:val="auto"/>
          <w:lang w:eastAsia="zh-CN"/>
        </w:rPr>
        <w:t>水利”</w:t>
      </w:r>
      <w:r>
        <w:rPr>
          <w:rFonts w:hint="eastAsia"/>
          <w:color w:val="auto"/>
          <w:lang w:val="en-US" w:eastAsia="zh-CN"/>
        </w:rPr>
        <w:t>中</w:t>
      </w:r>
      <w:r>
        <w:rPr>
          <w:rFonts w:hint="eastAsia"/>
          <w:color w:val="auto"/>
          <w:lang w:eastAsia="zh-CN"/>
        </w:rPr>
        <w:t>“</w:t>
      </w:r>
      <w:r>
        <w:rPr>
          <w:rFonts w:hint="eastAsia"/>
          <w:color w:val="auto"/>
          <w:lang w:val="en-US" w:eastAsia="zh-CN"/>
        </w:rPr>
        <w:t>127防洪除涝工程</w:t>
      </w:r>
      <w:r>
        <w:rPr>
          <w:rFonts w:hint="default"/>
          <w:color w:val="auto"/>
        </w:rPr>
        <w:t>”</w:t>
      </w:r>
      <w:r>
        <w:rPr>
          <w:rFonts w:hint="eastAsia"/>
          <w:color w:val="auto"/>
          <w:lang w:val="en-US" w:eastAsia="zh-CN"/>
        </w:rPr>
        <w:t>-新建大中型的需编制环境影响报告书；其他（</w:t>
      </w:r>
      <w:r>
        <w:rPr>
          <w:rFonts w:hint="default"/>
          <w:color w:val="auto"/>
        </w:rPr>
        <w:t>小型沟渠的护坡除外；城镇排涝河流水闸、排涝泵站除外）</w:t>
      </w:r>
      <w:r>
        <w:rPr>
          <w:rFonts w:hint="eastAsia"/>
          <w:color w:val="auto"/>
          <w:lang w:val="en-US" w:eastAsia="zh-CN"/>
        </w:rPr>
        <w:t>的需编制环境影响报告表。本项目不涉及新建大中型防洪除涝工程，因此</w:t>
      </w:r>
      <w:r>
        <w:rPr>
          <w:rFonts w:hint="eastAsia"/>
          <w:b w:val="0"/>
          <w:bCs w:val="0"/>
          <w:color w:val="auto"/>
          <w:lang w:val="en-US" w:eastAsia="zh-CN"/>
        </w:rPr>
        <w:t>须编制环境影响报告表。</w:t>
      </w:r>
    </w:p>
    <w:p w14:paraId="426FC908">
      <w:pPr>
        <w:keepNext w:val="0"/>
        <w:keepLines w:val="0"/>
        <w:widowControl/>
        <w:suppressLineNumbers w:val="0"/>
        <w:ind w:firstLine="480" w:firstLineChars="200"/>
        <w:jc w:val="both"/>
        <w:rPr>
          <w:rFonts w:hint="default"/>
          <w:color w:val="auto"/>
        </w:rPr>
      </w:pPr>
      <w:r>
        <w:rPr>
          <w:rFonts w:hint="default" w:ascii="Times New Roman" w:hAnsi="Times New Roman" w:eastAsia="宋体" w:cs="Times New Roman"/>
          <w:color w:val="auto"/>
          <w:lang w:val="en-US" w:eastAsia="zh-CN"/>
        </w:rPr>
        <w:t>为此，建设单位特委托</w:t>
      </w:r>
      <w:r>
        <w:rPr>
          <w:rFonts w:hint="eastAsia"/>
          <w:color w:val="auto"/>
          <w:highlight w:val="none"/>
          <w:lang w:eastAsia="zh-CN"/>
        </w:rPr>
        <w:t>大理厚德环境科技咨询有限公司</w:t>
      </w:r>
      <w:r>
        <w:rPr>
          <w:rFonts w:hint="default"/>
          <w:color w:val="auto"/>
        </w:rPr>
        <w:t>（以下称</w:t>
      </w:r>
      <w:r>
        <w:rPr>
          <w:rFonts w:hint="eastAsia"/>
          <w:color w:val="auto"/>
          <w:lang w:eastAsia="zh-CN"/>
        </w:rPr>
        <w:t>“</w:t>
      </w:r>
      <w:r>
        <w:rPr>
          <w:rFonts w:hint="default"/>
          <w:color w:val="auto"/>
        </w:rPr>
        <w:t>我公司</w:t>
      </w:r>
      <w:r>
        <w:rPr>
          <w:rFonts w:hint="eastAsia"/>
          <w:color w:val="auto"/>
          <w:lang w:eastAsia="zh-CN"/>
        </w:rPr>
        <w:t>”</w:t>
      </w:r>
      <w:r>
        <w:rPr>
          <w:rFonts w:hint="default"/>
          <w:color w:val="auto"/>
        </w:rPr>
        <w:t>）</w:t>
      </w:r>
      <w:r>
        <w:rPr>
          <w:rFonts w:hint="default" w:ascii="Times New Roman" w:hAnsi="Times New Roman" w:eastAsia="宋体" w:cs="Times New Roman"/>
          <w:color w:val="auto"/>
          <w:lang w:val="en-US" w:eastAsia="zh-CN"/>
        </w:rPr>
        <w:t>开展项目环境影响评价工作。我</w:t>
      </w:r>
      <w:r>
        <w:rPr>
          <w:rFonts w:hint="eastAsia" w:ascii="Times New Roman" w:hAnsi="Times New Roman" w:eastAsia="宋体" w:cs="Times New Roman"/>
          <w:color w:val="auto"/>
          <w:lang w:val="en-US" w:eastAsia="zh-CN"/>
        </w:rPr>
        <w:t>公司</w:t>
      </w:r>
      <w:r>
        <w:rPr>
          <w:rFonts w:hint="default" w:ascii="Times New Roman" w:hAnsi="Times New Roman" w:eastAsia="宋体" w:cs="Times New Roman"/>
          <w:color w:val="auto"/>
          <w:lang w:val="en-US" w:eastAsia="zh-CN"/>
        </w:rPr>
        <w:t>接受委托后，及时成立环评项目组，对本项目情况及项目区环境质量进行了现状调查、实地踏勘和调研工作。在充分收集资料基础上，</w:t>
      </w:r>
      <w:r>
        <w:rPr>
          <w:rFonts w:hint="default" w:ascii="Times New Roman" w:hAnsi="Times New Roman" w:eastAsia="宋体" w:cs="Times New Roman"/>
          <w:color w:val="auto"/>
        </w:rPr>
        <w:t>按照国家和地方相关技术规范，</w:t>
      </w:r>
      <w:r>
        <w:rPr>
          <w:rFonts w:hint="eastAsia" w:cs="Times New Roman"/>
          <w:color w:val="auto"/>
          <w:lang w:eastAsia="zh-CN"/>
        </w:rPr>
        <w:t>编制完成</w:t>
      </w:r>
      <w:r>
        <w:rPr>
          <w:rFonts w:hint="default"/>
          <w:color w:val="auto"/>
        </w:rPr>
        <w:t>《</w:t>
      </w:r>
      <w:r>
        <w:rPr>
          <w:rFonts w:hint="eastAsia"/>
          <w:color w:val="auto"/>
          <w:lang w:eastAsia="zh-CN"/>
        </w:rPr>
        <w:t>芒市果朗河大新寨至芒里大桥段治理工程建设项目环境影响报告表</w:t>
      </w:r>
      <w:r>
        <w:rPr>
          <w:rFonts w:hint="default"/>
          <w:color w:val="auto"/>
        </w:rPr>
        <w:t>》，供建设单位上报生态环境主管部门审批。</w:t>
      </w:r>
    </w:p>
    <w:p w14:paraId="69A09D05">
      <w:pPr>
        <w:pStyle w:val="4"/>
        <w:keepNext w:val="0"/>
        <w:keepLines w:val="0"/>
        <w:pageBreakBefore/>
        <w:widowControl w:val="0"/>
        <w:kinsoku/>
        <w:wordWrap/>
        <w:overflowPunct/>
        <w:topLinePunct w:val="0"/>
        <w:autoSpaceDE/>
        <w:autoSpaceDN/>
        <w:bidi w:val="0"/>
        <w:adjustRightInd/>
        <w:snapToGrid w:val="0"/>
        <w:ind w:firstLine="0" w:firstLineChars="0"/>
        <w:textAlignment w:val="auto"/>
        <w:rPr>
          <w:rFonts w:hint="default"/>
          <w:color w:val="auto"/>
        </w:rPr>
      </w:pPr>
      <w:bookmarkStart w:id="11" w:name="_Toc15414"/>
      <w:r>
        <w:rPr>
          <w:rFonts w:hint="default"/>
          <w:color w:val="auto"/>
        </w:rPr>
        <w:t>一、建设项目基本情况</w:t>
      </w:r>
      <w:bookmarkEnd w:id="11"/>
    </w:p>
    <w:tbl>
      <w:tblPr>
        <w:tblStyle w:val="22"/>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022"/>
        <w:gridCol w:w="2169"/>
        <w:gridCol w:w="3082"/>
        <w:gridCol w:w="2641"/>
      </w:tblGrid>
      <w:tr w14:paraId="25AF40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22" w:type="dxa"/>
            <w:tcMar>
              <w:top w:w="16" w:type="dxa"/>
              <w:left w:w="16" w:type="dxa"/>
              <w:right w:w="16" w:type="dxa"/>
            </w:tcMar>
            <w:vAlign w:val="center"/>
          </w:tcPr>
          <w:p w14:paraId="3B56EEE4">
            <w:pPr>
              <w:pStyle w:val="34"/>
              <w:bidi w:val="0"/>
              <w:rPr>
                <w:rFonts w:hint="default"/>
                <w:color w:val="auto"/>
                <w:sz w:val="24"/>
                <w:szCs w:val="24"/>
              </w:rPr>
            </w:pPr>
            <w:r>
              <w:rPr>
                <w:rFonts w:hint="default"/>
                <w:color w:val="auto"/>
                <w:sz w:val="24"/>
                <w:szCs w:val="24"/>
              </w:rPr>
              <w:t>建设项目名称</w:t>
            </w:r>
          </w:p>
        </w:tc>
        <w:tc>
          <w:tcPr>
            <w:tcW w:w="7508" w:type="dxa"/>
            <w:gridSpan w:val="3"/>
            <w:vAlign w:val="center"/>
          </w:tcPr>
          <w:p w14:paraId="4FC1F232">
            <w:pPr>
              <w:adjustRightInd w:val="0"/>
              <w:snapToGrid w:val="0"/>
              <w:spacing w:line="240" w:lineRule="auto"/>
              <w:ind w:firstLine="0" w:firstLineChars="0"/>
              <w:jc w:val="center"/>
              <w:rPr>
                <w:rFonts w:hint="default"/>
                <w:color w:val="0000FF"/>
                <w:sz w:val="24"/>
                <w:szCs w:val="24"/>
                <w:lang w:eastAsia="zh-CN"/>
              </w:rPr>
            </w:pPr>
            <w:r>
              <w:rPr>
                <w:rFonts w:hint="default"/>
                <w:color w:val="auto"/>
                <w:sz w:val="24"/>
                <w:szCs w:val="24"/>
                <w:lang w:eastAsia="zh-CN"/>
              </w:rPr>
              <w:t>芒市果朗河大新寨至芒里大桥段治理工程</w:t>
            </w:r>
          </w:p>
        </w:tc>
      </w:tr>
      <w:tr w14:paraId="4150A8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22" w:type="dxa"/>
            <w:tcMar>
              <w:top w:w="16" w:type="dxa"/>
              <w:left w:w="16" w:type="dxa"/>
              <w:right w:w="16" w:type="dxa"/>
            </w:tcMar>
            <w:vAlign w:val="center"/>
          </w:tcPr>
          <w:p w14:paraId="34FC4512">
            <w:pPr>
              <w:pStyle w:val="34"/>
              <w:bidi w:val="0"/>
              <w:rPr>
                <w:rFonts w:hint="default"/>
                <w:color w:val="auto"/>
                <w:sz w:val="24"/>
                <w:szCs w:val="24"/>
              </w:rPr>
            </w:pPr>
            <w:r>
              <w:rPr>
                <w:rFonts w:hint="default"/>
                <w:color w:val="auto"/>
                <w:sz w:val="24"/>
                <w:szCs w:val="24"/>
              </w:rPr>
              <w:t>项目代码</w:t>
            </w:r>
          </w:p>
        </w:tc>
        <w:tc>
          <w:tcPr>
            <w:tcW w:w="7508" w:type="dxa"/>
            <w:gridSpan w:val="3"/>
            <w:vAlign w:val="center"/>
          </w:tcPr>
          <w:p w14:paraId="0B7D94B6">
            <w:pPr>
              <w:pStyle w:val="18"/>
              <w:keepNext w:val="0"/>
              <w:keepLines w:val="0"/>
              <w:widowControl/>
              <w:suppressLineNumbers w:val="0"/>
              <w:spacing w:before="0" w:beforeAutospacing="0" w:after="0" w:afterAutospacing="0"/>
              <w:ind w:left="0" w:leftChars="0" w:right="0" w:rightChars="0" w:firstLine="0" w:firstLineChars="0"/>
              <w:jc w:val="center"/>
              <w:rPr>
                <w:rFonts w:hint="default"/>
                <w:color w:val="0000FF"/>
                <w:sz w:val="24"/>
                <w:szCs w:val="24"/>
                <w:lang w:val="en-US" w:eastAsia="zh-CN"/>
              </w:rPr>
            </w:pPr>
            <w:r>
              <w:rPr>
                <w:rFonts w:hint="default" w:ascii="Times New Roman" w:hAnsi="Times New Roman" w:cs="Times New Roman"/>
                <w:color w:val="auto"/>
                <w:sz w:val="24"/>
                <w:szCs w:val="24"/>
                <w:lang w:val="en-US" w:eastAsia="zh-CN"/>
              </w:rPr>
              <w:t>2310-533103-04-01-153137</w:t>
            </w:r>
          </w:p>
        </w:tc>
      </w:tr>
      <w:tr w14:paraId="396BBE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22" w:type="dxa"/>
            <w:tcMar>
              <w:top w:w="16" w:type="dxa"/>
              <w:left w:w="16" w:type="dxa"/>
              <w:right w:w="16" w:type="dxa"/>
            </w:tcMar>
            <w:vAlign w:val="center"/>
          </w:tcPr>
          <w:p w14:paraId="66AB81E4">
            <w:pPr>
              <w:pStyle w:val="34"/>
              <w:bidi w:val="0"/>
              <w:rPr>
                <w:rFonts w:hint="default"/>
                <w:color w:val="auto"/>
                <w:sz w:val="24"/>
                <w:szCs w:val="24"/>
              </w:rPr>
            </w:pPr>
            <w:r>
              <w:rPr>
                <w:rFonts w:hint="default"/>
                <w:color w:val="auto"/>
                <w:sz w:val="24"/>
                <w:szCs w:val="24"/>
              </w:rPr>
              <w:t>建设单位联系人</w:t>
            </w:r>
          </w:p>
        </w:tc>
        <w:tc>
          <w:tcPr>
            <w:tcW w:w="2169" w:type="dxa"/>
            <w:vAlign w:val="center"/>
          </w:tcPr>
          <w:p w14:paraId="43F17C02">
            <w:pPr>
              <w:adjustRightInd w:val="0"/>
              <w:snapToGrid w:val="0"/>
              <w:spacing w:line="240" w:lineRule="auto"/>
              <w:ind w:firstLine="0" w:firstLineChars="0"/>
              <w:jc w:val="center"/>
              <w:rPr>
                <w:rFonts w:hint="default"/>
                <w:color w:val="auto"/>
                <w:sz w:val="24"/>
                <w:szCs w:val="24"/>
                <w:lang w:val="en-US" w:eastAsia="zh-CN"/>
              </w:rPr>
            </w:pPr>
            <w:r>
              <w:rPr>
                <w:rFonts w:hint="default"/>
                <w:color w:val="auto"/>
                <w:sz w:val="24"/>
                <w:szCs w:val="24"/>
                <w:lang w:val="en-US" w:eastAsia="zh-CN"/>
              </w:rPr>
              <w:t>黄立伟</w:t>
            </w:r>
          </w:p>
        </w:tc>
        <w:tc>
          <w:tcPr>
            <w:tcW w:w="3082" w:type="dxa"/>
            <w:vAlign w:val="center"/>
          </w:tcPr>
          <w:p w14:paraId="3CEA404E">
            <w:pPr>
              <w:adjustRightInd w:val="0"/>
              <w:snapToGrid w:val="0"/>
              <w:spacing w:line="240" w:lineRule="auto"/>
              <w:ind w:firstLine="0" w:firstLineChars="0"/>
              <w:jc w:val="center"/>
              <w:rPr>
                <w:rFonts w:hint="default"/>
                <w:color w:val="auto"/>
                <w:sz w:val="24"/>
                <w:szCs w:val="24"/>
              </w:rPr>
            </w:pPr>
            <w:r>
              <w:rPr>
                <w:rFonts w:hint="default" w:ascii="Times New Roman" w:hAnsi="Times New Roman" w:cs="Times New Roman"/>
                <w:color w:val="auto"/>
                <w:highlight w:val="none"/>
              </w:rPr>
              <w:t>联系方式</w:t>
            </w:r>
          </w:p>
        </w:tc>
        <w:tc>
          <w:tcPr>
            <w:tcW w:w="2641" w:type="dxa"/>
            <w:vAlign w:val="center"/>
          </w:tcPr>
          <w:p w14:paraId="05A8ABD8">
            <w:pPr>
              <w:adjustRightInd w:val="0"/>
              <w:snapToGrid w:val="0"/>
              <w:spacing w:line="240" w:lineRule="auto"/>
              <w:ind w:firstLine="0" w:firstLineChars="0"/>
              <w:jc w:val="center"/>
              <w:rPr>
                <w:rFonts w:hint="default"/>
                <w:color w:val="0000FF"/>
                <w:sz w:val="24"/>
                <w:szCs w:val="24"/>
                <w:lang w:val="en-US"/>
              </w:rPr>
            </w:pPr>
            <w:r>
              <w:rPr>
                <w:rFonts w:hint="default"/>
                <w:color w:val="auto"/>
                <w:sz w:val="24"/>
                <w:szCs w:val="24"/>
                <w:lang w:val="en-US" w:eastAsia="zh-CN"/>
              </w:rPr>
              <w:t>159</w:t>
            </w:r>
            <w:r>
              <w:rPr>
                <w:rFonts w:hint="eastAsia"/>
                <w:color w:val="auto"/>
                <w:sz w:val="24"/>
                <w:szCs w:val="24"/>
                <w:lang w:val="en-US" w:eastAsia="zh-CN"/>
              </w:rPr>
              <w:t>********</w:t>
            </w:r>
          </w:p>
        </w:tc>
      </w:tr>
      <w:tr w14:paraId="5DE118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22" w:type="dxa"/>
            <w:tcMar>
              <w:top w:w="16" w:type="dxa"/>
              <w:left w:w="16" w:type="dxa"/>
              <w:right w:w="16" w:type="dxa"/>
            </w:tcMar>
            <w:vAlign w:val="center"/>
          </w:tcPr>
          <w:p w14:paraId="2284349B">
            <w:pPr>
              <w:pStyle w:val="34"/>
              <w:bidi w:val="0"/>
              <w:rPr>
                <w:rFonts w:hint="default"/>
                <w:color w:val="auto"/>
                <w:sz w:val="24"/>
                <w:szCs w:val="24"/>
              </w:rPr>
            </w:pPr>
            <w:r>
              <w:rPr>
                <w:rFonts w:hint="default"/>
                <w:color w:val="auto"/>
                <w:sz w:val="24"/>
                <w:szCs w:val="24"/>
              </w:rPr>
              <w:t>建设地点</w:t>
            </w:r>
          </w:p>
        </w:tc>
        <w:tc>
          <w:tcPr>
            <w:tcW w:w="7508" w:type="dxa"/>
            <w:gridSpan w:val="3"/>
            <w:vAlign w:val="center"/>
          </w:tcPr>
          <w:p w14:paraId="7AF5A1DA">
            <w:pPr>
              <w:pStyle w:val="34"/>
              <w:bidi w:val="0"/>
              <w:rPr>
                <w:rFonts w:hint="default"/>
                <w:color w:val="auto"/>
                <w:sz w:val="24"/>
                <w:szCs w:val="24"/>
              </w:rPr>
            </w:pPr>
            <w:r>
              <w:rPr>
                <w:rFonts w:hint="default"/>
                <w:color w:val="auto"/>
                <w:sz w:val="24"/>
                <w:szCs w:val="24"/>
                <w:u w:val="none"/>
              </w:rPr>
              <w:t>云南省</w:t>
            </w:r>
            <w:r>
              <w:rPr>
                <w:rFonts w:hint="eastAsia"/>
                <w:color w:val="auto"/>
                <w:sz w:val="24"/>
                <w:szCs w:val="24"/>
                <w:u w:val="none"/>
                <w:lang w:eastAsia="zh-CN"/>
              </w:rPr>
              <w:t>德宏傣族景颇族自治州</w:t>
            </w:r>
            <w:r>
              <w:rPr>
                <w:rFonts w:hint="eastAsia" w:cs="Times New Roman"/>
                <w:color w:val="auto"/>
                <w:sz w:val="24"/>
                <w:szCs w:val="24"/>
                <w:u w:val="none"/>
                <w:lang w:eastAsia="zh-CN"/>
              </w:rPr>
              <w:t>芒市</w:t>
            </w:r>
          </w:p>
        </w:tc>
      </w:tr>
      <w:tr w14:paraId="4C910C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22" w:type="dxa"/>
            <w:tcMar>
              <w:top w:w="16" w:type="dxa"/>
              <w:left w:w="16" w:type="dxa"/>
              <w:right w:w="16" w:type="dxa"/>
            </w:tcMar>
            <w:vAlign w:val="center"/>
          </w:tcPr>
          <w:p w14:paraId="40327CB9">
            <w:pPr>
              <w:pStyle w:val="34"/>
              <w:bidi w:val="0"/>
              <w:rPr>
                <w:rFonts w:hint="default"/>
                <w:color w:val="auto"/>
                <w:sz w:val="24"/>
                <w:szCs w:val="24"/>
              </w:rPr>
            </w:pPr>
            <w:r>
              <w:rPr>
                <w:rFonts w:hint="default"/>
                <w:color w:val="auto"/>
                <w:sz w:val="24"/>
                <w:szCs w:val="24"/>
              </w:rPr>
              <w:t>地理坐标</w:t>
            </w:r>
          </w:p>
        </w:tc>
        <w:tc>
          <w:tcPr>
            <w:tcW w:w="7508" w:type="dxa"/>
            <w:gridSpan w:val="3"/>
            <w:vAlign w:val="center"/>
          </w:tcPr>
          <w:p w14:paraId="594A21AC">
            <w:pPr>
              <w:adjustRightInd w:val="0"/>
              <w:snapToGrid w:val="0"/>
              <w:spacing w:line="240" w:lineRule="auto"/>
              <w:ind w:firstLine="0" w:firstLineChars="0"/>
              <w:jc w:val="center"/>
              <w:rPr>
                <w:rFonts w:hint="eastAsia"/>
                <w:color w:val="auto"/>
                <w:lang w:eastAsia="zh-CN"/>
              </w:rPr>
            </w:pPr>
            <w:r>
              <w:rPr>
                <w:rFonts w:hint="eastAsia"/>
                <w:color w:val="auto"/>
                <w:lang w:eastAsia="zh-CN"/>
              </w:rPr>
              <w:t>起点（东经</w:t>
            </w:r>
            <w:r>
              <w:rPr>
                <w:rFonts w:hint="eastAsia"/>
                <w:color w:val="auto"/>
                <w:lang w:val="en-US" w:eastAsia="zh-CN"/>
              </w:rPr>
              <w:t>98</w:t>
            </w:r>
            <w:r>
              <w:rPr>
                <w:rFonts w:hint="eastAsia"/>
                <w:color w:val="auto"/>
                <w:lang w:eastAsia="zh-CN"/>
              </w:rPr>
              <w:t>度</w:t>
            </w:r>
            <w:r>
              <w:rPr>
                <w:rFonts w:hint="eastAsia"/>
                <w:color w:val="auto"/>
                <w:lang w:val="en-US" w:eastAsia="zh-CN"/>
              </w:rPr>
              <w:t>25</w:t>
            </w:r>
            <w:r>
              <w:rPr>
                <w:rFonts w:hint="eastAsia"/>
                <w:color w:val="auto"/>
                <w:lang w:eastAsia="zh-CN"/>
              </w:rPr>
              <w:t>分</w:t>
            </w:r>
            <w:r>
              <w:rPr>
                <w:rFonts w:hint="eastAsia"/>
                <w:color w:val="auto"/>
                <w:lang w:val="en-US" w:eastAsia="zh-CN"/>
              </w:rPr>
              <w:t>25.896</w:t>
            </w:r>
            <w:r>
              <w:rPr>
                <w:rFonts w:hint="eastAsia"/>
                <w:color w:val="auto"/>
                <w:lang w:eastAsia="zh-CN"/>
              </w:rPr>
              <w:t>秒，北纬</w:t>
            </w:r>
            <w:r>
              <w:rPr>
                <w:rFonts w:hint="eastAsia"/>
                <w:color w:val="auto"/>
                <w:lang w:val="en-US" w:eastAsia="zh-CN"/>
              </w:rPr>
              <w:t>24</w:t>
            </w:r>
            <w:r>
              <w:rPr>
                <w:rFonts w:hint="eastAsia"/>
                <w:color w:val="auto"/>
                <w:lang w:eastAsia="zh-CN"/>
              </w:rPr>
              <w:t>度</w:t>
            </w:r>
            <w:r>
              <w:rPr>
                <w:rFonts w:hint="eastAsia"/>
                <w:color w:val="auto"/>
                <w:lang w:val="en-US" w:eastAsia="zh-CN"/>
              </w:rPr>
              <w:t>15</w:t>
            </w:r>
            <w:r>
              <w:rPr>
                <w:rFonts w:hint="eastAsia"/>
                <w:color w:val="auto"/>
                <w:lang w:eastAsia="zh-CN"/>
              </w:rPr>
              <w:t>分</w:t>
            </w:r>
            <w:r>
              <w:rPr>
                <w:rFonts w:hint="eastAsia"/>
                <w:color w:val="auto"/>
                <w:lang w:val="en-US" w:eastAsia="zh-CN"/>
              </w:rPr>
              <w:t>10.668</w:t>
            </w:r>
            <w:r>
              <w:rPr>
                <w:rFonts w:hint="eastAsia"/>
                <w:color w:val="auto"/>
                <w:lang w:eastAsia="zh-CN"/>
              </w:rPr>
              <w:t>秒）</w:t>
            </w:r>
          </w:p>
          <w:p w14:paraId="5B3EEA8A">
            <w:pPr>
              <w:adjustRightInd w:val="0"/>
              <w:snapToGrid w:val="0"/>
              <w:spacing w:line="240" w:lineRule="auto"/>
              <w:ind w:firstLine="0" w:firstLineChars="0"/>
              <w:jc w:val="center"/>
              <w:rPr>
                <w:rFonts w:hint="eastAsia" w:ascii="Times New Roman" w:hAnsi="Times New Roman" w:cs="Times New Roman"/>
                <w:color w:val="auto"/>
                <w:kern w:val="0"/>
                <w:szCs w:val="24"/>
                <w:highlight w:val="none"/>
                <w:lang w:eastAsia="zh-CN"/>
              </w:rPr>
            </w:pPr>
            <w:r>
              <w:rPr>
                <w:rFonts w:hint="eastAsia" w:ascii="Times New Roman" w:hAnsi="Times New Roman" w:eastAsia="宋体" w:cs="Times New Roman"/>
                <w:color w:val="auto"/>
                <w:highlight w:val="none"/>
                <w:lang w:val="en-US" w:eastAsia="zh-CN"/>
              </w:rPr>
              <w:t>终点</w:t>
            </w:r>
            <w:r>
              <w:rPr>
                <w:rFonts w:hint="eastAsia" w:ascii="Times New Roman" w:hAnsi="Times New Roman" w:cs="Times New Roman"/>
                <w:color w:val="auto"/>
                <w:kern w:val="0"/>
                <w:szCs w:val="24"/>
                <w:highlight w:val="none"/>
                <w:lang w:eastAsia="zh-CN"/>
              </w:rPr>
              <w:t>（</w:t>
            </w:r>
            <w:r>
              <w:rPr>
                <w:rFonts w:hint="default" w:ascii="Times New Roman" w:hAnsi="Times New Roman" w:cs="Times New Roman"/>
                <w:color w:val="auto"/>
                <w:kern w:val="0"/>
                <w:szCs w:val="24"/>
                <w:highlight w:val="none"/>
              </w:rPr>
              <w:t>东经</w:t>
            </w:r>
            <w:r>
              <w:rPr>
                <w:rFonts w:hint="eastAsia" w:cs="Times New Roman"/>
                <w:color w:val="auto"/>
                <w:kern w:val="0"/>
                <w:szCs w:val="24"/>
                <w:highlight w:val="none"/>
                <w:lang w:val="en-US" w:eastAsia="zh-CN"/>
              </w:rPr>
              <w:t>98</w:t>
            </w:r>
            <w:r>
              <w:rPr>
                <w:rFonts w:hint="default" w:ascii="Times New Roman" w:hAnsi="Times New Roman" w:cs="Times New Roman"/>
                <w:color w:val="auto"/>
                <w:kern w:val="0"/>
                <w:szCs w:val="24"/>
                <w:highlight w:val="none"/>
              </w:rPr>
              <w:t>度</w:t>
            </w:r>
            <w:r>
              <w:rPr>
                <w:rFonts w:hint="eastAsia" w:cs="Times New Roman"/>
                <w:color w:val="auto"/>
                <w:kern w:val="0"/>
                <w:szCs w:val="24"/>
                <w:highlight w:val="none"/>
                <w:lang w:val="en-US" w:eastAsia="zh-CN"/>
              </w:rPr>
              <w:t>34</w:t>
            </w:r>
            <w:r>
              <w:rPr>
                <w:rFonts w:hint="default" w:ascii="Times New Roman" w:hAnsi="Times New Roman" w:cs="Times New Roman"/>
                <w:color w:val="auto"/>
                <w:kern w:val="0"/>
                <w:szCs w:val="24"/>
                <w:highlight w:val="none"/>
              </w:rPr>
              <w:t>分</w:t>
            </w:r>
            <w:r>
              <w:rPr>
                <w:rFonts w:hint="eastAsia" w:cs="Times New Roman"/>
                <w:color w:val="auto"/>
                <w:kern w:val="0"/>
                <w:szCs w:val="24"/>
                <w:highlight w:val="none"/>
                <w:lang w:val="en-US" w:eastAsia="zh-CN"/>
              </w:rPr>
              <w:t>19.890</w:t>
            </w:r>
            <w:r>
              <w:rPr>
                <w:rFonts w:hint="default" w:ascii="Times New Roman" w:hAnsi="Times New Roman" w:cs="Times New Roman"/>
                <w:color w:val="auto"/>
                <w:kern w:val="0"/>
                <w:szCs w:val="24"/>
                <w:highlight w:val="none"/>
              </w:rPr>
              <w:t>秒，北纬2</w:t>
            </w:r>
            <w:r>
              <w:rPr>
                <w:rFonts w:hint="eastAsia" w:cs="Times New Roman"/>
                <w:color w:val="auto"/>
                <w:kern w:val="0"/>
                <w:szCs w:val="24"/>
                <w:highlight w:val="none"/>
                <w:lang w:val="en-US" w:eastAsia="zh-CN"/>
              </w:rPr>
              <w:t>4</w:t>
            </w:r>
            <w:r>
              <w:rPr>
                <w:rFonts w:hint="default" w:ascii="Times New Roman" w:hAnsi="Times New Roman" w:cs="Times New Roman"/>
                <w:color w:val="auto"/>
                <w:kern w:val="0"/>
                <w:szCs w:val="24"/>
                <w:highlight w:val="none"/>
              </w:rPr>
              <w:t>度</w:t>
            </w:r>
            <w:r>
              <w:rPr>
                <w:rFonts w:hint="eastAsia" w:cs="Times New Roman"/>
                <w:color w:val="auto"/>
                <w:kern w:val="0"/>
                <w:szCs w:val="24"/>
                <w:highlight w:val="none"/>
                <w:lang w:val="en-US" w:eastAsia="zh-CN"/>
              </w:rPr>
              <w:t>21</w:t>
            </w:r>
            <w:r>
              <w:rPr>
                <w:rFonts w:hint="default" w:ascii="Times New Roman" w:hAnsi="Times New Roman" w:cs="Times New Roman"/>
                <w:color w:val="auto"/>
                <w:kern w:val="0"/>
                <w:szCs w:val="24"/>
                <w:highlight w:val="none"/>
              </w:rPr>
              <w:t>分</w:t>
            </w:r>
            <w:r>
              <w:rPr>
                <w:rFonts w:hint="eastAsia" w:cs="Times New Roman"/>
                <w:color w:val="auto"/>
                <w:kern w:val="0"/>
                <w:szCs w:val="24"/>
                <w:highlight w:val="none"/>
                <w:lang w:val="en-US" w:eastAsia="zh-CN"/>
              </w:rPr>
              <w:t>24.330</w:t>
            </w:r>
            <w:r>
              <w:rPr>
                <w:rFonts w:hint="default" w:ascii="Times New Roman" w:hAnsi="Times New Roman" w:cs="Times New Roman"/>
                <w:color w:val="auto"/>
                <w:kern w:val="0"/>
                <w:szCs w:val="24"/>
                <w:highlight w:val="none"/>
              </w:rPr>
              <w:t>秒）</w:t>
            </w:r>
          </w:p>
        </w:tc>
      </w:tr>
      <w:tr w14:paraId="55397C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22" w:type="dxa"/>
            <w:tcMar>
              <w:top w:w="16" w:type="dxa"/>
              <w:left w:w="16" w:type="dxa"/>
              <w:right w:w="16" w:type="dxa"/>
            </w:tcMar>
            <w:vAlign w:val="center"/>
          </w:tcPr>
          <w:p w14:paraId="15DE2A5B">
            <w:pPr>
              <w:pStyle w:val="34"/>
              <w:bidi w:val="0"/>
              <w:rPr>
                <w:rFonts w:hint="default"/>
                <w:color w:val="auto"/>
                <w:sz w:val="24"/>
                <w:szCs w:val="24"/>
              </w:rPr>
            </w:pPr>
            <w:r>
              <w:rPr>
                <w:rFonts w:hint="default"/>
                <w:color w:val="auto"/>
                <w:sz w:val="24"/>
                <w:szCs w:val="24"/>
              </w:rPr>
              <w:t>建设项目</w:t>
            </w:r>
          </w:p>
          <w:p w14:paraId="1051278B">
            <w:pPr>
              <w:pStyle w:val="34"/>
              <w:bidi w:val="0"/>
              <w:rPr>
                <w:rFonts w:hint="default"/>
                <w:color w:val="auto"/>
                <w:sz w:val="24"/>
                <w:szCs w:val="24"/>
              </w:rPr>
            </w:pPr>
            <w:r>
              <w:rPr>
                <w:rFonts w:hint="default"/>
                <w:color w:val="auto"/>
                <w:sz w:val="24"/>
                <w:szCs w:val="24"/>
              </w:rPr>
              <w:t>行业类别</w:t>
            </w:r>
          </w:p>
        </w:tc>
        <w:tc>
          <w:tcPr>
            <w:tcW w:w="2169" w:type="dxa"/>
            <w:vAlign w:val="center"/>
          </w:tcPr>
          <w:p w14:paraId="18F185A5">
            <w:pPr>
              <w:adjustRightInd w:val="0"/>
              <w:snapToGrid w:val="0"/>
              <w:spacing w:line="240" w:lineRule="auto"/>
              <w:ind w:firstLine="0" w:firstLineChars="0"/>
              <w:jc w:val="center"/>
              <w:rPr>
                <w:rFonts w:hint="default"/>
                <w:color w:val="auto"/>
                <w:sz w:val="24"/>
                <w:szCs w:val="24"/>
              </w:rPr>
            </w:pPr>
            <w:r>
              <w:rPr>
                <w:rFonts w:hint="eastAsia"/>
                <w:color w:val="auto"/>
                <w:lang w:eastAsia="zh-CN"/>
              </w:rPr>
              <w:t>五十一、水利</w:t>
            </w:r>
            <w:r>
              <w:rPr>
                <w:rFonts w:hint="eastAsia"/>
                <w:color w:val="auto"/>
                <w:lang w:val="en-US" w:eastAsia="zh-CN"/>
              </w:rPr>
              <w:t>-127.</w:t>
            </w:r>
            <w:r>
              <w:rPr>
                <w:color w:val="auto"/>
              </w:rPr>
              <w:t>防洪除涝工程</w:t>
            </w:r>
          </w:p>
        </w:tc>
        <w:tc>
          <w:tcPr>
            <w:tcW w:w="3082" w:type="dxa"/>
            <w:vAlign w:val="center"/>
          </w:tcPr>
          <w:p w14:paraId="2D84A425">
            <w:pPr>
              <w:adjustRightInd w:val="0"/>
              <w:snapToGrid w:val="0"/>
              <w:spacing w:line="240" w:lineRule="auto"/>
              <w:ind w:firstLine="0" w:firstLineChars="0"/>
              <w:jc w:val="center"/>
              <w:rPr>
                <w:rFonts w:hint="default"/>
                <w:color w:val="auto"/>
                <w:sz w:val="24"/>
                <w:szCs w:val="24"/>
              </w:rPr>
            </w:pPr>
            <w:r>
              <w:rPr>
                <w:rFonts w:hint="default" w:ascii="Times New Roman" w:hAnsi="Times New Roman" w:cs="Times New Roman"/>
                <w:color w:val="auto"/>
                <w:highlight w:val="none"/>
              </w:rPr>
              <w:t>用地（用海）面积（</w:t>
            </w:r>
            <w:r>
              <w:rPr>
                <w:rFonts w:hint="eastAsia" w:cs="Times New Roman"/>
                <w:color w:val="auto"/>
                <w:highlight w:val="none"/>
                <w:lang w:val="en-US" w:eastAsia="zh-CN"/>
              </w:rPr>
              <w:t>h</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）/长度（km）</w:t>
            </w:r>
          </w:p>
        </w:tc>
        <w:tc>
          <w:tcPr>
            <w:tcW w:w="2641" w:type="dxa"/>
            <w:vAlign w:val="center"/>
          </w:tcPr>
          <w:p w14:paraId="21C01D4C">
            <w:pPr>
              <w:adjustRightInd w:val="0"/>
              <w:snapToGrid w:val="0"/>
              <w:spacing w:line="240" w:lineRule="auto"/>
              <w:ind w:firstLine="0" w:firstLineChars="0"/>
              <w:jc w:val="center"/>
              <w:rPr>
                <w:color w:val="auto"/>
              </w:rPr>
            </w:pPr>
            <w:r>
              <w:rPr>
                <w:rFonts w:hint="eastAsia"/>
                <w:color w:val="auto"/>
                <w:lang w:val="en-US" w:eastAsia="zh-CN"/>
              </w:rPr>
              <w:t>治理长度：20.23</w:t>
            </w:r>
          </w:p>
          <w:p w14:paraId="1E4A559B">
            <w:pPr>
              <w:adjustRightInd w:val="0"/>
              <w:snapToGrid w:val="0"/>
              <w:spacing w:line="240" w:lineRule="auto"/>
              <w:ind w:firstLine="0" w:firstLineChars="0"/>
              <w:jc w:val="center"/>
              <w:rPr>
                <w:rFonts w:hint="eastAsia"/>
                <w:color w:val="auto"/>
                <w:lang w:val="en-US" w:eastAsia="zh-CN"/>
              </w:rPr>
            </w:pPr>
            <w:r>
              <w:rPr>
                <w:rFonts w:hint="eastAsia"/>
                <w:color w:val="auto"/>
                <w:lang w:eastAsia="zh-CN"/>
              </w:rPr>
              <w:t>永久占地面积：</w:t>
            </w:r>
            <w:r>
              <w:rPr>
                <w:rFonts w:hint="eastAsia"/>
                <w:color w:val="auto"/>
                <w:lang w:val="en-US" w:eastAsia="zh-CN"/>
              </w:rPr>
              <w:t>4.83</w:t>
            </w:r>
          </w:p>
          <w:p w14:paraId="23C3B1CC">
            <w:pPr>
              <w:adjustRightInd w:val="0"/>
              <w:snapToGrid w:val="0"/>
              <w:spacing w:line="240" w:lineRule="auto"/>
              <w:ind w:firstLine="0" w:firstLineChars="0"/>
              <w:jc w:val="center"/>
              <w:rPr>
                <w:rFonts w:hint="default"/>
                <w:color w:val="0000FF"/>
                <w:lang w:val="en-US" w:eastAsia="zh-CN"/>
              </w:rPr>
            </w:pPr>
            <w:r>
              <w:rPr>
                <w:rFonts w:hint="eastAsia"/>
                <w:color w:val="auto"/>
                <w:lang w:val="en-US" w:eastAsia="zh-CN"/>
              </w:rPr>
              <w:t>临时占地面积：18.80</w:t>
            </w:r>
          </w:p>
        </w:tc>
      </w:tr>
      <w:tr w14:paraId="71316A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22" w:type="dxa"/>
            <w:tcMar>
              <w:top w:w="16" w:type="dxa"/>
              <w:left w:w="16" w:type="dxa"/>
              <w:right w:w="16" w:type="dxa"/>
            </w:tcMar>
            <w:vAlign w:val="center"/>
          </w:tcPr>
          <w:p w14:paraId="0CA42452">
            <w:pPr>
              <w:pStyle w:val="34"/>
              <w:bidi w:val="0"/>
              <w:rPr>
                <w:rFonts w:hint="default"/>
                <w:color w:val="auto"/>
                <w:sz w:val="24"/>
                <w:szCs w:val="24"/>
              </w:rPr>
            </w:pPr>
            <w:r>
              <w:rPr>
                <w:rFonts w:hint="default"/>
                <w:color w:val="auto"/>
                <w:sz w:val="24"/>
                <w:szCs w:val="24"/>
              </w:rPr>
              <w:t>建设性质</w:t>
            </w:r>
          </w:p>
        </w:tc>
        <w:tc>
          <w:tcPr>
            <w:tcW w:w="2169" w:type="dxa"/>
            <w:vAlign w:val="center"/>
          </w:tcPr>
          <w:p w14:paraId="75290F78">
            <w:pPr>
              <w:pStyle w:val="34"/>
              <w:bidi w:val="0"/>
              <w:jc w:val="left"/>
              <w:rPr>
                <w:rFonts w:hint="default"/>
                <w:color w:val="auto"/>
                <w:sz w:val="24"/>
                <w:szCs w:val="24"/>
              </w:rPr>
            </w:pPr>
            <w:r>
              <w:rPr>
                <w:rFonts w:hint="default"/>
                <w:color w:val="auto"/>
                <w:sz w:val="24"/>
                <w:szCs w:val="24"/>
              </w:rPr>
              <w:t>☑新建（迁建）</w:t>
            </w:r>
          </w:p>
          <w:p w14:paraId="0EE765E5">
            <w:pPr>
              <w:pStyle w:val="34"/>
              <w:bidi w:val="0"/>
              <w:jc w:val="left"/>
              <w:rPr>
                <w:rFonts w:hint="default"/>
                <w:color w:val="auto"/>
                <w:sz w:val="24"/>
                <w:szCs w:val="24"/>
              </w:rPr>
            </w:pPr>
            <w:r>
              <w:rPr>
                <w:rFonts w:hint="default"/>
                <w:color w:val="auto"/>
                <w:sz w:val="24"/>
                <w:szCs w:val="24"/>
              </w:rPr>
              <w:t>□改建</w:t>
            </w:r>
          </w:p>
          <w:p w14:paraId="085C5424">
            <w:pPr>
              <w:pStyle w:val="34"/>
              <w:bidi w:val="0"/>
              <w:jc w:val="left"/>
              <w:rPr>
                <w:rFonts w:hint="default"/>
                <w:color w:val="auto"/>
                <w:sz w:val="24"/>
                <w:szCs w:val="24"/>
              </w:rPr>
            </w:pPr>
            <w:r>
              <w:rPr>
                <w:rFonts w:hint="default"/>
                <w:color w:val="auto"/>
                <w:sz w:val="24"/>
                <w:szCs w:val="24"/>
              </w:rPr>
              <w:t>□扩建</w:t>
            </w:r>
          </w:p>
          <w:p w14:paraId="5E78834B">
            <w:pPr>
              <w:pStyle w:val="34"/>
              <w:bidi w:val="0"/>
              <w:jc w:val="left"/>
              <w:rPr>
                <w:rFonts w:hint="default"/>
                <w:color w:val="auto"/>
                <w:sz w:val="24"/>
                <w:szCs w:val="24"/>
              </w:rPr>
            </w:pPr>
            <w:r>
              <w:rPr>
                <w:rFonts w:hint="default"/>
                <w:color w:val="auto"/>
                <w:sz w:val="24"/>
                <w:szCs w:val="24"/>
              </w:rPr>
              <w:t>□技术改造</w:t>
            </w:r>
          </w:p>
        </w:tc>
        <w:tc>
          <w:tcPr>
            <w:tcW w:w="3082" w:type="dxa"/>
            <w:vAlign w:val="center"/>
          </w:tcPr>
          <w:p w14:paraId="2A440700">
            <w:pPr>
              <w:pStyle w:val="34"/>
              <w:bidi w:val="0"/>
              <w:rPr>
                <w:rFonts w:hint="default"/>
                <w:color w:val="auto"/>
                <w:sz w:val="24"/>
                <w:szCs w:val="24"/>
              </w:rPr>
            </w:pPr>
            <w:r>
              <w:rPr>
                <w:rFonts w:hint="default"/>
                <w:color w:val="auto"/>
                <w:sz w:val="24"/>
                <w:szCs w:val="24"/>
              </w:rPr>
              <w:t>建设项目</w:t>
            </w:r>
          </w:p>
          <w:p w14:paraId="60D5ECB1">
            <w:pPr>
              <w:pStyle w:val="34"/>
              <w:bidi w:val="0"/>
              <w:rPr>
                <w:rFonts w:hint="default"/>
                <w:color w:val="auto"/>
                <w:sz w:val="24"/>
                <w:szCs w:val="24"/>
              </w:rPr>
            </w:pPr>
            <w:r>
              <w:rPr>
                <w:rFonts w:hint="default"/>
                <w:color w:val="auto"/>
                <w:sz w:val="24"/>
                <w:szCs w:val="24"/>
              </w:rPr>
              <w:t>申报情形</w:t>
            </w:r>
          </w:p>
        </w:tc>
        <w:tc>
          <w:tcPr>
            <w:tcW w:w="2641" w:type="dxa"/>
            <w:vAlign w:val="center"/>
          </w:tcPr>
          <w:p w14:paraId="5434C23B">
            <w:pPr>
              <w:pStyle w:val="34"/>
              <w:bidi w:val="0"/>
              <w:jc w:val="left"/>
              <w:rPr>
                <w:rFonts w:hint="default"/>
                <w:color w:val="auto"/>
                <w:sz w:val="24"/>
                <w:szCs w:val="24"/>
              </w:rPr>
            </w:pPr>
            <w:r>
              <w:rPr>
                <w:rFonts w:hint="default"/>
                <w:color w:val="auto"/>
                <w:sz w:val="24"/>
                <w:szCs w:val="24"/>
              </w:rPr>
              <w:t>☑首次申报项目</w:t>
            </w:r>
          </w:p>
          <w:p w14:paraId="7C7B475C">
            <w:pPr>
              <w:pStyle w:val="34"/>
              <w:bidi w:val="0"/>
              <w:jc w:val="left"/>
              <w:rPr>
                <w:rFonts w:hint="default"/>
                <w:color w:val="auto"/>
                <w:sz w:val="24"/>
                <w:szCs w:val="24"/>
              </w:rPr>
            </w:pPr>
            <w:r>
              <w:rPr>
                <w:rFonts w:hint="default"/>
                <w:color w:val="auto"/>
                <w:sz w:val="24"/>
                <w:szCs w:val="24"/>
              </w:rPr>
              <w:t>□不予批准后再次申报项目</w:t>
            </w:r>
          </w:p>
          <w:p w14:paraId="135C6177">
            <w:pPr>
              <w:pStyle w:val="34"/>
              <w:bidi w:val="0"/>
              <w:jc w:val="left"/>
              <w:rPr>
                <w:rFonts w:hint="default"/>
                <w:color w:val="auto"/>
                <w:sz w:val="24"/>
                <w:szCs w:val="24"/>
              </w:rPr>
            </w:pPr>
            <w:r>
              <w:rPr>
                <w:rFonts w:hint="default"/>
                <w:color w:val="auto"/>
                <w:sz w:val="24"/>
                <w:szCs w:val="24"/>
              </w:rPr>
              <w:t>□超五年重新审核项目</w:t>
            </w:r>
          </w:p>
          <w:p w14:paraId="2A473063">
            <w:pPr>
              <w:pStyle w:val="34"/>
              <w:bidi w:val="0"/>
              <w:jc w:val="left"/>
              <w:rPr>
                <w:rFonts w:hint="default"/>
                <w:color w:val="auto"/>
                <w:sz w:val="24"/>
                <w:szCs w:val="24"/>
              </w:rPr>
            </w:pPr>
            <w:r>
              <w:rPr>
                <w:rFonts w:hint="default"/>
                <w:color w:val="auto"/>
                <w:sz w:val="24"/>
                <w:szCs w:val="24"/>
              </w:rPr>
              <w:t>□重大变动重新报批项目</w:t>
            </w:r>
          </w:p>
        </w:tc>
      </w:tr>
      <w:tr w14:paraId="763935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22" w:type="dxa"/>
            <w:tcMar>
              <w:top w:w="16" w:type="dxa"/>
              <w:left w:w="16" w:type="dxa"/>
              <w:right w:w="16" w:type="dxa"/>
            </w:tcMar>
            <w:vAlign w:val="center"/>
          </w:tcPr>
          <w:p w14:paraId="15A7E675">
            <w:pPr>
              <w:pStyle w:val="34"/>
              <w:bidi w:val="0"/>
              <w:rPr>
                <w:rFonts w:hint="default"/>
                <w:color w:val="auto"/>
                <w:sz w:val="24"/>
                <w:szCs w:val="24"/>
              </w:rPr>
            </w:pPr>
            <w:r>
              <w:rPr>
                <w:rFonts w:hint="default"/>
                <w:color w:val="auto"/>
                <w:sz w:val="24"/>
                <w:szCs w:val="24"/>
              </w:rPr>
              <w:t>项目审批（核准/</w:t>
            </w:r>
          </w:p>
          <w:p w14:paraId="7EA9E684">
            <w:pPr>
              <w:pStyle w:val="34"/>
              <w:bidi w:val="0"/>
              <w:rPr>
                <w:rFonts w:hint="default"/>
                <w:color w:val="auto"/>
                <w:sz w:val="24"/>
                <w:szCs w:val="24"/>
              </w:rPr>
            </w:pPr>
            <w:r>
              <w:rPr>
                <w:rFonts w:hint="default"/>
                <w:color w:val="auto"/>
                <w:sz w:val="24"/>
                <w:szCs w:val="24"/>
              </w:rPr>
              <w:t>备案）部门（选填）</w:t>
            </w:r>
          </w:p>
        </w:tc>
        <w:tc>
          <w:tcPr>
            <w:tcW w:w="2169" w:type="dxa"/>
            <w:vAlign w:val="center"/>
          </w:tcPr>
          <w:p w14:paraId="128E6F1C">
            <w:pPr>
              <w:adjustRightInd w:val="0"/>
              <w:snapToGrid w:val="0"/>
              <w:spacing w:line="240" w:lineRule="auto"/>
              <w:ind w:firstLine="0" w:firstLineChars="0"/>
              <w:jc w:val="center"/>
              <w:rPr>
                <w:rFonts w:hint="eastAsia" w:eastAsia="宋体"/>
                <w:color w:val="auto"/>
                <w:sz w:val="24"/>
                <w:szCs w:val="24"/>
                <w:lang w:eastAsia="zh-CN"/>
              </w:rPr>
            </w:pPr>
            <w:r>
              <w:rPr>
                <w:rFonts w:hint="eastAsia"/>
                <w:color w:val="auto"/>
                <w:sz w:val="24"/>
                <w:szCs w:val="24"/>
                <w:lang w:eastAsia="zh-CN"/>
              </w:rPr>
              <w:t>德宏傣族景颇族自治州水利局</w:t>
            </w:r>
          </w:p>
        </w:tc>
        <w:tc>
          <w:tcPr>
            <w:tcW w:w="3082" w:type="dxa"/>
            <w:vAlign w:val="center"/>
          </w:tcPr>
          <w:p w14:paraId="546D9728">
            <w:pPr>
              <w:adjustRightInd w:val="0"/>
              <w:snapToGrid w:val="0"/>
              <w:spacing w:line="240" w:lineRule="auto"/>
              <w:ind w:firstLine="0" w:firstLineChars="0"/>
              <w:jc w:val="center"/>
              <w:rPr>
                <w:rFonts w:hint="default"/>
                <w:color w:val="auto"/>
                <w:sz w:val="24"/>
                <w:szCs w:val="24"/>
              </w:rPr>
            </w:pPr>
            <w:r>
              <w:rPr>
                <w:rFonts w:hint="default" w:ascii="Times New Roman" w:hAnsi="Times New Roman" w:cs="Times New Roman"/>
                <w:color w:val="auto"/>
                <w:highlight w:val="none"/>
              </w:rPr>
              <w:t>项目审批（核准/备案）文号（选填）</w:t>
            </w:r>
          </w:p>
        </w:tc>
        <w:tc>
          <w:tcPr>
            <w:tcW w:w="2641" w:type="dxa"/>
            <w:vAlign w:val="center"/>
          </w:tcPr>
          <w:p w14:paraId="52565E76">
            <w:pPr>
              <w:adjustRightInd w:val="0"/>
              <w:snapToGrid w:val="0"/>
              <w:spacing w:line="240" w:lineRule="auto"/>
              <w:ind w:firstLine="0" w:firstLineChars="0"/>
              <w:jc w:val="center"/>
              <w:rPr>
                <w:rFonts w:hint="default"/>
                <w:color w:val="auto"/>
                <w:sz w:val="24"/>
                <w:szCs w:val="24"/>
              </w:rPr>
            </w:pPr>
            <w:r>
              <w:rPr>
                <w:rFonts w:hint="eastAsia"/>
                <w:color w:val="auto"/>
                <w:sz w:val="24"/>
                <w:szCs w:val="24"/>
                <w:lang w:eastAsia="zh-CN"/>
              </w:rPr>
              <w:t>德</w:t>
            </w:r>
            <w:r>
              <w:rPr>
                <w:rFonts w:hint="default"/>
                <w:color w:val="auto"/>
                <w:sz w:val="24"/>
                <w:szCs w:val="24"/>
              </w:rPr>
              <w:t>水规计许〔2023〕16号</w:t>
            </w:r>
          </w:p>
        </w:tc>
      </w:tr>
      <w:tr w14:paraId="1CDB16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22" w:type="dxa"/>
            <w:tcMar>
              <w:top w:w="16" w:type="dxa"/>
              <w:left w:w="16" w:type="dxa"/>
              <w:right w:w="16" w:type="dxa"/>
            </w:tcMar>
            <w:vAlign w:val="center"/>
          </w:tcPr>
          <w:p w14:paraId="723EA06C">
            <w:pPr>
              <w:pStyle w:val="34"/>
              <w:bidi w:val="0"/>
              <w:rPr>
                <w:rFonts w:hint="default"/>
                <w:color w:val="auto"/>
                <w:sz w:val="24"/>
                <w:szCs w:val="24"/>
              </w:rPr>
            </w:pPr>
            <w:r>
              <w:rPr>
                <w:rFonts w:hint="default"/>
                <w:color w:val="auto"/>
                <w:sz w:val="24"/>
                <w:szCs w:val="24"/>
              </w:rPr>
              <w:t>总投资（万元）</w:t>
            </w:r>
          </w:p>
        </w:tc>
        <w:tc>
          <w:tcPr>
            <w:tcW w:w="2169" w:type="dxa"/>
            <w:vAlign w:val="center"/>
          </w:tcPr>
          <w:p w14:paraId="11B620A6">
            <w:pPr>
              <w:adjustRightInd w:val="0"/>
              <w:snapToGrid w:val="0"/>
              <w:spacing w:line="240" w:lineRule="auto"/>
              <w:ind w:firstLine="0" w:firstLineChars="0"/>
              <w:jc w:val="center"/>
              <w:rPr>
                <w:rFonts w:hint="default"/>
                <w:color w:val="auto"/>
                <w:sz w:val="24"/>
                <w:szCs w:val="24"/>
                <w:lang w:val="en-US" w:eastAsia="zh-CN"/>
              </w:rPr>
            </w:pPr>
            <w:r>
              <w:rPr>
                <w:rFonts w:hint="eastAsia"/>
                <w:color w:val="auto"/>
                <w:sz w:val="24"/>
                <w:szCs w:val="24"/>
                <w:lang w:val="en-US" w:eastAsia="zh-CN"/>
              </w:rPr>
              <w:t>5925.75</w:t>
            </w:r>
          </w:p>
        </w:tc>
        <w:tc>
          <w:tcPr>
            <w:tcW w:w="3082" w:type="dxa"/>
            <w:tcMar>
              <w:top w:w="16" w:type="dxa"/>
              <w:left w:w="16" w:type="dxa"/>
              <w:right w:w="16" w:type="dxa"/>
            </w:tcMar>
            <w:vAlign w:val="center"/>
          </w:tcPr>
          <w:p w14:paraId="73492D85">
            <w:pPr>
              <w:adjustRightInd w:val="0"/>
              <w:snapToGrid w:val="0"/>
              <w:spacing w:line="240" w:lineRule="auto"/>
              <w:ind w:firstLine="0" w:firstLineChars="0"/>
              <w:jc w:val="center"/>
              <w:rPr>
                <w:rFonts w:hint="default"/>
                <w:color w:val="auto"/>
                <w:sz w:val="24"/>
                <w:szCs w:val="24"/>
              </w:rPr>
            </w:pPr>
            <w:r>
              <w:rPr>
                <w:rFonts w:hint="default" w:ascii="Times New Roman" w:hAnsi="Times New Roman" w:cs="Times New Roman"/>
                <w:color w:val="auto"/>
                <w:highlight w:val="none"/>
              </w:rPr>
              <w:t>环保投资（万元）</w:t>
            </w:r>
          </w:p>
        </w:tc>
        <w:tc>
          <w:tcPr>
            <w:tcW w:w="2641" w:type="dxa"/>
            <w:vAlign w:val="center"/>
          </w:tcPr>
          <w:p w14:paraId="24CA18C1">
            <w:pPr>
              <w:adjustRightInd w:val="0"/>
              <w:snapToGrid w:val="0"/>
              <w:spacing w:line="240" w:lineRule="auto"/>
              <w:ind w:firstLine="0" w:firstLineChars="0"/>
              <w:jc w:val="center"/>
              <w:rPr>
                <w:rFonts w:hint="default" w:eastAsia="宋体"/>
                <w:color w:val="auto"/>
                <w:sz w:val="24"/>
                <w:szCs w:val="24"/>
                <w:lang w:val="en-US" w:eastAsia="zh-CN"/>
              </w:rPr>
            </w:pPr>
            <w:r>
              <w:rPr>
                <w:rFonts w:hint="eastAsia"/>
                <w:color w:val="auto"/>
                <w:sz w:val="24"/>
                <w:szCs w:val="24"/>
                <w:lang w:val="en-US" w:eastAsia="zh-CN"/>
              </w:rPr>
              <w:t>25.77</w:t>
            </w:r>
          </w:p>
        </w:tc>
      </w:tr>
      <w:tr w14:paraId="23092D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22" w:type="dxa"/>
            <w:tcMar>
              <w:top w:w="16" w:type="dxa"/>
              <w:left w:w="16" w:type="dxa"/>
              <w:right w:w="16" w:type="dxa"/>
            </w:tcMar>
            <w:vAlign w:val="center"/>
          </w:tcPr>
          <w:p w14:paraId="542AA5FA">
            <w:pPr>
              <w:pStyle w:val="34"/>
              <w:bidi w:val="0"/>
              <w:jc w:val="both"/>
              <w:rPr>
                <w:rFonts w:hint="default"/>
                <w:color w:val="auto"/>
                <w:sz w:val="24"/>
                <w:szCs w:val="24"/>
              </w:rPr>
            </w:pPr>
            <w:r>
              <w:rPr>
                <w:rFonts w:hint="default"/>
                <w:color w:val="auto"/>
                <w:sz w:val="24"/>
                <w:szCs w:val="24"/>
              </w:rPr>
              <w:t>环保投资占比（%）</w:t>
            </w:r>
          </w:p>
        </w:tc>
        <w:tc>
          <w:tcPr>
            <w:tcW w:w="2169" w:type="dxa"/>
            <w:vAlign w:val="center"/>
          </w:tcPr>
          <w:p w14:paraId="4A71E6E7">
            <w:pPr>
              <w:adjustRightInd w:val="0"/>
              <w:snapToGrid w:val="0"/>
              <w:spacing w:line="240" w:lineRule="auto"/>
              <w:ind w:firstLine="0" w:firstLineChars="0"/>
              <w:jc w:val="center"/>
              <w:rPr>
                <w:rFonts w:hint="default" w:eastAsia="宋体"/>
                <w:color w:val="auto"/>
                <w:sz w:val="24"/>
                <w:szCs w:val="24"/>
                <w:lang w:val="en-US" w:eastAsia="zh-CN"/>
              </w:rPr>
            </w:pPr>
            <w:r>
              <w:rPr>
                <w:rFonts w:hint="eastAsia"/>
                <w:color w:val="auto"/>
                <w:sz w:val="24"/>
                <w:szCs w:val="24"/>
                <w:lang w:val="en-US" w:eastAsia="zh-CN"/>
              </w:rPr>
              <w:t>0.43</w:t>
            </w:r>
          </w:p>
        </w:tc>
        <w:tc>
          <w:tcPr>
            <w:tcW w:w="3082" w:type="dxa"/>
            <w:tcMar>
              <w:top w:w="16" w:type="dxa"/>
              <w:left w:w="16" w:type="dxa"/>
              <w:right w:w="16" w:type="dxa"/>
            </w:tcMar>
            <w:vAlign w:val="center"/>
          </w:tcPr>
          <w:p w14:paraId="16878F88">
            <w:pPr>
              <w:adjustRightInd w:val="0"/>
              <w:snapToGrid w:val="0"/>
              <w:spacing w:line="240" w:lineRule="auto"/>
              <w:ind w:firstLine="0" w:firstLineChars="0"/>
              <w:jc w:val="center"/>
              <w:rPr>
                <w:rFonts w:hint="default"/>
                <w:color w:val="auto"/>
                <w:sz w:val="24"/>
                <w:szCs w:val="24"/>
              </w:rPr>
            </w:pPr>
            <w:r>
              <w:rPr>
                <w:rFonts w:hint="default" w:ascii="Times New Roman" w:hAnsi="Times New Roman" w:cs="Times New Roman"/>
                <w:color w:val="auto"/>
                <w:highlight w:val="none"/>
              </w:rPr>
              <w:t>施工工期</w:t>
            </w:r>
          </w:p>
        </w:tc>
        <w:tc>
          <w:tcPr>
            <w:tcW w:w="2641" w:type="dxa"/>
            <w:vAlign w:val="center"/>
          </w:tcPr>
          <w:p w14:paraId="2371E860">
            <w:pPr>
              <w:adjustRightInd w:val="0"/>
              <w:snapToGrid w:val="0"/>
              <w:spacing w:line="240" w:lineRule="auto"/>
              <w:ind w:firstLine="0" w:firstLineChars="0"/>
              <w:jc w:val="center"/>
              <w:rPr>
                <w:rFonts w:hint="default"/>
                <w:color w:val="auto"/>
                <w:sz w:val="24"/>
                <w:szCs w:val="24"/>
              </w:rPr>
            </w:pPr>
            <w:r>
              <w:rPr>
                <w:rFonts w:hint="eastAsia" w:cs="Times New Roman"/>
                <w:color w:val="auto"/>
                <w:highlight w:val="none"/>
                <w:lang w:val="en-US" w:eastAsia="zh-CN"/>
              </w:rPr>
              <w:t>12</w:t>
            </w:r>
            <w:r>
              <w:rPr>
                <w:rFonts w:hint="default" w:ascii="Times New Roman" w:hAnsi="Times New Roman" w:cs="Times New Roman"/>
                <w:color w:val="auto"/>
                <w:highlight w:val="none"/>
              </w:rPr>
              <w:t>个月</w:t>
            </w:r>
          </w:p>
        </w:tc>
      </w:tr>
      <w:tr w14:paraId="0FD11D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22" w:type="dxa"/>
            <w:tcMar>
              <w:top w:w="16" w:type="dxa"/>
              <w:left w:w="16" w:type="dxa"/>
              <w:right w:w="16" w:type="dxa"/>
            </w:tcMar>
            <w:vAlign w:val="center"/>
          </w:tcPr>
          <w:p w14:paraId="70420254">
            <w:pPr>
              <w:pStyle w:val="34"/>
              <w:bidi w:val="0"/>
              <w:rPr>
                <w:rFonts w:hint="default"/>
                <w:color w:val="auto"/>
                <w:sz w:val="24"/>
                <w:szCs w:val="24"/>
              </w:rPr>
            </w:pPr>
            <w:r>
              <w:rPr>
                <w:rFonts w:hint="default"/>
                <w:color w:val="auto"/>
                <w:sz w:val="24"/>
                <w:szCs w:val="24"/>
              </w:rPr>
              <w:t>是否开工建设</w:t>
            </w:r>
          </w:p>
        </w:tc>
        <w:tc>
          <w:tcPr>
            <w:tcW w:w="7508" w:type="dxa"/>
            <w:gridSpan w:val="3"/>
            <w:vAlign w:val="center"/>
          </w:tcPr>
          <w:p w14:paraId="7EFEAA93">
            <w:pPr>
              <w:adjustRightInd w:val="0"/>
              <w:snapToGrid w:val="0"/>
              <w:spacing w:line="240" w:lineRule="auto"/>
              <w:ind w:firstLine="0" w:firstLineChars="0"/>
              <w:rPr>
                <w:color w:val="auto"/>
                <w:highlight w:val="none"/>
              </w:rPr>
            </w:pPr>
            <w:r>
              <w:rPr>
                <w:rFonts w:ascii="Wingdings 2" w:hAnsi="Wingdings 2"/>
                <w:color w:val="auto"/>
                <w:highlight w:val="none"/>
              </w:rPr>
              <w:sym w:font="Wingdings 2" w:char="0052"/>
            </w:r>
            <w:r>
              <w:rPr>
                <w:rFonts w:hint="eastAsia"/>
                <w:color w:val="auto"/>
                <w:highlight w:val="none"/>
              </w:rPr>
              <w:t>否</w:t>
            </w:r>
          </w:p>
          <w:p w14:paraId="49E8A984">
            <w:pPr>
              <w:pStyle w:val="64"/>
              <w:rPr>
                <w:rFonts w:hint="default"/>
                <w:color w:val="0000FF"/>
                <w:sz w:val="24"/>
                <w:szCs w:val="24"/>
              </w:rPr>
            </w:pPr>
            <w:r>
              <w:rPr>
                <w:rFonts w:ascii="Wingdings 2" w:hAnsi="Wingdings 2"/>
                <w:color w:val="auto"/>
                <w:highlight w:val="none"/>
              </w:rPr>
              <w:sym w:font="Wingdings 2" w:char="00A3"/>
            </w:r>
            <w:r>
              <w:rPr>
                <w:rFonts w:hint="eastAsia" w:ascii="Times New Roman" w:hAnsi="Times New Roman" w:cs="Times New Roman"/>
                <w:color w:val="auto"/>
                <w:sz w:val="24"/>
                <w:highlight w:val="none"/>
              </w:rPr>
              <w:t>是</w:t>
            </w:r>
            <w:r>
              <w:rPr>
                <w:rFonts w:hint="eastAsia"/>
                <w:color w:val="auto"/>
                <w:highlight w:val="none"/>
              </w:rPr>
              <w:t>：</w:t>
            </w:r>
            <w:r>
              <w:rPr>
                <w:color w:val="auto"/>
                <w:highlight w:val="none"/>
                <w:u w:val="single"/>
              </w:rPr>
              <w:t xml:space="preserve">                          </w:t>
            </w:r>
          </w:p>
        </w:tc>
      </w:tr>
      <w:tr w14:paraId="09E8A7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22" w:type="dxa"/>
            <w:tcMar>
              <w:top w:w="16" w:type="dxa"/>
              <w:left w:w="16" w:type="dxa"/>
              <w:right w:w="16" w:type="dxa"/>
            </w:tcMar>
            <w:vAlign w:val="center"/>
          </w:tcPr>
          <w:p w14:paraId="1181A609">
            <w:pPr>
              <w:pStyle w:val="34"/>
              <w:bidi w:val="0"/>
              <w:rPr>
                <w:rFonts w:hint="default"/>
                <w:color w:val="auto"/>
                <w:sz w:val="24"/>
                <w:szCs w:val="24"/>
              </w:rPr>
            </w:pPr>
            <w:r>
              <w:rPr>
                <w:rFonts w:hint="default"/>
                <w:color w:val="auto"/>
                <w:sz w:val="24"/>
                <w:szCs w:val="24"/>
              </w:rPr>
              <w:t>专项评价设置情况</w:t>
            </w:r>
          </w:p>
        </w:tc>
        <w:tc>
          <w:tcPr>
            <w:tcW w:w="7508" w:type="dxa"/>
            <w:gridSpan w:val="3"/>
            <w:tcMar>
              <w:top w:w="16" w:type="dxa"/>
              <w:left w:w="16" w:type="dxa"/>
              <w:right w:w="16" w:type="dxa"/>
            </w:tcMar>
            <w:vAlign w:val="center"/>
          </w:tcPr>
          <w:p w14:paraId="0A02F8DF">
            <w:pPr>
              <w:autoSpaceDE w:val="0"/>
              <w:autoSpaceDN w:val="0"/>
              <w:adjustRightInd w:val="0"/>
              <w:snapToGrid w:val="0"/>
              <w:spacing w:line="360" w:lineRule="auto"/>
              <w:ind w:firstLine="480" w:firstLineChars="200"/>
              <w:jc w:val="left"/>
              <w:rPr>
                <w:rFonts w:ascii="Times New Roman" w:hAnsi="Times New Roman" w:cs="Times New Roman"/>
                <w:color w:val="auto"/>
              </w:rPr>
            </w:pPr>
            <w:r>
              <w:rPr>
                <w:rFonts w:ascii="Times New Roman" w:hAnsi="Times New Roman" w:cs="Times New Roman"/>
                <w:color w:val="auto"/>
              </w:rPr>
              <w:t>经与《关于印发&lt;建设项目环境影响报告表&gt;内容、格式及编制技术指南的通知》（环办环评（2020）33号）中建设项目环境影响报告表编制技术指南（生态影响类）（试行）表1专项评价设置原则表进行对照，</w:t>
            </w:r>
            <w:r>
              <w:rPr>
                <w:rFonts w:hint="eastAsia" w:cs="Times New Roman"/>
                <w:color w:val="auto"/>
                <w:lang w:val="en-US" w:eastAsia="zh-CN"/>
              </w:rPr>
              <w:t>本项目</w:t>
            </w:r>
            <w:r>
              <w:rPr>
                <w:rFonts w:hint="eastAsia" w:cs="Times New Roman"/>
                <w:color w:val="auto"/>
                <w:lang w:eastAsia="zh-CN"/>
              </w:rPr>
              <w:t>不设置</w:t>
            </w:r>
            <w:r>
              <w:rPr>
                <w:rFonts w:ascii="Times New Roman" w:hAnsi="Times New Roman" w:cs="Times New Roman"/>
                <w:color w:val="auto"/>
              </w:rPr>
              <w:t>专项评价。项目与专项评价设置原则对照情况如下：</w:t>
            </w:r>
          </w:p>
          <w:p w14:paraId="0FF29BA7">
            <w:pPr>
              <w:pStyle w:val="17"/>
              <w:spacing w:beforeLines="0"/>
              <w:ind w:right="0"/>
              <w:rPr>
                <w:rFonts w:ascii="Times New Roman" w:hAnsi="Times New Roman" w:cs="Times New Roman"/>
                <w:color w:val="auto"/>
                <w:sz w:val="21"/>
                <w:szCs w:val="21"/>
              </w:rPr>
            </w:pPr>
            <w:r>
              <w:rPr>
                <w:rFonts w:ascii="Times New Roman" w:hAnsi="Times New Roman" w:cs="Times New Roman"/>
                <w:color w:val="auto"/>
                <w:sz w:val="21"/>
                <w:szCs w:val="21"/>
              </w:rPr>
              <w:t>表1-1 本项目与专项评价设置原则对照表</w:t>
            </w:r>
          </w:p>
          <w:tbl>
            <w:tblPr>
              <w:tblStyle w:val="22"/>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05"/>
              <w:gridCol w:w="3899"/>
              <w:gridCol w:w="2821"/>
            </w:tblGrid>
            <w:tr w14:paraId="13DDE4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04" w:type="dxa"/>
                  <w:tcBorders>
                    <w:tl2br w:val="nil"/>
                    <w:tr2bl w:val="nil"/>
                  </w:tcBorders>
                  <w:vAlign w:val="center"/>
                </w:tcPr>
                <w:p w14:paraId="48EDCC57">
                  <w:pPr>
                    <w:pStyle w:val="34"/>
                    <w:bidi w:val="0"/>
                    <w:spacing w:line="240" w:lineRule="auto"/>
                    <w:rPr>
                      <w:b/>
                      <w:bCs/>
                      <w:color w:val="auto"/>
                    </w:rPr>
                  </w:pPr>
                  <w:r>
                    <w:rPr>
                      <w:b/>
                      <w:bCs/>
                      <w:color w:val="auto"/>
                    </w:rPr>
                    <w:t>类别</w:t>
                  </w:r>
                </w:p>
              </w:tc>
              <w:tc>
                <w:tcPr>
                  <w:tcW w:w="3542" w:type="dxa"/>
                  <w:tcBorders>
                    <w:tl2br w:val="nil"/>
                    <w:tr2bl w:val="nil"/>
                  </w:tcBorders>
                  <w:vAlign w:val="center"/>
                </w:tcPr>
                <w:p w14:paraId="7AE944B2">
                  <w:pPr>
                    <w:pStyle w:val="34"/>
                    <w:bidi w:val="0"/>
                    <w:spacing w:line="240" w:lineRule="auto"/>
                    <w:rPr>
                      <w:b/>
                      <w:bCs/>
                      <w:color w:val="auto"/>
                    </w:rPr>
                  </w:pPr>
                  <w:r>
                    <w:rPr>
                      <w:b/>
                      <w:bCs/>
                      <w:color w:val="auto"/>
                    </w:rPr>
                    <w:t>设置原则</w:t>
                  </w:r>
                </w:p>
              </w:tc>
              <w:tc>
                <w:tcPr>
                  <w:tcW w:w="2563" w:type="dxa"/>
                  <w:tcBorders>
                    <w:tl2br w:val="nil"/>
                    <w:tr2bl w:val="nil"/>
                  </w:tcBorders>
                  <w:vAlign w:val="center"/>
                </w:tcPr>
                <w:p w14:paraId="22661B7E">
                  <w:pPr>
                    <w:pStyle w:val="34"/>
                    <w:bidi w:val="0"/>
                    <w:spacing w:line="240" w:lineRule="auto"/>
                    <w:rPr>
                      <w:b/>
                      <w:bCs/>
                      <w:color w:val="auto"/>
                    </w:rPr>
                  </w:pPr>
                  <w:r>
                    <w:rPr>
                      <w:b/>
                      <w:bCs/>
                      <w:color w:val="auto"/>
                    </w:rPr>
                    <w:t>设置情况</w:t>
                  </w:r>
                </w:p>
              </w:tc>
            </w:tr>
            <w:tr w14:paraId="165653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04" w:type="dxa"/>
                  <w:tcBorders>
                    <w:tl2br w:val="nil"/>
                    <w:tr2bl w:val="nil"/>
                  </w:tcBorders>
                  <w:vAlign w:val="center"/>
                </w:tcPr>
                <w:p w14:paraId="35C96646">
                  <w:pPr>
                    <w:pStyle w:val="34"/>
                    <w:bidi w:val="0"/>
                    <w:spacing w:line="240" w:lineRule="auto"/>
                    <w:rPr>
                      <w:color w:val="auto"/>
                    </w:rPr>
                  </w:pPr>
                  <w:r>
                    <w:rPr>
                      <w:color w:val="auto"/>
                    </w:rPr>
                    <w:t>地表水</w:t>
                  </w:r>
                </w:p>
              </w:tc>
              <w:tc>
                <w:tcPr>
                  <w:tcW w:w="3542" w:type="dxa"/>
                  <w:tcBorders>
                    <w:tl2br w:val="nil"/>
                    <w:tr2bl w:val="nil"/>
                  </w:tcBorders>
                  <w:vAlign w:val="center"/>
                </w:tcPr>
                <w:p w14:paraId="76B7208F">
                  <w:pPr>
                    <w:pStyle w:val="34"/>
                    <w:bidi w:val="0"/>
                    <w:spacing w:line="240" w:lineRule="auto"/>
                    <w:jc w:val="left"/>
                    <w:rPr>
                      <w:b w:val="0"/>
                      <w:bCs w:val="0"/>
                      <w:color w:val="auto"/>
                    </w:rPr>
                  </w:pPr>
                  <w:r>
                    <w:rPr>
                      <w:b w:val="0"/>
                      <w:bCs w:val="0"/>
                      <w:color w:val="auto"/>
                    </w:rPr>
                    <w:t>水力发电：引水式发电、涉及调峰发电的项目；</w:t>
                  </w:r>
                </w:p>
                <w:p w14:paraId="0B7C8835">
                  <w:pPr>
                    <w:pStyle w:val="34"/>
                    <w:bidi w:val="0"/>
                    <w:spacing w:line="240" w:lineRule="auto"/>
                    <w:jc w:val="left"/>
                    <w:rPr>
                      <w:b w:val="0"/>
                      <w:bCs w:val="0"/>
                      <w:color w:val="auto"/>
                    </w:rPr>
                  </w:pPr>
                  <w:r>
                    <w:rPr>
                      <w:b w:val="0"/>
                      <w:bCs w:val="0"/>
                      <w:color w:val="auto"/>
                    </w:rPr>
                    <w:t>人工湖、人工湿地：全部；</w:t>
                  </w:r>
                </w:p>
                <w:p w14:paraId="5D4F9D0F">
                  <w:pPr>
                    <w:pStyle w:val="34"/>
                    <w:bidi w:val="0"/>
                    <w:spacing w:line="240" w:lineRule="auto"/>
                    <w:jc w:val="left"/>
                    <w:rPr>
                      <w:b w:val="0"/>
                      <w:bCs w:val="0"/>
                      <w:color w:val="auto"/>
                    </w:rPr>
                  </w:pPr>
                  <w:r>
                    <w:rPr>
                      <w:b w:val="0"/>
                      <w:bCs w:val="0"/>
                      <w:color w:val="auto"/>
                    </w:rPr>
                    <w:t>水库：全部；</w:t>
                  </w:r>
                </w:p>
                <w:p w14:paraId="66C210B4">
                  <w:pPr>
                    <w:pStyle w:val="34"/>
                    <w:bidi w:val="0"/>
                    <w:spacing w:line="240" w:lineRule="auto"/>
                    <w:jc w:val="left"/>
                    <w:rPr>
                      <w:b w:val="0"/>
                      <w:bCs w:val="0"/>
                      <w:color w:val="auto"/>
                    </w:rPr>
                  </w:pPr>
                  <w:r>
                    <w:rPr>
                      <w:b w:val="0"/>
                      <w:bCs w:val="0"/>
                      <w:color w:val="auto"/>
                    </w:rPr>
                    <w:t>引水工程：全部（配套的管线工程等除外）；</w:t>
                  </w:r>
                </w:p>
                <w:p w14:paraId="646619DF">
                  <w:pPr>
                    <w:pStyle w:val="34"/>
                    <w:bidi w:val="0"/>
                    <w:spacing w:line="240" w:lineRule="auto"/>
                    <w:jc w:val="left"/>
                    <w:rPr>
                      <w:b w:val="0"/>
                      <w:bCs w:val="0"/>
                      <w:color w:val="auto"/>
                    </w:rPr>
                  </w:pPr>
                  <w:r>
                    <w:rPr>
                      <w:b w:val="0"/>
                      <w:bCs w:val="0"/>
                      <w:color w:val="auto"/>
                    </w:rPr>
                    <w:t>防洪除涝工程：包含水库的项目；</w:t>
                  </w:r>
                </w:p>
                <w:p w14:paraId="2AB6E0EB">
                  <w:pPr>
                    <w:pStyle w:val="34"/>
                    <w:bidi w:val="0"/>
                    <w:spacing w:line="240" w:lineRule="auto"/>
                    <w:jc w:val="left"/>
                    <w:rPr>
                      <w:b w:val="0"/>
                      <w:bCs w:val="0"/>
                      <w:color w:val="auto"/>
                    </w:rPr>
                  </w:pPr>
                  <w:r>
                    <w:rPr>
                      <w:b w:val="0"/>
                      <w:bCs w:val="0"/>
                      <w:color w:val="auto"/>
                    </w:rPr>
                    <w:t>河湖整治：涉及清淤且底泥存在重金属污染的项目</w:t>
                  </w:r>
                </w:p>
              </w:tc>
              <w:tc>
                <w:tcPr>
                  <w:tcW w:w="2563" w:type="dxa"/>
                  <w:tcBorders>
                    <w:tl2br w:val="nil"/>
                    <w:tr2bl w:val="nil"/>
                  </w:tcBorders>
                  <w:vAlign w:val="center"/>
                </w:tcPr>
                <w:p w14:paraId="6FCB857D">
                  <w:pPr>
                    <w:pStyle w:val="34"/>
                    <w:bidi w:val="0"/>
                    <w:spacing w:line="240" w:lineRule="auto"/>
                    <w:rPr>
                      <w:b w:val="0"/>
                      <w:bCs w:val="0"/>
                      <w:color w:val="auto"/>
                    </w:rPr>
                  </w:pPr>
                  <w:r>
                    <w:rPr>
                      <w:rFonts w:hint="eastAsia"/>
                      <w:b w:val="0"/>
                      <w:bCs w:val="0"/>
                      <w:color w:val="auto"/>
                      <w:lang w:eastAsia="zh-CN"/>
                    </w:rPr>
                    <w:t>不</w:t>
                  </w:r>
                  <w:r>
                    <w:rPr>
                      <w:b w:val="0"/>
                      <w:bCs w:val="0"/>
                      <w:color w:val="auto"/>
                    </w:rPr>
                    <w:t>设置。本项目为</w:t>
                  </w:r>
                  <w:r>
                    <w:rPr>
                      <w:rFonts w:hint="eastAsia"/>
                      <w:b w:val="0"/>
                      <w:bCs w:val="0"/>
                      <w:color w:val="auto"/>
                      <w:lang w:eastAsia="zh-CN"/>
                    </w:rPr>
                    <w:t>防洪</w:t>
                  </w:r>
                  <w:r>
                    <w:rPr>
                      <w:b w:val="0"/>
                      <w:bCs w:val="0"/>
                      <w:color w:val="auto"/>
                    </w:rPr>
                    <w:t>工程，</w:t>
                  </w:r>
                  <w:r>
                    <w:rPr>
                      <w:rFonts w:hint="eastAsia"/>
                      <w:b w:val="0"/>
                      <w:bCs w:val="0"/>
                      <w:color w:val="auto"/>
                      <w:lang w:val="en-US" w:eastAsia="zh-CN"/>
                    </w:rPr>
                    <w:t>但不属于水库防洪工程，因此，</w:t>
                  </w:r>
                  <w:r>
                    <w:rPr>
                      <w:rFonts w:hint="eastAsia"/>
                      <w:b w:val="0"/>
                      <w:bCs w:val="0"/>
                      <w:color w:val="auto"/>
                      <w:lang w:eastAsia="zh-CN"/>
                    </w:rPr>
                    <w:t>不</w:t>
                  </w:r>
                  <w:r>
                    <w:rPr>
                      <w:b w:val="0"/>
                      <w:bCs w:val="0"/>
                      <w:color w:val="auto"/>
                    </w:rPr>
                    <w:t>设置地表水专项评价。</w:t>
                  </w:r>
                </w:p>
              </w:tc>
            </w:tr>
            <w:tr w14:paraId="2C58BE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04" w:type="dxa"/>
                  <w:tcBorders>
                    <w:tl2br w:val="nil"/>
                    <w:tr2bl w:val="nil"/>
                  </w:tcBorders>
                  <w:vAlign w:val="center"/>
                </w:tcPr>
                <w:p w14:paraId="333E9AA7">
                  <w:pPr>
                    <w:pStyle w:val="34"/>
                    <w:bidi w:val="0"/>
                    <w:spacing w:line="240" w:lineRule="auto"/>
                    <w:rPr>
                      <w:color w:val="auto"/>
                    </w:rPr>
                  </w:pPr>
                  <w:r>
                    <w:rPr>
                      <w:color w:val="auto"/>
                    </w:rPr>
                    <w:t>地下水</w:t>
                  </w:r>
                </w:p>
              </w:tc>
              <w:tc>
                <w:tcPr>
                  <w:tcW w:w="3542" w:type="dxa"/>
                  <w:tcBorders>
                    <w:tl2br w:val="nil"/>
                    <w:tr2bl w:val="nil"/>
                  </w:tcBorders>
                  <w:vAlign w:val="center"/>
                </w:tcPr>
                <w:p w14:paraId="71E8C1BE">
                  <w:pPr>
                    <w:pStyle w:val="34"/>
                    <w:bidi w:val="0"/>
                    <w:spacing w:line="240" w:lineRule="auto"/>
                    <w:jc w:val="left"/>
                    <w:rPr>
                      <w:color w:val="auto"/>
                    </w:rPr>
                  </w:pPr>
                  <w:r>
                    <w:rPr>
                      <w:color w:val="auto"/>
                    </w:rPr>
                    <w:t>陆地石油和天然气开采：全部；</w:t>
                  </w:r>
                </w:p>
                <w:p w14:paraId="0BF2A734">
                  <w:pPr>
                    <w:pStyle w:val="34"/>
                    <w:bidi w:val="0"/>
                    <w:spacing w:line="240" w:lineRule="auto"/>
                    <w:jc w:val="left"/>
                    <w:rPr>
                      <w:color w:val="auto"/>
                    </w:rPr>
                  </w:pPr>
                  <w:r>
                    <w:rPr>
                      <w:color w:val="auto"/>
                    </w:rPr>
                    <w:t>地下水（含矿泉水）开采：全部；</w:t>
                  </w:r>
                </w:p>
                <w:p w14:paraId="0291B75F">
                  <w:pPr>
                    <w:pStyle w:val="34"/>
                    <w:bidi w:val="0"/>
                    <w:spacing w:line="240" w:lineRule="auto"/>
                    <w:jc w:val="left"/>
                    <w:rPr>
                      <w:color w:val="auto"/>
                    </w:rPr>
                  </w:pPr>
                  <w:r>
                    <w:rPr>
                      <w:color w:val="auto"/>
                    </w:rPr>
                    <w:t>水利、水电、交通等：含穿越可溶岩地层隧道的项目。</w:t>
                  </w:r>
                </w:p>
              </w:tc>
              <w:tc>
                <w:tcPr>
                  <w:tcW w:w="2563" w:type="dxa"/>
                  <w:tcBorders>
                    <w:tl2br w:val="nil"/>
                    <w:tr2bl w:val="nil"/>
                  </w:tcBorders>
                  <w:vAlign w:val="center"/>
                </w:tcPr>
                <w:p w14:paraId="2C155350">
                  <w:pPr>
                    <w:pStyle w:val="34"/>
                    <w:bidi w:val="0"/>
                    <w:spacing w:line="240" w:lineRule="auto"/>
                    <w:rPr>
                      <w:b w:val="0"/>
                      <w:bCs w:val="0"/>
                      <w:color w:val="auto"/>
                    </w:rPr>
                  </w:pPr>
                  <w:r>
                    <w:rPr>
                      <w:b w:val="0"/>
                      <w:bCs w:val="0"/>
                      <w:color w:val="auto"/>
                    </w:rPr>
                    <w:t>不设置。本项目主要为</w:t>
                  </w:r>
                  <w:r>
                    <w:rPr>
                      <w:rFonts w:hint="eastAsia"/>
                      <w:b w:val="0"/>
                      <w:bCs w:val="0"/>
                      <w:color w:val="auto"/>
                      <w:lang w:eastAsia="zh-CN"/>
                    </w:rPr>
                    <w:t>防洪</w:t>
                  </w:r>
                  <w:r>
                    <w:rPr>
                      <w:b w:val="0"/>
                      <w:bCs w:val="0"/>
                      <w:color w:val="auto"/>
                    </w:rPr>
                    <w:t>建设工程。因此，不设地下水专项评价。</w:t>
                  </w:r>
                </w:p>
              </w:tc>
            </w:tr>
            <w:tr w14:paraId="42061D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04" w:type="dxa"/>
                  <w:tcBorders>
                    <w:tl2br w:val="nil"/>
                    <w:tr2bl w:val="nil"/>
                  </w:tcBorders>
                  <w:vAlign w:val="center"/>
                </w:tcPr>
                <w:p w14:paraId="082553C9">
                  <w:pPr>
                    <w:pStyle w:val="34"/>
                    <w:bidi w:val="0"/>
                    <w:spacing w:line="240" w:lineRule="auto"/>
                    <w:rPr>
                      <w:color w:val="auto"/>
                    </w:rPr>
                  </w:pPr>
                  <w:r>
                    <w:rPr>
                      <w:color w:val="auto"/>
                    </w:rPr>
                    <w:t>生态</w:t>
                  </w:r>
                </w:p>
              </w:tc>
              <w:tc>
                <w:tcPr>
                  <w:tcW w:w="3542" w:type="dxa"/>
                  <w:tcBorders>
                    <w:tl2br w:val="nil"/>
                    <w:tr2bl w:val="nil"/>
                  </w:tcBorders>
                  <w:vAlign w:val="center"/>
                </w:tcPr>
                <w:p w14:paraId="53B0B6ED">
                  <w:pPr>
                    <w:pStyle w:val="34"/>
                    <w:bidi w:val="0"/>
                    <w:spacing w:line="240" w:lineRule="auto"/>
                    <w:jc w:val="left"/>
                    <w:rPr>
                      <w:color w:val="auto"/>
                    </w:rPr>
                  </w:pPr>
                  <w:r>
                    <w:rPr>
                      <w:color w:val="auto"/>
                    </w:rPr>
                    <w:t>涉及环境敏感区（不包括饮用水水源保护区，以居住、医疗卫生、文化教育、科研、行政办公为主要功能的区域，以及文物保护单位）的项目。</w:t>
                  </w:r>
                </w:p>
              </w:tc>
              <w:tc>
                <w:tcPr>
                  <w:tcW w:w="2563" w:type="dxa"/>
                  <w:tcBorders>
                    <w:tl2br w:val="nil"/>
                    <w:tr2bl w:val="nil"/>
                  </w:tcBorders>
                  <w:vAlign w:val="center"/>
                </w:tcPr>
                <w:p w14:paraId="5C9BF857">
                  <w:pPr>
                    <w:pStyle w:val="34"/>
                    <w:bidi w:val="0"/>
                    <w:spacing w:line="240" w:lineRule="auto"/>
                    <w:rPr>
                      <w:b w:val="0"/>
                      <w:bCs w:val="0"/>
                      <w:color w:val="auto"/>
                    </w:rPr>
                  </w:pPr>
                  <w:r>
                    <w:rPr>
                      <w:b w:val="0"/>
                      <w:bCs w:val="0"/>
                      <w:color w:val="auto"/>
                    </w:rPr>
                    <w:t>不设置</w:t>
                  </w:r>
                  <w:r>
                    <w:rPr>
                      <w:b w:val="0"/>
                      <w:bCs w:val="0"/>
                      <w:color w:val="auto"/>
                      <w:highlight w:val="none"/>
                    </w:rPr>
                    <w:t>。</w:t>
                  </w:r>
                  <w:r>
                    <w:rPr>
                      <w:rFonts w:hint="eastAsia"/>
                      <w:b w:val="0"/>
                      <w:bCs w:val="0"/>
                      <w:color w:val="auto"/>
                      <w:highlight w:val="none"/>
                      <w:lang w:eastAsia="zh-CN"/>
                    </w:rPr>
                    <w:t>项目不涉及环境敏感区，</w:t>
                  </w:r>
                  <w:r>
                    <w:rPr>
                      <w:b w:val="0"/>
                      <w:bCs w:val="0"/>
                      <w:color w:val="auto"/>
                    </w:rPr>
                    <w:t>不设生态专项评价。</w:t>
                  </w:r>
                </w:p>
              </w:tc>
            </w:tr>
            <w:tr w14:paraId="16F07B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04" w:type="dxa"/>
                  <w:tcBorders>
                    <w:tl2br w:val="nil"/>
                    <w:tr2bl w:val="nil"/>
                  </w:tcBorders>
                  <w:vAlign w:val="center"/>
                </w:tcPr>
                <w:p w14:paraId="0D626CFA">
                  <w:pPr>
                    <w:pStyle w:val="34"/>
                    <w:bidi w:val="0"/>
                    <w:spacing w:line="240" w:lineRule="auto"/>
                    <w:rPr>
                      <w:color w:val="auto"/>
                    </w:rPr>
                  </w:pPr>
                  <w:r>
                    <w:rPr>
                      <w:color w:val="auto"/>
                    </w:rPr>
                    <w:t>大气</w:t>
                  </w:r>
                </w:p>
              </w:tc>
              <w:tc>
                <w:tcPr>
                  <w:tcW w:w="3542" w:type="dxa"/>
                  <w:tcBorders>
                    <w:tl2br w:val="nil"/>
                    <w:tr2bl w:val="nil"/>
                  </w:tcBorders>
                  <w:vAlign w:val="center"/>
                </w:tcPr>
                <w:p w14:paraId="1DEB6F40">
                  <w:pPr>
                    <w:pStyle w:val="34"/>
                    <w:bidi w:val="0"/>
                    <w:spacing w:line="240" w:lineRule="auto"/>
                    <w:jc w:val="left"/>
                    <w:rPr>
                      <w:color w:val="auto"/>
                    </w:rPr>
                  </w:pPr>
                  <w:r>
                    <w:rPr>
                      <w:color w:val="auto"/>
                    </w:rPr>
                    <w:t>油气、液体化工码头：全部；</w:t>
                  </w:r>
                </w:p>
                <w:p w14:paraId="2AB57DBF">
                  <w:pPr>
                    <w:pStyle w:val="34"/>
                    <w:bidi w:val="0"/>
                    <w:spacing w:line="240" w:lineRule="auto"/>
                    <w:jc w:val="left"/>
                    <w:rPr>
                      <w:color w:val="auto"/>
                    </w:rPr>
                  </w:pPr>
                  <w:r>
                    <w:rPr>
                      <w:color w:val="auto"/>
                    </w:rPr>
                    <w:t>干散货（含煤炭、矿石）、件杂、多用途、通用码头：涉及粉尘、挥发性有机物排放的项目。</w:t>
                  </w:r>
                </w:p>
              </w:tc>
              <w:tc>
                <w:tcPr>
                  <w:tcW w:w="2563" w:type="dxa"/>
                  <w:tcBorders>
                    <w:tl2br w:val="nil"/>
                    <w:tr2bl w:val="nil"/>
                  </w:tcBorders>
                  <w:vAlign w:val="center"/>
                </w:tcPr>
                <w:p w14:paraId="76485BF1">
                  <w:pPr>
                    <w:pStyle w:val="34"/>
                    <w:bidi w:val="0"/>
                    <w:spacing w:line="240" w:lineRule="auto"/>
                    <w:rPr>
                      <w:color w:val="auto"/>
                    </w:rPr>
                  </w:pPr>
                  <w:r>
                    <w:rPr>
                      <w:color w:val="auto"/>
                    </w:rPr>
                    <w:t>不设置。本项目为</w:t>
                  </w:r>
                  <w:r>
                    <w:rPr>
                      <w:rFonts w:hint="eastAsia"/>
                      <w:color w:val="auto"/>
                      <w:lang w:eastAsia="zh-CN"/>
                    </w:rPr>
                    <w:t>防洪工程</w:t>
                  </w:r>
                  <w:r>
                    <w:rPr>
                      <w:color w:val="auto"/>
                    </w:rPr>
                    <w:t>。不涉及油气、液体化工码头；干散货（含煤炭、矿石）、件杂、多用途、通用码头，因此，不设置大气专项评价。</w:t>
                  </w:r>
                </w:p>
              </w:tc>
            </w:tr>
            <w:tr w14:paraId="06769D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04" w:type="dxa"/>
                  <w:tcBorders>
                    <w:tl2br w:val="nil"/>
                    <w:tr2bl w:val="nil"/>
                  </w:tcBorders>
                  <w:vAlign w:val="center"/>
                </w:tcPr>
                <w:p w14:paraId="357310D4">
                  <w:pPr>
                    <w:pStyle w:val="34"/>
                    <w:bidi w:val="0"/>
                    <w:spacing w:line="240" w:lineRule="auto"/>
                    <w:rPr>
                      <w:color w:val="auto"/>
                    </w:rPr>
                  </w:pPr>
                  <w:r>
                    <w:rPr>
                      <w:color w:val="auto"/>
                    </w:rPr>
                    <w:t>噪声</w:t>
                  </w:r>
                </w:p>
              </w:tc>
              <w:tc>
                <w:tcPr>
                  <w:tcW w:w="3542" w:type="dxa"/>
                  <w:tcBorders>
                    <w:tl2br w:val="nil"/>
                    <w:tr2bl w:val="nil"/>
                  </w:tcBorders>
                  <w:vAlign w:val="center"/>
                </w:tcPr>
                <w:p w14:paraId="56AFA2F0">
                  <w:pPr>
                    <w:pStyle w:val="34"/>
                    <w:bidi w:val="0"/>
                    <w:spacing w:line="240" w:lineRule="auto"/>
                    <w:jc w:val="left"/>
                    <w:rPr>
                      <w:color w:val="auto"/>
                    </w:rPr>
                  </w:pPr>
                  <w:r>
                    <w:rPr>
                      <w:color w:val="auto"/>
                    </w:rPr>
                    <w:t>公路、铁路、机场等交通运输业涉及环境敏感区（以居住、医疗卫生、文化教育、可研、行政办公为主要功能的区域）的项目；城市道路（不含维护，不含支路、人行天桥、人行地道）：全部</w:t>
                  </w:r>
                </w:p>
              </w:tc>
              <w:tc>
                <w:tcPr>
                  <w:tcW w:w="2563" w:type="dxa"/>
                  <w:tcBorders>
                    <w:tl2br w:val="nil"/>
                    <w:tr2bl w:val="nil"/>
                  </w:tcBorders>
                  <w:vAlign w:val="center"/>
                </w:tcPr>
                <w:p w14:paraId="7503B8CA">
                  <w:pPr>
                    <w:pStyle w:val="34"/>
                    <w:bidi w:val="0"/>
                    <w:spacing w:line="240" w:lineRule="auto"/>
                    <w:rPr>
                      <w:color w:val="auto"/>
                    </w:rPr>
                  </w:pPr>
                  <w:r>
                    <w:rPr>
                      <w:color w:val="auto"/>
                    </w:rPr>
                    <w:t>不设置。本项目主要为</w:t>
                  </w:r>
                  <w:r>
                    <w:rPr>
                      <w:rFonts w:hint="eastAsia"/>
                      <w:color w:val="auto"/>
                      <w:lang w:eastAsia="zh-CN"/>
                    </w:rPr>
                    <w:t>防洪</w:t>
                  </w:r>
                  <w:r>
                    <w:rPr>
                      <w:color w:val="auto"/>
                    </w:rPr>
                    <w:t>工程。不涉及公路、铁路、机场等交通运输业、城市道路，因此，不设置噪声专项评价。</w:t>
                  </w:r>
                </w:p>
              </w:tc>
            </w:tr>
            <w:tr w14:paraId="45874F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04" w:type="dxa"/>
                  <w:tcBorders>
                    <w:tl2br w:val="nil"/>
                    <w:tr2bl w:val="nil"/>
                  </w:tcBorders>
                  <w:vAlign w:val="center"/>
                </w:tcPr>
                <w:p w14:paraId="727C09BE">
                  <w:pPr>
                    <w:pStyle w:val="34"/>
                    <w:bidi w:val="0"/>
                    <w:spacing w:line="240" w:lineRule="auto"/>
                    <w:rPr>
                      <w:color w:val="auto"/>
                    </w:rPr>
                  </w:pPr>
                  <w:r>
                    <w:rPr>
                      <w:color w:val="auto"/>
                    </w:rPr>
                    <w:t>环境风险</w:t>
                  </w:r>
                </w:p>
              </w:tc>
              <w:tc>
                <w:tcPr>
                  <w:tcW w:w="3542" w:type="dxa"/>
                  <w:tcBorders>
                    <w:tl2br w:val="nil"/>
                    <w:tr2bl w:val="nil"/>
                  </w:tcBorders>
                  <w:vAlign w:val="center"/>
                </w:tcPr>
                <w:p w14:paraId="18228224">
                  <w:pPr>
                    <w:pStyle w:val="34"/>
                    <w:bidi w:val="0"/>
                    <w:spacing w:line="240" w:lineRule="auto"/>
                    <w:jc w:val="left"/>
                    <w:rPr>
                      <w:color w:val="auto"/>
                    </w:rPr>
                  </w:pPr>
                  <w:r>
                    <w:rPr>
                      <w:color w:val="auto"/>
                    </w:rPr>
                    <w:t>石油和天然气开采：全部；</w:t>
                  </w:r>
                </w:p>
                <w:p w14:paraId="0CFF441F">
                  <w:pPr>
                    <w:pStyle w:val="34"/>
                    <w:bidi w:val="0"/>
                    <w:spacing w:line="240" w:lineRule="auto"/>
                    <w:jc w:val="left"/>
                    <w:rPr>
                      <w:color w:val="auto"/>
                    </w:rPr>
                  </w:pPr>
                  <w:r>
                    <w:rPr>
                      <w:color w:val="auto"/>
                    </w:rPr>
                    <w:t>油气、液体化工码头：全部；</w:t>
                  </w:r>
                </w:p>
                <w:p w14:paraId="3E4A89FB">
                  <w:pPr>
                    <w:pStyle w:val="34"/>
                    <w:bidi w:val="0"/>
                    <w:spacing w:line="240" w:lineRule="auto"/>
                    <w:jc w:val="left"/>
                    <w:rPr>
                      <w:color w:val="auto"/>
                    </w:rPr>
                  </w:pPr>
                  <w:r>
                    <w:rPr>
                      <w:color w:val="auto"/>
                    </w:rPr>
                    <w:t>原油、成品油、天然气管线（不含城镇天然气管线、企业厂区内管线）；</w:t>
                  </w:r>
                </w:p>
                <w:p w14:paraId="166D611B">
                  <w:pPr>
                    <w:pStyle w:val="34"/>
                    <w:bidi w:val="0"/>
                    <w:spacing w:line="240" w:lineRule="auto"/>
                    <w:jc w:val="left"/>
                    <w:rPr>
                      <w:color w:val="auto"/>
                    </w:rPr>
                  </w:pPr>
                  <w:r>
                    <w:rPr>
                      <w:color w:val="auto"/>
                    </w:rPr>
                    <w:t>危险化学品输送管线（不含企业厂区内管线）：全部。</w:t>
                  </w:r>
                </w:p>
              </w:tc>
              <w:tc>
                <w:tcPr>
                  <w:tcW w:w="2563" w:type="dxa"/>
                  <w:tcBorders>
                    <w:tl2br w:val="nil"/>
                    <w:tr2bl w:val="nil"/>
                  </w:tcBorders>
                  <w:vAlign w:val="center"/>
                </w:tcPr>
                <w:p w14:paraId="2DB8E13D">
                  <w:pPr>
                    <w:pStyle w:val="34"/>
                    <w:bidi w:val="0"/>
                    <w:spacing w:line="240" w:lineRule="auto"/>
                    <w:rPr>
                      <w:color w:val="auto"/>
                    </w:rPr>
                  </w:pPr>
                  <w:r>
                    <w:rPr>
                      <w:color w:val="auto"/>
                    </w:rPr>
                    <w:t>不设置。本项目属</w:t>
                  </w:r>
                  <w:r>
                    <w:rPr>
                      <w:rFonts w:hint="eastAsia"/>
                      <w:color w:val="auto"/>
                      <w:lang w:eastAsia="zh-CN"/>
                    </w:rPr>
                    <w:t>防洪工程</w:t>
                  </w:r>
                  <w:r>
                    <w:rPr>
                      <w:color w:val="auto"/>
                    </w:rPr>
                    <w:t>建设，不涉及石油和天然气开采、油气、液体化工码头、原有、成品油、天然气管线、危险化学品输送管线建设。</w:t>
                  </w:r>
                </w:p>
              </w:tc>
            </w:tr>
          </w:tbl>
          <w:p w14:paraId="18B5F21A">
            <w:pPr>
              <w:pStyle w:val="34"/>
              <w:bidi w:val="0"/>
              <w:spacing w:line="240" w:lineRule="auto"/>
              <w:jc w:val="both"/>
              <w:rPr>
                <w:color w:val="auto"/>
                <w:sz w:val="21"/>
                <w:szCs w:val="21"/>
              </w:rPr>
            </w:pPr>
            <w:r>
              <w:rPr>
                <w:color w:val="auto"/>
              </w:rPr>
              <w:t>注</w:t>
            </w:r>
            <w:r>
              <w:rPr>
                <w:color w:val="auto"/>
                <w:sz w:val="21"/>
                <w:szCs w:val="21"/>
              </w:rPr>
              <w:t>：1.废气中有毒有害污染物指纳入《有毒有害大气污染物名录》的污染物（不包括无排放标准的污染物）。</w:t>
            </w:r>
          </w:p>
          <w:p w14:paraId="264BAB28">
            <w:pPr>
              <w:pStyle w:val="34"/>
              <w:keepNext w:val="0"/>
              <w:keepLines w:val="0"/>
              <w:pageBreakBefore w:val="0"/>
              <w:widowControl w:val="0"/>
              <w:kinsoku/>
              <w:wordWrap/>
              <w:overflowPunct/>
              <w:topLinePunct w:val="0"/>
              <w:bidi w:val="0"/>
              <w:spacing w:line="240" w:lineRule="auto"/>
              <w:ind w:left="360" w:leftChars="150"/>
              <w:jc w:val="both"/>
              <w:textAlignment w:val="auto"/>
              <w:rPr>
                <w:color w:val="auto"/>
                <w:sz w:val="21"/>
                <w:szCs w:val="21"/>
              </w:rPr>
            </w:pPr>
            <w:r>
              <w:rPr>
                <w:color w:val="auto"/>
                <w:sz w:val="21"/>
                <w:szCs w:val="21"/>
              </w:rPr>
              <w:t>2.环境空气保护目标指自然保护区、风景名胜区、居住区、文化区和农村地区中人群较集中的区域。</w:t>
            </w:r>
          </w:p>
          <w:p w14:paraId="08999F28">
            <w:pPr>
              <w:keepNext w:val="0"/>
              <w:keepLines w:val="0"/>
              <w:pageBreakBefore w:val="0"/>
              <w:widowControl w:val="0"/>
              <w:kinsoku/>
              <w:wordWrap/>
              <w:overflowPunct/>
              <w:topLinePunct w:val="0"/>
              <w:autoSpaceDE w:val="0"/>
              <w:autoSpaceDN w:val="0"/>
              <w:bidi w:val="0"/>
              <w:adjustRightInd w:val="0"/>
              <w:snapToGrid w:val="0"/>
              <w:spacing w:line="240" w:lineRule="auto"/>
              <w:ind w:left="360" w:leftChars="150" w:firstLine="0" w:firstLineChars="0"/>
              <w:jc w:val="both"/>
              <w:textAlignment w:val="auto"/>
              <w:rPr>
                <w:rFonts w:hint="eastAsia" w:eastAsia="宋体"/>
                <w:color w:val="0000FF"/>
                <w:szCs w:val="24"/>
                <w:lang w:eastAsia="zh-CN"/>
              </w:rPr>
            </w:pPr>
            <w:r>
              <w:rPr>
                <w:color w:val="auto"/>
                <w:sz w:val="21"/>
                <w:szCs w:val="21"/>
              </w:rPr>
              <w:t>3.临界量及其计算方法可参考《建设项目环境风险评价技术导则》（HJ 169）附录B、附录C。</w:t>
            </w:r>
          </w:p>
        </w:tc>
      </w:tr>
      <w:tr w14:paraId="64D9B9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22" w:type="dxa"/>
            <w:tcMar>
              <w:top w:w="16" w:type="dxa"/>
              <w:left w:w="16" w:type="dxa"/>
              <w:right w:w="16" w:type="dxa"/>
            </w:tcMar>
            <w:vAlign w:val="center"/>
          </w:tcPr>
          <w:p w14:paraId="11E2EFCE">
            <w:pPr>
              <w:pStyle w:val="34"/>
              <w:bidi w:val="0"/>
              <w:rPr>
                <w:rFonts w:hint="default"/>
                <w:color w:val="auto"/>
                <w:sz w:val="24"/>
                <w:szCs w:val="24"/>
              </w:rPr>
            </w:pPr>
            <w:r>
              <w:rPr>
                <w:rFonts w:hint="default"/>
                <w:color w:val="auto"/>
                <w:sz w:val="24"/>
                <w:szCs w:val="24"/>
              </w:rPr>
              <w:t>规划情况</w:t>
            </w:r>
          </w:p>
        </w:tc>
        <w:tc>
          <w:tcPr>
            <w:tcW w:w="7508" w:type="dxa"/>
            <w:gridSpan w:val="3"/>
            <w:tcMar>
              <w:top w:w="16" w:type="dxa"/>
              <w:left w:w="16" w:type="dxa"/>
              <w:right w:w="16" w:type="dxa"/>
            </w:tcMar>
            <w:vAlign w:val="center"/>
          </w:tcPr>
          <w:p w14:paraId="548B96DD">
            <w:pPr>
              <w:pStyle w:val="1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default" w:ascii="Times New Roman" w:hAnsi="Times New Roman" w:cs="Times New Roman"/>
                <w:color w:val="auto"/>
                <w:spacing w:val="0"/>
                <w:position w:val="0"/>
                <w:sz w:val="24"/>
                <w:szCs w:val="24"/>
                <w:lang w:val="en-US" w:eastAsia="zh-CN"/>
              </w:rPr>
            </w:pPr>
            <w:r>
              <w:rPr>
                <w:rFonts w:hint="default" w:ascii="Times New Roman" w:hAnsi="Times New Roman" w:cs="Times New Roman"/>
                <w:spacing w:val="0"/>
                <w:position w:val="0"/>
                <w:sz w:val="24"/>
                <w:lang w:val="en-US" w:eastAsia="zh-CN"/>
              </w:rPr>
              <w:t>1、</w:t>
            </w:r>
            <w:r>
              <w:rPr>
                <w:rFonts w:hint="default" w:ascii="Times New Roman" w:hAnsi="Times New Roman" w:cs="Times New Roman"/>
                <w:color w:val="auto"/>
                <w:spacing w:val="0"/>
                <w:position w:val="0"/>
                <w:sz w:val="24"/>
                <w:szCs w:val="24"/>
                <w:lang w:val="en-US" w:eastAsia="zh-CN"/>
              </w:rPr>
              <w:t>《云南省生态功能区划》</w:t>
            </w:r>
            <w:r>
              <w:rPr>
                <w:rFonts w:hint="eastAsia" w:ascii="Times New Roman" w:hAnsi="Times New Roman" w:cs="Times New Roman"/>
                <w:color w:val="auto"/>
                <w:spacing w:val="0"/>
                <w:position w:val="0"/>
                <w:sz w:val="24"/>
                <w:szCs w:val="24"/>
                <w:lang w:val="en-US" w:eastAsia="zh-CN"/>
              </w:rPr>
              <w:t>（2009年11月17日）；</w:t>
            </w:r>
          </w:p>
          <w:p w14:paraId="37732350">
            <w:pPr>
              <w:pStyle w:val="1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eastAsia" w:cs="宋体"/>
                <w:color w:val="auto"/>
                <w:spacing w:val="-1"/>
                <w:position w:val="17"/>
                <w:sz w:val="24"/>
                <w:szCs w:val="24"/>
                <w:lang w:val="en-US" w:eastAsia="zh-CN"/>
              </w:rPr>
            </w:pPr>
            <w:r>
              <w:rPr>
                <w:rFonts w:hint="default" w:ascii="Times New Roman" w:hAnsi="Times New Roman" w:cs="Times New Roman"/>
                <w:color w:val="auto"/>
                <w:spacing w:val="0"/>
                <w:position w:val="0"/>
                <w:sz w:val="24"/>
                <w:szCs w:val="24"/>
                <w:lang w:val="en-US" w:eastAsia="zh-CN"/>
              </w:rPr>
              <w:t>2、《云南省主体功能区划》</w:t>
            </w:r>
            <w:r>
              <w:rPr>
                <w:rFonts w:hint="eastAsia" w:ascii="Times New Roman" w:hAnsi="Times New Roman" w:cs="Times New Roman"/>
                <w:color w:val="auto"/>
                <w:spacing w:val="0"/>
                <w:position w:val="0"/>
                <w:sz w:val="24"/>
                <w:szCs w:val="24"/>
                <w:lang w:val="en-US" w:eastAsia="zh-CN"/>
              </w:rPr>
              <w:t>（2014年1月13日）；</w:t>
            </w:r>
          </w:p>
        </w:tc>
      </w:tr>
      <w:tr w14:paraId="1B0D42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22" w:type="dxa"/>
            <w:tcMar>
              <w:top w:w="16" w:type="dxa"/>
              <w:left w:w="16" w:type="dxa"/>
              <w:right w:w="16" w:type="dxa"/>
            </w:tcMar>
            <w:vAlign w:val="center"/>
          </w:tcPr>
          <w:p w14:paraId="0D32EA75">
            <w:pPr>
              <w:pStyle w:val="34"/>
              <w:bidi w:val="0"/>
              <w:rPr>
                <w:rFonts w:hint="default"/>
                <w:color w:val="auto"/>
                <w:sz w:val="24"/>
                <w:szCs w:val="24"/>
              </w:rPr>
            </w:pPr>
            <w:r>
              <w:rPr>
                <w:rFonts w:hint="default"/>
                <w:color w:val="auto"/>
                <w:sz w:val="24"/>
                <w:szCs w:val="24"/>
              </w:rPr>
              <w:t>规划环境影响评价情况</w:t>
            </w:r>
          </w:p>
        </w:tc>
        <w:tc>
          <w:tcPr>
            <w:tcW w:w="7508" w:type="dxa"/>
            <w:gridSpan w:val="3"/>
            <w:tcMar>
              <w:top w:w="16" w:type="dxa"/>
              <w:left w:w="16" w:type="dxa"/>
              <w:right w:w="16" w:type="dxa"/>
            </w:tcMar>
            <w:vAlign w:val="center"/>
          </w:tcPr>
          <w:p w14:paraId="3E7FB435">
            <w:pPr>
              <w:pStyle w:val="44"/>
              <w:bidi w:val="0"/>
              <w:ind w:left="0" w:leftChars="0" w:firstLine="0" w:firstLineChars="0"/>
              <w:jc w:val="center"/>
              <w:rPr>
                <w:rFonts w:hint="eastAsia" w:eastAsia="宋体"/>
                <w:color w:val="0000FF"/>
                <w:lang w:eastAsia="zh-CN"/>
              </w:rPr>
            </w:pPr>
            <w:r>
              <w:rPr>
                <w:rFonts w:hint="eastAsia" w:eastAsia="宋体"/>
                <w:color w:val="auto"/>
                <w:lang w:eastAsia="zh-CN"/>
              </w:rPr>
              <w:t>无</w:t>
            </w:r>
          </w:p>
        </w:tc>
      </w:tr>
      <w:tr w14:paraId="65C466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22" w:type="dxa"/>
            <w:tcMar>
              <w:top w:w="16" w:type="dxa"/>
              <w:left w:w="16" w:type="dxa"/>
              <w:right w:w="16" w:type="dxa"/>
            </w:tcMar>
            <w:vAlign w:val="center"/>
          </w:tcPr>
          <w:p w14:paraId="5BB414CF">
            <w:pPr>
              <w:pStyle w:val="34"/>
              <w:bidi w:val="0"/>
              <w:rPr>
                <w:rFonts w:hint="default" w:ascii="Times New Roman" w:hAnsi="Times New Roman" w:cs="Times New Roman"/>
                <w:color w:val="auto"/>
                <w:kern w:val="0"/>
              </w:rPr>
            </w:pPr>
            <w:r>
              <w:rPr>
                <w:rFonts w:hint="default"/>
                <w:color w:val="auto"/>
                <w:sz w:val="24"/>
                <w:szCs w:val="24"/>
              </w:rPr>
              <w:t>规划及规划环境影响评价符合性分析</w:t>
            </w:r>
          </w:p>
        </w:tc>
        <w:tc>
          <w:tcPr>
            <w:tcW w:w="7508" w:type="dxa"/>
            <w:gridSpan w:val="3"/>
            <w:tcMar>
              <w:top w:w="16" w:type="dxa"/>
              <w:left w:w="16" w:type="dxa"/>
              <w:right w:w="16" w:type="dxa"/>
            </w:tcMar>
            <w:vAlign w:val="center"/>
          </w:tcPr>
          <w:p w14:paraId="75ABF0EC">
            <w:pPr>
              <w:pStyle w:val="36"/>
              <w:bidi w:val="0"/>
              <w:rPr>
                <w:rFonts w:hint="eastAsia" w:eastAsia="宋体"/>
                <w:b/>
                <w:bCs/>
                <w:color w:val="auto"/>
                <w:lang w:eastAsia="zh-CN"/>
              </w:rPr>
            </w:pPr>
            <w:r>
              <w:rPr>
                <w:rFonts w:hint="eastAsia"/>
                <w:b/>
                <w:bCs/>
                <w:color w:val="auto"/>
                <w:lang w:val="en-US" w:eastAsia="zh-CN"/>
              </w:rPr>
              <w:t>1、与《云南省</w:t>
            </w:r>
            <w:r>
              <w:rPr>
                <w:rFonts w:hint="default"/>
                <w:b/>
                <w:bCs/>
                <w:color w:val="auto"/>
              </w:rPr>
              <w:t>主体功能区划</w:t>
            </w:r>
            <w:r>
              <w:rPr>
                <w:rFonts w:hint="eastAsia"/>
                <w:b/>
                <w:bCs/>
                <w:color w:val="auto"/>
                <w:lang w:eastAsia="zh-CN"/>
              </w:rPr>
              <w:t>》的符合性分析</w:t>
            </w:r>
          </w:p>
          <w:p w14:paraId="4189FEF7">
            <w:pPr>
              <w:pStyle w:val="36"/>
              <w:bidi w:val="0"/>
              <w:rPr>
                <w:color w:val="auto"/>
              </w:rPr>
            </w:pPr>
            <w:r>
              <w:rPr>
                <w:color w:val="auto"/>
              </w:rPr>
              <w:t>云南省主体功能区划将云南省国土空间按照开发方式分为重点开发区域、限制开发区域和禁止开发区域3类主体功能区。</w:t>
            </w:r>
          </w:p>
          <w:p w14:paraId="775C9B15">
            <w:pPr>
              <w:pStyle w:val="36"/>
              <w:bidi w:val="0"/>
              <w:ind w:left="0" w:leftChars="0" w:firstLine="0" w:firstLineChars="0"/>
              <w:rPr>
                <w:color w:val="auto"/>
              </w:rPr>
            </w:pPr>
            <w:r>
              <w:rPr>
                <w:sz w:val="24"/>
              </w:rPr>
              <mc:AlternateContent>
                <mc:Choice Requires="wps">
                  <w:drawing>
                    <wp:anchor distT="0" distB="0" distL="114300" distR="114300" simplePos="0" relativeHeight="251665408" behindDoc="0" locked="0" layoutInCell="1" allowOverlap="1">
                      <wp:simplePos x="0" y="0"/>
                      <wp:positionH relativeFrom="column">
                        <wp:posOffset>2061845</wp:posOffset>
                      </wp:positionH>
                      <wp:positionV relativeFrom="paragraph">
                        <wp:posOffset>311150</wp:posOffset>
                      </wp:positionV>
                      <wp:extent cx="860425" cy="316230"/>
                      <wp:effectExtent l="4445" t="4445" r="19050" b="14605"/>
                      <wp:wrapNone/>
                      <wp:docPr id="32" name="文本框 32"/>
                      <wp:cNvGraphicFramePr/>
                      <a:graphic xmlns:a="http://schemas.openxmlformats.org/drawingml/2006/main">
                        <a:graphicData uri="http://schemas.microsoft.com/office/word/2010/wordprocessingShape">
                          <wps:wsp>
                            <wps:cNvSpPr txBox="1"/>
                            <wps:spPr>
                              <a:xfrm>
                                <a:off x="3548380" y="3183255"/>
                                <a:ext cx="860425" cy="31623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57E48E8">
                                  <w:pPr>
                                    <w:ind w:left="0" w:leftChars="0" w:firstLine="0" w:firstLineChars="0"/>
                                    <w:rPr>
                                      <w:rFonts w:hint="eastAsia" w:eastAsia="宋体"/>
                                      <w:sz w:val="18"/>
                                      <w:szCs w:val="18"/>
                                      <w:lang w:eastAsia="zh-CN"/>
                                    </w:rPr>
                                  </w:pPr>
                                  <w:r>
                                    <w:rPr>
                                      <w:rFonts w:hint="eastAsia"/>
                                      <w:sz w:val="18"/>
                                      <w:szCs w:val="18"/>
                                      <w:lang w:eastAsia="zh-CN"/>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2.35pt;margin-top:24.5pt;height:24.9pt;width:67.75pt;z-index:251665408;mso-width-relative:page;mso-height-relative:page;" filled="f" stroked="t" coordsize="21600,21600" o:gfxdata="UEsDBAoAAAAAAIdO4kAAAAAAAAAAAAAAAAAEAAAAZHJzL1BLAwQUAAAACACHTuJAmGx9HdoAAAAJ&#10;AQAADwAAAGRycy9kb3ducmV2LnhtbE2Py07DMBBF90j8gzVI7KjdENo0ZNIFogskhNSCKEsnHuII&#10;P0LspoWvx6xgOZqje8+t1idr2ERj6L1DmM8EMHKtV73rEF6eN1cFsBClU9J4RwhfFGBdn59VslT+&#10;6LY07WLHUogLpUTQMQ4l56HVZGWY+YFc+r370cqYzrHjapTHFG4Nz4RYcCt7lxq0HOhOU/uxO1iE&#10;x9f95/3m6U3sqTH9zWSW+uG7Qby8mItbYJFO8Q+GX/2kDnVyavzBqcAMwnWWLxOKkK/SpgTkC5EB&#10;axBWRQG8rvj/BfUPUEsDBBQAAAAIAIdO4kBJ5//XXQIAAJsEAAAOAAAAZHJzL2Uyb0RvYy54bWyt&#10;VM1uEzEQviPxDpbvZJPNDyHqpgqJgpAiWqkgzo7X27WwPcZ2shsegL4BJy7cea4+B2Nv0kaFQw9c&#10;nPHMt+P5vpnJxWWrFdkL5yWYgg56fUqE4VBKc1vQTx/Xr6aU+MBMyRQYUdCD8PRy/vLFRWNnIoca&#10;VCkcwSTGzxpb0DoEO8syz2uhme+BFQaDFTjNAl7dbVY61mB2rbK8359kDbjSOuDCe/SuuiA9ZnTP&#10;SQhVJblYAd9pYUKX1QnFAlLytbSezlO1VSV4uKoqLwJRBUWmIZ34CNrbeGbzCza7dczWkh9LYM8p&#10;4QknzaTBRx9SrVhgZOfkX6m05A48VKHHQWcdkaQIshj0n2hzUzMrEheU2tsH0f3/S8s/7K8dkWVB&#10;hzklhmns+P2Pu/ufv+9/fSfoQ4Ea62eIu7GIDO1baHFsTn6Pzsi7rZyOv8iIYHw4Hk2HUxT5gPZg&#10;OszH405q0QbCETCd9Ef5mBKeAJN8mFqRPSayzod3AjSJRkEddjIJzPYbH7AohJ4g8V0Da6lU6qYy&#10;pCnoZDjupw88KFnGYITFT5bKkT3Dedgqxr/EsjDXGQpvyqAz0u7oRSu02/aoxRbKA0rhoJsmb/la&#10;Yt4N8+GaORwf5I0LFq7wqBRgMXC0KKnBffuXP+KxqxilpMFxLKj/umNOUKLeG+z3m8FoFOc3XUbj&#10;1zle3Hlkex4xO70EZDjAVbY8mREf1MmsHOjPuIeL+CqGmOH4dkHDyVyGbklwj7lYLBIIJ9aysDE3&#10;lsfUneyLXYBKpo5EmTptjurhzCZxj/sVl+L8nlCP/ynz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JhsfR3aAAAACQEAAA8AAAAAAAAAAQAgAAAAIgAAAGRycy9kb3ducmV2LnhtbFBLAQIUABQAAAAI&#10;AIdO4kBJ5//XXQIAAJsEAAAOAAAAAAAAAAEAIAAAACkBAABkcnMvZTJvRG9jLnhtbFBLBQYAAAAA&#10;BgAGAFkBAAD4BQAAAAA=&#10;">
                      <v:fill on="f" focussize="0,0"/>
                      <v:stroke weight="0.5pt" color="#000000 [3204]" joinstyle="round"/>
                      <v:imagedata o:title=""/>
                      <o:lock v:ext="edit" aspectratio="f"/>
                      <v:textbox>
                        <w:txbxContent>
                          <w:p w14:paraId="457E48E8">
                            <w:pPr>
                              <w:ind w:left="0" w:leftChars="0" w:firstLine="0" w:firstLineChars="0"/>
                              <w:rPr>
                                <w:rFonts w:hint="eastAsia" w:eastAsia="宋体"/>
                                <w:sz w:val="18"/>
                                <w:szCs w:val="18"/>
                                <w:lang w:eastAsia="zh-CN"/>
                              </w:rPr>
                            </w:pPr>
                            <w:r>
                              <w:rPr>
                                <w:rFonts w:hint="eastAsia"/>
                                <w:sz w:val="18"/>
                                <w:szCs w:val="18"/>
                                <w:lang w:eastAsia="zh-CN"/>
                              </w:rPr>
                              <w:t>本项目位置</w:t>
                            </w:r>
                          </w:p>
                        </w:txbxContent>
                      </v:textbox>
                    </v:shape>
                  </w:pict>
                </mc:Fallback>
              </mc:AlternateContent>
            </w:r>
            <w:r>
              <w:rPr>
                <w:sz w:val="24"/>
              </w:rPr>
              <mc:AlternateContent>
                <mc:Choice Requires="wps">
                  <w:drawing>
                    <wp:anchor distT="0" distB="0" distL="114300" distR="114300" simplePos="0" relativeHeight="251664384" behindDoc="0" locked="0" layoutInCell="1" allowOverlap="1">
                      <wp:simplePos x="0" y="0"/>
                      <wp:positionH relativeFrom="column">
                        <wp:posOffset>1231900</wp:posOffset>
                      </wp:positionH>
                      <wp:positionV relativeFrom="paragraph">
                        <wp:posOffset>638810</wp:posOffset>
                      </wp:positionV>
                      <wp:extent cx="967740" cy="1493520"/>
                      <wp:effectExtent l="5080" t="0" r="2540" b="15240"/>
                      <wp:wrapNone/>
                      <wp:docPr id="30" name="直接箭头连接符 30"/>
                      <wp:cNvGraphicFramePr/>
                      <a:graphic xmlns:a="http://schemas.openxmlformats.org/drawingml/2006/main">
                        <a:graphicData uri="http://schemas.microsoft.com/office/word/2010/wordprocessingShape">
                          <wps:wsp>
                            <wps:cNvCnPr/>
                            <wps:spPr>
                              <a:xfrm flipV="1">
                                <a:off x="2802255" y="3350895"/>
                                <a:ext cx="967740" cy="149352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97pt;margin-top:50.3pt;height:117.6pt;width:76.2pt;z-index:251664384;mso-width-relative:page;mso-height-relative:page;" filled="f" stroked="t" coordsize="21600,21600" o:gfxdata="UEsDBAoAAAAAAIdO4kAAAAAAAAAAAAAAAAAEAAAAZHJzL1BLAwQUAAAACACHTuJAtufN49kAAAAL&#10;AQAADwAAAGRycy9kb3ducmV2LnhtbE1PXUvDMBR9F/wP4Qq+ubRbHVttOqQiDDcRN0F8y5rYFpOb&#10;kqRd/fden/TtHM7hfBSbyRo2ah86hwLSWQJMY+1Uh42At+PjzQpYiBKVNA61gG8dYFNeXhQyV+6M&#10;r3o8xIZRCIZcCmhj7HPOQ91qK8PM9RpJ+3TeykjUN1x5eaZwa/g8SZbcyg6poZW9rlpdfx0GK2Br&#10;5vun3b56f0ir7fC88y8f99MoxPVVmtwBi3qKf2b4nU/ToaRNJzegCswQX2f0JRKgGmDkWGTLDNiJ&#10;wOJ2Bbws+P8P5Q9QSwMEFAAAAAgAh07iQJh1VcgeAgAA/AMAAA4AAABkcnMvZTJvRG9jLnhtbK1T&#10;zY7TMBC+I/EOlu80abrdtlHTPbQsFwQr8XN3HSex5D+NvU37ErwAEifgBJz2ztPA8hiMnVJgueyB&#10;HKKxx/N9830eLy/2WpGdAC+tqeh4lFMiDLe1NG1FX728fDSnxAdmaqasERU9CE8vVg8fLHtXisJ2&#10;VtUCCIIYX/auol0IrswyzzuhmR9ZJwwmGwuaBVxCm9XAekTXKivy/DzrLdQOLBfe4+5mSNIjItwH&#10;0DaN5GJj+bUWJgyoIBQLKMl30nm6St02jeDhedN4EYiqKCoN6Y8kGG/jP1stWdkCc53kxxbYfVq4&#10;o0kzaZD0BLVhgZFrkP9AacnBetuEEbc6G4QkR1DFOL/jzYuOOZG0oNXenUz3/w+WP9tdAZF1RSdo&#10;iWEab/z27c33Nx9uv3z+9v7mx9d3Mf70kWAezeqdL7Fmba7guPLuCqLyfQOaNEq61zhVyQtUR/YV&#10;LeZ5UUynlByQZDLN54vpYLvYB8LxwOJ8NjtDdo4HxmeLybRIVNmAGbEd+PBEWE1iUFEfgMm2C2tr&#10;DN6whYGP7Z76gF1h4a+CWGzspVQqXbQypEeOYpZHOobT2+DUYKgdOuBNSwlTLT4LHiBJ8FbJOpZH&#10;IA/tdq2A7FgcpvRFIUj317HIvWG+G86l1KBXy4AvR0ld0fmpmpWBSfXY1CQcHJrPAGx/hFUG0aPj&#10;g8cx2tr6kKxP+zgUif84wHHq/lyn6t+PdvUT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tufN49kA&#10;AAALAQAADwAAAAAAAAABACAAAAAiAAAAZHJzL2Rvd25yZXYueG1sUEsBAhQAFAAAAAgAh07iQJh1&#10;VcgeAgAA/AMAAA4AAAAAAAAAAQAgAAAAKAEAAGRycy9lMm9Eb2MueG1sUEsFBgAAAAAGAAYAWQEA&#10;ALgFAAAAAA==&#10;">
                      <v:fill on="f" focussize="0,0"/>
                      <v:stroke weight="1pt" color="#000000 [3213]" miterlimit="8" joinstyle="miter" endarrow="open"/>
                      <v:imagedata o:title=""/>
                      <o:lock v:ext="edit" aspectratio="f"/>
                    </v:shape>
                  </w:pict>
                </mc:Fallback>
              </mc:AlternateContent>
            </w:r>
            <w:r>
              <w:drawing>
                <wp:inline distT="0" distB="0" distL="114300" distR="114300">
                  <wp:extent cx="4889500" cy="3420745"/>
                  <wp:effectExtent l="0" t="0" r="2540" b="8255"/>
                  <wp:docPr id="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pic:cNvPicPr>
                            <a:picLocks noChangeAspect="1"/>
                          </pic:cNvPicPr>
                        </pic:nvPicPr>
                        <pic:blipFill>
                          <a:blip r:embed="rId36"/>
                          <a:stretch>
                            <a:fillRect/>
                          </a:stretch>
                        </pic:blipFill>
                        <pic:spPr>
                          <a:xfrm>
                            <a:off x="0" y="0"/>
                            <a:ext cx="4889500" cy="3420745"/>
                          </a:xfrm>
                          <a:prstGeom prst="rect">
                            <a:avLst/>
                          </a:prstGeom>
                          <a:noFill/>
                          <a:ln>
                            <a:noFill/>
                          </a:ln>
                        </pic:spPr>
                      </pic:pic>
                    </a:graphicData>
                  </a:graphic>
                </wp:inline>
              </w:drawing>
            </w:r>
          </w:p>
          <w:p w14:paraId="515F892C">
            <w:pPr>
              <w:pStyle w:val="36"/>
              <w:bidi w:val="0"/>
              <w:ind w:left="0" w:leftChars="0" w:firstLine="0" w:firstLineChars="0"/>
              <w:jc w:val="center"/>
              <w:rPr>
                <w:rFonts w:hint="default" w:eastAsia="宋体"/>
                <w:b/>
                <w:bCs/>
                <w:color w:val="auto"/>
                <w:sz w:val="21"/>
                <w:szCs w:val="21"/>
                <w:lang w:val="en-US" w:eastAsia="zh-CN"/>
              </w:rPr>
            </w:pPr>
            <w:r>
              <w:rPr>
                <w:rFonts w:hint="eastAsia"/>
                <w:b/>
                <w:bCs/>
                <w:color w:val="auto"/>
                <w:sz w:val="21"/>
                <w:szCs w:val="21"/>
                <w:lang w:eastAsia="zh-CN"/>
              </w:rPr>
              <w:t>图</w:t>
            </w:r>
            <w:r>
              <w:rPr>
                <w:rFonts w:hint="eastAsia"/>
                <w:b/>
                <w:bCs/>
                <w:color w:val="auto"/>
                <w:sz w:val="21"/>
                <w:szCs w:val="21"/>
                <w:lang w:val="en-US" w:eastAsia="zh-CN"/>
              </w:rPr>
              <w:t>1-1 项目与云南省主体功能区划位置关系</w:t>
            </w:r>
          </w:p>
          <w:p w14:paraId="3E240434">
            <w:pPr>
              <w:pStyle w:val="36"/>
              <w:bidi w:val="0"/>
              <w:rPr>
                <w:rFonts w:hint="default"/>
                <w:b/>
                <w:bCs/>
                <w:color w:val="auto"/>
              </w:rPr>
            </w:pPr>
            <w:r>
              <w:rPr>
                <w:rFonts w:hint="eastAsia"/>
                <w:color w:val="auto"/>
                <w:lang w:eastAsia="zh-CN"/>
              </w:rPr>
              <w:t>根据图</w:t>
            </w:r>
            <w:r>
              <w:rPr>
                <w:rFonts w:hint="eastAsia"/>
                <w:color w:val="auto"/>
                <w:lang w:val="en-US" w:eastAsia="zh-CN"/>
              </w:rPr>
              <w:t>1-1可知，</w:t>
            </w:r>
            <w:r>
              <w:rPr>
                <w:rFonts w:hint="eastAsia"/>
                <w:color w:val="auto"/>
                <w:lang w:eastAsia="zh-CN"/>
              </w:rPr>
              <w:t>芒市</w:t>
            </w:r>
            <w:r>
              <w:rPr>
                <w:color w:val="auto"/>
              </w:rPr>
              <w:t>为国家</w:t>
            </w:r>
            <w:r>
              <w:rPr>
                <w:rFonts w:hint="eastAsia"/>
                <w:color w:val="auto"/>
                <w:lang w:eastAsia="zh-CN"/>
              </w:rPr>
              <w:t>农产品</w:t>
            </w:r>
            <w:r>
              <w:rPr>
                <w:color w:val="auto"/>
              </w:rPr>
              <w:t>主</w:t>
            </w:r>
            <w:r>
              <w:rPr>
                <w:rFonts w:hint="eastAsia"/>
                <w:color w:val="auto"/>
                <w:lang w:eastAsia="zh-CN"/>
              </w:rPr>
              <w:t>产</w:t>
            </w:r>
            <w:r>
              <w:rPr>
                <w:color w:val="auto"/>
              </w:rPr>
              <w:t>区，农产品主产区功能定位是保障粮食产品和主要农产品供给安全的基地，全省农业产业化的重要地区，现代农业的示范基地，农村居民安居乐业的美好家园，社会主义新农村建设的示范区。农产品主产区要以大力发展</w:t>
            </w:r>
            <w:r>
              <w:rPr>
                <w:rFonts w:hint="eastAsia"/>
                <w:color w:val="auto"/>
                <w:lang w:eastAsia="zh-CN"/>
              </w:rPr>
              <w:t>高</w:t>
            </w:r>
            <w:r>
              <w:rPr>
                <w:color w:val="auto"/>
              </w:rPr>
              <w:t>原特色农业为重点，切实保护耕地，稳定粮食生产，发展现代农业，增强农业综合生产能力，增加农民收入，加快建设社会主义新农村，有效增强农产品供给保障能力，确保国家粮食安全和食品安全。农垦区要继续巩固</w:t>
            </w:r>
            <w:r>
              <w:rPr>
                <w:rFonts w:hint="eastAsia"/>
                <w:color w:val="auto"/>
                <w:lang w:eastAsia="zh-CN"/>
              </w:rPr>
              <w:t>提高</w:t>
            </w:r>
            <w:r>
              <w:rPr>
                <w:color w:val="auto"/>
              </w:rPr>
              <w:t>橡胶、茶叶等传统优势农业，发展畜牧、蔬菜、经济林木（果）、花卉等特色农业，发挥各地自身优势，突出特色，宜果则果，宜菜则菜，宜花则花，建设现代化</w:t>
            </w:r>
            <w:r>
              <w:rPr>
                <w:rFonts w:hint="eastAsia"/>
                <w:color w:val="auto"/>
                <w:lang w:eastAsia="zh-CN"/>
              </w:rPr>
              <w:t>种植养殖</w:t>
            </w:r>
            <w:r>
              <w:rPr>
                <w:color w:val="auto"/>
              </w:rPr>
              <w:t>基地和加工基地，大力发展适合当地特点、具有市场竞争优势的各类特色农业，促进农业产业结构调整和升级。</w:t>
            </w:r>
          </w:p>
          <w:p w14:paraId="24059C80">
            <w:pPr>
              <w:pStyle w:val="36"/>
              <w:bidi w:val="0"/>
              <w:rPr>
                <w:rFonts w:hint="default"/>
                <w:color w:val="auto"/>
              </w:rPr>
            </w:pPr>
            <w:r>
              <w:rPr>
                <w:rFonts w:hint="default"/>
                <w:color w:val="auto"/>
              </w:rPr>
              <w:t>项目属于防洪除涝工程，项目的建设有利于提供河道防洪能力，保障沿岸耕地及人民财产安全，可保护耕地</w:t>
            </w:r>
            <w:r>
              <w:rPr>
                <w:rFonts w:hint="eastAsia"/>
                <w:color w:val="auto"/>
                <w:lang w:val="en-US" w:eastAsia="zh-CN"/>
              </w:rPr>
              <w:t>6.6万</w:t>
            </w:r>
            <w:r>
              <w:rPr>
                <w:rFonts w:hint="default"/>
                <w:color w:val="auto"/>
              </w:rPr>
              <w:t>亩。符合《云南省主体功能区规划》。</w:t>
            </w:r>
          </w:p>
          <w:p w14:paraId="19086CAB">
            <w:pPr>
              <w:pStyle w:val="36"/>
              <w:bidi w:val="0"/>
              <w:rPr>
                <w:rFonts w:hint="eastAsia" w:eastAsia="宋体"/>
                <w:b/>
                <w:bCs/>
                <w:color w:val="auto"/>
                <w:lang w:eastAsia="zh-CN"/>
              </w:rPr>
            </w:pPr>
            <w:r>
              <w:rPr>
                <w:rFonts w:hint="eastAsia"/>
                <w:b/>
                <w:bCs/>
                <w:color w:val="auto"/>
                <w:lang w:val="en-US" w:eastAsia="zh-CN"/>
              </w:rPr>
              <w:t>2、与《云南省</w:t>
            </w:r>
            <w:r>
              <w:rPr>
                <w:rFonts w:hint="default"/>
                <w:b/>
                <w:bCs/>
                <w:color w:val="auto"/>
              </w:rPr>
              <w:t>生态功能区划</w:t>
            </w:r>
            <w:r>
              <w:rPr>
                <w:rFonts w:hint="eastAsia"/>
                <w:b/>
                <w:bCs/>
                <w:color w:val="auto"/>
                <w:lang w:eastAsia="zh-CN"/>
              </w:rPr>
              <w:t>》的符合性分析</w:t>
            </w:r>
          </w:p>
          <w:p w14:paraId="7727C32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b/>
                <w:bCs/>
                <w:color w:val="auto"/>
                <w:sz w:val="24"/>
              </w:rPr>
            </w:pPr>
            <w:r>
              <w:rPr>
                <w:rFonts w:hint="default" w:ascii="Times New Roman" w:hAnsi="Times New Roman" w:cs="Times New Roman"/>
                <w:color w:val="auto"/>
                <w:sz w:val="24"/>
              </w:rPr>
              <mc:AlternateContent>
                <mc:Choice Requires="wps">
                  <w:drawing>
                    <wp:anchor distT="0" distB="0" distL="114300" distR="114300" simplePos="0" relativeHeight="251663360" behindDoc="0" locked="0" layoutInCell="1" allowOverlap="1">
                      <wp:simplePos x="0" y="0"/>
                      <wp:positionH relativeFrom="column">
                        <wp:posOffset>553085</wp:posOffset>
                      </wp:positionH>
                      <wp:positionV relativeFrom="paragraph">
                        <wp:posOffset>765175</wp:posOffset>
                      </wp:positionV>
                      <wp:extent cx="1365250" cy="1229995"/>
                      <wp:effectExtent l="0" t="3810" r="6350" b="635"/>
                      <wp:wrapNone/>
                      <wp:docPr id="6" name="直接箭头连接符 6"/>
                      <wp:cNvGraphicFramePr/>
                      <a:graphic xmlns:a="http://schemas.openxmlformats.org/drawingml/2006/main">
                        <a:graphicData uri="http://schemas.microsoft.com/office/word/2010/wordprocessingShape">
                          <wps:wsp>
                            <wps:cNvCnPr/>
                            <wps:spPr>
                              <a:xfrm flipH="1">
                                <a:off x="2781300" y="2315210"/>
                                <a:ext cx="1365250" cy="122999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43.55pt;margin-top:60.25pt;height:96.85pt;width:107.5pt;z-index:251663360;mso-width-relative:page;mso-height-relative:page;" filled="f" stroked="t" coordsize="21600,21600" o:gfxdata="UEsDBAoAAAAAAIdO4kAAAAAAAAAAAAAAAAAEAAAAZHJzL1BLAwQUAAAACACHTuJAIyWai9gAAAAK&#10;AQAADwAAAGRycy9kb3ducmV2LnhtbE2PS0/EMAyE70j8h8hI3Nik5bUqTVeC3Z7gAF0OHNPGtBWJ&#10;UzXZB/vrMSe42TOj8edydfRO7HGOYyAN2UKBQOqCHanX8L6tr5YgYjJkjQuEGr4xwqo6PytNYcOB&#10;3nDfpF5wCcXCaBhSmgopYzegN3ERJiT2PsPsTeJ17qWdzYHLvZO5UnfSm5H4wmAmfBqw+2p2XsP0&#10;8bI5PT/WJtUnt9684rxdN63WlxeZegCR8Jj+wvCLz+hQMVMbdmSjcBqW9xknWc/VLQgOXKuclZaH&#10;7CYHWZXy/wvVD1BLAwQUAAAACACHTuJAZBhT0hsCAAD6AwAADgAAAGRycy9lMm9Eb2MueG1srVPN&#10;jtMwEL4j8Q6W7zRNqpZu1HQPLQsHBJWAB5h1nMSS/2R7m/YleAEkTsCJ5bR3ngaWx2DshALLZQ/k&#10;YI3t+b6Z78t4dX5Qkuy588LoiuaTKSVcM1ML3Vb0zeuLR0tKfABdgzSaV/TIPT1fP3yw6m3JC9MZ&#10;WXNHkET7srcV7UKwZZZ51nEFfmIs13jZGKcg4Na1We2gR3Yls2I6XWS9cbV1hnHv8XQ7XNKR0d2H&#10;0DSNYHxr2JXiOgysjksIKMl3wnq6Tt02DWfhZdN4HoisKCoNacUiGF/GNVuvoGwd2E6wsQW4Twt3&#10;NCkQGoueqLYQgFw58Q+VEswZb5owYUZlg5DkCKrIp3e8edWB5UkLWu3tyXT//2jZi/3OEVFXdEGJ&#10;BoU//Pbdzfe3H2+/XH/7cPPj6/sYf/5EFtGq3voSERu9c+PO252Lug+NU6SRwj7DmUpOoDZyqGjx&#10;eJnPpmj3EeNZPi/y0XR+CIRhQj5bzIs5JjDMyIvi7OxsHmtlA2kkt86Hp9woEoOK+uBAtF3YGK3x&#10;Bxs3FIT9cx8G4C9ABGtzIaTEcyilJj0KnaVqgLPb4MxgYWVRv9ctJSBbfBQsuCTBGynqiI5g79rL&#10;jXRkD3GU0je2+VdaLL0F3w156SqmQalEwHcjharo8oSGMoCQT3RNwtGi9+Cc6UdaqdGE6PjgcYwu&#10;TX1M1qdzHIlk0zi+ceb+3Cf07ye7/gl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jJZqL2AAAAAoB&#10;AAAPAAAAAAAAAAEAIAAAACIAAABkcnMvZG93bnJldi54bWxQSwECFAAUAAAACACHTuJAZBhT0hsC&#10;AAD6AwAADgAAAAAAAAABACAAAAAnAQAAZHJzL2Uyb0RvYy54bWxQSwUGAAAAAAYABgBZAQAAtAUA&#10;AAAA&#10;">
                      <v:fill on="f" focussize="0,0"/>
                      <v:stroke weight="0.5pt" color="#000000 [3213]" miterlimit="8" joinstyle="miter" endarrow="open"/>
                      <v:imagedata o:title=""/>
                      <o:lock v:ext="edit" aspectratio="f"/>
                    </v:shape>
                  </w:pict>
                </mc:Fallback>
              </mc:AlternateContent>
            </w:r>
            <w:r>
              <w:rPr>
                <w:rFonts w:hint="default" w:ascii="Times New Roman" w:hAnsi="Times New Roman" w:cs="Times New Roman"/>
                <w:color w:val="auto"/>
                <w:sz w:val="24"/>
              </w:rPr>
              <w:drawing>
                <wp:inline distT="0" distB="0" distL="114300" distR="114300">
                  <wp:extent cx="4645025" cy="3327400"/>
                  <wp:effectExtent l="0" t="0" r="3175" b="1016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5"/>
                          <pic:cNvPicPr>
                            <a:picLocks noChangeAspect="1"/>
                          </pic:cNvPicPr>
                        </pic:nvPicPr>
                        <pic:blipFill>
                          <a:blip r:embed="rId37"/>
                          <a:stretch>
                            <a:fillRect/>
                          </a:stretch>
                        </pic:blipFill>
                        <pic:spPr>
                          <a:xfrm>
                            <a:off x="0" y="0"/>
                            <a:ext cx="4645025" cy="3327400"/>
                          </a:xfrm>
                          <a:prstGeom prst="rect">
                            <a:avLst/>
                          </a:prstGeom>
                          <a:noFill/>
                          <a:ln>
                            <a:noFill/>
                          </a:ln>
                        </pic:spPr>
                      </pic:pic>
                    </a:graphicData>
                  </a:graphic>
                </wp:inline>
              </w:drawing>
            </w:r>
            <w:r>
              <w:rPr>
                <w:rFonts w:hint="default" w:ascii="Times New Roman" w:hAnsi="Times New Roman" w:cs="Times New Roman"/>
                <w:b/>
                <w:bCs/>
                <w:color w:val="auto"/>
                <w:sz w:val="24"/>
              </w:rPr>
              <mc:AlternateContent>
                <mc:Choice Requires="wps">
                  <w:drawing>
                    <wp:anchor distT="0" distB="0" distL="114300" distR="114300" simplePos="0" relativeHeight="251662336" behindDoc="0" locked="0" layoutInCell="1" allowOverlap="1">
                      <wp:simplePos x="0" y="0"/>
                      <wp:positionH relativeFrom="column">
                        <wp:posOffset>1617980</wp:posOffset>
                      </wp:positionH>
                      <wp:positionV relativeFrom="paragraph">
                        <wp:posOffset>511810</wp:posOffset>
                      </wp:positionV>
                      <wp:extent cx="981710" cy="283845"/>
                      <wp:effectExtent l="0" t="0" r="0" b="0"/>
                      <wp:wrapNone/>
                      <wp:docPr id="5" name="文本框 5"/>
                      <wp:cNvGraphicFramePr/>
                      <a:graphic xmlns:a="http://schemas.openxmlformats.org/drawingml/2006/main">
                        <a:graphicData uri="http://schemas.microsoft.com/office/word/2010/wordprocessingShape">
                          <wps:wsp>
                            <wps:cNvSpPr txBox="1"/>
                            <wps:spPr>
                              <a:xfrm>
                                <a:off x="0" y="0"/>
                                <a:ext cx="981710" cy="2838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800E37">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pPr>
                                  <w:r>
                                    <w:rPr>
                                      <w:rFonts w:hint="eastAsia"/>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7.4pt;margin-top:40.3pt;height:22.35pt;width:77.3pt;z-index:251662336;mso-width-relative:page;mso-height-relative:page;" filled="f" stroked="f" coordsize="21600,21600" o:gfxdata="UEsDBAoAAAAAAIdO4kAAAAAAAAAAAAAAAAAEAAAAZHJzL1BLAwQUAAAACACHTuJAQsSYsdsAAAAK&#10;AQAADwAAAGRycy9kb3ducmV2LnhtbE2Py07DMBBF90j8gzVI7KjdkFQhjVOhSBUSgkVLN+yceJpE&#10;9SPE7gO+nmFVlqN7dO+ZcnWxhp1wCoN3EuYzAQxd6/XgOgm7j/VDDixE5bQy3qGEbwywqm5vSlVo&#10;f3YbPG1jx6jEhUJJ6GMcC85D26NVYeZHdJTt/WRVpHPquJ7Umcqt4YkQC27V4GihVyPWPbaH7dFK&#10;eK3X72rTJDb/MfXL2/55/Np9ZlLe383FEljES7zC8KdP6lCRU+OPTgdmJCRZSupRQi4WwAhIxVMK&#10;rCEyyR6BVyX//0L1C1BLAwQUAAAACACHTuJAhA+DUDwCAABlBAAADgAAAGRycy9lMm9Eb2MueG1s&#10;rVTBjtowEL1X6j9YvpcQFnZZRFjRRVSVUHclWvVsHIdEsj2ubUjoB7R/0FMvvfe7+I6OncCibQ97&#10;6MUZe8Zv5r0ZZ3rXKEn2wroKdEbTXp8SoTnkld5m9NPH5ZsxJc4znTMJWmT0IBy9m71+Na3NRAyg&#10;BJkLSxBEu0ltMlp6byZJ4ngpFHM9MEKjswCrmMet3Sa5ZTWiK5kM+v3rpAabGwtcOIeni9ZJO0T7&#10;EkAoioqLBfCdEtq3qFZI5pGSKyvj6CxWWxSC+4eicMITmVFk6uOKSdDehDWZTdlka5kpK96VwF5S&#10;wjNOilUak56hFswzsrPVX1Cq4hYcFL7HQSUtkagIskj7z7RZl8yIyAWlduYsuvt/sPzD/tGSKs/o&#10;iBLNFDb8+OP78efv469vZBTkqY2bYNTaYJxv3kKDQ3M6d3gYWDeFVeGLfAj6UdzDWVzReMLx8Hac&#10;3qTo4egajK/Gw4iePF021vl3AhQJRkYt9i5KyvYr57EQDD2FhFwalpWUsX9Skzqj11ejfrxw9uAN&#10;qfFioNCWGizfbJqO1wbyA9Ky0M6FM3xZYfIVc/6RWRwErBefin/ApZCASaCzKCnBfv3XeYjH/qCX&#10;khoHK6Puy45ZQYl8r7Fzt+lwiLA+boajmwFu7KVnc+nRO3UPOLspPkrDoxnivTyZhQX1GV/UPGRF&#10;F9Mcc2fUn8x73447vkgu5vMYhLNnmF/pteEBupVzvvNQVFHpIFOrTaceTl9sQPdSwnhf7mPU099h&#10;9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CxJix2wAAAAoBAAAPAAAAAAAAAAEAIAAAACIAAABk&#10;cnMvZG93bnJldi54bWxQSwECFAAUAAAACACHTuJAhA+DUDwCAABlBAAADgAAAAAAAAABACAAAAAq&#10;AQAAZHJzL2Uyb0RvYy54bWxQSwUGAAAAAAYABgBZAQAA2AUAAAAA&#10;">
                      <v:fill on="f" focussize="0,0"/>
                      <v:stroke on="f" weight="0.5pt"/>
                      <v:imagedata o:title=""/>
                      <o:lock v:ext="edit" aspectratio="f"/>
                      <v:textbox>
                        <w:txbxContent>
                          <w:p w14:paraId="74800E37">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pPr>
                            <w:r>
                              <w:rPr>
                                <w:rFonts w:hint="eastAsia"/>
                              </w:rPr>
                              <w:t>项目位置</w:t>
                            </w:r>
                          </w:p>
                        </w:txbxContent>
                      </v:textbox>
                    </v:shape>
                  </w:pict>
                </mc:Fallback>
              </mc:AlternateContent>
            </w:r>
          </w:p>
          <w:p w14:paraId="4210E2D1">
            <w:pPr>
              <w:pStyle w:val="31"/>
              <w:bidi w:val="0"/>
              <w:rPr>
                <w:rFonts w:hint="default"/>
                <w:color w:val="auto"/>
              </w:rPr>
            </w:pPr>
            <w:r>
              <w:rPr>
                <w:rFonts w:hint="default"/>
                <w:color w:val="auto"/>
              </w:rPr>
              <w:t>图</w:t>
            </w:r>
            <w:r>
              <w:rPr>
                <w:rFonts w:hint="eastAsia"/>
                <w:color w:val="auto"/>
                <w:lang w:val="en-US" w:eastAsia="zh-CN"/>
              </w:rPr>
              <w:t>1</w:t>
            </w:r>
            <w:r>
              <w:rPr>
                <w:rFonts w:hint="default"/>
                <w:color w:val="auto"/>
              </w:rPr>
              <w:t>-</w:t>
            </w:r>
            <w:r>
              <w:rPr>
                <w:rFonts w:hint="eastAsia"/>
                <w:color w:val="auto"/>
                <w:lang w:val="en-US" w:eastAsia="zh-CN"/>
              </w:rPr>
              <w:t>2</w:t>
            </w:r>
            <w:r>
              <w:rPr>
                <w:rFonts w:hint="default"/>
                <w:color w:val="auto"/>
              </w:rPr>
              <w:t xml:space="preserve"> 项目生态功能区划图</w:t>
            </w:r>
          </w:p>
          <w:p w14:paraId="6DEF4B6A">
            <w:pPr>
              <w:pStyle w:val="36"/>
              <w:bidi w:val="0"/>
              <w:rPr>
                <w:rFonts w:hint="eastAsia"/>
                <w:color w:val="auto"/>
                <w:lang w:eastAsia="zh-CN"/>
              </w:rPr>
            </w:pPr>
            <w:r>
              <w:rPr>
                <w:rFonts w:hint="eastAsia"/>
                <w:color w:val="auto"/>
                <w:lang w:eastAsia="zh-CN"/>
              </w:rPr>
              <w:t>由图</w:t>
            </w:r>
            <w:r>
              <w:rPr>
                <w:rFonts w:hint="eastAsia"/>
                <w:color w:val="auto"/>
                <w:lang w:val="en-US" w:eastAsia="zh-CN"/>
              </w:rPr>
              <w:t>1-2可知，</w:t>
            </w:r>
            <w:r>
              <w:rPr>
                <w:rFonts w:hint="eastAsia"/>
                <w:color w:val="auto"/>
              </w:rPr>
              <w:t>项目所在地的德宏州芒市属于Ⅰ季风热带北缘热带雨林生态区，该生态功能区详情如下表所示。</w:t>
            </w:r>
          </w:p>
          <w:p w14:paraId="13F6E41C">
            <w:pPr>
              <w:adjustRightInd w:val="0"/>
              <w:snapToGrid w:val="0"/>
              <w:spacing w:line="240" w:lineRule="auto"/>
              <w:jc w:val="center"/>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表</w:t>
            </w:r>
            <w:r>
              <w:rPr>
                <w:rFonts w:hint="eastAsia" w:ascii="Times New Roman" w:hAnsi="Times New Roman" w:eastAsia="宋体" w:cs="Times New Roman"/>
                <w:b/>
                <w:color w:val="auto"/>
                <w:sz w:val="24"/>
                <w:lang w:val="en-US" w:eastAsia="zh-CN"/>
              </w:rPr>
              <w:t>1</w:t>
            </w:r>
            <w:r>
              <w:rPr>
                <w:rFonts w:hint="default" w:ascii="Times New Roman" w:hAnsi="Times New Roman" w:eastAsia="宋体" w:cs="Times New Roman"/>
                <w:b/>
                <w:color w:val="auto"/>
                <w:sz w:val="24"/>
              </w:rPr>
              <w:t>-1  项目所在区域生态功能区划</w:t>
            </w:r>
          </w:p>
          <w:tbl>
            <w:tblPr>
              <w:tblStyle w:val="22"/>
              <w:tblW w:w="5000"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612"/>
              <w:gridCol w:w="789"/>
              <w:gridCol w:w="803"/>
              <w:gridCol w:w="906"/>
              <w:gridCol w:w="1553"/>
              <w:gridCol w:w="651"/>
              <w:gridCol w:w="646"/>
              <w:gridCol w:w="777"/>
              <w:gridCol w:w="1108"/>
            </w:tblGrid>
            <w:tr w14:paraId="3D8256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405" w:type="pct"/>
                  <w:gridSpan w:val="3"/>
                  <w:tcBorders>
                    <w:top w:val="single" w:color="auto" w:sz="4" w:space="0"/>
                    <w:left w:val="double" w:color="auto" w:sz="4" w:space="0"/>
                    <w:bottom w:val="single" w:color="auto" w:sz="4" w:space="0"/>
                    <w:right w:val="single" w:color="auto" w:sz="4" w:space="0"/>
                  </w:tcBorders>
                  <w:noWrap w:val="0"/>
                  <w:vAlign w:val="center"/>
                </w:tcPr>
                <w:p w14:paraId="24FDBB2E">
                  <w:pPr>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生态功能分区单元</w:t>
                  </w:r>
                </w:p>
              </w:tc>
              <w:tc>
                <w:tcPr>
                  <w:tcW w:w="577" w:type="pct"/>
                  <w:vMerge w:val="restart"/>
                  <w:tcBorders>
                    <w:top w:val="single" w:color="auto" w:sz="4" w:space="0"/>
                    <w:left w:val="single" w:color="auto" w:sz="4" w:space="0"/>
                    <w:bottom w:val="single" w:color="auto" w:sz="4" w:space="0"/>
                    <w:right w:val="single" w:color="auto" w:sz="4" w:space="0"/>
                  </w:tcBorders>
                  <w:noWrap w:val="0"/>
                  <w:vAlign w:val="center"/>
                </w:tcPr>
                <w:p w14:paraId="590B1E70">
                  <w:pPr>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所在区域与面积</w:t>
                  </w:r>
                </w:p>
              </w:tc>
              <w:tc>
                <w:tcPr>
                  <w:tcW w:w="989" w:type="pct"/>
                  <w:vMerge w:val="restart"/>
                  <w:tcBorders>
                    <w:top w:val="single" w:color="auto" w:sz="4" w:space="0"/>
                    <w:left w:val="single" w:color="auto" w:sz="4" w:space="0"/>
                    <w:bottom w:val="single" w:color="auto" w:sz="4" w:space="0"/>
                    <w:right w:val="single" w:color="auto" w:sz="4" w:space="0"/>
                  </w:tcBorders>
                  <w:noWrap w:val="0"/>
                  <w:vAlign w:val="center"/>
                </w:tcPr>
                <w:p w14:paraId="43638685">
                  <w:pPr>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主要生态特征</w:t>
                  </w:r>
                </w:p>
              </w:tc>
              <w:tc>
                <w:tcPr>
                  <w:tcW w:w="414" w:type="pct"/>
                  <w:vMerge w:val="restart"/>
                  <w:tcBorders>
                    <w:top w:val="single" w:color="auto" w:sz="4" w:space="0"/>
                    <w:left w:val="single" w:color="auto" w:sz="4" w:space="0"/>
                    <w:bottom w:val="single" w:color="auto" w:sz="4" w:space="0"/>
                    <w:right w:val="single" w:color="auto" w:sz="4" w:space="0"/>
                  </w:tcBorders>
                  <w:noWrap w:val="0"/>
                  <w:vAlign w:val="center"/>
                </w:tcPr>
                <w:p w14:paraId="26DA1339">
                  <w:pPr>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主要生态环境问题</w:t>
                  </w:r>
                </w:p>
              </w:tc>
              <w:tc>
                <w:tcPr>
                  <w:tcW w:w="411" w:type="pct"/>
                  <w:vMerge w:val="restart"/>
                  <w:tcBorders>
                    <w:top w:val="single" w:color="auto" w:sz="4" w:space="0"/>
                    <w:left w:val="single" w:color="auto" w:sz="4" w:space="0"/>
                    <w:bottom w:val="single" w:color="auto" w:sz="4" w:space="0"/>
                    <w:right w:val="single" w:color="auto" w:sz="4" w:space="0"/>
                  </w:tcBorders>
                  <w:noWrap w:val="0"/>
                  <w:vAlign w:val="center"/>
                </w:tcPr>
                <w:p w14:paraId="7DF5BDE0">
                  <w:pPr>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生态环境敏感性</w:t>
                  </w:r>
                </w:p>
              </w:tc>
              <w:tc>
                <w:tcPr>
                  <w:tcW w:w="495" w:type="pct"/>
                  <w:vMerge w:val="restart"/>
                  <w:tcBorders>
                    <w:top w:val="single" w:color="auto" w:sz="4" w:space="0"/>
                    <w:left w:val="single" w:color="auto" w:sz="4" w:space="0"/>
                    <w:bottom w:val="single" w:color="auto" w:sz="4" w:space="0"/>
                    <w:right w:val="single" w:color="auto" w:sz="4" w:space="0"/>
                  </w:tcBorders>
                  <w:noWrap w:val="0"/>
                  <w:vAlign w:val="center"/>
                </w:tcPr>
                <w:p w14:paraId="1DBC3D8A">
                  <w:pPr>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主要生态系统服务功能</w:t>
                  </w:r>
                </w:p>
              </w:tc>
              <w:tc>
                <w:tcPr>
                  <w:tcW w:w="706" w:type="pct"/>
                  <w:vMerge w:val="restart"/>
                  <w:tcBorders>
                    <w:top w:val="single" w:color="auto" w:sz="4" w:space="0"/>
                    <w:left w:val="single" w:color="auto" w:sz="4" w:space="0"/>
                    <w:bottom w:val="single" w:color="auto" w:sz="4" w:space="0"/>
                    <w:right w:val="single" w:color="auto" w:sz="4" w:space="0"/>
                  </w:tcBorders>
                  <w:noWrap w:val="0"/>
                  <w:vAlign w:val="center"/>
                </w:tcPr>
                <w:p w14:paraId="270E2DB6">
                  <w:pPr>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保护措施与发展方向</w:t>
                  </w:r>
                </w:p>
              </w:tc>
            </w:tr>
            <w:tr w14:paraId="489900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91" w:type="pct"/>
                  <w:tcBorders>
                    <w:top w:val="single" w:color="auto" w:sz="4" w:space="0"/>
                    <w:left w:val="single" w:color="auto" w:sz="4" w:space="0"/>
                    <w:bottom w:val="single" w:color="auto" w:sz="4" w:space="0"/>
                    <w:right w:val="single" w:color="auto" w:sz="4" w:space="0"/>
                  </w:tcBorders>
                  <w:noWrap w:val="0"/>
                  <w:vAlign w:val="center"/>
                </w:tcPr>
                <w:p w14:paraId="78DDC2AA">
                  <w:pPr>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生态区</w:t>
                  </w:r>
                </w:p>
              </w:tc>
              <w:tc>
                <w:tcPr>
                  <w:tcW w:w="503" w:type="pct"/>
                  <w:tcBorders>
                    <w:top w:val="single" w:color="auto" w:sz="4" w:space="0"/>
                    <w:left w:val="single" w:color="auto" w:sz="4" w:space="0"/>
                    <w:bottom w:val="single" w:color="auto" w:sz="4" w:space="0"/>
                    <w:right w:val="single" w:color="auto" w:sz="4" w:space="0"/>
                  </w:tcBorders>
                  <w:noWrap w:val="0"/>
                  <w:vAlign w:val="center"/>
                </w:tcPr>
                <w:p w14:paraId="78B36289">
                  <w:pPr>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生态</w:t>
                  </w:r>
                </w:p>
                <w:p w14:paraId="7D077CBF">
                  <w:pPr>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亚区</w:t>
                  </w:r>
                </w:p>
              </w:tc>
              <w:tc>
                <w:tcPr>
                  <w:tcW w:w="511" w:type="pct"/>
                  <w:tcBorders>
                    <w:top w:val="single" w:color="auto" w:sz="4" w:space="0"/>
                    <w:left w:val="single" w:color="auto" w:sz="4" w:space="0"/>
                    <w:bottom w:val="single" w:color="auto" w:sz="4" w:space="0"/>
                    <w:right w:val="single" w:color="auto" w:sz="4" w:space="0"/>
                  </w:tcBorders>
                  <w:noWrap w:val="0"/>
                  <w:vAlign w:val="center"/>
                </w:tcPr>
                <w:p w14:paraId="76FFB794">
                  <w:pPr>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生态功能区</w:t>
                  </w:r>
                </w:p>
              </w:tc>
              <w:tc>
                <w:tcPr>
                  <w:tcW w:w="577" w:type="pct"/>
                  <w:vMerge w:val="continue"/>
                  <w:tcBorders>
                    <w:top w:val="single" w:color="auto" w:sz="4" w:space="0"/>
                    <w:left w:val="single" w:color="auto" w:sz="4" w:space="0"/>
                    <w:bottom w:val="single" w:color="auto" w:sz="4" w:space="0"/>
                    <w:right w:val="single" w:color="auto" w:sz="4" w:space="0"/>
                  </w:tcBorders>
                  <w:noWrap w:val="0"/>
                  <w:vAlign w:val="center"/>
                </w:tcPr>
                <w:p w14:paraId="2DEDB1F2">
                  <w:pPr>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rPr>
                  </w:pPr>
                </w:p>
              </w:tc>
              <w:tc>
                <w:tcPr>
                  <w:tcW w:w="989" w:type="pct"/>
                  <w:vMerge w:val="continue"/>
                  <w:tcBorders>
                    <w:top w:val="single" w:color="auto" w:sz="4" w:space="0"/>
                    <w:left w:val="single" w:color="auto" w:sz="4" w:space="0"/>
                    <w:bottom w:val="single" w:color="auto" w:sz="4" w:space="0"/>
                    <w:right w:val="single" w:color="auto" w:sz="4" w:space="0"/>
                  </w:tcBorders>
                  <w:noWrap w:val="0"/>
                  <w:vAlign w:val="center"/>
                </w:tcPr>
                <w:p w14:paraId="298F666B">
                  <w:pPr>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rPr>
                  </w:pPr>
                </w:p>
              </w:tc>
              <w:tc>
                <w:tcPr>
                  <w:tcW w:w="414" w:type="pct"/>
                  <w:vMerge w:val="continue"/>
                  <w:tcBorders>
                    <w:top w:val="single" w:color="auto" w:sz="4" w:space="0"/>
                    <w:left w:val="single" w:color="auto" w:sz="4" w:space="0"/>
                    <w:bottom w:val="single" w:color="auto" w:sz="4" w:space="0"/>
                    <w:right w:val="single" w:color="auto" w:sz="4" w:space="0"/>
                  </w:tcBorders>
                  <w:noWrap w:val="0"/>
                  <w:vAlign w:val="center"/>
                </w:tcPr>
                <w:p w14:paraId="7A288A87">
                  <w:pPr>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rPr>
                  </w:pPr>
                </w:p>
              </w:tc>
              <w:tc>
                <w:tcPr>
                  <w:tcW w:w="411" w:type="pct"/>
                  <w:vMerge w:val="continue"/>
                  <w:tcBorders>
                    <w:top w:val="single" w:color="auto" w:sz="4" w:space="0"/>
                    <w:left w:val="single" w:color="auto" w:sz="4" w:space="0"/>
                    <w:bottom w:val="single" w:color="auto" w:sz="4" w:space="0"/>
                    <w:right w:val="single" w:color="auto" w:sz="4" w:space="0"/>
                  </w:tcBorders>
                  <w:noWrap w:val="0"/>
                  <w:vAlign w:val="center"/>
                </w:tcPr>
                <w:p w14:paraId="58337C96">
                  <w:pPr>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rPr>
                  </w:pPr>
                </w:p>
              </w:tc>
              <w:tc>
                <w:tcPr>
                  <w:tcW w:w="495" w:type="pct"/>
                  <w:vMerge w:val="continue"/>
                  <w:tcBorders>
                    <w:top w:val="single" w:color="auto" w:sz="4" w:space="0"/>
                    <w:left w:val="single" w:color="auto" w:sz="4" w:space="0"/>
                    <w:bottom w:val="single" w:color="auto" w:sz="4" w:space="0"/>
                    <w:right w:val="single" w:color="auto" w:sz="4" w:space="0"/>
                  </w:tcBorders>
                  <w:noWrap w:val="0"/>
                  <w:vAlign w:val="center"/>
                </w:tcPr>
                <w:p w14:paraId="5A98DAD9">
                  <w:pPr>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rPr>
                  </w:pPr>
                </w:p>
              </w:tc>
              <w:tc>
                <w:tcPr>
                  <w:tcW w:w="706" w:type="pct"/>
                  <w:vMerge w:val="continue"/>
                  <w:tcBorders>
                    <w:top w:val="single" w:color="auto" w:sz="4" w:space="0"/>
                    <w:left w:val="single" w:color="auto" w:sz="4" w:space="0"/>
                    <w:bottom w:val="single" w:color="auto" w:sz="4" w:space="0"/>
                    <w:right w:val="single" w:color="auto" w:sz="4" w:space="0"/>
                  </w:tcBorders>
                  <w:noWrap w:val="0"/>
                  <w:vAlign w:val="center"/>
                </w:tcPr>
                <w:p w14:paraId="7EC3E9C8">
                  <w:pPr>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rPr>
                  </w:pPr>
                </w:p>
              </w:tc>
            </w:tr>
            <w:tr w14:paraId="282370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91" w:type="pct"/>
                  <w:tcBorders>
                    <w:top w:val="single" w:color="auto" w:sz="4" w:space="0"/>
                    <w:left w:val="single" w:color="auto" w:sz="4" w:space="0"/>
                    <w:bottom w:val="single" w:color="auto" w:sz="4" w:space="0"/>
                    <w:right w:val="single" w:color="auto" w:sz="4" w:space="0"/>
                  </w:tcBorders>
                  <w:noWrap w:val="0"/>
                  <w:vAlign w:val="center"/>
                </w:tcPr>
                <w:p w14:paraId="7421997F">
                  <w:pPr>
                    <w:topLinePunct/>
                    <w:adjustRightInd w:val="0"/>
                    <w:snapToGrid w:val="0"/>
                    <w:spacing w:line="240" w:lineRule="auto"/>
                    <w:ind w:firstLine="0" w:firstLineChars="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Ⅰ季风热带北缘热带雨林生态区</w:t>
                  </w:r>
                </w:p>
              </w:tc>
              <w:tc>
                <w:tcPr>
                  <w:tcW w:w="503" w:type="pct"/>
                  <w:tcBorders>
                    <w:top w:val="single" w:color="auto" w:sz="4" w:space="0"/>
                    <w:left w:val="single" w:color="auto" w:sz="4" w:space="0"/>
                    <w:bottom w:val="single" w:color="auto" w:sz="4" w:space="0"/>
                    <w:right w:val="single" w:color="auto" w:sz="4" w:space="0"/>
                  </w:tcBorders>
                  <w:noWrap w:val="0"/>
                  <w:vAlign w:val="center"/>
                </w:tcPr>
                <w:p w14:paraId="017EBB7B">
                  <w:pPr>
                    <w:topLinePunct/>
                    <w:adjustRightInd w:val="0"/>
                    <w:snapToGrid w:val="0"/>
                    <w:spacing w:line="240" w:lineRule="auto"/>
                    <w:ind w:firstLine="0" w:firstLineChars="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Ⅰ3滇西南中山宽谷半常绿季雨林生态亚区</w:t>
                  </w:r>
                </w:p>
                <w:p w14:paraId="2783C8FC">
                  <w:pPr>
                    <w:topLinePunct/>
                    <w:adjustRightInd w:val="0"/>
                    <w:snapToGrid w:val="0"/>
                    <w:spacing w:line="240" w:lineRule="auto"/>
                    <w:ind w:firstLine="0" w:firstLineChars="0"/>
                    <w:jc w:val="center"/>
                    <w:rPr>
                      <w:rFonts w:hint="default" w:ascii="Times New Roman" w:hAnsi="Times New Roman" w:eastAsia="宋体" w:cs="Times New Roman"/>
                      <w:snapToGrid w:val="0"/>
                      <w:color w:val="auto"/>
                      <w:sz w:val="21"/>
                      <w:szCs w:val="21"/>
                      <w:highlight w:val="none"/>
                    </w:rPr>
                  </w:pPr>
                </w:p>
              </w:tc>
              <w:tc>
                <w:tcPr>
                  <w:tcW w:w="511" w:type="pct"/>
                  <w:tcBorders>
                    <w:top w:val="single" w:color="auto" w:sz="4" w:space="0"/>
                    <w:left w:val="single" w:color="auto" w:sz="4" w:space="0"/>
                    <w:bottom w:val="single" w:color="auto" w:sz="4" w:space="0"/>
                    <w:right w:val="single" w:color="auto" w:sz="4" w:space="0"/>
                  </w:tcBorders>
                  <w:noWrap w:val="0"/>
                  <w:vAlign w:val="center"/>
                </w:tcPr>
                <w:p w14:paraId="7FAB0FC6">
                  <w:pPr>
                    <w:topLinePunct/>
                    <w:adjustRightInd w:val="0"/>
                    <w:snapToGrid w:val="0"/>
                    <w:spacing w:line="240" w:lineRule="auto"/>
                    <w:ind w:firstLine="0" w:firstLineChars="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Ⅰ3-1大盈江、南畹河下游中山丘陵农业生态功能区</w:t>
                  </w:r>
                </w:p>
              </w:tc>
              <w:tc>
                <w:tcPr>
                  <w:tcW w:w="577" w:type="pct"/>
                  <w:tcBorders>
                    <w:top w:val="single" w:color="auto" w:sz="4" w:space="0"/>
                    <w:left w:val="single" w:color="auto" w:sz="4" w:space="0"/>
                    <w:bottom w:val="single" w:color="auto" w:sz="4" w:space="0"/>
                    <w:right w:val="single" w:color="auto" w:sz="4" w:space="0"/>
                  </w:tcBorders>
                  <w:noWrap w:val="0"/>
                  <w:vAlign w:val="center"/>
                </w:tcPr>
                <w:p w14:paraId="272A757A">
                  <w:pPr>
                    <w:topLinePunct/>
                    <w:adjustRightInd w:val="0"/>
                    <w:snapToGrid w:val="0"/>
                    <w:spacing w:line="240" w:lineRule="auto"/>
                    <w:ind w:firstLine="0" w:firstLineChars="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瑞丽、潞西，陇川，盈江、梁河以及龙陵县的南部地区，面积9332.67平方公里</w:t>
                  </w:r>
                </w:p>
              </w:tc>
              <w:tc>
                <w:tcPr>
                  <w:tcW w:w="989" w:type="pct"/>
                  <w:tcBorders>
                    <w:top w:val="single" w:color="auto" w:sz="4" w:space="0"/>
                    <w:left w:val="single" w:color="auto" w:sz="4" w:space="0"/>
                    <w:bottom w:val="single" w:color="auto" w:sz="4" w:space="0"/>
                    <w:right w:val="single" w:color="auto" w:sz="4" w:space="0"/>
                  </w:tcBorders>
                  <w:noWrap w:val="0"/>
                  <w:vAlign w:val="center"/>
                </w:tcPr>
                <w:p w14:paraId="21519791">
                  <w:pPr>
                    <w:topLinePunct/>
                    <w:adjustRightInd w:val="0"/>
                    <w:snapToGrid w:val="0"/>
                    <w:spacing w:line="240" w:lineRule="auto"/>
                    <w:ind w:firstLine="0" w:firstLineChars="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为中山丘陵地貌为主，年降水量1400</w:t>
                  </w:r>
                  <w:r>
                    <w:rPr>
                      <w:rFonts w:hint="default" w:ascii="Times New Roman" w:hAnsi="Times New Roman" w:eastAsia="宋体" w:cs="Times New Roman"/>
                      <w:snapToGrid w:val="0"/>
                      <w:color w:val="auto"/>
                      <w:sz w:val="21"/>
                      <w:szCs w:val="21"/>
                      <w:highlight w:val="none"/>
                      <w:lang w:eastAsia="zh-CN"/>
                    </w:rPr>
                    <w:t>—</w:t>
                  </w:r>
                  <w:r>
                    <w:rPr>
                      <w:rFonts w:hint="default" w:ascii="Times New Roman" w:hAnsi="Times New Roman" w:eastAsia="宋体" w:cs="Times New Roman"/>
                      <w:snapToGrid w:val="0"/>
                      <w:color w:val="auto"/>
                      <w:sz w:val="21"/>
                      <w:szCs w:val="21"/>
                      <w:highlight w:val="none"/>
                    </w:rPr>
                    <w:t>1700毫米，地带性植被类型为季风常绿阔叶林。地带性土壤类型为赤红壤、红壤</w:t>
                  </w:r>
                </w:p>
              </w:tc>
              <w:tc>
                <w:tcPr>
                  <w:tcW w:w="414" w:type="pct"/>
                  <w:tcBorders>
                    <w:top w:val="single" w:color="auto" w:sz="4" w:space="0"/>
                    <w:left w:val="single" w:color="auto" w:sz="4" w:space="0"/>
                    <w:bottom w:val="single" w:color="auto" w:sz="4" w:space="0"/>
                    <w:right w:val="single" w:color="auto" w:sz="4" w:space="0"/>
                  </w:tcBorders>
                  <w:noWrap w:val="0"/>
                  <w:vAlign w:val="center"/>
                </w:tcPr>
                <w:p w14:paraId="60AD42A3">
                  <w:pPr>
                    <w:topLinePunct/>
                    <w:adjustRightInd w:val="0"/>
                    <w:snapToGrid w:val="0"/>
                    <w:spacing w:line="240" w:lineRule="auto"/>
                    <w:ind w:firstLine="0" w:firstLineChars="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旅游业和不合理的热区开发带来的生态破坏</w:t>
                  </w:r>
                </w:p>
              </w:tc>
              <w:tc>
                <w:tcPr>
                  <w:tcW w:w="411" w:type="pct"/>
                  <w:tcBorders>
                    <w:top w:val="single" w:color="auto" w:sz="4" w:space="0"/>
                    <w:left w:val="single" w:color="auto" w:sz="4" w:space="0"/>
                    <w:bottom w:val="single" w:color="auto" w:sz="4" w:space="0"/>
                    <w:right w:val="single" w:color="auto" w:sz="4" w:space="0"/>
                  </w:tcBorders>
                  <w:noWrap w:val="0"/>
                  <w:vAlign w:val="center"/>
                </w:tcPr>
                <w:p w14:paraId="69A6C176">
                  <w:pPr>
                    <w:topLinePunct/>
                    <w:adjustRightInd w:val="0"/>
                    <w:snapToGrid w:val="0"/>
                    <w:spacing w:line="240" w:lineRule="auto"/>
                    <w:ind w:firstLine="0" w:firstLineChars="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生境高度敏感和极为敏感、土壤侵蚀极为敏感</w:t>
                  </w:r>
                </w:p>
              </w:tc>
              <w:tc>
                <w:tcPr>
                  <w:tcW w:w="495" w:type="pct"/>
                  <w:tcBorders>
                    <w:top w:val="single" w:color="auto" w:sz="4" w:space="0"/>
                    <w:left w:val="single" w:color="auto" w:sz="4" w:space="0"/>
                    <w:bottom w:val="single" w:color="auto" w:sz="4" w:space="0"/>
                    <w:right w:val="single" w:color="auto" w:sz="4" w:space="0"/>
                  </w:tcBorders>
                  <w:noWrap w:val="0"/>
                  <w:vAlign w:val="center"/>
                </w:tcPr>
                <w:p w14:paraId="6E5F8A63">
                  <w:pPr>
                    <w:topLinePunct/>
                    <w:adjustRightInd w:val="0"/>
                    <w:snapToGrid w:val="0"/>
                    <w:spacing w:line="240" w:lineRule="auto"/>
                    <w:ind w:firstLine="0" w:firstLineChars="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发展生态农业和以蔗糖为主热带作物、以澳洲坚果和柠檬为主的热带经济林</w:t>
                  </w:r>
                </w:p>
              </w:tc>
              <w:tc>
                <w:tcPr>
                  <w:tcW w:w="706" w:type="pct"/>
                  <w:tcBorders>
                    <w:top w:val="single" w:color="auto" w:sz="4" w:space="0"/>
                    <w:left w:val="single" w:color="auto" w:sz="4" w:space="0"/>
                    <w:bottom w:val="single" w:color="auto" w:sz="4" w:space="0"/>
                    <w:right w:val="single" w:color="auto" w:sz="4" w:space="0"/>
                  </w:tcBorders>
                  <w:noWrap w:val="0"/>
                  <w:vAlign w:val="center"/>
                </w:tcPr>
                <w:p w14:paraId="2ECE4881">
                  <w:pPr>
                    <w:topLinePunct/>
                    <w:adjustRightInd w:val="0"/>
                    <w:snapToGrid w:val="0"/>
                    <w:spacing w:line="240" w:lineRule="auto"/>
                    <w:ind w:firstLine="0" w:firstLineChars="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保护农业生态环境，防止水土流失和旅游和边境贸易带来的环境污染，推行清洁生产，加强国际大通道的建设</w:t>
                  </w:r>
                </w:p>
              </w:tc>
            </w:tr>
          </w:tbl>
          <w:p w14:paraId="556988D1">
            <w:pPr>
              <w:pStyle w:val="36"/>
              <w:bidi w:val="0"/>
              <w:rPr>
                <w:rFonts w:hint="default"/>
                <w:color w:val="auto"/>
              </w:rPr>
            </w:pPr>
            <w:r>
              <w:rPr>
                <w:color w:val="auto"/>
              </w:rPr>
              <w:t>本项目为防洪除涝工程，项目的建设有利于提供河道防洪能力，保障人民财产安全的同时，能够有效保护耕地及农田，项目建设过程中临时占地施工结束后，经清理、整治、恢复原貌，可继续使用，不会对区域用地造成较大影响。因此项目的建设符合《云南省生态功能区划》的相关规定。</w:t>
            </w:r>
          </w:p>
          <w:p w14:paraId="1EDCFFB5">
            <w:pPr>
              <w:keepNext w:val="0"/>
              <w:keepLines w:val="0"/>
              <w:pageBreakBefore w:val="0"/>
              <w:widowControl w:val="0"/>
              <w:kinsoku/>
              <w:wordWrap/>
              <w:overflowPunct/>
              <w:topLinePunct w:val="0"/>
              <w:autoSpaceDE/>
              <w:autoSpaceDN/>
              <w:bidi w:val="0"/>
              <w:adjustRightInd/>
              <w:snapToGrid/>
              <w:spacing w:line="360" w:lineRule="auto"/>
              <w:ind w:left="0" w:leftChars="0" w:right="0" w:firstLine="0" w:firstLineChars="0"/>
              <w:jc w:val="both"/>
              <w:textAlignment w:val="auto"/>
              <w:rPr>
                <w:rFonts w:hint="eastAsia" w:ascii="Times New Roman" w:hAnsi="Times New Roman" w:eastAsia="宋体" w:cs="Times New Roman"/>
                <w:spacing w:val="0"/>
                <w:sz w:val="24"/>
                <w:szCs w:val="24"/>
                <w:lang w:val="en-US" w:eastAsia="zh-CN"/>
              </w:rPr>
            </w:pPr>
          </w:p>
        </w:tc>
      </w:tr>
      <w:tr w14:paraId="5A77E4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022" w:type="dxa"/>
            <w:tcMar>
              <w:top w:w="16" w:type="dxa"/>
              <w:left w:w="16" w:type="dxa"/>
              <w:right w:w="16" w:type="dxa"/>
            </w:tcMar>
            <w:vAlign w:val="center"/>
          </w:tcPr>
          <w:p w14:paraId="79FA25BC">
            <w:pPr>
              <w:pStyle w:val="34"/>
              <w:bidi w:val="0"/>
              <w:rPr>
                <w:rFonts w:hint="default" w:ascii="Times New Roman" w:hAnsi="Times New Roman" w:cs="Times New Roman"/>
                <w:color w:val="auto"/>
                <w:kern w:val="0"/>
              </w:rPr>
            </w:pPr>
            <w:bookmarkStart w:id="12" w:name="_Hlk56690880"/>
            <w:r>
              <w:rPr>
                <w:rFonts w:hint="default"/>
                <w:color w:val="auto"/>
                <w:sz w:val="24"/>
                <w:szCs w:val="24"/>
              </w:rPr>
              <w:t>其他符合性分析</w:t>
            </w:r>
            <w:bookmarkEnd w:id="12"/>
          </w:p>
        </w:tc>
        <w:tc>
          <w:tcPr>
            <w:tcW w:w="7508" w:type="dxa"/>
            <w:gridSpan w:val="3"/>
            <w:tcMar>
              <w:top w:w="16" w:type="dxa"/>
              <w:left w:w="16" w:type="dxa"/>
              <w:right w:w="16" w:type="dxa"/>
            </w:tcMar>
            <w:vAlign w:val="center"/>
          </w:tcPr>
          <w:p w14:paraId="65C94C04">
            <w:pPr>
              <w:pStyle w:val="36"/>
              <w:bidi w:val="0"/>
              <w:rPr>
                <w:b/>
                <w:bCs/>
                <w:color w:val="auto"/>
              </w:rPr>
            </w:pPr>
            <w:r>
              <w:rPr>
                <w:rFonts w:hint="eastAsia"/>
                <w:b/>
                <w:bCs/>
                <w:color w:val="auto"/>
                <w:lang w:val="en-US" w:eastAsia="zh-CN"/>
              </w:rPr>
              <w:t>1、</w:t>
            </w:r>
            <w:r>
              <w:rPr>
                <w:b/>
                <w:bCs/>
                <w:color w:val="auto"/>
              </w:rPr>
              <w:t>项目与国家产业政策的符合性分析</w:t>
            </w:r>
          </w:p>
          <w:p w14:paraId="2865C97E">
            <w:pPr>
              <w:pStyle w:val="36"/>
              <w:bidi w:val="0"/>
              <w:rPr>
                <w:color w:val="auto"/>
              </w:rPr>
            </w:pPr>
            <w:r>
              <w:rPr>
                <w:color w:val="auto"/>
              </w:rPr>
              <w:t>本项目属于《产业结构调整指导目录（</w:t>
            </w:r>
            <w:r>
              <w:rPr>
                <w:rFonts w:hint="eastAsia"/>
                <w:color w:val="auto"/>
                <w:lang w:val="en-US" w:eastAsia="zh-CN"/>
              </w:rPr>
              <w:t>2024</w:t>
            </w:r>
            <w:r>
              <w:rPr>
                <w:color w:val="auto"/>
              </w:rPr>
              <w:t>年本）</w:t>
            </w:r>
            <w:r>
              <w:rPr>
                <w:rFonts w:hint="eastAsia"/>
                <w:color w:val="auto"/>
                <w:lang w:eastAsia="zh-CN"/>
              </w:rPr>
              <w:t>》</w:t>
            </w:r>
            <w:r>
              <w:rPr>
                <w:color w:val="auto"/>
              </w:rPr>
              <w:t>鼓励类：第二大类：水利中第</w:t>
            </w:r>
            <w:r>
              <w:rPr>
                <w:rFonts w:hint="eastAsia"/>
                <w:color w:val="auto"/>
                <w:lang w:eastAsia="zh-CN"/>
              </w:rPr>
              <w:t>三</w:t>
            </w:r>
            <w:r>
              <w:rPr>
                <w:color w:val="auto"/>
              </w:rPr>
              <w:t>条</w:t>
            </w:r>
            <w:r>
              <w:rPr>
                <w:rFonts w:hint="eastAsia"/>
                <w:color w:val="auto"/>
                <w:lang w:eastAsia="zh-CN"/>
              </w:rPr>
              <w:t>防洪提升工程中的</w:t>
            </w:r>
            <w:r>
              <w:rPr>
                <w:color w:val="auto"/>
              </w:rPr>
              <w:t>江河湖海堤防建设及河道治理工程。</w:t>
            </w:r>
          </w:p>
          <w:p w14:paraId="3AA957C1">
            <w:pPr>
              <w:pStyle w:val="36"/>
              <w:bidi w:val="0"/>
              <w:rPr>
                <w:rFonts w:hint="eastAsia"/>
                <w:color w:val="auto"/>
                <w:lang w:eastAsia="zh-CN"/>
              </w:rPr>
            </w:pPr>
            <w:r>
              <w:rPr>
                <w:color w:val="auto"/>
              </w:rPr>
              <w:t>项目已取得</w:t>
            </w:r>
            <w:r>
              <w:rPr>
                <w:rFonts w:hint="eastAsia"/>
                <w:color w:val="auto"/>
                <w:lang w:eastAsia="zh-CN"/>
              </w:rPr>
              <w:t>《</w:t>
            </w:r>
            <w:r>
              <w:rPr>
                <w:rFonts w:hint="eastAsia"/>
                <w:color w:val="auto"/>
              </w:rPr>
              <w:t>德宏州水利局关于准予芒市果朗河大新寨至芒里大桥段治理工程初步设计报告的行政许可决定书</w:t>
            </w:r>
            <w:r>
              <w:rPr>
                <w:rFonts w:hint="eastAsia"/>
                <w:color w:val="auto"/>
                <w:lang w:eastAsia="zh-CN"/>
              </w:rPr>
              <w:t>》（</w:t>
            </w:r>
            <w:r>
              <w:rPr>
                <w:rFonts w:hint="eastAsia"/>
                <w:color w:val="auto"/>
                <w:lang w:val="en-US" w:eastAsia="zh-CN"/>
              </w:rPr>
              <w:t>德水规计许﹝2023﹞16号）</w:t>
            </w:r>
            <w:r>
              <w:rPr>
                <w:rFonts w:hint="eastAsia"/>
                <w:color w:val="auto"/>
                <w:lang w:eastAsia="zh-CN"/>
              </w:rPr>
              <w:t>（</w:t>
            </w:r>
            <w:r>
              <w:rPr>
                <w:rFonts w:hint="eastAsia"/>
                <w:b/>
                <w:bCs/>
                <w:color w:val="auto"/>
                <w:lang w:eastAsia="zh-CN"/>
              </w:rPr>
              <w:t>详见附件</w:t>
            </w:r>
            <w:r>
              <w:rPr>
                <w:rFonts w:hint="eastAsia"/>
                <w:b/>
                <w:bCs/>
                <w:color w:val="auto"/>
                <w:lang w:val="en-US" w:eastAsia="zh-CN"/>
              </w:rPr>
              <w:t>2</w:t>
            </w:r>
            <w:r>
              <w:rPr>
                <w:rFonts w:hint="eastAsia"/>
                <w:color w:val="auto"/>
                <w:lang w:eastAsia="zh-CN"/>
              </w:rPr>
              <w:t>），本项目建设符合国家</w:t>
            </w:r>
            <w:r>
              <w:rPr>
                <w:rFonts w:hint="eastAsia"/>
                <w:color w:val="auto"/>
                <w:lang w:val="en-US" w:eastAsia="zh-CN"/>
              </w:rPr>
              <w:t>和地方</w:t>
            </w:r>
            <w:r>
              <w:rPr>
                <w:rFonts w:hint="eastAsia"/>
                <w:color w:val="auto"/>
                <w:lang w:eastAsia="zh-CN"/>
              </w:rPr>
              <w:t>产业政策要求。</w:t>
            </w:r>
          </w:p>
          <w:p w14:paraId="51AF6227">
            <w:pPr>
              <w:pStyle w:val="36"/>
              <w:bidi w:val="0"/>
              <w:rPr>
                <w:rFonts w:hint="default"/>
                <w:b/>
                <w:bCs/>
                <w:color w:val="auto"/>
              </w:rPr>
            </w:pPr>
            <w:r>
              <w:rPr>
                <w:rFonts w:hint="eastAsia"/>
                <w:b/>
                <w:bCs/>
                <w:color w:val="auto"/>
                <w:lang w:val="en-US" w:eastAsia="zh-CN"/>
              </w:rPr>
              <w:t>2</w:t>
            </w:r>
            <w:r>
              <w:rPr>
                <w:b/>
                <w:bCs/>
                <w:color w:val="auto"/>
              </w:rPr>
              <w:t>、</w:t>
            </w:r>
            <w:r>
              <w:rPr>
                <w:rFonts w:hint="eastAsia"/>
                <w:b/>
                <w:bCs/>
                <w:color w:val="auto"/>
                <w:lang w:eastAsia="zh-CN"/>
              </w:rPr>
              <w:t>项目</w:t>
            </w:r>
            <w:r>
              <w:rPr>
                <w:rFonts w:hint="default"/>
                <w:b/>
                <w:bCs/>
                <w:color w:val="auto"/>
              </w:rPr>
              <w:t>与</w:t>
            </w:r>
            <w:r>
              <w:rPr>
                <w:rFonts w:hint="eastAsia"/>
                <w:b/>
                <w:bCs/>
                <w:color w:val="auto"/>
                <w:lang w:eastAsia="zh-CN"/>
              </w:rPr>
              <w:t>《德宏州人民政府关于印发德宏州“三线一单”生态环境分区管控实施方案的通知》的</w:t>
            </w:r>
            <w:r>
              <w:rPr>
                <w:rFonts w:hint="default"/>
                <w:b/>
                <w:bCs/>
                <w:color w:val="auto"/>
              </w:rPr>
              <w:t>符合性分析</w:t>
            </w:r>
          </w:p>
          <w:p w14:paraId="4C9943F9">
            <w:pPr>
              <w:pStyle w:val="39"/>
              <w:spacing w:line="360" w:lineRule="auto"/>
              <w:ind w:firstLine="482"/>
              <w:rPr>
                <w:rFonts w:hint="default" w:ascii="Times New Roman" w:hAnsi="Times New Roman" w:cs="Times New Roman"/>
                <w:bCs/>
                <w:color w:val="auto"/>
                <w:sz w:val="24"/>
                <w:szCs w:val="24"/>
                <w:highlight w:val="none"/>
              </w:rPr>
            </w:pPr>
            <w:r>
              <w:rPr>
                <w:rFonts w:hint="eastAsia" w:cs="Times New Roman"/>
                <w:bCs/>
                <w:color w:val="auto"/>
                <w:sz w:val="24"/>
                <w:szCs w:val="24"/>
                <w:highlight w:val="none"/>
                <w:lang w:eastAsia="zh-CN"/>
              </w:rPr>
              <w:t>德宏州共划分42个生态环境管控单元，分为优先保护、重点管控和一般管控3类。优先保护单元共15个，包含生态保护红线、一般生态空间和集中式饮用水水源地，主要包括云南铜壁关省级自然保护区、瑞丽江—大盈江国家级风景名胜区、盈江国家湿地公园、南底河国家湿地公园、畹町省级森林公园、章凤国家森林公园、集中式饮用水水源保护区等重点生态功能区域。重点管控单元共22个，包含开发强度高、污染物排放强度大、生态环境问题相对集中的区域，以及大气环境布局敏感区、弱扩散区和矿产资源开发区域。主要分布在大盈江、瑞丽江流域、各类开发区和工业聚集区、城镇规划区及环境质量改善压力较大的区域。一般管控单元共5个，为优先保护、重点管控单元之外的区域。</w:t>
            </w:r>
            <w:r>
              <w:rPr>
                <w:rFonts w:hint="default" w:ascii="Times New Roman" w:hAnsi="Times New Roman" w:cs="Times New Roman"/>
                <w:bCs/>
                <w:color w:val="auto"/>
                <w:sz w:val="24"/>
                <w:szCs w:val="24"/>
                <w:highlight w:val="none"/>
              </w:rPr>
              <w:t>项目与</w:t>
            </w:r>
            <w:r>
              <w:rPr>
                <w:rFonts w:hint="eastAsia" w:cs="Times New Roman"/>
                <w:bCs/>
                <w:color w:val="auto"/>
                <w:sz w:val="24"/>
                <w:szCs w:val="24"/>
                <w:highlight w:val="none"/>
                <w:lang w:eastAsia="zh-CN"/>
              </w:rPr>
              <w:t>《德宏</w:t>
            </w:r>
            <w:r>
              <w:rPr>
                <w:rFonts w:hint="default" w:ascii="Times New Roman" w:hAnsi="Times New Roman" w:cs="Times New Roman"/>
                <w:bCs/>
                <w:color w:val="auto"/>
                <w:sz w:val="24"/>
                <w:szCs w:val="24"/>
                <w:highlight w:val="none"/>
              </w:rPr>
              <w:t>州人民政府关于印发</w:t>
            </w:r>
            <w:r>
              <w:rPr>
                <w:rFonts w:hint="eastAsia" w:cs="Times New Roman"/>
                <w:bCs/>
                <w:color w:val="auto"/>
                <w:sz w:val="24"/>
                <w:szCs w:val="24"/>
                <w:highlight w:val="none"/>
                <w:lang w:eastAsia="zh-CN"/>
              </w:rPr>
              <w:t>德宏</w:t>
            </w:r>
            <w:r>
              <w:rPr>
                <w:rFonts w:hint="default" w:ascii="Times New Roman" w:hAnsi="Times New Roman" w:cs="Times New Roman"/>
                <w:bCs/>
                <w:color w:val="auto"/>
                <w:sz w:val="24"/>
                <w:szCs w:val="24"/>
                <w:highlight w:val="none"/>
              </w:rPr>
              <w:t>州</w:t>
            </w:r>
            <w:r>
              <w:rPr>
                <w:rFonts w:hint="eastAsia" w:cs="Times New Roman"/>
                <w:bCs/>
                <w:color w:val="auto"/>
                <w:sz w:val="24"/>
                <w:szCs w:val="24"/>
                <w:highlight w:val="none"/>
                <w:lang w:eastAsia="zh-CN"/>
              </w:rPr>
              <w:t>“三线一单”</w:t>
            </w:r>
            <w:r>
              <w:rPr>
                <w:rFonts w:hint="default" w:ascii="Times New Roman" w:hAnsi="Times New Roman" w:cs="Times New Roman"/>
                <w:bCs/>
                <w:color w:val="auto"/>
                <w:sz w:val="24"/>
                <w:szCs w:val="24"/>
                <w:highlight w:val="none"/>
              </w:rPr>
              <w:t>生态环境分区管控实施方案的通知</w:t>
            </w:r>
            <w:r>
              <w:rPr>
                <w:rFonts w:hint="eastAsia" w:cs="Times New Roman"/>
                <w:bCs/>
                <w:color w:val="auto"/>
                <w:sz w:val="24"/>
                <w:szCs w:val="24"/>
                <w:highlight w:val="none"/>
                <w:lang w:eastAsia="zh-CN"/>
              </w:rPr>
              <w:t>》</w:t>
            </w:r>
            <w:r>
              <w:rPr>
                <w:rFonts w:hint="default" w:ascii="Times New Roman" w:hAnsi="Times New Roman" w:cs="Times New Roman"/>
                <w:bCs/>
                <w:color w:val="auto"/>
                <w:sz w:val="24"/>
                <w:szCs w:val="24"/>
                <w:highlight w:val="none"/>
              </w:rPr>
              <w:t>符合性分析见下表：</w:t>
            </w:r>
          </w:p>
          <w:p w14:paraId="0C77771C">
            <w:pPr>
              <w:pStyle w:val="39"/>
              <w:spacing w:line="360" w:lineRule="auto"/>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表1-</w:t>
            </w:r>
            <w:r>
              <w:rPr>
                <w:rFonts w:hint="eastAsia" w:cs="Times New Roman"/>
                <w:b/>
                <w:bCs/>
                <w:color w:val="auto"/>
                <w:highlight w:val="none"/>
                <w:lang w:val="en-US" w:eastAsia="zh-CN"/>
              </w:rPr>
              <w:t>2</w:t>
            </w:r>
            <w:r>
              <w:rPr>
                <w:rFonts w:hint="default" w:ascii="Times New Roman" w:hAnsi="Times New Roman" w:cs="Times New Roman"/>
                <w:b/>
                <w:bCs/>
                <w:color w:val="auto"/>
                <w:highlight w:val="none"/>
              </w:rPr>
              <w:t xml:space="preserve"> 项目与</w:t>
            </w:r>
            <w:r>
              <w:rPr>
                <w:rFonts w:hint="eastAsia" w:cs="Times New Roman"/>
                <w:b/>
                <w:bCs/>
                <w:color w:val="auto"/>
                <w:highlight w:val="none"/>
                <w:lang w:eastAsia="zh-CN"/>
              </w:rPr>
              <w:t>德宏</w:t>
            </w:r>
            <w:r>
              <w:rPr>
                <w:rFonts w:hint="default" w:ascii="Times New Roman" w:hAnsi="Times New Roman" w:cs="Times New Roman"/>
                <w:b/>
                <w:bCs/>
                <w:color w:val="auto"/>
                <w:highlight w:val="none"/>
              </w:rPr>
              <w:t>州“三线一单”符合性分析</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2"/>
              <w:gridCol w:w="2769"/>
              <w:gridCol w:w="2665"/>
              <w:gridCol w:w="873"/>
            </w:tblGrid>
            <w:tr w14:paraId="417BD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2" w:type="dxa"/>
                  <w:vAlign w:val="center"/>
                </w:tcPr>
                <w:p w14:paraId="73B83193">
                  <w:pPr>
                    <w:pStyle w:val="34"/>
                    <w:bidi w:val="0"/>
                    <w:rPr>
                      <w:rFonts w:hint="default"/>
                      <w:b/>
                      <w:bCs/>
                      <w:color w:val="auto"/>
                    </w:rPr>
                  </w:pPr>
                  <w:r>
                    <w:rPr>
                      <w:rFonts w:hint="default"/>
                      <w:b/>
                      <w:bCs/>
                      <w:color w:val="auto"/>
                    </w:rPr>
                    <w:t>项目</w:t>
                  </w:r>
                </w:p>
              </w:tc>
              <w:tc>
                <w:tcPr>
                  <w:tcW w:w="2769" w:type="dxa"/>
                  <w:vAlign w:val="center"/>
                </w:tcPr>
                <w:p w14:paraId="6D622461">
                  <w:pPr>
                    <w:pStyle w:val="34"/>
                    <w:bidi w:val="0"/>
                    <w:rPr>
                      <w:rFonts w:hint="eastAsia" w:eastAsia="宋体"/>
                      <w:b/>
                      <w:bCs/>
                      <w:color w:val="auto"/>
                      <w:lang w:val="en-US" w:eastAsia="zh-CN"/>
                    </w:rPr>
                  </w:pPr>
                  <w:r>
                    <w:rPr>
                      <w:rFonts w:hint="default"/>
                      <w:b/>
                      <w:bCs/>
                      <w:color w:val="auto"/>
                    </w:rPr>
                    <w:t>文件要求</w:t>
                  </w:r>
                  <w:r>
                    <w:rPr>
                      <w:rFonts w:hint="eastAsia"/>
                      <w:b/>
                      <w:bCs/>
                      <w:color w:val="auto"/>
                      <w:lang w:val="en-US" w:eastAsia="zh-CN"/>
                    </w:rPr>
                    <w:t xml:space="preserve"> </w:t>
                  </w:r>
                </w:p>
              </w:tc>
              <w:tc>
                <w:tcPr>
                  <w:tcW w:w="2665" w:type="dxa"/>
                  <w:vAlign w:val="center"/>
                </w:tcPr>
                <w:p w14:paraId="23850CA5">
                  <w:pPr>
                    <w:pStyle w:val="34"/>
                    <w:bidi w:val="0"/>
                    <w:rPr>
                      <w:rFonts w:hint="default"/>
                      <w:b/>
                      <w:bCs/>
                      <w:color w:val="auto"/>
                    </w:rPr>
                  </w:pPr>
                  <w:r>
                    <w:rPr>
                      <w:rFonts w:hint="default"/>
                      <w:b/>
                      <w:bCs/>
                      <w:color w:val="auto"/>
                    </w:rPr>
                    <w:t>本项目</w:t>
                  </w:r>
                </w:p>
              </w:tc>
              <w:tc>
                <w:tcPr>
                  <w:tcW w:w="873" w:type="dxa"/>
                  <w:vAlign w:val="center"/>
                </w:tcPr>
                <w:p w14:paraId="519571A7">
                  <w:pPr>
                    <w:pStyle w:val="34"/>
                    <w:bidi w:val="0"/>
                    <w:rPr>
                      <w:rFonts w:hint="default"/>
                      <w:b/>
                      <w:bCs/>
                      <w:color w:val="auto"/>
                    </w:rPr>
                  </w:pPr>
                  <w:r>
                    <w:rPr>
                      <w:rFonts w:hint="default"/>
                      <w:b/>
                      <w:bCs/>
                      <w:color w:val="auto"/>
                    </w:rPr>
                    <w:t>符合性</w:t>
                  </w:r>
                </w:p>
              </w:tc>
            </w:tr>
            <w:tr w14:paraId="58430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2" w:type="dxa"/>
                  <w:vAlign w:val="center"/>
                </w:tcPr>
                <w:p w14:paraId="0730580D">
                  <w:pPr>
                    <w:pStyle w:val="34"/>
                    <w:bidi w:val="0"/>
                    <w:rPr>
                      <w:rFonts w:hint="eastAsia" w:eastAsia="宋体"/>
                      <w:color w:val="auto"/>
                      <w:lang w:eastAsia="zh-CN"/>
                    </w:rPr>
                  </w:pPr>
                  <w:r>
                    <w:rPr>
                      <w:rFonts w:hint="default"/>
                      <w:color w:val="auto"/>
                    </w:rPr>
                    <w:t>生态保护红线</w:t>
                  </w:r>
                  <w:r>
                    <w:rPr>
                      <w:rFonts w:hint="eastAsia"/>
                      <w:color w:val="auto"/>
                      <w:lang w:eastAsia="zh-CN"/>
                    </w:rPr>
                    <w:t>和一般生态空间</w:t>
                  </w:r>
                </w:p>
              </w:tc>
              <w:tc>
                <w:tcPr>
                  <w:tcW w:w="2769" w:type="dxa"/>
                  <w:vAlign w:val="center"/>
                </w:tcPr>
                <w:p w14:paraId="6365DB52">
                  <w:pPr>
                    <w:pStyle w:val="34"/>
                    <w:bidi w:val="0"/>
                    <w:rPr>
                      <w:rFonts w:hint="eastAsia" w:eastAsia="宋体"/>
                      <w:color w:val="auto"/>
                      <w:lang w:eastAsia="zh-CN"/>
                    </w:rPr>
                  </w:pPr>
                  <w:r>
                    <w:rPr>
                      <w:rFonts w:hint="default"/>
                      <w:color w:val="auto"/>
                    </w:rPr>
                    <w:t>生态保护红线执行《云南省人民政府关于发布云南省生态保护红线的通知》（云政发〔2018〕32号）要求，生态保护红线评估调整成果获批后，按照批准成果执行。将未划入生态保护红线的自然保护区、国家公园、森林公园、风景名胜区、湿地公园、重要湿地、集中式饮用水水源地等生态功能重要区域、生态环境敏感区域划入一般生态空间</w:t>
                  </w:r>
                  <w:r>
                    <w:rPr>
                      <w:rFonts w:hint="eastAsia"/>
                      <w:color w:val="auto"/>
                      <w:lang w:eastAsia="zh-CN"/>
                    </w:rPr>
                    <w:t>。</w:t>
                  </w:r>
                </w:p>
              </w:tc>
              <w:tc>
                <w:tcPr>
                  <w:tcW w:w="2665" w:type="dxa"/>
                  <w:vAlign w:val="center"/>
                </w:tcPr>
                <w:p w14:paraId="37F86206">
                  <w:pPr>
                    <w:pStyle w:val="34"/>
                    <w:bidi w:val="0"/>
                    <w:rPr>
                      <w:rFonts w:hint="default"/>
                      <w:color w:val="auto"/>
                    </w:rPr>
                  </w:pPr>
                  <w:r>
                    <w:rPr>
                      <w:rFonts w:hint="default"/>
                      <w:color w:val="auto"/>
                    </w:rPr>
                    <w:t>根据</w:t>
                  </w:r>
                  <w:r>
                    <w:rPr>
                      <w:rFonts w:hint="eastAsia"/>
                      <w:color w:val="auto"/>
                      <w:lang w:val="en-US" w:eastAsia="zh-CN"/>
                    </w:rPr>
                    <w:t>附件3 《云南省水利水电勘测设计研究院关于芒市果朗河大新寨至芒里大桥段治理工程初步设计报告省级合规性审核》中</w:t>
                  </w:r>
                  <w:r>
                    <w:rPr>
                      <w:rFonts w:hint="eastAsia"/>
                      <w:color w:val="auto"/>
                      <w:lang w:eastAsia="zh-CN"/>
                    </w:rPr>
                    <w:t>《</w:t>
                  </w:r>
                  <w:r>
                    <w:rPr>
                      <w:rFonts w:hint="default"/>
                      <w:color w:val="auto"/>
                    </w:rPr>
                    <w:t>果朗河大新寨至芒里大桥段治理工程合规性审核主要指标表</w:t>
                  </w:r>
                  <w:r>
                    <w:rPr>
                      <w:rFonts w:hint="eastAsia"/>
                      <w:color w:val="auto"/>
                      <w:lang w:eastAsia="zh-CN"/>
                    </w:rPr>
                    <w:t>》，</w:t>
                  </w:r>
                  <w:r>
                    <w:rPr>
                      <w:rFonts w:hint="default"/>
                      <w:color w:val="auto"/>
                    </w:rPr>
                    <w:t>项目不涉及生态红线，</w:t>
                  </w:r>
                  <w:r>
                    <w:rPr>
                      <w:rFonts w:hint="eastAsia"/>
                      <w:color w:val="auto"/>
                      <w:lang w:eastAsia="zh-CN"/>
                    </w:rPr>
                    <w:t>永久</w:t>
                  </w:r>
                  <w:r>
                    <w:rPr>
                      <w:rFonts w:hint="default"/>
                      <w:color w:val="auto"/>
                    </w:rPr>
                    <w:t>基本农田。</w:t>
                  </w:r>
                </w:p>
              </w:tc>
              <w:tc>
                <w:tcPr>
                  <w:tcW w:w="873" w:type="dxa"/>
                  <w:vAlign w:val="center"/>
                </w:tcPr>
                <w:p w14:paraId="5B6F5C21">
                  <w:pPr>
                    <w:pStyle w:val="34"/>
                    <w:bidi w:val="0"/>
                    <w:rPr>
                      <w:rFonts w:hint="eastAsia" w:eastAsia="宋体"/>
                      <w:color w:val="auto"/>
                      <w:lang w:eastAsia="zh-CN"/>
                    </w:rPr>
                  </w:pPr>
                  <w:r>
                    <w:rPr>
                      <w:rFonts w:hint="eastAsia"/>
                      <w:color w:val="auto"/>
                      <w:lang w:eastAsia="zh-CN"/>
                    </w:rPr>
                    <w:t>符合</w:t>
                  </w:r>
                </w:p>
              </w:tc>
            </w:tr>
            <w:tr w14:paraId="27AF7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2" w:type="dxa"/>
                  <w:vMerge w:val="restart"/>
                  <w:vAlign w:val="center"/>
                </w:tcPr>
                <w:p w14:paraId="47B823D5">
                  <w:pPr>
                    <w:pStyle w:val="34"/>
                    <w:bidi w:val="0"/>
                    <w:rPr>
                      <w:rFonts w:hint="default"/>
                      <w:color w:val="auto"/>
                    </w:rPr>
                  </w:pPr>
                  <w:r>
                    <w:rPr>
                      <w:rFonts w:hint="default"/>
                      <w:color w:val="auto"/>
                    </w:rPr>
                    <w:t>环境质量底线</w:t>
                  </w:r>
                </w:p>
              </w:tc>
              <w:tc>
                <w:tcPr>
                  <w:tcW w:w="2769" w:type="dxa"/>
                  <w:vAlign w:val="center"/>
                </w:tcPr>
                <w:p w14:paraId="3272947D">
                  <w:pPr>
                    <w:pStyle w:val="34"/>
                    <w:bidi w:val="0"/>
                    <w:rPr>
                      <w:rFonts w:hint="default"/>
                      <w:color w:val="auto"/>
                    </w:rPr>
                  </w:pPr>
                  <w:r>
                    <w:rPr>
                      <w:rFonts w:hint="eastAsia"/>
                      <w:color w:val="auto"/>
                      <w:lang w:val="en-US" w:eastAsia="zh-CN"/>
                    </w:rPr>
                    <w:t>1、</w:t>
                  </w:r>
                  <w:r>
                    <w:rPr>
                      <w:rFonts w:hint="default"/>
                      <w:color w:val="auto"/>
                    </w:rPr>
                    <w:t>水环境质量底线。到2025年，全州水环境质量总体优良， 9个河流地表水断面中优良水体断面（达到或优于Ⅲ类）比例稳定达到100%，“十四五”新增监测断面水质达标率100%，水生生态系统功能进一步提升，县市及以上集中式饮用水水源水质巩固改善。到2035年，全州水环境质量持续优良，水生生态系统全面提升，实现“人水和谐”。</w:t>
                  </w:r>
                </w:p>
              </w:tc>
              <w:tc>
                <w:tcPr>
                  <w:tcW w:w="2665" w:type="dxa"/>
                  <w:vAlign w:val="center"/>
                </w:tcPr>
                <w:p w14:paraId="3729B5D5">
                  <w:pPr>
                    <w:pStyle w:val="34"/>
                    <w:bidi w:val="0"/>
                    <w:spacing w:line="240" w:lineRule="auto"/>
                    <w:rPr>
                      <w:rFonts w:hint="default"/>
                      <w:color w:val="auto"/>
                      <w:lang w:val="en-US" w:eastAsia="zh-CN"/>
                    </w:rPr>
                  </w:pPr>
                  <w:r>
                    <w:rPr>
                      <w:rFonts w:hint="default" w:eastAsia="宋体" w:cs="Times New Roman"/>
                      <w:color w:val="auto"/>
                      <w:spacing w:val="0"/>
                      <w:position w:val="0"/>
                      <w:sz w:val="21"/>
                      <w:szCs w:val="21"/>
                      <w:lang w:val="en-US" w:eastAsia="zh-CN"/>
                    </w:rPr>
                    <w:t>本工程是以防洪为主要任务的建设项目，施工废水处理后回用，对周边水体水环境影响很小，运行期工程本身不排放污染物，工程建设符合水环境质量底线要求。</w:t>
                  </w:r>
                </w:p>
              </w:tc>
              <w:tc>
                <w:tcPr>
                  <w:tcW w:w="873" w:type="dxa"/>
                  <w:vAlign w:val="center"/>
                </w:tcPr>
                <w:p w14:paraId="5B864FC4">
                  <w:pPr>
                    <w:pStyle w:val="34"/>
                    <w:bidi w:val="0"/>
                    <w:rPr>
                      <w:rFonts w:hint="default"/>
                      <w:color w:val="auto"/>
                    </w:rPr>
                  </w:pPr>
                  <w:r>
                    <w:rPr>
                      <w:rFonts w:hint="default"/>
                      <w:color w:val="auto"/>
                    </w:rPr>
                    <w:t>符合</w:t>
                  </w:r>
                </w:p>
              </w:tc>
            </w:tr>
            <w:tr w14:paraId="5EB1F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2" w:type="dxa"/>
                  <w:vMerge w:val="continue"/>
                  <w:vAlign w:val="center"/>
                </w:tcPr>
                <w:p w14:paraId="354DF096">
                  <w:pPr>
                    <w:pStyle w:val="34"/>
                    <w:bidi w:val="0"/>
                    <w:rPr>
                      <w:color w:val="auto"/>
                    </w:rPr>
                  </w:pPr>
                </w:p>
              </w:tc>
              <w:tc>
                <w:tcPr>
                  <w:tcW w:w="2769" w:type="dxa"/>
                  <w:vAlign w:val="center"/>
                </w:tcPr>
                <w:p w14:paraId="2B377783">
                  <w:pPr>
                    <w:pStyle w:val="34"/>
                    <w:bidi w:val="0"/>
                    <w:rPr>
                      <w:rFonts w:hint="default"/>
                      <w:color w:val="auto"/>
                    </w:rPr>
                  </w:pPr>
                  <w:r>
                    <w:rPr>
                      <w:rFonts w:hint="default"/>
                      <w:color w:val="auto"/>
                    </w:rPr>
                    <w:t>2</w:t>
                  </w:r>
                  <w:r>
                    <w:rPr>
                      <w:rFonts w:hint="eastAsia"/>
                      <w:color w:val="auto"/>
                      <w:lang w:eastAsia="zh-CN"/>
                    </w:rPr>
                    <w:t>、</w:t>
                  </w:r>
                  <w:r>
                    <w:rPr>
                      <w:rFonts w:hint="default"/>
                      <w:color w:val="auto"/>
                    </w:rPr>
                    <w:t>大气环境质量底线。到2025年，全州空气质量优良率达到省级要求，中心城市环境空气质量稳定达到国家二级标准。2035年，全州空气质量优良率保持稳定，中心城市、各县市城市环境空气质量稳定达到国家二级标准。</w:t>
                  </w:r>
                </w:p>
              </w:tc>
              <w:tc>
                <w:tcPr>
                  <w:tcW w:w="2665" w:type="dxa"/>
                  <w:vAlign w:val="center"/>
                </w:tcPr>
                <w:p w14:paraId="6AF4E259">
                  <w:pPr>
                    <w:spacing w:line="240" w:lineRule="auto"/>
                    <w:rPr>
                      <w:rFonts w:hint="default"/>
                      <w:color w:val="auto"/>
                    </w:rPr>
                  </w:pPr>
                  <w:r>
                    <w:rPr>
                      <w:rFonts w:hint="default"/>
                      <w:color w:val="auto"/>
                      <w:sz w:val="21"/>
                      <w:szCs w:val="21"/>
                      <w:lang w:val="en-US" w:eastAsia="zh-CN"/>
                    </w:rPr>
                    <w:t>本工程施工期对大气环境的影响主要为土石方开挖产生的扬尘、车辆运输产生的道路扬尘、施工扬尘及机械车辆排放的燃油废气等，对大气环境影响范围较小、时间短，经采取洒水降尘措施、加强管理等措施后影响较小，工程建设符合大气环境质量底线要求。</w:t>
                  </w:r>
                </w:p>
              </w:tc>
              <w:tc>
                <w:tcPr>
                  <w:tcW w:w="873" w:type="dxa"/>
                  <w:vAlign w:val="center"/>
                </w:tcPr>
                <w:p w14:paraId="01ED0BA8">
                  <w:pPr>
                    <w:pStyle w:val="34"/>
                    <w:bidi w:val="0"/>
                    <w:rPr>
                      <w:rFonts w:hint="eastAsia" w:eastAsia="宋体"/>
                      <w:color w:val="auto"/>
                      <w:lang w:eastAsia="zh-CN"/>
                    </w:rPr>
                  </w:pPr>
                  <w:r>
                    <w:rPr>
                      <w:rFonts w:hint="eastAsia"/>
                      <w:color w:val="auto"/>
                      <w:lang w:eastAsia="zh-CN"/>
                    </w:rPr>
                    <w:t>符合</w:t>
                  </w:r>
                </w:p>
              </w:tc>
            </w:tr>
            <w:tr w14:paraId="7C4C0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2" w:type="dxa"/>
                  <w:vMerge w:val="continue"/>
                  <w:vAlign w:val="center"/>
                </w:tcPr>
                <w:p w14:paraId="1AE58323">
                  <w:pPr>
                    <w:pStyle w:val="34"/>
                    <w:bidi w:val="0"/>
                    <w:rPr>
                      <w:rFonts w:hint="default"/>
                      <w:color w:val="auto"/>
                    </w:rPr>
                  </w:pPr>
                </w:p>
              </w:tc>
              <w:tc>
                <w:tcPr>
                  <w:tcW w:w="2769" w:type="dxa"/>
                  <w:vAlign w:val="center"/>
                </w:tcPr>
                <w:p w14:paraId="0E6EDA07">
                  <w:pPr>
                    <w:pStyle w:val="34"/>
                    <w:bidi w:val="0"/>
                    <w:rPr>
                      <w:rFonts w:hint="default"/>
                      <w:color w:val="auto"/>
                    </w:rPr>
                  </w:pPr>
                  <w:r>
                    <w:rPr>
                      <w:rFonts w:hint="default"/>
                      <w:color w:val="auto"/>
                    </w:rPr>
                    <w:t>3</w:t>
                  </w:r>
                  <w:r>
                    <w:rPr>
                      <w:rFonts w:hint="eastAsia"/>
                      <w:color w:val="auto"/>
                      <w:lang w:eastAsia="zh-CN"/>
                    </w:rPr>
                    <w:t>、</w:t>
                  </w:r>
                  <w:r>
                    <w:rPr>
                      <w:rFonts w:hint="default"/>
                      <w:color w:val="auto"/>
                    </w:rPr>
                    <w:t>土壤环境风险防控底线。到2025年，全州土壤环境质量保持优异，土壤环境风险管控水平不断提升，受污染耕地安全利用率达到85%以上，受污染建设用地地块安全利用率达到95%以上。2035年，全州土壤环境风险防范体系全面建立，农用地和建设用地土壤环境安全得到有效保障，土壤环境风险得到全面管控。</w:t>
                  </w:r>
                </w:p>
              </w:tc>
              <w:tc>
                <w:tcPr>
                  <w:tcW w:w="2665" w:type="dxa"/>
                  <w:vAlign w:val="center"/>
                </w:tcPr>
                <w:p w14:paraId="6E34F61B">
                  <w:pPr>
                    <w:pStyle w:val="34"/>
                    <w:bidi w:val="0"/>
                    <w:rPr>
                      <w:rFonts w:hint="default"/>
                      <w:color w:val="auto"/>
                    </w:rPr>
                  </w:pPr>
                  <w:r>
                    <w:rPr>
                      <w:rFonts w:hint="default"/>
                      <w:color w:val="auto"/>
                      <w:sz w:val="21"/>
                      <w:szCs w:val="21"/>
                      <w:lang w:val="en-US" w:eastAsia="zh-CN"/>
                    </w:rPr>
                    <w:t>项目在落实环评提出的各项污染防治措施的情况下，</w:t>
                  </w:r>
                  <w:r>
                    <w:rPr>
                      <w:rFonts w:hint="eastAsia"/>
                      <w:color w:val="auto"/>
                      <w:sz w:val="21"/>
                      <w:szCs w:val="21"/>
                      <w:lang w:val="en-US" w:eastAsia="zh-CN"/>
                    </w:rPr>
                    <w:t>施工过程中对施工人员严格要求，对施工材料的堆放严格按场地设置堆放，减少对周边土地的占用，施工期结束后对临时占地进行恢复，施工期的影响较小且随施工结束消失，符合土壤环境风险防控底线。</w:t>
                  </w:r>
                </w:p>
              </w:tc>
              <w:tc>
                <w:tcPr>
                  <w:tcW w:w="873" w:type="dxa"/>
                  <w:vAlign w:val="center"/>
                </w:tcPr>
                <w:p w14:paraId="5E40C796">
                  <w:pPr>
                    <w:pStyle w:val="34"/>
                    <w:bidi w:val="0"/>
                    <w:rPr>
                      <w:rFonts w:hint="eastAsia" w:eastAsia="宋体"/>
                      <w:color w:val="auto"/>
                      <w:lang w:eastAsia="zh-CN"/>
                    </w:rPr>
                  </w:pPr>
                  <w:r>
                    <w:rPr>
                      <w:rFonts w:hint="eastAsia"/>
                      <w:color w:val="auto"/>
                      <w:lang w:eastAsia="zh-CN"/>
                    </w:rPr>
                    <w:t>符合</w:t>
                  </w:r>
                </w:p>
              </w:tc>
            </w:tr>
            <w:tr w14:paraId="644D8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32" w:type="dxa"/>
                  <w:vAlign w:val="center"/>
                </w:tcPr>
                <w:p w14:paraId="307CD66F">
                  <w:pPr>
                    <w:pStyle w:val="34"/>
                    <w:bidi w:val="0"/>
                    <w:rPr>
                      <w:rFonts w:hint="default"/>
                      <w:color w:val="auto"/>
                    </w:rPr>
                  </w:pPr>
                  <w:r>
                    <w:rPr>
                      <w:rFonts w:hint="default"/>
                      <w:color w:val="auto"/>
                    </w:rPr>
                    <w:t>资源利用上线</w:t>
                  </w:r>
                </w:p>
              </w:tc>
              <w:tc>
                <w:tcPr>
                  <w:tcW w:w="2769" w:type="dxa"/>
                  <w:vAlign w:val="center"/>
                </w:tcPr>
                <w:p w14:paraId="12D0147F">
                  <w:pPr>
                    <w:pStyle w:val="34"/>
                    <w:bidi w:val="0"/>
                    <w:rPr>
                      <w:rFonts w:hint="default"/>
                      <w:color w:val="auto"/>
                    </w:rPr>
                  </w:pPr>
                  <w:r>
                    <w:rPr>
                      <w:rFonts w:hint="default"/>
                      <w:color w:val="auto"/>
                    </w:rPr>
                    <w:t>强化节约集约利用，持续提升资源能源利用效率，水资源、土地资源、能源消耗等达到云南省下达的总量和强度控制目标。</w:t>
                  </w:r>
                </w:p>
              </w:tc>
              <w:tc>
                <w:tcPr>
                  <w:tcW w:w="2665" w:type="dxa"/>
                  <w:vAlign w:val="center"/>
                </w:tcPr>
                <w:p w14:paraId="3EDD2745">
                  <w:pPr>
                    <w:pStyle w:val="34"/>
                    <w:bidi w:val="0"/>
                    <w:rPr>
                      <w:rFonts w:hint="eastAsia" w:eastAsia="宋体"/>
                      <w:color w:val="auto"/>
                      <w:lang w:eastAsia="zh-CN"/>
                    </w:rPr>
                  </w:pPr>
                  <w:r>
                    <w:rPr>
                      <w:rFonts w:hint="default" w:eastAsia="宋体" w:cs="Times New Roman"/>
                      <w:color w:val="auto"/>
                      <w:spacing w:val="0"/>
                      <w:position w:val="0"/>
                      <w:lang w:val="en-US" w:eastAsia="zh-CN"/>
                    </w:rPr>
                    <w:t>本项目为河道治理工程，属环境友好型建设项目，河道治理目的以保护沿河村庄和两岸农田为主。本工程通过对河道新建护岸与现有堤防相结合，形成完整的防洪体系，综合选定防洪标准为10年一遇。通过对果朗河的治理可改善本身及周围地区的环境，对维护地方社会的稳定和经济发展具有积极的推动作用。因此项目建设符合区域资源利用上线要求。</w:t>
                  </w:r>
                </w:p>
              </w:tc>
              <w:tc>
                <w:tcPr>
                  <w:tcW w:w="873" w:type="dxa"/>
                  <w:vAlign w:val="center"/>
                </w:tcPr>
                <w:p w14:paraId="7AE71852">
                  <w:pPr>
                    <w:pStyle w:val="34"/>
                    <w:bidi w:val="0"/>
                    <w:rPr>
                      <w:rFonts w:hint="default"/>
                      <w:color w:val="auto"/>
                    </w:rPr>
                  </w:pPr>
                  <w:r>
                    <w:rPr>
                      <w:rFonts w:hint="default"/>
                      <w:color w:val="auto"/>
                    </w:rPr>
                    <w:t>符合</w:t>
                  </w:r>
                </w:p>
              </w:tc>
            </w:tr>
          </w:tbl>
          <w:p w14:paraId="72BA398C">
            <w:pPr>
              <w:autoSpaceDE w:val="0"/>
              <w:autoSpaceDN w:val="0"/>
              <w:adjustRightInd w:val="0"/>
              <w:snapToGrid w:val="0"/>
              <w:spacing w:line="360" w:lineRule="auto"/>
              <w:ind w:firstLine="482" w:firstLineChars="200"/>
              <w:jc w:val="left"/>
              <w:rPr>
                <w:rFonts w:ascii="Times New Roman" w:hAnsi="Times New Roman"/>
                <w:b/>
                <w:bCs/>
                <w:color w:val="auto"/>
                <w:sz w:val="24"/>
                <w:szCs w:val="24"/>
              </w:rPr>
            </w:pPr>
            <w:r>
              <w:rPr>
                <w:rFonts w:hint="eastAsia"/>
                <w:b/>
                <w:bCs/>
                <w:color w:val="auto"/>
                <w:lang w:val="en-US" w:eastAsia="zh-CN"/>
              </w:rPr>
              <w:t>3、</w:t>
            </w:r>
            <w:r>
              <w:rPr>
                <w:rFonts w:ascii="Times New Roman" w:hAnsi="Times New Roman"/>
                <w:b/>
                <w:bCs/>
                <w:color w:val="auto"/>
                <w:sz w:val="24"/>
                <w:szCs w:val="24"/>
              </w:rPr>
              <w:t>项目与《</w:t>
            </w:r>
            <w:r>
              <w:rPr>
                <w:rFonts w:hint="eastAsia"/>
                <w:b/>
                <w:bCs/>
                <w:color w:val="auto"/>
                <w:sz w:val="24"/>
                <w:szCs w:val="24"/>
                <w:lang w:eastAsia="zh-CN"/>
              </w:rPr>
              <w:t>德宏</w:t>
            </w:r>
            <w:r>
              <w:rPr>
                <w:rFonts w:ascii="Times New Roman" w:hAnsi="Times New Roman"/>
                <w:b/>
                <w:bCs/>
                <w:color w:val="auto"/>
                <w:sz w:val="24"/>
                <w:szCs w:val="24"/>
              </w:rPr>
              <w:t>州</w:t>
            </w:r>
            <w:r>
              <w:rPr>
                <w:rFonts w:hint="eastAsia"/>
                <w:b/>
                <w:bCs/>
                <w:color w:val="auto"/>
                <w:sz w:val="24"/>
                <w:szCs w:val="24"/>
                <w:lang w:eastAsia="zh-CN"/>
              </w:rPr>
              <w:t>“三线一单”</w:t>
            </w:r>
            <w:r>
              <w:rPr>
                <w:rFonts w:ascii="Times New Roman" w:hAnsi="Times New Roman"/>
                <w:b/>
                <w:bCs/>
                <w:color w:val="auto"/>
                <w:sz w:val="24"/>
                <w:szCs w:val="24"/>
              </w:rPr>
              <w:t>生态环境分区管控实施方案》符合性分析详见下表。</w:t>
            </w:r>
          </w:p>
          <w:p w14:paraId="7077F578">
            <w:pPr>
              <w:autoSpaceDE w:val="0"/>
              <w:autoSpaceDN w:val="0"/>
              <w:adjustRightInd w:val="0"/>
              <w:snapToGrid w:val="0"/>
              <w:spacing w:line="360" w:lineRule="auto"/>
              <w:ind w:firstLine="482" w:firstLineChars="200"/>
              <w:jc w:val="center"/>
              <w:rPr>
                <w:rFonts w:ascii="Times New Roman" w:hAnsi="Times New Roman"/>
                <w:b/>
                <w:bCs/>
                <w:color w:val="auto"/>
              </w:rPr>
            </w:pPr>
            <w:r>
              <w:rPr>
                <w:rFonts w:ascii="Times New Roman" w:hAnsi="Times New Roman"/>
                <w:b/>
                <w:bCs/>
                <w:color w:val="auto"/>
              </w:rPr>
              <w:t>表</w:t>
            </w:r>
            <w:r>
              <w:rPr>
                <w:rFonts w:hint="default" w:ascii="Times New Roman" w:hAnsi="Times New Roman" w:cs="Times New Roman"/>
                <w:b/>
                <w:bCs/>
                <w:color w:val="auto"/>
              </w:rPr>
              <w:t>1-</w:t>
            </w:r>
            <w:r>
              <w:rPr>
                <w:rFonts w:hint="eastAsia" w:cs="Times New Roman"/>
                <w:b/>
                <w:bCs/>
                <w:color w:val="auto"/>
                <w:lang w:val="en-US" w:eastAsia="zh-CN"/>
              </w:rPr>
              <w:t>3</w:t>
            </w:r>
            <w:r>
              <w:rPr>
                <w:rFonts w:hint="eastAsia" w:ascii="Times New Roman" w:hAnsi="Times New Roman" w:cs="Times New Roman"/>
                <w:b/>
                <w:bCs/>
                <w:color w:val="auto"/>
                <w:lang w:val="en-US" w:eastAsia="zh-CN"/>
              </w:rPr>
              <w:t xml:space="preserve"> </w:t>
            </w:r>
            <w:r>
              <w:rPr>
                <w:rFonts w:ascii="Times New Roman" w:hAnsi="Times New Roman"/>
                <w:b/>
                <w:bCs/>
                <w:color w:val="auto"/>
              </w:rPr>
              <w:t>与《</w:t>
            </w:r>
            <w:r>
              <w:rPr>
                <w:rFonts w:hint="eastAsia"/>
                <w:b/>
                <w:bCs/>
                <w:color w:val="auto"/>
                <w:lang w:eastAsia="zh-CN"/>
              </w:rPr>
              <w:t>德宏</w:t>
            </w:r>
            <w:r>
              <w:rPr>
                <w:rFonts w:ascii="Times New Roman" w:hAnsi="Times New Roman"/>
                <w:b/>
                <w:bCs/>
                <w:color w:val="auto"/>
              </w:rPr>
              <w:t>州“三线一单”生态环境分区管控实施方案》的符合性分析</w:t>
            </w:r>
          </w:p>
          <w:tbl>
            <w:tblPr>
              <w:tblStyle w:val="23"/>
              <w:tblW w:w="73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8"/>
              <w:gridCol w:w="470"/>
              <w:gridCol w:w="3109"/>
              <w:gridCol w:w="2638"/>
              <w:gridCol w:w="713"/>
            </w:tblGrid>
            <w:tr w14:paraId="36061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blHeader/>
                <w:jc w:val="center"/>
              </w:trPr>
              <w:tc>
                <w:tcPr>
                  <w:tcW w:w="938" w:type="dxa"/>
                  <w:gridSpan w:val="2"/>
                  <w:tcBorders>
                    <w:tl2br w:val="nil"/>
                    <w:tr2bl w:val="nil"/>
                  </w:tcBorders>
                  <w:vAlign w:val="center"/>
                </w:tcPr>
                <w:p w14:paraId="63E53F60">
                  <w:pPr>
                    <w:pStyle w:val="34"/>
                    <w:bidi w:val="0"/>
                    <w:rPr>
                      <w:rFonts w:hint="default"/>
                      <w:b/>
                      <w:bCs/>
                      <w:color w:val="auto"/>
                    </w:rPr>
                  </w:pPr>
                  <w:r>
                    <w:rPr>
                      <w:rFonts w:hint="default"/>
                      <w:b/>
                      <w:bCs/>
                      <w:color w:val="auto"/>
                    </w:rPr>
                    <w:t>类别</w:t>
                  </w:r>
                </w:p>
              </w:tc>
              <w:tc>
                <w:tcPr>
                  <w:tcW w:w="3109" w:type="dxa"/>
                  <w:tcBorders>
                    <w:tl2br w:val="nil"/>
                    <w:tr2bl w:val="nil"/>
                  </w:tcBorders>
                  <w:vAlign w:val="center"/>
                </w:tcPr>
                <w:p w14:paraId="2AD47DD0">
                  <w:pPr>
                    <w:pStyle w:val="34"/>
                    <w:bidi w:val="0"/>
                    <w:rPr>
                      <w:rFonts w:hint="default"/>
                      <w:b/>
                      <w:bCs/>
                      <w:color w:val="auto"/>
                    </w:rPr>
                  </w:pPr>
                  <w:r>
                    <w:rPr>
                      <w:rFonts w:hint="eastAsia"/>
                      <w:b/>
                      <w:bCs/>
                      <w:color w:val="auto"/>
                      <w:lang w:eastAsia="zh-CN"/>
                    </w:rPr>
                    <w:t>“三线一单”</w:t>
                  </w:r>
                  <w:r>
                    <w:rPr>
                      <w:rFonts w:hint="default"/>
                      <w:b/>
                      <w:bCs/>
                      <w:color w:val="auto"/>
                    </w:rPr>
                    <w:t>要求</w:t>
                  </w:r>
                </w:p>
              </w:tc>
              <w:tc>
                <w:tcPr>
                  <w:tcW w:w="2638" w:type="dxa"/>
                  <w:tcBorders>
                    <w:tl2br w:val="nil"/>
                    <w:tr2bl w:val="nil"/>
                  </w:tcBorders>
                  <w:vAlign w:val="center"/>
                </w:tcPr>
                <w:p w14:paraId="3BAEB2F6">
                  <w:pPr>
                    <w:pStyle w:val="34"/>
                    <w:bidi w:val="0"/>
                    <w:rPr>
                      <w:rFonts w:hint="default"/>
                      <w:b/>
                      <w:bCs/>
                      <w:color w:val="auto"/>
                    </w:rPr>
                  </w:pPr>
                  <w:r>
                    <w:rPr>
                      <w:rFonts w:hint="default"/>
                      <w:b/>
                      <w:bCs/>
                      <w:color w:val="auto"/>
                    </w:rPr>
                    <w:t>项目情况</w:t>
                  </w:r>
                </w:p>
              </w:tc>
              <w:tc>
                <w:tcPr>
                  <w:tcW w:w="713" w:type="dxa"/>
                  <w:tcBorders>
                    <w:tl2br w:val="nil"/>
                    <w:tr2bl w:val="nil"/>
                  </w:tcBorders>
                  <w:vAlign w:val="center"/>
                </w:tcPr>
                <w:p w14:paraId="0AE3E12E">
                  <w:pPr>
                    <w:pStyle w:val="34"/>
                    <w:bidi w:val="0"/>
                    <w:rPr>
                      <w:rFonts w:hint="default"/>
                      <w:b/>
                      <w:bCs/>
                      <w:color w:val="auto"/>
                    </w:rPr>
                  </w:pPr>
                  <w:r>
                    <w:rPr>
                      <w:rFonts w:hint="default"/>
                      <w:b/>
                      <w:bCs/>
                      <w:color w:val="auto"/>
                    </w:rPr>
                    <w:t>符合性</w:t>
                  </w:r>
                </w:p>
              </w:tc>
            </w:tr>
            <w:tr w14:paraId="43840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blHeader/>
                <w:jc w:val="center"/>
              </w:trPr>
              <w:tc>
                <w:tcPr>
                  <w:tcW w:w="7398" w:type="dxa"/>
                  <w:gridSpan w:val="5"/>
                  <w:tcBorders>
                    <w:tl2br w:val="nil"/>
                    <w:tr2bl w:val="nil"/>
                  </w:tcBorders>
                  <w:vAlign w:val="center"/>
                </w:tcPr>
                <w:p w14:paraId="44937F7A">
                  <w:pPr>
                    <w:pStyle w:val="34"/>
                    <w:bidi w:val="0"/>
                    <w:rPr>
                      <w:rFonts w:hint="default"/>
                      <w:b/>
                      <w:bCs/>
                      <w:color w:val="auto"/>
                    </w:rPr>
                  </w:pPr>
                  <w:r>
                    <w:rPr>
                      <w:rFonts w:hint="eastAsia"/>
                      <w:b/>
                      <w:bCs/>
                      <w:color w:val="auto"/>
                      <w:lang w:eastAsia="zh-CN"/>
                    </w:rPr>
                    <w:t>德宏</w:t>
                  </w:r>
                  <w:r>
                    <w:rPr>
                      <w:rFonts w:hint="default"/>
                      <w:b/>
                      <w:bCs/>
                      <w:color w:val="auto"/>
                    </w:rPr>
                    <w:t>州生态环境总体管控要求相符性</w:t>
                  </w:r>
                </w:p>
              </w:tc>
            </w:tr>
            <w:tr w14:paraId="0257D7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5" w:hRule="atLeast"/>
                <w:jc w:val="center"/>
              </w:trPr>
              <w:tc>
                <w:tcPr>
                  <w:tcW w:w="468" w:type="dxa"/>
                  <w:vMerge w:val="restart"/>
                  <w:tcBorders>
                    <w:tl2br w:val="nil"/>
                    <w:tr2bl w:val="nil"/>
                  </w:tcBorders>
                  <w:vAlign w:val="center"/>
                </w:tcPr>
                <w:p w14:paraId="56669DEE">
                  <w:pPr>
                    <w:pStyle w:val="34"/>
                    <w:bidi w:val="0"/>
                    <w:rPr>
                      <w:rFonts w:hint="default"/>
                      <w:color w:val="auto"/>
                    </w:rPr>
                  </w:pPr>
                  <w:r>
                    <w:rPr>
                      <w:rFonts w:hint="default"/>
                      <w:color w:val="auto"/>
                    </w:rPr>
                    <w:t>总体管控要求</w:t>
                  </w:r>
                </w:p>
              </w:tc>
              <w:tc>
                <w:tcPr>
                  <w:tcW w:w="470" w:type="dxa"/>
                  <w:vMerge w:val="restart"/>
                  <w:tcBorders>
                    <w:tl2br w:val="nil"/>
                    <w:tr2bl w:val="nil"/>
                  </w:tcBorders>
                  <w:vAlign w:val="center"/>
                </w:tcPr>
                <w:p w14:paraId="2FB474B5">
                  <w:pPr>
                    <w:pStyle w:val="34"/>
                    <w:bidi w:val="0"/>
                    <w:rPr>
                      <w:rFonts w:hint="default"/>
                      <w:color w:val="auto"/>
                    </w:rPr>
                  </w:pPr>
                  <w:r>
                    <w:rPr>
                      <w:rFonts w:hint="default"/>
                      <w:color w:val="auto"/>
                    </w:rPr>
                    <w:t>空间布局约束</w:t>
                  </w:r>
                </w:p>
              </w:tc>
              <w:tc>
                <w:tcPr>
                  <w:tcW w:w="3109" w:type="dxa"/>
                  <w:tcBorders>
                    <w:tl2br w:val="nil"/>
                    <w:tr2bl w:val="nil"/>
                  </w:tcBorders>
                  <w:vAlign w:val="center"/>
                </w:tcPr>
                <w:p w14:paraId="02441A2E">
                  <w:pPr>
                    <w:pStyle w:val="34"/>
                    <w:bidi w:val="0"/>
                    <w:rPr>
                      <w:rFonts w:hint="default"/>
                      <w:color w:val="auto"/>
                    </w:rPr>
                  </w:pPr>
                  <w:r>
                    <w:rPr>
                      <w:rFonts w:hint="default"/>
                      <w:color w:val="auto"/>
                    </w:rPr>
                    <w:t>1、资源承载能力、生态环境容量作为承接产业转移的基础和前提，合理确定承接产业转移重点，禁止引进环境污染大、资源消耗高、技术落后的生产工艺及设备。严禁以任何名义、任何方式核准或备案产能严重过剩行业的增加产能项目。</w:t>
                  </w:r>
                </w:p>
              </w:tc>
              <w:tc>
                <w:tcPr>
                  <w:tcW w:w="2638" w:type="dxa"/>
                  <w:tcBorders>
                    <w:tl2br w:val="nil"/>
                    <w:tr2bl w:val="nil"/>
                  </w:tcBorders>
                  <w:vAlign w:val="center"/>
                </w:tcPr>
                <w:p w14:paraId="469DC951">
                  <w:pPr>
                    <w:pStyle w:val="34"/>
                    <w:bidi w:val="0"/>
                    <w:rPr>
                      <w:rFonts w:hint="default"/>
                      <w:color w:val="auto"/>
                    </w:rPr>
                  </w:pPr>
                  <w:r>
                    <w:rPr>
                      <w:rFonts w:hint="default"/>
                      <w:color w:val="auto"/>
                    </w:rPr>
                    <w:t>根据附件</w:t>
                  </w:r>
                  <w:r>
                    <w:rPr>
                      <w:rFonts w:hint="eastAsia"/>
                      <w:color w:val="auto"/>
                      <w:lang w:val="en-US" w:eastAsia="zh-CN"/>
                    </w:rPr>
                    <w:t>3</w:t>
                  </w:r>
                  <w:r>
                    <w:rPr>
                      <w:rFonts w:hint="default"/>
                      <w:color w:val="auto"/>
                    </w:rPr>
                    <w:t>《云南省水利水电勘测设计研究院关于芒市果朗河大新寨至芒里大桥段治理工程初步设计报告省级合规性审核》中《果朗河大新寨至芒里大桥段治理工程合规性审核主要指标表》，项目不涉及生态红线，永久基本农田。</w:t>
                  </w:r>
                </w:p>
              </w:tc>
              <w:tc>
                <w:tcPr>
                  <w:tcW w:w="713" w:type="dxa"/>
                  <w:tcBorders>
                    <w:tl2br w:val="nil"/>
                    <w:tr2bl w:val="nil"/>
                  </w:tcBorders>
                  <w:vAlign w:val="center"/>
                </w:tcPr>
                <w:p w14:paraId="52B914A1">
                  <w:pPr>
                    <w:pStyle w:val="34"/>
                    <w:bidi w:val="0"/>
                    <w:rPr>
                      <w:rFonts w:hint="default"/>
                      <w:color w:val="auto"/>
                    </w:rPr>
                  </w:pPr>
                  <w:r>
                    <w:rPr>
                      <w:rFonts w:hint="default"/>
                      <w:color w:val="auto"/>
                    </w:rPr>
                    <w:t>符合</w:t>
                  </w:r>
                </w:p>
              </w:tc>
            </w:tr>
            <w:tr w14:paraId="6FAFB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8" w:hRule="atLeast"/>
                <w:jc w:val="center"/>
              </w:trPr>
              <w:tc>
                <w:tcPr>
                  <w:tcW w:w="468" w:type="dxa"/>
                  <w:vMerge w:val="continue"/>
                  <w:tcBorders>
                    <w:tl2br w:val="nil"/>
                    <w:tr2bl w:val="nil"/>
                  </w:tcBorders>
                  <w:vAlign w:val="center"/>
                </w:tcPr>
                <w:p w14:paraId="1F9A7AEB">
                  <w:pPr>
                    <w:pStyle w:val="34"/>
                    <w:bidi w:val="0"/>
                    <w:rPr>
                      <w:rFonts w:hint="default"/>
                      <w:color w:val="auto"/>
                    </w:rPr>
                  </w:pPr>
                </w:p>
              </w:tc>
              <w:tc>
                <w:tcPr>
                  <w:tcW w:w="470" w:type="dxa"/>
                  <w:vMerge w:val="continue"/>
                  <w:tcBorders>
                    <w:tl2br w:val="nil"/>
                    <w:tr2bl w:val="nil"/>
                  </w:tcBorders>
                  <w:vAlign w:val="center"/>
                </w:tcPr>
                <w:p w14:paraId="19C1A281">
                  <w:pPr>
                    <w:pStyle w:val="34"/>
                    <w:bidi w:val="0"/>
                    <w:rPr>
                      <w:rFonts w:hint="default"/>
                      <w:color w:val="auto"/>
                    </w:rPr>
                  </w:pPr>
                </w:p>
              </w:tc>
              <w:tc>
                <w:tcPr>
                  <w:tcW w:w="3109" w:type="dxa"/>
                  <w:tcBorders>
                    <w:tl2br w:val="nil"/>
                    <w:tr2bl w:val="nil"/>
                  </w:tcBorders>
                  <w:vAlign w:val="center"/>
                </w:tcPr>
                <w:p w14:paraId="6FA63760">
                  <w:pPr>
                    <w:pStyle w:val="34"/>
                    <w:bidi w:val="0"/>
                    <w:rPr>
                      <w:rFonts w:hint="default"/>
                      <w:color w:val="auto"/>
                    </w:rPr>
                  </w:pPr>
                  <w:r>
                    <w:rPr>
                      <w:rFonts w:hint="default"/>
                      <w:color w:val="auto"/>
                    </w:rPr>
                    <w:t>2、严禁新增工业硅产能，2017年12月1日后立项备案的新（改、扩）建工业硅项目，一律实施产能减量置换，置换过程中的产能（吨）数量，按照“变压器容量（千伏安）×0.9×6480/12000”标准进行计算。</w:t>
                  </w:r>
                </w:p>
              </w:tc>
              <w:tc>
                <w:tcPr>
                  <w:tcW w:w="2638" w:type="dxa"/>
                  <w:tcBorders>
                    <w:tl2br w:val="nil"/>
                    <w:tr2bl w:val="nil"/>
                  </w:tcBorders>
                  <w:vAlign w:val="center"/>
                </w:tcPr>
                <w:p w14:paraId="322A7B15">
                  <w:pPr>
                    <w:pStyle w:val="34"/>
                    <w:bidi w:val="0"/>
                    <w:rPr>
                      <w:rFonts w:hint="eastAsia" w:eastAsia="宋体"/>
                      <w:color w:val="auto"/>
                      <w:lang w:eastAsia="zh-CN"/>
                    </w:rPr>
                  </w:pPr>
                  <w:r>
                    <w:rPr>
                      <w:rFonts w:hint="eastAsia"/>
                      <w:color w:val="auto"/>
                      <w:lang w:eastAsia="zh-CN"/>
                    </w:rPr>
                    <w:t>本项目不涉及。</w:t>
                  </w:r>
                </w:p>
              </w:tc>
              <w:tc>
                <w:tcPr>
                  <w:tcW w:w="713" w:type="dxa"/>
                  <w:tcBorders>
                    <w:tl2br w:val="nil"/>
                    <w:tr2bl w:val="nil"/>
                  </w:tcBorders>
                  <w:vAlign w:val="center"/>
                </w:tcPr>
                <w:p w14:paraId="2CE5C4D4">
                  <w:pPr>
                    <w:pStyle w:val="34"/>
                    <w:bidi w:val="0"/>
                    <w:rPr>
                      <w:rFonts w:hint="default"/>
                      <w:color w:val="auto"/>
                    </w:rPr>
                  </w:pPr>
                  <w:r>
                    <w:rPr>
                      <w:rFonts w:hint="default"/>
                      <w:color w:val="auto"/>
                    </w:rPr>
                    <w:t>符合</w:t>
                  </w:r>
                </w:p>
              </w:tc>
            </w:tr>
            <w:tr w14:paraId="39FCC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5" w:hRule="atLeast"/>
                <w:jc w:val="center"/>
              </w:trPr>
              <w:tc>
                <w:tcPr>
                  <w:tcW w:w="468" w:type="dxa"/>
                  <w:vMerge w:val="continue"/>
                  <w:tcBorders>
                    <w:tl2br w:val="nil"/>
                    <w:tr2bl w:val="nil"/>
                  </w:tcBorders>
                  <w:vAlign w:val="center"/>
                </w:tcPr>
                <w:p w14:paraId="4B94E658">
                  <w:pPr>
                    <w:pStyle w:val="34"/>
                    <w:bidi w:val="0"/>
                    <w:rPr>
                      <w:rFonts w:hint="default"/>
                      <w:color w:val="auto"/>
                    </w:rPr>
                  </w:pPr>
                </w:p>
              </w:tc>
              <w:tc>
                <w:tcPr>
                  <w:tcW w:w="470" w:type="dxa"/>
                  <w:vMerge w:val="continue"/>
                  <w:tcBorders>
                    <w:tl2br w:val="nil"/>
                    <w:tr2bl w:val="nil"/>
                  </w:tcBorders>
                  <w:vAlign w:val="center"/>
                </w:tcPr>
                <w:p w14:paraId="01F4F190">
                  <w:pPr>
                    <w:pStyle w:val="34"/>
                    <w:bidi w:val="0"/>
                    <w:rPr>
                      <w:rFonts w:hint="default"/>
                      <w:color w:val="auto"/>
                    </w:rPr>
                  </w:pPr>
                </w:p>
              </w:tc>
              <w:tc>
                <w:tcPr>
                  <w:tcW w:w="3109" w:type="dxa"/>
                  <w:tcBorders>
                    <w:tl2br w:val="nil"/>
                    <w:tr2bl w:val="nil"/>
                  </w:tcBorders>
                  <w:vAlign w:val="center"/>
                </w:tcPr>
                <w:p w14:paraId="3F3D8952">
                  <w:pPr>
                    <w:pStyle w:val="34"/>
                    <w:bidi w:val="0"/>
                    <w:rPr>
                      <w:rFonts w:hint="default"/>
                      <w:color w:val="auto"/>
                    </w:rPr>
                  </w:pPr>
                  <w:r>
                    <w:rPr>
                      <w:rFonts w:hint="default"/>
                      <w:color w:val="auto"/>
                    </w:rPr>
                    <w:t>3、对工业硅行业，全面淘汰工艺技术装备落后产能，依法依规关停布局不合理、资源能源消耗高、环保措施不到位、污染物排放连续不达标、安全质量不达标和木质碳消耗多的生产装备，或连续2年受到省行业主管部门资源能源消耗黄牌警告通报的企业，由各县（市）人民政府立即实施关停淘汰。</w:t>
                  </w:r>
                </w:p>
              </w:tc>
              <w:tc>
                <w:tcPr>
                  <w:tcW w:w="2638" w:type="dxa"/>
                  <w:tcBorders>
                    <w:tl2br w:val="nil"/>
                    <w:tr2bl w:val="nil"/>
                  </w:tcBorders>
                  <w:vAlign w:val="center"/>
                </w:tcPr>
                <w:p w14:paraId="2FC33F3A">
                  <w:pPr>
                    <w:pStyle w:val="34"/>
                    <w:bidi w:val="0"/>
                    <w:rPr>
                      <w:rFonts w:hint="eastAsia" w:eastAsia="宋体"/>
                      <w:color w:val="auto"/>
                      <w:lang w:eastAsia="zh-CN"/>
                    </w:rPr>
                  </w:pPr>
                  <w:r>
                    <w:rPr>
                      <w:rFonts w:hint="eastAsia"/>
                      <w:color w:val="auto"/>
                      <w:lang w:eastAsia="zh-CN"/>
                    </w:rPr>
                    <w:t>本项目不涉及。</w:t>
                  </w:r>
                </w:p>
              </w:tc>
              <w:tc>
                <w:tcPr>
                  <w:tcW w:w="713" w:type="dxa"/>
                  <w:tcBorders>
                    <w:tl2br w:val="nil"/>
                    <w:tr2bl w:val="nil"/>
                  </w:tcBorders>
                  <w:vAlign w:val="center"/>
                </w:tcPr>
                <w:p w14:paraId="372C2490">
                  <w:pPr>
                    <w:pStyle w:val="34"/>
                    <w:bidi w:val="0"/>
                    <w:rPr>
                      <w:rFonts w:hint="default"/>
                      <w:color w:val="auto"/>
                    </w:rPr>
                  </w:pPr>
                  <w:r>
                    <w:rPr>
                      <w:rFonts w:hint="default"/>
                      <w:color w:val="auto"/>
                    </w:rPr>
                    <w:t>符合</w:t>
                  </w:r>
                </w:p>
              </w:tc>
            </w:tr>
            <w:tr w14:paraId="07243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2" w:hRule="atLeast"/>
                <w:jc w:val="center"/>
              </w:trPr>
              <w:tc>
                <w:tcPr>
                  <w:tcW w:w="468" w:type="dxa"/>
                  <w:vMerge w:val="continue"/>
                  <w:tcBorders>
                    <w:tl2br w:val="nil"/>
                    <w:tr2bl w:val="nil"/>
                  </w:tcBorders>
                  <w:vAlign w:val="center"/>
                </w:tcPr>
                <w:p w14:paraId="56FF5CD8">
                  <w:pPr>
                    <w:pStyle w:val="34"/>
                    <w:bidi w:val="0"/>
                    <w:rPr>
                      <w:rFonts w:hint="default"/>
                      <w:color w:val="auto"/>
                    </w:rPr>
                  </w:pPr>
                </w:p>
              </w:tc>
              <w:tc>
                <w:tcPr>
                  <w:tcW w:w="470" w:type="dxa"/>
                  <w:vMerge w:val="continue"/>
                  <w:tcBorders>
                    <w:tl2br w:val="nil"/>
                    <w:tr2bl w:val="nil"/>
                  </w:tcBorders>
                  <w:vAlign w:val="center"/>
                </w:tcPr>
                <w:p w14:paraId="588F1A11">
                  <w:pPr>
                    <w:pStyle w:val="34"/>
                    <w:bidi w:val="0"/>
                    <w:rPr>
                      <w:rFonts w:hint="default"/>
                      <w:color w:val="auto"/>
                    </w:rPr>
                  </w:pPr>
                </w:p>
              </w:tc>
              <w:tc>
                <w:tcPr>
                  <w:tcW w:w="3109" w:type="dxa"/>
                  <w:tcBorders>
                    <w:tl2br w:val="nil"/>
                    <w:tr2bl w:val="nil"/>
                  </w:tcBorders>
                  <w:vAlign w:val="center"/>
                </w:tcPr>
                <w:p w14:paraId="1BFA5F27">
                  <w:pPr>
                    <w:pStyle w:val="34"/>
                    <w:bidi w:val="0"/>
                    <w:rPr>
                      <w:rFonts w:hint="default"/>
                      <w:color w:val="auto"/>
                    </w:rPr>
                  </w:pPr>
                  <w:r>
                    <w:rPr>
                      <w:rFonts w:hint="default"/>
                      <w:color w:val="auto"/>
                    </w:rPr>
                    <w:t>4、严格控制大盈江、瑞丽江等重点流域沿岸的石油加工、化学原料和化学制品制造、医药制造、化学纤维制造、有色金属冶炼、纺织印染等项目。</w:t>
                  </w:r>
                </w:p>
              </w:tc>
              <w:tc>
                <w:tcPr>
                  <w:tcW w:w="2638" w:type="dxa"/>
                  <w:tcBorders>
                    <w:tl2br w:val="nil"/>
                    <w:tr2bl w:val="nil"/>
                  </w:tcBorders>
                  <w:vAlign w:val="center"/>
                </w:tcPr>
                <w:p w14:paraId="0C3E7C0B">
                  <w:pPr>
                    <w:pStyle w:val="34"/>
                    <w:bidi w:val="0"/>
                    <w:rPr>
                      <w:rFonts w:hint="eastAsia" w:eastAsia="宋体"/>
                      <w:color w:val="auto"/>
                      <w:lang w:eastAsia="zh-CN"/>
                    </w:rPr>
                  </w:pPr>
                  <w:r>
                    <w:rPr>
                      <w:rFonts w:hint="eastAsia"/>
                      <w:color w:val="auto"/>
                      <w:lang w:eastAsia="zh-CN"/>
                    </w:rPr>
                    <w:t>本项目不涉及。</w:t>
                  </w:r>
                </w:p>
              </w:tc>
              <w:tc>
                <w:tcPr>
                  <w:tcW w:w="713" w:type="dxa"/>
                  <w:tcBorders>
                    <w:tl2br w:val="nil"/>
                    <w:tr2bl w:val="nil"/>
                  </w:tcBorders>
                  <w:vAlign w:val="center"/>
                </w:tcPr>
                <w:p w14:paraId="212713C2">
                  <w:pPr>
                    <w:pStyle w:val="34"/>
                    <w:bidi w:val="0"/>
                    <w:rPr>
                      <w:rFonts w:hint="default"/>
                      <w:color w:val="auto"/>
                    </w:rPr>
                  </w:pPr>
                  <w:r>
                    <w:rPr>
                      <w:rFonts w:hint="default"/>
                      <w:color w:val="auto"/>
                    </w:rPr>
                    <w:t>符合</w:t>
                  </w:r>
                </w:p>
              </w:tc>
            </w:tr>
            <w:tr w14:paraId="28141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4" w:hRule="atLeast"/>
                <w:jc w:val="center"/>
              </w:trPr>
              <w:tc>
                <w:tcPr>
                  <w:tcW w:w="468" w:type="dxa"/>
                  <w:vMerge w:val="continue"/>
                  <w:tcBorders>
                    <w:tl2br w:val="nil"/>
                    <w:tr2bl w:val="nil"/>
                  </w:tcBorders>
                  <w:vAlign w:val="center"/>
                </w:tcPr>
                <w:p w14:paraId="052F2AD5">
                  <w:pPr>
                    <w:pStyle w:val="34"/>
                    <w:bidi w:val="0"/>
                    <w:rPr>
                      <w:rFonts w:hint="default"/>
                      <w:color w:val="auto"/>
                    </w:rPr>
                  </w:pPr>
                </w:p>
              </w:tc>
              <w:tc>
                <w:tcPr>
                  <w:tcW w:w="470" w:type="dxa"/>
                  <w:vMerge w:val="restart"/>
                  <w:tcBorders>
                    <w:tl2br w:val="nil"/>
                    <w:tr2bl w:val="nil"/>
                  </w:tcBorders>
                  <w:vAlign w:val="center"/>
                </w:tcPr>
                <w:p w14:paraId="6DD4A03E">
                  <w:pPr>
                    <w:pStyle w:val="34"/>
                    <w:bidi w:val="0"/>
                    <w:rPr>
                      <w:rFonts w:hint="default"/>
                      <w:color w:val="auto"/>
                    </w:rPr>
                  </w:pPr>
                  <w:r>
                    <w:rPr>
                      <w:rFonts w:hint="default"/>
                      <w:color w:val="auto"/>
                    </w:rPr>
                    <w:t>污染物排放管控</w:t>
                  </w:r>
                </w:p>
                <w:p w14:paraId="0C6ED3A2">
                  <w:pPr>
                    <w:rPr>
                      <w:rFonts w:hint="default"/>
                      <w:color w:val="auto"/>
                    </w:rPr>
                  </w:pPr>
                </w:p>
                <w:p w14:paraId="4F5AFF69">
                  <w:pPr>
                    <w:rPr>
                      <w:rFonts w:hint="default"/>
                      <w:color w:val="auto"/>
                    </w:rPr>
                  </w:pPr>
                </w:p>
                <w:p w14:paraId="603F78A1">
                  <w:pPr>
                    <w:rPr>
                      <w:rFonts w:hint="default"/>
                      <w:color w:val="auto"/>
                    </w:rPr>
                  </w:pPr>
                </w:p>
                <w:p w14:paraId="7AD875C1">
                  <w:pPr>
                    <w:rPr>
                      <w:rFonts w:hint="default"/>
                      <w:color w:val="auto"/>
                    </w:rPr>
                  </w:pPr>
                </w:p>
                <w:p w14:paraId="25C3513D">
                  <w:pPr>
                    <w:rPr>
                      <w:rFonts w:hint="default"/>
                      <w:color w:val="auto"/>
                    </w:rPr>
                  </w:pPr>
                </w:p>
                <w:p w14:paraId="383AD99E">
                  <w:pPr>
                    <w:rPr>
                      <w:rFonts w:hint="default"/>
                      <w:color w:val="auto"/>
                    </w:rPr>
                  </w:pPr>
                </w:p>
                <w:p w14:paraId="321CA6EF">
                  <w:pPr>
                    <w:rPr>
                      <w:rFonts w:hint="default"/>
                      <w:color w:val="auto"/>
                    </w:rPr>
                  </w:pPr>
                </w:p>
              </w:tc>
              <w:tc>
                <w:tcPr>
                  <w:tcW w:w="3109" w:type="dxa"/>
                  <w:tcBorders>
                    <w:tl2br w:val="nil"/>
                    <w:tr2bl w:val="nil"/>
                  </w:tcBorders>
                  <w:vAlign w:val="center"/>
                </w:tcPr>
                <w:p w14:paraId="015D4D72">
                  <w:pPr>
                    <w:pStyle w:val="34"/>
                    <w:bidi w:val="0"/>
                    <w:rPr>
                      <w:rFonts w:hint="default"/>
                      <w:color w:val="auto"/>
                    </w:rPr>
                  </w:pPr>
                  <w:r>
                    <w:rPr>
                      <w:rFonts w:hint="default"/>
                      <w:color w:val="auto"/>
                    </w:rPr>
                    <w:t>1、加强重点流域水污染综合防治，持续开展瑞丽江、大盈江流域综合治理，稳定优良水体比例。</w:t>
                  </w:r>
                </w:p>
              </w:tc>
              <w:tc>
                <w:tcPr>
                  <w:tcW w:w="2638" w:type="dxa"/>
                  <w:tcBorders>
                    <w:tl2br w:val="nil"/>
                    <w:tr2bl w:val="nil"/>
                  </w:tcBorders>
                  <w:vAlign w:val="center"/>
                </w:tcPr>
                <w:p w14:paraId="3E427B60">
                  <w:pPr>
                    <w:pStyle w:val="34"/>
                    <w:bidi w:val="0"/>
                    <w:rPr>
                      <w:rFonts w:hint="default"/>
                      <w:color w:val="auto"/>
                    </w:rPr>
                  </w:pPr>
                  <w:r>
                    <w:rPr>
                      <w:rFonts w:hint="default" w:ascii="Times New Roman" w:hAnsi="Times New Roman" w:eastAsia="宋体" w:cs="Times New Roman"/>
                      <w:color w:val="auto"/>
                      <w:sz w:val="21"/>
                      <w:szCs w:val="21"/>
                      <w:lang w:val="en-US" w:eastAsia="zh-CN"/>
                    </w:rPr>
                    <w:t>本项目为河道治理工程</w:t>
                  </w:r>
                  <w:r>
                    <w:rPr>
                      <w:rFonts w:hint="default" w:ascii="Times New Roman" w:hAnsi="Times New Roman" w:eastAsia="宋体" w:cs="Times New Roman"/>
                      <w:color w:val="auto"/>
                      <w:sz w:val="21"/>
                      <w:szCs w:val="21"/>
                      <w:lang w:eastAsia="zh-CN"/>
                    </w:rPr>
                    <w:t>，</w:t>
                  </w:r>
                  <w:r>
                    <w:rPr>
                      <w:rFonts w:hint="eastAsia" w:cs="Times New Roman"/>
                      <w:color w:val="auto"/>
                      <w:sz w:val="21"/>
                      <w:szCs w:val="21"/>
                      <w:lang w:eastAsia="zh-CN"/>
                    </w:rPr>
                    <w:t>治理河段为瑞丽江支流果朗河，提升河段行洪能力，有利于稳定水体质量。</w:t>
                  </w:r>
                </w:p>
              </w:tc>
              <w:tc>
                <w:tcPr>
                  <w:tcW w:w="713" w:type="dxa"/>
                  <w:tcBorders>
                    <w:tl2br w:val="nil"/>
                    <w:tr2bl w:val="nil"/>
                  </w:tcBorders>
                  <w:vAlign w:val="center"/>
                </w:tcPr>
                <w:p w14:paraId="124FFFD5">
                  <w:pPr>
                    <w:pStyle w:val="34"/>
                    <w:bidi w:val="0"/>
                    <w:rPr>
                      <w:rFonts w:hint="default"/>
                      <w:color w:val="auto"/>
                    </w:rPr>
                  </w:pPr>
                  <w:r>
                    <w:rPr>
                      <w:rFonts w:hint="default"/>
                      <w:color w:val="auto"/>
                    </w:rPr>
                    <w:t>符合</w:t>
                  </w:r>
                </w:p>
              </w:tc>
            </w:tr>
            <w:tr w14:paraId="67F6B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0" w:hRule="atLeast"/>
                <w:jc w:val="center"/>
              </w:trPr>
              <w:tc>
                <w:tcPr>
                  <w:tcW w:w="468" w:type="dxa"/>
                  <w:vMerge w:val="continue"/>
                  <w:tcBorders>
                    <w:tl2br w:val="nil"/>
                    <w:tr2bl w:val="nil"/>
                  </w:tcBorders>
                  <w:vAlign w:val="center"/>
                </w:tcPr>
                <w:p w14:paraId="1A3E8AC1">
                  <w:pPr>
                    <w:pStyle w:val="34"/>
                    <w:bidi w:val="0"/>
                    <w:rPr>
                      <w:rFonts w:hint="default"/>
                      <w:color w:val="auto"/>
                    </w:rPr>
                  </w:pPr>
                </w:p>
              </w:tc>
              <w:tc>
                <w:tcPr>
                  <w:tcW w:w="470" w:type="dxa"/>
                  <w:vMerge w:val="continue"/>
                  <w:tcBorders>
                    <w:tl2br w:val="nil"/>
                    <w:tr2bl w:val="nil"/>
                  </w:tcBorders>
                  <w:vAlign w:val="center"/>
                </w:tcPr>
                <w:p w14:paraId="21880410">
                  <w:pPr>
                    <w:pStyle w:val="34"/>
                    <w:bidi w:val="0"/>
                    <w:rPr>
                      <w:rFonts w:hint="default"/>
                      <w:color w:val="auto"/>
                    </w:rPr>
                  </w:pPr>
                </w:p>
              </w:tc>
              <w:tc>
                <w:tcPr>
                  <w:tcW w:w="3109" w:type="dxa"/>
                  <w:tcBorders>
                    <w:tl2br w:val="nil"/>
                    <w:tr2bl w:val="nil"/>
                  </w:tcBorders>
                  <w:vAlign w:val="center"/>
                </w:tcPr>
                <w:p w14:paraId="6C80EC35">
                  <w:pPr>
                    <w:pStyle w:val="34"/>
                    <w:bidi w:val="0"/>
                    <w:rPr>
                      <w:rFonts w:hint="default"/>
                      <w:color w:val="auto"/>
                    </w:rPr>
                  </w:pPr>
                  <w:r>
                    <w:rPr>
                      <w:rFonts w:hint="default"/>
                      <w:color w:val="auto"/>
                    </w:rPr>
                    <w:t>2、对芒市大河风平断面等水质有反弹风险的水体，推动精准治污，确保水质稳定达标。水质稳定达标前，芒市大河新建、改建、扩建重点行业建设项目实行主要污染物排放减量置换。</w:t>
                  </w:r>
                </w:p>
              </w:tc>
              <w:tc>
                <w:tcPr>
                  <w:tcW w:w="2638" w:type="dxa"/>
                  <w:tcBorders>
                    <w:tl2br w:val="nil"/>
                    <w:tr2bl w:val="nil"/>
                  </w:tcBorders>
                  <w:vAlign w:val="center"/>
                </w:tcPr>
                <w:p w14:paraId="7BC89522">
                  <w:pPr>
                    <w:pStyle w:val="34"/>
                    <w:bidi w:val="0"/>
                    <w:rPr>
                      <w:rFonts w:hint="eastAsia" w:eastAsia="宋体"/>
                      <w:color w:val="auto"/>
                      <w:lang w:eastAsia="zh-CN"/>
                    </w:rPr>
                  </w:pPr>
                  <w:r>
                    <w:rPr>
                      <w:rFonts w:hint="eastAsia"/>
                      <w:color w:val="auto"/>
                      <w:lang w:eastAsia="zh-CN"/>
                    </w:rPr>
                    <w:t>本项目为河道治理工程，项目为新建项目，施工期废水收集沉淀后回用于洒水降尘，</w:t>
                  </w:r>
                  <w:r>
                    <w:rPr>
                      <w:rFonts w:hint="eastAsia"/>
                      <w:color w:val="auto"/>
                    </w:rPr>
                    <w:t>施工期固废主要为生活垃圾及土石方等一般固废，生活垃圾收集后运至周边村庄生活垃圾收集点，一同进行集中处置；土石方全部回填，不产生多余弃方；运营期不产生污染物</w:t>
                  </w:r>
                  <w:r>
                    <w:rPr>
                      <w:rFonts w:hint="eastAsia"/>
                      <w:color w:val="auto"/>
                      <w:lang w:eastAsia="zh-CN"/>
                    </w:rPr>
                    <w:t>，不会对周边环境产生不良影响。</w:t>
                  </w:r>
                </w:p>
              </w:tc>
              <w:tc>
                <w:tcPr>
                  <w:tcW w:w="713" w:type="dxa"/>
                  <w:tcBorders>
                    <w:tl2br w:val="nil"/>
                    <w:tr2bl w:val="nil"/>
                  </w:tcBorders>
                  <w:vAlign w:val="center"/>
                </w:tcPr>
                <w:p w14:paraId="38AF6133">
                  <w:pPr>
                    <w:pStyle w:val="34"/>
                    <w:bidi w:val="0"/>
                    <w:rPr>
                      <w:rFonts w:hint="eastAsia" w:eastAsia="宋体"/>
                      <w:color w:val="auto"/>
                      <w:lang w:eastAsia="zh-CN"/>
                    </w:rPr>
                  </w:pPr>
                  <w:r>
                    <w:rPr>
                      <w:rFonts w:hint="eastAsia"/>
                      <w:color w:val="auto"/>
                      <w:lang w:eastAsia="zh-CN"/>
                    </w:rPr>
                    <w:t>符合</w:t>
                  </w:r>
                </w:p>
              </w:tc>
            </w:tr>
            <w:tr w14:paraId="6FBD4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4" w:hRule="atLeast"/>
                <w:jc w:val="center"/>
              </w:trPr>
              <w:tc>
                <w:tcPr>
                  <w:tcW w:w="468" w:type="dxa"/>
                  <w:vMerge w:val="continue"/>
                  <w:tcBorders>
                    <w:tl2br w:val="nil"/>
                    <w:tr2bl w:val="nil"/>
                  </w:tcBorders>
                  <w:vAlign w:val="center"/>
                </w:tcPr>
                <w:p w14:paraId="73D16F51">
                  <w:pPr>
                    <w:pStyle w:val="34"/>
                    <w:bidi w:val="0"/>
                    <w:rPr>
                      <w:rFonts w:hint="default"/>
                      <w:color w:val="auto"/>
                    </w:rPr>
                  </w:pPr>
                </w:p>
              </w:tc>
              <w:tc>
                <w:tcPr>
                  <w:tcW w:w="470" w:type="dxa"/>
                  <w:vMerge w:val="continue"/>
                  <w:tcBorders>
                    <w:tl2br w:val="nil"/>
                    <w:tr2bl w:val="nil"/>
                  </w:tcBorders>
                  <w:vAlign w:val="center"/>
                </w:tcPr>
                <w:p w14:paraId="25770C01">
                  <w:pPr>
                    <w:pStyle w:val="34"/>
                    <w:bidi w:val="0"/>
                    <w:rPr>
                      <w:rFonts w:hint="default"/>
                      <w:color w:val="auto"/>
                    </w:rPr>
                  </w:pPr>
                </w:p>
              </w:tc>
              <w:tc>
                <w:tcPr>
                  <w:tcW w:w="3109" w:type="dxa"/>
                  <w:tcBorders>
                    <w:tl2br w:val="nil"/>
                    <w:tr2bl w:val="nil"/>
                  </w:tcBorders>
                  <w:vAlign w:val="center"/>
                </w:tcPr>
                <w:p w14:paraId="7E67AF9D">
                  <w:pPr>
                    <w:pStyle w:val="34"/>
                    <w:bidi w:val="0"/>
                    <w:rPr>
                      <w:rFonts w:hint="default"/>
                      <w:color w:val="auto"/>
                    </w:rPr>
                  </w:pPr>
                  <w:r>
                    <w:rPr>
                      <w:rFonts w:hint="default"/>
                      <w:color w:val="auto"/>
                    </w:rPr>
                    <w:t>3、以大盈江、瑞丽江、槟榔江为重点，开展生态流量保障工作，重点保障枯水期生态基流。以小水电无序开发、水资源利用不合理导致的减脱水河段为重点，明确小水电整治、改造、生态修复任务。</w:t>
                  </w:r>
                </w:p>
              </w:tc>
              <w:tc>
                <w:tcPr>
                  <w:tcW w:w="2638" w:type="dxa"/>
                  <w:tcBorders>
                    <w:tl2br w:val="nil"/>
                    <w:tr2bl w:val="nil"/>
                  </w:tcBorders>
                  <w:vAlign w:val="center"/>
                </w:tcPr>
                <w:p w14:paraId="2F0DD201">
                  <w:pPr>
                    <w:spacing w:line="240" w:lineRule="auto"/>
                    <w:ind w:left="0" w:leftChars="0" w:firstLine="0" w:firstLineChars="0"/>
                    <w:rPr>
                      <w:rFonts w:hint="eastAsia" w:eastAsia="宋体"/>
                      <w:color w:val="auto"/>
                      <w:lang w:eastAsia="zh-CN"/>
                    </w:rPr>
                  </w:pPr>
                  <w:r>
                    <w:rPr>
                      <w:rFonts w:hint="default" w:ascii="Times New Roman" w:hAnsi="Times New Roman" w:eastAsia="宋体" w:cs="Times New Roman"/>
                      <w:color w:val="auto"/>
                      <w:sz w:val="21"/>
                      <w:szCs w:val="21"/>
                      <w:lang w:val="en-US" w:eastAsia="zh-CN"/>
                    </w:rPr>
                    <w:t>本项目为河道治理工程</w:t>
                  </w:r>
                  <w:r>
                    <w:rPr>
                      <w:rFonts w:hint="default" w:ascii="Times New Roman" w:hAnsi="Times New Roman" w:eastAsia="宋体" w:cs="Times New Roman"/>
                      <w:color w:val="auto"/>
                      <w:sz w:val="21"/>
                      <w:szCs w:val="21"/>
                      <w:lang w:eastAsia="zh-CN"/>
                    </w:rPr>
                    <w:t>，</w:t>
                  </w:r>
                  <w:r>
                    <w:rPr>
                      <w:rFonts w:hint="eastAsia" w:cs="Times New Roman"/>
                      <w:color w:val="auto"/>
                      <w:sz w:val="21"/>
                      <w:szCs w:val="21"/>
                      <w:lang w:eastAsia="zh-CN"/>
                    </w:rPr>
                    <w:t>治理河段为瑞丽江支流果朗河，提升河段行洪能力，对河道沿岸居民的生命和财产安全有重要意义。</w:t>
                  </w:r>
                </w:p>
              </w:tc>
              <w:tc>
                <w:tcPr>
                  <w:tcW w:w="713" w:type="dxa"/>
                  <w:tcBorders>
                    <w:tl2br w:val="nil"/>
                    <w:tr2bl w:val="nil"/>
                  </w:tcBorders>
                  <w:vAlign w:val="center"/>
                </w:tcPr>
                <w:p w14:paraId="32E47CFC">
                  <w:pPr>
                    <w:pStyle w:val="34"/>
                    <w:bidi w:val="0"/>
                    <w:rPr>
                      <w:rFonts w:hint="eastAsia" w:eastAsia="宋体"/>
                      <w:color w:val="auto"/>
                      <w:lang w:eastAsia="zh-CN"/>
                    </w:rPr>
                  </w:pPr>
                  <w:r>
                    <w:rPr>
                      <w:rFonts w:hint="eastAsia"/>
                      <w:color w:val="auto"/>
                      <w:lang w:eastAsia="zh-CN"/>
                    </w:rPr>
                    <w:t>符合</w:t>
                  </w:r>
                </w:p>
              </w:tc>
            </w:tr>
            <w:tr w14:paraId="2180C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1" w:hRule="atLeast"/>
                <w:jc w:val="center"/>
              </w:trPr>
              <w:tc>
                <w:tcPr>
                  <w:tcW w:w="468" w:type="dxa"/>
                  <w:vMerge w:val="continue"/>
                  <w:tcBorders>
                    <w:tl2br w:val="nil"/>
                    <w:tr2bl w:val="nil"/>
                  </w:tcBorders>
                  <w:vAlign w:val="center"/>
                </w:tcPr>
                <w:p w14:paraId="0FDFF26D">
                  <w:pPr>
                    <w:pStyle w:val="34"/>
                    <w:bidi w:val="0"/>
                    <w:rPr>
                      <w:rFonts w:hint="default"/>
                      <w:color w:val="auto"/>
                    </w:rPr>
                  </w:pPr>
                </w:p>
              </w:tc>
              <w:tc>
                <w:tcPr>
                  <w:tcW w:w="470" w:type="dxa"/>
                  <w:vMerge w:val="continue"/>
                  <w:tcBorders>
                    <w:tl2br w:val="nil"/>
                    <w:tr2bl w:val="nil"/>
                  </w:tcBorders>
                  <w:vAlign w:val="center"/>
                </w:tcPr>
                <w:p w14:paraId="08CDBC1B">
                  <w:pPr>
                    <w:pStyle w:val="34"/>
                    <w:bidi w:val="0"/>
                    <w:rPr>
                      <w:rFonts w:hint="default"/>
                      <w:color w:val="auto"/>
                    </w:rPr>
                  </w:pPr>
                </w:p>
              </w:tc>
              <w:tc>
                <w:tcPr>
                  <w:tcW w:w="3109" w:type="dxa"/>
                  <w:tcBorders>
                    <w:tl2br w:val="nil"/>
                    <w:tr2bl w:val="nil"/>
                  </w:tcBorders>
                  <w:vAlign w:val="center"/>
                </w:tcPr>
                <w:p w14:paraId="1E0145E2">
                  <w:pPr>
                    <w:pStyle w:val="34"/>
                    <w:bidi w:val="0"/>
                    <w:rPr>
                      <w:rFonts w:hint="default"/>
                      <w:color w:val="auto"/>
                    </w:rPr>
                  </w:pPr>
                  <w:r>
                    <w:rPr>
                      <w:rFonts w:hint="default"/>
                      <w:color w:val="auto"/>
                    </w:rPr>
                    <w:t>4、严格保护城乡饮用水水源地，整治饮用水水源保护区内的污染源，确保饮水安全。完善城乡“两污”设施，确保城镇生活污水、垃圾处理设施全覆盖，并确保设施稳定运行。推进农村面源污染治理。推进工业园区、工矿企业污水处理设施全覆盖和利用效率最大化。</w:t>
                  </w:r>
                </w:p>
              </w:tc>
              <w:tc>
                <w:tcPr>
                  <w:tcW w:w="2638" w:type="dxa"/>
                  <w:tcBorders>
                    <w:tl2br w:val="nil"/>
                    <w:tr2bl w:val="nil"/>
                  </w:tcBorders>
                  <w:vAlign w:val="center"/>
                </w:tcPr>
                <w:p w14:paraId="273AFEFC">
                  <w:pPr>
                    <w:pStyle w:val="34"/>
                    <w:bidi w:val="0"/>
                    <w:rPr>
                      <w:rFonts w:hint="eastAsia"/>
                      <w:color w:val="auto"/>
                      <w:lang w:eastAsia="zh-CN"/>
                    </w:rPr>
                  </w:pPr>
                  <w:r>
                    <w:rPr>
                      <w:rFonts w:hint="eastAsia"/>
                      <w:color w:val="auto"/>
                      <w:lang w:eastAsia="zh-CN"/>
                    </w:rPr>
                    <w:t>项目不涉及饮用水源地。</w:t>
                  </w:r>
                </w:p>
              </w:tc>
              <w:tc>
                <w:tcPr>
                  <w:tcW w:w="713" w:type="dxa"/>
                  <w:tcBorders>
                    <w:tl2br w:val="nil"/>
                    <w:tr2bl w:val="nil"/>
                  </w:tcBorders>
                  <w:vAlign w:val="center"/>
                </w:tcPr>
                <w:p w14:paraId="5E5A250C">
                  <w:pPr>
                    <w:pStyle w:val="34"/>
                    <w:bidi w:val="0"/>
                    <w:rPr>
                      <w:rFonts w:hint="eastAsia" w:eastAsia="宋体"/>
                      <w:color w:val="auto"/>
                      <w:lang w:eastAsia="zh-CN"/>
                    </w:rPr>
                  </w:pPr>
                  <w:r>
                    <w:rPr>
                      <w:rFonts w:hint="eastAsia"/>
                      <w:color w:val="auto"/>
                      <w:lang w:eastAsia="zh-CN"/>
                    </w:rPr>
                    <w:t>符合</w:t>
                  </w:r>
                </w:p>
              </w:tc>
            </w:tr>
            <w:tr w14:paraId="727BD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8" w:hRule="atLeast"/>
                <w:jc w:val="center"/>
              </w:trPr>
              <w:tc>
                <w:tcPr>
                  <w:tcW w:w="468" w:type="dxa"/>
                  <w:vMerge w:val="continue"/>
                  <w:tcBorders>
                    <w:tl2br w:val="nil"/>
                    <w:tr2bl w:val="nil"/>
                  </w:tcBorders>
                  <w:vAlign w:val="center"/>
                </w:tcPr>
                <w:p w14:paraId="6B9772D7">
                  <w:pPr>
                    <w:pStyle w:val="34"/>
                    <w:bidi w:val="0"/>
                    <w:rPr>
                      <w:rFonts w:hint="default"/>
                      <w:color w:val="auto"/>
                    </w:rPr>
                  </w:pPr>
                </w:p>
              </w:tc>
              <w:tc>
                <w:tcPr>
                  <w:tcW w:w="470" w:type="dxa"/>
                  <w:vMerge w:val="continue"/>
                  <w:tcBorders>
                    <w:tl2br w:val="nil"/>
                    <w:tr2bl w:val="nil"/>
                  </w:tcBorders>
                  <w:vAlign w:val="center"/>
                </w:tcPr>
                <w:p w14:paraId="01E6AC63">
                  <w:pPr>
                    <w:pStyle w:val="34"/>
                    <w:bidi w:val="0"/>
                    <w:rPr>
                      <w:rFonts w:hint="default"/>
                      <w:color w:val="auto"/>
                    </w:rPr>
                  </w:pPr>
                </w:p>
              </w:tc>
              <w:tc>
                <w:tcPr>
                  <w:tcW w:w="3109" w:type="dxa"/>
                  <w:tcBorders>
                    <w:tl2br w:val="nil"/>
                    <w:tr2bl w:val="nil"/>
                  </w:tcBorders>
                  <w:vAlign w:val="center"/>
                </w:tcPr>
                <w:p w14:paraId="4CA84C4B">
                  <w:pPr>
                    <w:pStyle w:val="34"/>
                    <w:bidi w:val="0"/>
                    <w:rPr>
                      <w:rFonts w:hint="default"/>
                      <w:color w:val="auto"/>
                    </w:rPr>
                  </w:pPr>
                  <w:r>
                    <w:rPr>
                      <w:rFonts w:hint="default"/>
                      <w:color w:val="auto"/>
                    </w:rPr>
                    <w:t>5、加大挥发性有机物减排力度，扎实推动PM2.5和O3协同控制，有效提升优良天数比例。在持续推进氮氧化物减排的基础上，重点加大石化、化工及含挥发性有机化合物产品制造企业和喷漆、制鞋、印刷、电子、服装干洗等行业的清洁生产和污染治理力度，严控生产过程中逃逸性有机气体的排放。</w:t>
                  </w:r>
                </w:p>
              </w:tc>
              <w:tc>
                <w:tcPr>
                  <w:tcW w:w="2638" w:type="dxa"/>
                  <w:tcBorders>
                    <w:tl2br w:val="nil"/>
                    <w:tr2bl w:val="nil"/>
                  </w:tcBorders>
                  <w:vAlign w:val="center"/>
                </w:tcPr>
                <w:p w14:paraId="2BAD8084">
                  <w:pPr>
                    <w:pStyle w:val="34"/>
                    <w:bidi w:val="0"/>
                    <w:rPr>
                      <w:rFonts w:hint="eastAsia" w:eastAsia="宋体"/>
                      <w:color w:val="auto"/>
                      <w:lang w:eastAsia="zh-CN"/>
                    </w:rPr>
                  </w:pPr>
                  <w:r>
                    <w:rPr>
                      <w:rFonts w:hint="eastAsia"/>
                      <w:color w:val="auto"/>
                      <w:lang w:eastAsia="zh-CN"/>
                    </w:rPr>
                    <w:t>项目施工及运营过程中均不涉及有机气体的排放。施工期通过洒水降尘、物料覆盖等措施对污染进行防治。</w:t>
                  </w:r>
                </w:p>
              </w:tc>
              <w:tc>
                <w:tcPr>
                  <w:tcW w:w="713" w:type="dxa"/>
                  <w:tcBorders>
                    <w:tl2br w:val="nil"/>
                    <w:tr2bl w:val="nil"/>
                  </w:tcBorders>
                  <w:vAlign w:val="center"/>
                </w:tcPr>
                <w:p w14:paraId="7F310F1E">
                  <w:pPr>
                    <w:pStyle w:val="34"/>
                    <w:bidi w:val="0"/>
                    <w:rPr>
                      <w:rFonts w:hint="eastAsia" w:eastAsia="宋体"/>
                      <w:color w:val="auto"/>
                      <w:lang w:eastAsia="zh-CN"/>
                    </w:rPr>
                  </w:pPr>
                  <w:r>
                    <w:rPr>
                      <w:rFonts w:hint="eastAsia"/>
                      <w:color w:val="auto"/>
                      <w:lang w:eastAsia="zh-CN"/>
                    </w:rPr>
                    <w:t>符合</w:t>
                  </w:r>
                </w:p>
              </w:tc>
            </w:tr>
            <w:tr w14:paraId="077EA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1" w:hRule="atLeast"/>
                <w:jc w:val="center"/>
              </w:trPr>
              <w:tc>
                <w:tcPr>
                  <w:tcW w:w="468" w:type="dxa"/>
                  <w:vMerge w:val="continue"/>
                  <w:tcBorders>
                    <w:tl2br w:val="nil"/>
                    <w:tr2bl w:val="nil"/>
                  </w:tcBorders>
                  <w:vAlign w:val="center"/>
                </w:tcPr>
                <w:p w14:paraId="6D4C5BFE">
                  <w:pPr>
                    <w:pStyle w:val="34"/>
                    <w:bidi w:val="0"/>
                    <w:rPr>
                      <w:rFonts w:hint="default"/>
                      <w:color w:val="auto"/>
                    </w:rPr>
                  </w:pPr>
                </w:p>
              </w:tc>
              <w:tc>
                <w:tcPr>
                  <w:tcW w:w="470" w:type="dxa"/>
                  <w:vMerge w:val="continue"/>
                  <w:tcBorders>
                    <w:tl2br w:val="nil"/>
                    <w:tr2bl w:val="nil"/>
                  </w:tcBorders>
                  <w:vAlign w:val="center"/>
                </w:tcPr>
                <w:p w14:paraId="468D068C">
                  <w:pPr>
                    <w:pStyle w:val="34"/>
                    <w:bidi w:val="0"/>
                    <w:rPr>
                      <w:rFonts w:hint="default"/>
                      <w:color w:val="auto"/>
                    </w:rPr>
                  </w:pPr>
                </w:p>
              </w:tc>
              <w:tc>
                <w:tcPr>
                  <w:tcW w:w="3109" w:type="dxa"/>
                  <w:tcBorders>
                    <w:tl2br w:val="nil"/>
                    <w:tr2bl w:val="nil"/>
                  </w:tcBorders>
                  <w:vAlign w:val="center"/>
                </w:tcPr>
                <w:p w14:paraId="5101CD58">
                  <w:pPr>
                    <w:pStyle w:val="34"/>
                    <w:bidi w:val="0"/>
                    <w:rPr>
                      <w:rFonts w:hint="default"/>
                      <w:color w:val="auto"/>
                    </w:rPr>
                  </w:pPr>
                  <w:r>
                    <w:rPr>
                      <w:rFonts w:hint="default"/>
                      <w:color w:val="auto"/>
                    </w:rPr>
                    <w:t>6、提高工业硅、水泥等高耗能产业减量置换比例，把高能效和低碳排放纳入产能减量置换门槛，明确重点行业二氧化碳排放达峰目标，控制工业、交通、建筑等行业温室气体排放。</w:t>
                  </w:r>
                </w:p>
              </w:tc>
              <w:tc>
                <w:tcPr>
                  <w:tcW w:w="2638" w:type="dxa"/>
                  <w:tcBorders>
                    <w:tl2br w:val="nil"/>
                    <w:tr2bl w:val="nil"/>
                  </w:tcBorders>
                  <w:vAlign w:val="center"/>
                </w:tcPr>
                <w:p w14:paraId="5F1F63B4">
                  <w:pPr>
                    <w:pStyle w:val="34"/>
                    <w:bidi w:val="0"/>
                    <w:rPr>
                      <w:rFonts w:hint="eastAsia" w:eastAsia="宋体"/>
                      <w:color w:val="auto"/>
                      <w:lang w:eastAsia="zh-CN"/>
                    </w:rPr>
                  </w:pPr>
                  <w:r>
                    <w:rPr>
                      <w:rFonts w:hint="eastAsia"/>
                      <w:color w:val="auto"/>
                      <w:lang w:eastAsia="zh-CN"/>
                    </w:rPr>
                    <w:t>本项目属于河道治理工程，不涉及工业硅、水泥等高耗能产业。</w:t>
                  </w:r>
                </w:p>
              </w:tc>
              <w:tc>
                <w:tcPr>
                  <w:tcW w:w="713" w:type="dxa"/>
                  <w:tcBorders>
                    <w:tl2br w:val="nil"/>
                    <w:tr2bl w:val="nil"/>
                  </w:tcBorders>
                  <w:vAlign w:val="center"/>
                </w:tcPr>
                <w:p w14:paraId="330F6E3D">
                  <w:pPr>
                    <w:pStyle w:val="34"/>
                    <w:bidi w:val="0"/>
                    <w:rPr>
                      <w:rFonts w:hint="eastAsia" w:eastAsia="宋体"/>
                      <w:color w:val="auto"/>
                      <w:lang w:eastAsia="zh-CN"/>
                    </w:rPr>
                  </w:pPr>
                  <w:r>
                    <w:rPr>
                      <w:rFonts w:hint="eastAsia"/>
                      <w:color w:val="auto"/>
                      <w:lang w:eastAsia="zh-CN"/>
                    </w:rPr>
                    <w:t>符合</w:t>
                  </w:r>
                </w:p>
              </w:tc>
            </w:tr>
            <w:tr w14:paraId="652FC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4" w:hRule="atLeast"/>
                <w:jc w:val="center"/>
              </w:trPr>
              <w:tc>
                <w:tcPr>
                  <w:tcW w:w="468" w:type="dxa"/>
                  <w:vMerge w:val="continue"/>
                  <w:tcBorders>
                    <w:tl2br w:val="nil"/>
                    <w:tr2bl w:val="nil"/>
                  </w:tcBorders>
                  <w:vAlign w:val="center"/>
                </w:tcPr>
                <w:p w14:paraId="3E13DB92">
                  <w:pPr>
                    <w:pStyle w:val="34"/>
                    <w:bidi w:val="0"/>
                    <w:rPr>
                      <w:rFonts w:hint="default"/>
                      <w:color w:val="auto"/>
                    </w:rPr>
                  </w:pPr>
                </w:p>
              </w:tc>
              <w:tc>
                <w:tcPr>
                  <w:tcW w:w="470" w:type="dxa"/>
                  <w:vMerge w:val="continue"/>
                  <w:tcBorders>
                    <w:tl2br w:val="nil"/>
                    <w:tr2bl w:val="nil"/>
                  </w:tcBorders>
                  <w:vAlign w:val="center"/>
                </w:tcPr>
                <w:p w14:paraId="4844003B">
                  <w:pPr>
                    <w:pStyle w:val="34"/>
                    <w:bidi w:val="0"/>
                    <w:rPr>
                      <w:rFonts w:hint="default"/>
                      <w:color w:val="auto"/>
                    </w:rPr>
                  </w:pPr>
                </w:p>
              </w:tc>
              <w:tc>
                <w:tcPr>
                  <w:tcW w:w="3109" w:type="dxa"/>
                  <w:tcBorders>
                    <w:tl2br w:val="nil"/>
                    <w:tr2bl w:val="nil"/>
                  </w:tcBorders>
                  <w:vAlign w:val="center"/>
                </w:tcPr>
                <w:p w14:paraId="2F6FF438">
                  <w:pPr>
                    <w:pStyle w:val="34"/>
                    <w:bidi w:val="0"/>
                    <w:rPr>
                      <w:rFonts w:hint="default"/>
                      <w:color w:val="auto"/>
                    </w:rPr>
                  </w:pPr>
                  <w:r>
                    <w:rPr>
                      <w:rFonts w:hint="default"/>
                      <w:color w:val="auto"/>
                    </w:rPr>
                    <w:t>7、新（改、扩）建工业硅电炉必须为矮烟罩半封闭型或全密闭型，变压器容量达到2×25000千伏安及以上。</w:t>
                  </w:r>
                </w:p>
              </w:tc>
              <w:tc>
                <w:tcPr>
                  <w:tcW w:w="2638" w:type="dxa"/>
                  <w:tcBorders>
                    <w:tl2br w:val="nil"/>
                    <w:tr2bl w:val="nil"/>
                  </w:tcBorders>
                  <w:vAlign w:val="center"/>
                </w:tcPr>
                <w:p w14:paraId="68FDF7F3">
                  <w:pPr>
                    <w:pStyle w:val="34"/>
                    <w:bidi w:val="0"/>
                    <w:rPr>
                      <w:rFonts w:hint="eastAsia" w:eastAsia="宋体"/>
                      <w:color w:val="auto"/>
                      <w:lang w:eastAsia="zh-CN"/>
                    </w:rPr>
                  </w:pPr>
                  <w:r>
                    <w:rPr>
                      <w:rFonts w:hint="eastAsia"/>
                      <w:color w:val="auto"/>
                      <w:lang w:eastAsia="zh-CN"/>
                    </w:rPr>
                    <w:t>本项目不涉及。</w:t>
                  </w:r>
                </w:p>
              </w:tc>
              <w:tc>
                <w:tcPr>
                  <w:tcW w:w="713" w:type="dxa"/>
                  <w:tcBorders>
                    <w:tl2br w:val="nil"/>
                    <w:tr2bl w:val="nil"/>
                  </w:tcBorders>
                  <w:vAlign w:val="center"/>
                </w:tcPr>
                <w:p w14:paraId="7CFAB35C">
                  <w:pPr>
                    <w:pStyle w:val="34"/>
                    <w:bidi w:val="0"/>
                    <w:rPr>
                      <w:rFonts w:hint="eastAsia" w:eastAsia="宋体"/>
                      <w:color w:val="auto"/>
                      <w:lang w:eastAsia="zh-CN"/>
                    </w:rPr>
                  </w:pPr>
                  <w:r>
                    <w:rPr>
                      <w:rFonts w:hint="eastAsia"/>
                      <w:color w:val="auto"/>
                      <w:lang w:eastAsia="zh-CN"/>
                    </w:rPr>
                    <w:t>符合</w:t>
                  </w:r>
                </w:p>
              </w:tc>
            </w:tr>
            <w:tr w14:paraId="78C00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4" w:hRule="atLeast"/>
                <w:jc w:val="center"/>
              </w:trPr>
              <w:tc>
                <w:tcPr>
                  <w:tcW w:w="468" w:type="dxa"/>
                  <w:vMerge w:val="continue"/>
                  <w:tcBorders>
                    <w:tl2br w:val="nil"/>
                    <w:tr2bl w:val="nil"/>
                  </w:tcBorders>
                  <w:vAlign w:val="center"/>
                </w:tcPr>
                <w:p w14:paraId="0057304E">
                  <w:pPr>
                    <w:pStyle w:val="34"/>
                    <w:bidi w:val="0"/>
                    <w:rPr>
                      <w:rFonts w:hint="default"/>
                      <w:color w:val="auto"/>
                    </w:rPr>
                  </w:pPr>
                </w:p>
              </w:tc>
              <w:tc>
                <w:tcPr>
                  <w:tcW w:w="470" w:type="dxa"/>
                  <w:vMerge w:val="continue"/>
                  <w:tcBorders>
                    <w:tl2br w:val="nil"/>
                    <w:tr2bl w:val="nil"/>
                  </w:tcBorders>
                  <w:vAlign w:val="center"/>
                </w:tcPr>
                <w:p w14:paraId="283D20C7">
                  <w:pPr>
                    <w:pStyle w:val="34"/>
                    <w:bidi w:val="0"/>
                    <w:rPr>
                      <w:rFonts w:hint="default"/>
                      <w:color w:val="auto"/>
                    </w:rPr>
                  </w:pPr>
                </w:p>
              </w:tc>
              <w:tc>
                <w:tcPr>
                  <w:tcW w:w="3109" w:type="dxa"/>
                  <w:tcBorders>
                    <w:tl2br w:val="nil"/>
                    <w:tr2bl w:val="nil"/>
                  </w:tcBorders>
                  <w:vAlign w:val="center"/>
                </w:tcPr>
                <w:p w14:paraId="5555E4A3">
                  <w:pPr>
                    <w:pStyle w:val="34"/>
                    <w:bidi w:val="0"/>
                    <w:rPr>
                      <w:rFonts w:hint="eastAsia" w:eastAsia="宋体"/>
                      <w:color w:val="auto"/>
                      <w:lang w:val="en-US" w:eastAsia="zh-CN"/>
                    </w:rPr>
                  </w:pPr>
                  <w:r>
                    <w:rPr>
                      <w:rFonts w:hint="eastAsia"/>
                      <w:color w:val="auto"/>
                      <w:lang w:val="en-US" w:eastAsia="zh-CN"/>
                    </w:rPr>
                    <w:t>8、实施工业污染源全面达标排放计划，加快工业硅等大气污染重点行业的脱硫技术改造。</w:t>
                  </w:r>
                </w:p>
              </w:tc>
              <w:tc>
                <w:tcPr>
                  <w:tcW w:w="2638" w:type="dxa"/>
                  <w:tcBorders>
                    <w:tl2br w:val="nil"/>
                    <w:tr2bl w:val="nil"/>
                  </w:tcBorders>
                  <w:vAlign w:val="center"/>
                </w:tcPr>
                <w:p w14:paraId="134683C2">
                  <w:pPr>
                    <w:pStyle w:val="34"/>
                    <w:bidi w:val="0"/>
                    <w:rPr>
                      <w:rFonts w:hint="eastAsia" w:eastAsia="宋体"/>
                      <w:color w:val="auto"/>
                      <w:lang w:eastAsia="zh-CN"/>
                    </w:rPr>
                  </w:pPr>
                  <w:r>
                    <w:rPr>
                      <w:rFonts w:hint="eastAsia"/>
                      <w:color w:val="auto"/>
                      <w:lang w:eastAsia="zh-CN"/>
                    </w:rPr>
                    <w:t>本项目不涉及。</w:t>
                  </w:r>
                </w:p>
              </w:tc>
              <w:tc>
                <w:tcPr>
                  <w:tcW w:w="713" w:type="dxa"/>
                  <w:tcBorders>
                    <w:tl2br w:val="nil"/>
                    <w:tr2bl w:val="nil"/>
                  </w:tcBorders>
                  <w:vAlign w:val="center"/>
                </w:tcPr>
                <w:p w14:paraId="1A385DE3">
                  <w:pPr>
                    <w:pStyle w:val="34"/>
                    <w:bidi w:val="0"/>
                    <w:rPr>
                      <w:rFonts w:hint="eastAsia" w:eastAsia="宋体"/>
                      <w:color w:val="auto"/>
                      <w:lang w:eastAsia="zh-CN"/>
                    </w:rPr>
                  </w:pPr>
                  <w:r>
                    <w:rPr>
                      <w:rFonts w:hint="eastAsia"/>
                      <w:color w:val="auto"/>
                      <w:lang w:eastAsia="zh-CN"/>
                    </w:rPr>
                    <w:t>符合</w:t>
                  </w:r>
                </w:p>
              </w:tc>
            </w:tr>
            <w:tr w14:paraId="019F3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4" w:hRule="atLeast"/>
                <w:jc w:val="center"/>
              </w:trPr>
              <w:tc>
                <w:tcPr>
                  <w:tcW w:w="468" w:type="dxa"/>
                  <w:vMerge w:val="continue"/>
                  <w:tcBorders>
                    <w:tl2br w:val="nil"/>
                    <w:tr2bl w:val="nil"/>
                  </w:tcBorders>
                  <w:vAlign w:val="center"/>
                </w:tcPr>
                <w:p w14:paraId="67AFDBFF">
                  <w:pPr>
                    <w:pStyle w:val="34"/>
                    <w:bidi w:val="0"/>
                    <w:rPr>
                      <w:rFonts w:hint="default"/>
                      <w:color w:val="auto"/>
                    </w:rPr>
                  </w:pPr>
                </w:p>
              </w:tc>
              <w:tc>
                <w:tcPr>
                  <w:tcW w:w="470" w:type="dxa"/>
                  <w:vMerge w:val="continue"/>
                  <w:tcBorders>
                    <w:tl2br w:val="nil"/>
                    <w:tr2bl w:val="nil"/>
                  </w:tcBorders>
                  <w:vAlign w:val="center"/>
                </w:tcPr>
                <w:p w14:paraId="233D4138">
                  <w:pPr>
                    <w:pStyle w:val="34"/>
                    <w:bidi w:val="0"/>
                    <w:rPr>
                      <w:rFonts w:hint="default"/>
                      <w:color w:val="auto"/>
                    </w:rPr>
                  </w:pPr>
                </w:p>
              </w:tc>
              <w:tc>
                <w:tcPr>
                  <w:tcW w:w="3109" w:type="dxa"/>
                  <w:tcBorders>
                    <w:tl2br w:val="nil"/>
                    <w:tr2bl w:val="nil"/>
                  </w:tcBorders>
                  <w:vAlign w:val="center"/>
                </w:tcPr>
                <w:p w14:paraId="4F1A0D1D">
                  <w:pPr>
                    <w:pStyle w:val="34"/>
                    <w:bidi w:val="0"/>
                    <w:rPr>
                      <w:rFonts w:hint="eastAsia" w:eastAsia="宋体"/>
                      <w:color w:val="auto"/>
                      <w:lang w:val="en-US" w:eastAsia="zh-CN"/>
                    </w:rPr>
                  </w:pPr>
                  <w:r>
                    <w:rPr>
                      <w:rFonts w:hint="eastAsia"/>
                      <w:color w:val="auto"/>
                      <w:lang w:val="en-US" w:eastAsia="zh-CN"/>
                    </w:rPr>
                    <w:t>9、加强土壤污染防治，对农用地实施分类管理，对建设用地实行准入管理，确定土壤环境污染重点监管企业名单，实施土壤污染风险管控和修复名录制度，对污染地块开发利用实行联动监管。</w:t>
                  </w:r>
                </w:p>
              </w:tc>
              <w:tc>
                <w:tcPr>
                  <w:tcW w:w="2638" w:type="dxa"/>
                  <w:tcBorders>
                    <w:tl2br w:val="nil"/>
                    <w:tr2bl w:val="nil"/>
                  </w:tcBorders>
                  <w:vAlign w:val="center"/>
                </w:tcPr>
                <w:p w14:paraId="2CC99AE2">
                  <w:pPr>
                    <w:pStyle w:val="34"/>
                    <w:bidi w:val="0"/>
                    <w:rPr>
                      <w:rFonts w:hint="default"/>
                      <w:color w:val="auto"/>
                    </w:rPr>
                  </w:pPr>
                  <w:r>
                    <w:rPr>
                      <w:rFonts w:hint="default"/>
                      <w:color w:val="auto"/>
                      <w:sz w:val="21"/>
                      <w:szCs w:val="21"/>
                      <w:lang w:val="en-US" w:eastAsia="zh-CN"/>
                    </w:rPr>
                    <w:t>项目在落实环评提出的各项污染防治措施的情况下，</w:t>
                  </w:r>
                  <w:r>
                    <w:rPr>
                      <w:rFonts w:hint="eastAsia"/>
                      <w:color w:val="auto"/>
                      <w:sz w:val="21"/>
                      <w:szCs w:val="21"/>
                      <w:lang w:val="en-US" w:eastAsia="zh-CN"/>
                    </w:rPr>
                    <w:t>施工过程中对施工人员严格要求，对施工材料的堆放严格按场地设置堆放，减少对周边土地的占用，施工期结束后对临时占地进行恢复，施工期的影响较小且随施工结束消失，不会对土壤环境造成污染。</w:t>
                  </w:r>
                </w:p>
              </w:tc>
              <w:tc>
                <w:tcPr>
                  <w:tcW w:w="713" w:type="dxa"/>
                  <w:tcBorders>
                    <w:tl2br w:val="nil"/>
                    <w:tr2bl w:val="nil"/>
                  </w:tcBorders>
                  <w:vAlign w:val="center"/>
                </w:tcPr>
                <w:p w14:paraId="7239B636">
                  <w:pPr>
                    <w:pStyle w:val="34"/>
                    <w:bidi w:val="0"/>
                    <w:rPr>
                      <w:rFonts w:hint="eastAsia" w:eastAsia="宋体"/>
                      <w:color w:val="auto"/>
                      <w:lang w:eastAsia="zh-CN"/>
                    </w:rPr>
                  </w:pPr>
                  <w:r>
                    <w:rPr>
                      <w:rFonts w:hint="eastAsia"/>
                      <w:color w:val="auto"/>
                      <w:lang w:eastAsia="zh-CN"/>
                    </w:rPr>
                    <w:t>符合</w:t>
                  </w:r>
                </w:p>
              </w:tc>
            </w:tr>
            <w:tr w14:paraId="0C6D6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0" w:hRule="atLeast"/>
                <w:jc w:val="center"/>
              </w:trPr>
              <w:tc>
                <w:tcPr>
                  <w:tcW w:w="468" w:type="dxa"/>
                  <w:vMerge w:val="continue"/>
                  <w:tcBorders>
                    <w:tl2br w:val="nil"/>
                    <w:tr2bl w:val="nil"/>
                  </w:tcBorders>
                  <w:vAlign w:val="center"/>
                </w:tcPr>
                <w:p w14:paraId="1C062D00">
                  <w:pPr>
                    <w:pStyle w:val="34"/>
                    <w:bidi w:val="0"/>
                    <w:rPr>
                      <w:rFonts w:hint="default"/>
                      <w:color w:val="auto"/>
                    </w:rPr>
                  </w:pPr>
                </w:p>
              </w:tc>
              <w:tc>
                <w:tcPr>
                  <w:tcW w:w="470" w:type="dxa"/>
                  <w:vMerge w:val="restart"/>
                  <w:tcBorders>
                    <w:tl2br w:val="nil"/>
                    <w:tr2bl w:val="nil"/>
                  </w:tcBorders>
                  <w:vAlign w:val="center"/>
                </w:tcPr>
                <w:p w14:paraId="3D8B167A">
                  <w:pPr>
                    <w:pStyle w:val="34"/>
                    <w:bidi w:val="0"/>
                    <w:rPr>
                      <w:rFonts w:hint="default"/>
                      <w:color w:val="auto"/>
                    </w:rPr>
                  </w:pPr>
                  <w:r>
                    <w:rPr>
                      <w:rFonts w:hint="default"/>
                      <w:color w:val="auto"/>
                    </w:rPr>
                    <w:t>环境风险防控</w:t>
                  </w:r>
                </w:p>
              </w:tc>
              <w:tc>
                <w:tcPr>
                  <w:tcW w:w="3109" w:type="dxa"/>
                  <w:tcBorders>
                    <w:tl2br w:val="nil"/>
                    <w:tr2bl w:val="nil"/>
                  </w:tcBorders>
                  <w:vAlign w:val="center"/>
                </w:tcPr>
                <w:p w14:paraId="2C8C3DDF">
                  <w:pPr>
                    <w:pStyle w:val="34"/>
                    <w:bidi w:val="0"/>
                    <w:rPr>
                      <w:rFonts w:hint="default"/>
                      <w:color w:val="auto"/>
                    </w:rPr>
                  </w:pPr>
                  <w:r>
                    <w:rPr>
                      <w:rFonts w:hint="default"/>
                      <w:color w:val="auto"/>
                    </w:rPr>
                    <w:t>1、建立德宏州中心城市核心区（芒市、瑞丽市）染联防联控联席会议机制，协调大气污染治理工作，打好中心城市大气污染联防联治攻坚战。</w:t>
                  </w:r>
                </w:p>
              </w:tc>
              <w:tc>
                <w:tcPr>
                  <w:tcW w:w="2638" w:type="dxa"/>
                  <w:tcBorders>
                    <w:tl2br w:val="nil"/>
                    <w:tr2bl w:val="nil"/>
                  </w:tcBorders>
                  <w:vAlign w:val="center"/>
                </w:tcPr>
                <w:p w14:paraId="0B81382E">
                  <w:pPr>
                    <w:pStyle w:val="34"/>
                    <w:bidi w:val="0"/>
                    <w:rPr>
                      <w:rFonts w:hint="default"/>
                      <w:color w:val="auto"/>
                    </w:rPr>
                  </w:pPr>
                  <w:r>
                    <w:rPr>
                      <w:rFonts w:hint="default" w:ascii="Times New Roman" w:hAnsi="Times New Roman" w:eastAsia="宋体" w:cs="Times New Roman"/>
                      <w:color w:val="auto"/>
                      <w:sz w:val="21"/>
                      <w:szCs w:val="21"/>
                      <w:lang w:val="en-US" w:eastAsia="zh-CN"/>
                    </w:rPr>
                    <w:t>项目区域不属于芒市中心城市核心区、不涉及跨国河流，且污染影响主要表现在施工期，运行期不产生大气污染物，施工期经采取相应措施后对大气环境影响较小；</w:t>
                  </w:r>
                </w:p>
              </w:tc>
              <w:tc>
                <w:tcPr>
                  <w:tcW w:w="713" w:type="dxa"/>
                  <w:tcBorders>
                    <w:tl2br w:val="nil"/>
                    <w:tr2bl w:val="nil"/>
                  </w:tcBorders>
                  <w:vAlign w:val="center"/>
                </w:tcPr>
                <w:p w14:paraId="5080CC82">
                  <w:pPr>
                    <w:pStyle w:val="34"/>
                    <w:bidi w:val="0"/>
                    <w:rPr>
                      <w:rFonts w:hint="default"/>
                      <w:color w:val="auto"/>
                    </w:rPr>
                  </w:pPr>
                  <w:r>
                    <w:rPr>
                      <w:rFonts w:hint="default"/>
                      <w:color w:val="auto"/>
                    </w:rPr>
                    <w:t>符合</w:t>
                  </w:r>
                </w:p>
              </w:tc>
            </w:tr>
            <w:tr w14:paraId="289D2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7" w:hRule="atLeast"/>
                <w:jc w:val="center"/>
              </w:trPr>
              <w:tc>
                <w:tcPr>
                  <w:tcW w:w="468" w:type="dxa"/>
                  <w:vMerge w:val="continue"/>
                  <w:tcBorders>
                    <w:tl2br w:val="nil"/>
                    <w:tr2bl w:val="nil"/>
                  </w:tcBorders>
                  <w:vAlign w:val="center"/>
                </w:tcPr>
                <w:p w14:paraId="1E11E766">
                  <w:pPr>
                    <w:pStyle w:val="34"/>
                    <w:bidi w:val="0"/>
                    <w:rPr>
                      <w:rFonts w:hint="default"/>
                      <w:color w:val="auto"/>
                    </w:rPr>
                  </w:pPr>
                </w:p>
              </w:tc>
              <w:tc>
                <w:tcPr>
                  <w:tcW w:w="470" w:type="dxa"/>
                  <w:vMerge w:val="continue"/>
                  <w:tcBorders>
                    <w:tl2br w:val="nil"/>
                    <w:tr2bl w:val="nil"/>
                  </w:tcBorders>
                  <w:vAlign w:val="center"/>
                </w:tcPr>
                <w:p w14:paraId="368E83E1">
                  <w:pPr>
                    <w:pStyle w:val="34"/>
                    <w:bidi w:val="0"/>
                    <w:rPr>
                      <w:rFonts w:hint="default"/>
                      <w:color w:val="auto"/>
                    </w:rPr>
                  </w:pPr>
                </w:p>
              </w:tc>
              <w:tc>
                <w:tcPr>
                  <w:tcW w:w="3109" w:type="dxa"/>
                  <w:tcBorders>
                    <w:tl2br w:val="nil"/>
                    <w:tr2bl w:val="nil"/>
                  </w:tcBorders>
                  <w:vAlign w:val="center"/>
                </w:tcPr>
                <w:p w14:paraId="5CA8F6DC">
                  <w:pPr>
                    <w:pStyle w:val="34"/>
                    <w:bidi w:val="0"/>
                    <w:rPr>
                      <w:rFonts w:hint="eastAsia" w:eastAsia="宋体"/>
                      <w:color w:val="auto"/>
                      <w:lang w:val="en-US" w:eastAsia="zh-CN"/>
                    </w:rPr>
                  </w:pPr>
                  <w:r>
                    <w:rPr>
                      <w:rFonts w:hint="default"/>
                      <w:color w:val="auto"/>
                    </w:rPr>
                    <w:t>2、</w:t>
                  </w:r>
                  <w:r>
                    <w:rPr>
                      <w:rFonts w:hint="eastAsia"/>
                      <w:color w:val="auto"/>
                      <w:lang w:eastAsia="zh-CN"/>
                    </w:rPr>
                    <w:t>强化环境风险防控和应急管理，制定和完善突发环境事件应急预案，提升风险防控和突发环境事件应急处理处置能力。</w:t>
                  </w:r>
                </w:p>
              </w:tc>
              <w:tc>
                <w:tcPr>
                  <w:tcW w:w="2638" w:type="dxa"/>
                  <w:tcBorders>
                    <w:tl2br w:val="nil"/>
                    <w:tr2bl w:val="nil"/>
                  </w:tcBorders>
                  <w:vAlign w:val="center"/>
                </w:tcPr>
                <w:p w14:paraId="5F04224E">
                  <w:pPr>
                    <w:pStyle w:val="34"/>
                    <w:bidi w:val="0"/>
                    <w:rPr>
                      <w:rFonts w:hint="default"/>
                      <w:color w:val="auto"/>
                    </w:rPr>
                  </w:pPr>
                  <w:r>
                    <w:rPr>
                      <w:rFonts w:ascii="Times New Roman" w:hAnsi="Times New Roman" w:eastAsia="宋体"/>
                      <w:color w:val="auto"/>
                    </w:rPr>
                    <w:t>项目建成后根据《企事业单位突发环境事件应急预案备案管理办法（试行）</w:t>
                  </w:r>
                  <w:r>
                    <w:rPr>
                      <w:rFonts w:hint="eastAsia" w:ascii="Times New Roman" w:hAnsi="Times New Roman" w:eastAsia="宋体"/>
                      <w:color w:val="auto"/>
                      <w:lang w:eastAsia="zh-CN"/>
                    </w:rPr>
                    <w:t>》《</w:t>
                  </w:r>
                  <w:r>
                    <w:rPr>
                      <w:rFonts w:ascii="Times New Roman" w:hAnsi="Times New Roman" w:eastAsia="宋体"/>
                      <w:color w:val="auto"/>
                    </w:rPr>
                    <w:t>突发环境事件应急管理办法》等文件要求编制突发环境事件应急预案以应对企业突发环境事件。</w:t>
                  </w:r>
                </w:p>
              </w:tc>
              <w:tc>
                <w:tcPr>
                  <w:tcW w:w="713" w:type="dxa"/>
                  <w:tcBorders>
                    <w:tl2br w:val="nil"/>
                    <w:tr2bl w:val="nil"/>
                  </w:tcBorders>
                  <w:vAlign w:val="center"/>
                </w:tcPr>
                <w:p w14:paraId="34F1A831">
                  <w:pPr>
                    <w:pStyle w:val="34"/>
                    <w:bidi w:val="0"/>
                    <w:rPr>
                      <w:rFonts w:hint="default"/>
                      <w:color w:val="auto"/>
                    </w:rPr>
                  </w:pPr>
                  <w:r>
                    <w:rPr>
                      <w:rFonts w:hint="default"/>
                      <w:color w:val="auto"/>
                    </w:rPr>
                    <w:t>符合</w:t>
                  </w:r>
                </w:p>
              </w:tc>
            </w:tr>
            <w:tr w14:paraId="6DA6E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4" w:hRule="atLeast"/>
                <w:jc w:val="center"/>
              </w:trPr>
              <w:tc>
                <w:tcPr>
                  <w:tcW w:w="468" w:type="dxa"/>
                  <w:vMerge w:val="continue"/>
                  <w:tcBorders>
                    <w:tl2br w:val="nil"/>
                    <w:tr2bl w:val="nil"/>
                  </w:tcBorders>
                  <w:vAlign w:val="center"/>
                </w:tcPr>
                <w:p w14:paraId="0AF39FDF">
                  <w:pPr>
                    <w:pStyle w:val="34"/>
                    <w:bidi w:val="0"/>
                    <w:rPr>
                      <w:rFonts w:hint="default"/>
                      <w:color w:val="auto"/>
                    </w:rPr>
                  </w:pPr>
                </w:p>
              </w:tc>
              <w:tc>
                <w:tcPr>
                  <w:tcW w:w="470" w:type="dxa"/>
                  <w:vMerge w:val="continue"/>
                  <w:tcBorders>
                    <w:tl2br w:val="nil"/>
                    <w:tr2bl w:val="nil"/>
                  </w:tcBorders>
                  <w:vAlign w:val="center"/>
                </w:tcPr>
                <w:p w14:paraId="7FB76810">
                  <w:pPr>
                    <w:pStyle w:val="34"/>
                    <w:bidi w:val="0"/>
                    <w:rPr>
                      <w:rFonts w:hint="default"/>
                      <w:color w:val="auto"/>
                    </w:rPr>
                  </w:pPr>
                </w:p>
              </w:tc>
              <w:tc>
                <w:tcPr>
                  <w:tcW w:w="3109" w:type="dxa"/>
                  <w:tcBorders>
                    <w:tl2br w:val="nil"/>
                    <w:tr2bl w:val="nil"/>
                  </w:tcBorders>
                  <w:vAlign w:val="center"/>
                </w:tcPr>
                <w:p w14:paraId="15CC50D3">
                  <w:pPr>
                    <w:pStyle w:val="34"/>
                    <w:bidi w:val="0"/>
                    <w:rPr>
                      <w:rFonts w:hint="default"/>
                      <w:color w:val="auto"/>
                    </w:rPr>
                  </w:pPr>
                  <w:r>
                    <w:rPr>
                      <w:rFonts w:hint="default"/>
                      <w:color w:val="auto"/>
                    </w:rPr>
                    <w:t>3、</w:t>
                  </w:r>
                  <w:r>
                    <w:rPr>
                      <w:rFonts w:hint="eastAsia"/>
                      <w:color w:val="auto"/>
                      <w:lang w:eastAsia="zh-CN"/>
                    </w:rPr>
                    <w:t>开展大盈江、瑞丽江流域生态隐患和环境风险调查评估，划定高风险区域</w:t>
                  </w:r>
                  <w:r>
                    <w:rPr>
                      <w:rFonts w:hint="default"/>
                      <w:color w:val="auto"/>
                    </w:rPr>
                    <w:t>。</w:t>
                  </w:r>
                </w:p>
              </w:tc>
              <w:tc>
                <w:tcPr>
                  <w:tcW w:w="2638" w:type="dxa"/>
                  <w:tcBorders>
                    <w:tl2br w:val="nil"/>
                    <w:tr2bl w:val="nil"/>
                  </w:tcBorders>
                  <w:vAlign w:val="center"/>
                </w:tcPr>
                <w:p w14:paraId="3A85A73A">
                  <w:pPr>
                    <w:pStyle w:val="34"/>
                    <w:bidi w:val="0"/>
                    <w:rPr>
                      <w:rFonts w:hint="default"/>
                      <w:color w:val="auto"/>
                    </w:rPr>
                  </w:pPr>
                  <w:r>
                    <w:rPr>
                      <w:rFonts w:hint="default"/>
                      <w:color w:val="auto"/>
                    </w:rPr>
                    <w:t>本项目</w:t>
                  </w:r>
                  <w:r>
                    <w:rPr>
                      <w:rFonts w:hint="default" w:ascii="Times New Roman" w:hAnsi="Times New Roman" w:eastAsia="宋体" w:cs="Times New Roman"/>
                      <w:color w:val="auto"/>
                      <w:sz w:val="21"/>
                      <w:szCs w:val="21"/>
                      <w:lang w:eastAsia="zh-CN"/>
                    </w:rPr>
                    <w:t>工程的建设与德宏州环境风险防控不冲突。</w:t>
                  </w:r>
                </w:p>
              </w:tc>
              <w:tc>
                <w:tcPr>
                  <w:tcW w:w="713" w:type="dxa"/>
                  <w:tcBorders>
                    <w:tl2br w:val="nil"/>
                    <w:tr2bl w:val="nil"/>
                  </w:tcBorders>
                  <w:vAlign w:val="center"/>
                </w:tcPr>
                <w:p w14:paraId="6536D604">
                  <w:pPr>
                    <w:pStyle w:val="34"/>
                    <w:bidi w:val="0"/>
                    <w:rPr>
                      <w:rFonts w:hint="default"/>
                      <w:color w:val="auto"/>
                    </w:rPr>
                  </w:pPr>
                  <w:r>
                    <w:rPr>
                      <w:rFonts w:hint="default"/>
                      <w:color w:val="auto"/>
                    </w:rPr>
                    <w:t>符合</w:t>
                  </w:r>
                </w:p>
              </w:tc>
            </w:tr>
            <w:tr w14:paraId="18690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4" w:hRule="atLeast"/>
                <w:jc w:val="center"/>
              </w:trPr>
              <w:tc>
                <w:tcPr>
                  <w:tcW w:w="468" w:type="dxa"/>
                  <w:vMerge w:val="continue"/>
                  <w:tcBorders>
                    <w:tl2br w:val="nil"/>
                    <w:tr2bl w:val="nil"/>
                  </w:tcBorders>
                  <w:vAlign w:val="center"/>
                </w:tcPr>
                <w:p w14:paraId="3FDF428C">
                  <w:pPr>
                    <w:pStyle w:val="34"/>
                    <w:bidi w:val="0"/>
                    <w:rPr>
                      <w:rFonts w:hint="default"/>
                      <w:color w:val="auto"/>
                    </w:rPr>
                  </w:pPr>
                </w:p>
              </w:tc>
              <w:tc>
                <w:tcPr>
                  <w:tcW w:w="470" w:type="dxa"/>
                  <w:vMerge w:val="continue"/>
                  <w:tcBorders>
                    <w:tl2br w:val="nil"/>
                    <w:tr2bl w:val="nil"/>
                  </w:tcBorders>
                  <w:vAlign w:val="center"/>
                </w:tcPr>
                <w:p w14:paraId="6AEF8CE4">
                  <w:pPr>
                    <w:pStyle w:val="34"/>
                    <w:bidi w:val="0"/>
                    <w:rPr>
                      <w:rFonts w:hint="default"/>
                      <w:color w:val="auto"/>
                    </w:rPr>
                  </w:pPr>
                </w:p>
              </w:tc>
              <w:tc>
                <w:tcPr>
                  <w:tcW w:w="3109" w:type="dxa"/>
                  <w:tcBorders>
                    <w:tl2br w:val="nil"/>
                    <w:tr2bl w:val="nil"/>
                  </w:tcBorders>
                  <w:vAlign w:val="center"/>
                </w:tcPr>
                <w:p w14:paraId="7983D81B">
                  <w:pPr>
                    <w:pStyle w:val="34"/>
                    <w:bidi w:val="0"/>
                    <w:rPr>
                      <w:rFonts w:hint="default"/>
                      <w:color w:val="auto"/>
                    </w:rPr>
                  </w:pPr>
                  <w:r>
                    <w:rPr>
                      <w:rFonts w:hint="default"/>
                      <w:color w:val="auto"/>
                    </w:rPr>
                    <w:t>4</w:t>
                  </w:r>
                  <w:r>
                    <w:rPr>
                      <w:rFonts w:hint="eastAsia"/>
                      <w:color w:val="auto"/>
                      <w:lang w:eastAsia="zh-CN"/>
                    </w:rPr>
                    <w:t>、</w:t>
                  </w:r>
                  <w:r>
                    <w:rPr>
                      <w:rFonts w:hint="default"/>
                      <w:color w:val="auto"/>
                    </w:rPr>
                    <w:t>制定跨国界河流水污染事故应急方案，开展伊洛瓦底江流域跨国界河流的生态环境监测和污染综合防治。</w:t>
                  </w:r>
                </w:p>
              </w:tc>
              <w:tc>
                <w:tcPr>
                  <w:tcW w:w="2638" w:type="dxa"/>
                  <w:tcBorders>
                    <w:tl2br w:val="nil"/>
                    <w:tr2bl w:val="nil"/>
                  </w:tcBorders>
                  <w:vAlign w:val="center"/>
                </w:tcPr>
                <w:p w14:paraId="3D1CB0B6">
                  <w:pPr>
                    <w:pStyle w:val="34"/>
                    <w:bidi w:val="0"/>
                    <w:rPr>
                      <w:rFonts w:hint="default"/>
                      <w:color w:val="auto"/>
                    </w:rPr>
                  </w:pPr>
                  <w:r>
                    <w:rPr>
                      <w:rFonts w:ascii="Times New Roman" w:hAnsi="Times New Roman" w:eastAsia="宋体"/>
                      <w:color w:val="auto"/>
                    </w:rPr>
                    <w:t>项目建成后根据《企事业单位突发环境事件应急预案备案管理办法（试行）</w:t>
                  </w:r>
                  <w:r>
                    <w:rPr>
                      <w:rFonts w:hint="eastAsia" w:ascii="Times New Roman" w:hAnsi="Times New Roman" w:eastAsia="宋体"/>
                      <w:color w:val="auto"/>
                      <w:lang w:eastAsia="zh-CN"/>
                    </w:rPr>
                    <w:t>》《</w:t>
                  </w:r>
                  <w:r>
                    <w:rPr>
                      <w:rFonts w:ascii="Times New Roman" w:hAnsi="Times New Roman" w:eastAsia="宋体"/>
                      <w:color w:val="auto"/>
                    </w:rPr>
                    <w:t>突发环境事件应急管理办法》等文件要求编制突发环境事件应急预案以应对企业突发环境事件。</w:t>
                  </w:r>
                </w:p>
              </w:tc>
              <w:tc>
                <w:tcPr>
                  <w:tcW w:w="713" w:type="dxa"/>
                  <w:tcBorders>
                    <w:tl2br w:val="nil"/>
                    <w:tr2bl w:val="nil"/>
                  </w:tcBorders>
                  <w:vAlign w:val="center"/>
                </w:tcPr>
                <w:p w14:paraId="5A370225">
                  <w:pPr>
                    <w:pStyle w:val="34"/>
                    <w:bidi w:val="0"/>
                    <w:rPr>
                      <w:rFonts w:hint="eastAsia" w:eastAsia="宋体"/>
                      <w:color w:val="auto"/>
                      <w:lang w:eastAsia="zh-CN"/>
                    </w:rPr>
                  </w:pPr>
                  <w:r>
                    <w:rPr>
                      <w:rFonts w:hint="eastAsia"/>
                      <w:color w:val="auto"/>
                      <w:lang w:eastAsia="zh-CN"/>
                    </w:rPr>
                    <w:t>符合</w:t>
                  </w:r>
                </w:p>
              </w:tc>
            </w:tr>
            <w:tr w14:paraId="58B8B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4" w:hRule="atLeast"/>
                <w:jc w:val="center"/>
              </w:trPr>
              <w:tc>
                <w:tcPr>
                  <w:tcW w:w="468" w:type="dxa"/>
                  <w:vMerge w:val="continue"/>
                  <w:tcBorders>
                    <w:tl2br w:val="nil"/>
                    <w:tr2bl w:val="nil"/>
                  </w:tcBorders>
                  <w:vAlign w:val="center"/>
                </w:tcPr>
                <w:p w14:paraId="058781AC">
                  <w:pPr>
                    <w:pStyle w:val="34"/>
                    <w:bidi w:val="0"/>
                    <w:rPr>
                      <w:rFonts w:hint="default"/>
                      <w:color w:val="auto"/>
                    </w:rPr>
                  </w:pPr>
                </w:p>
              </w:tc>
              <w:tc>
                <w:tcPr>
                  <w:tcW w:w="470" w:type="dxa"/>
                  <w:vMerge w:val="continue"/>
                  <w:tcBorders>
                    <w:tl2br w:val="nil"/>
                    <w:tr2bl w:val="nil"/>
                  </w:tcBorders>
                  <w:vAlign w:val="center"/>
                </w:tcPr>
                <w:p w14:paraId="6265D8B6">
                  <w:pPr>
                    <w:pStyle w:val="34"/>
                    <w:bidi w:val="0"/>
                    <w:rPr>
                      <w:rFonts w:hint="default"/>
                      <w:color w:val="auto"/>
                    </w:rPr>
                  </w:pPr>
                </w:p>
              </w:tc>
              <w:tc>
                <w:tcPr>
                  <w:tcW w:w="3109" w:type="dxa"/>
                  <w:tcBorders>
                    <w:tl2br w:val="nil"/>
                    <w:tr2bl w:val="nil"/>
                  </w:tcBorders>
                  <w:vAlign w:val="center"/>
                </w:tcPr>
                <w:p w14:paraId="3FC099E4">
                  <w:pPr>
                    <w:pStyle w:val="34"/>
                    <w:bidi w:val="0"/>
                    <w:rPr>
                      <w:rFonts w:hint="default"/>
                      <w:color w:val="auto"/>
                    </w:rPr>
                  </w:pPr>
                  <w:r>
                    <w:rPr>
                      <w:rFonts w:hint="default"/>
                      <w:color w:val="auto"/>
                    </w:rPr>
                    <w:t>5</w:t>
                  </w:r>
                  <w:r>
                    <w:rPr>
                      <w:rFonts w:hint="eastAsia"/>
                      <w:color w:val="auto"/>
                      <w:lang w:eastAsia="zh-CN"/>
                    </w:rPr>
                    <w:t>、</w:t>
                  </w:r>
                  <w:r>
                    <w:rPr>
                      <w:rFonts w:hint="default"/>
                      <w:color w:val="auto"/>
                    </w:rPr>
                    <w:t>建立健全尾矿库污染防治的长效机制，杜绝不可抗力因素导致的尾矿库突发环境事件。</w:t>
                  </w:r>
                </w:p>
              </w:tc>
              <w:tc>
                <w:tcPr>
                  <w:tcW w:w="2638" w:type="dxa"/>
                  <w:tcBorders>
                    <w:tl2br w:val="nil"/>
                    <w:tr2bl w:val="nil"/>
                  </w:tcBorders>
                  <w:vAlign w:val="center"/>
                </w:tcPr>
                <w:p w14:paraId="4C0F5E17">
                  <w:pPr>
                    <w:pStyle w:val="34"/>
                    <w:bidi w:val="0"/>
                    <w:rPr>
                      <w:rFonts w:hint="eastAsia" w:eastAsia="宋体"/>
                      <w:color w:val="auto"/>
                      <w:lang w:eastAsia="zh-CN"/>
                    </w:rPr>
                  </w:pPr>
                  <w:r>
                    <w:rPr>
                      <w:rFonts w:hint="eastAsia"/>
                      <w:color w:val="auto"/>
                      <w:lang w:eastAsia="zh-CN"/>
                    </w:rPr>
                    <w:t>本项目不涉及。</w:t>
                  </w:r>
                </w:p>
              </w:tc>
              <w:tc>
                <w:tcPr>
                  <w:tcW w:w="713" w:type="dxa"/>
                  <w:tcBorders>
                    <w:tl2br w:val="nil"/>
                    <w:tr2bl w:val="nil"/>
                  </w:tcBorders>
                  <w:vAlign w:val="center"/>
                </w:tcPr>
                <w:p w14:paraId="578AAC63">
                  <w:pPr>
                    <w:pStyle w:val="34"/>
                    <w:bidi w:val="0"/>
                    <w:rPr>
                      <w:rFonts w:hint="eastAsia" w:eastAsia="宋体"/>
                      <w:color w:val="auto"/>
                      <w:lang w:eastAsia="zh-CN"/>
                    </w:rPr>
                  </w:pPr>
                  <w:r>
                    <w:rPr>
                      <w:rFonts w:hint="eastAsia"/>
                      <w:color w:val="auto"/>
                      <w:lang w:eastAsia="zh-CN"/>
                    </w:rPr>
                    <w:t>符合</w:t>
                  </w:r>
                </w:p>
              </w:tc>
            </w:tr>
            <w:tr w14:paraId="53F18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4" w:hRule="atLeast"/>
                <w:jc w:val="center"/>
              </w:trPr>
              <w:tc>
                <w:tcPr>
                  <w:tcW w:w="468" w:type="dxa"/>
                  <w:vMerge w:val="continue"/>
                  <w:tcBorders>
                    <w:tl2br w:val="nil"/>
                    <w:tr2bl w:val="nil"/>
                  </w:tcBorders>
                  <w:vAlign w:val="center"/>
                </w:tcPr>
                <w:p w14:paraId="67F92811">
                  <w:pPr>
                    <w:pStyle w:val="34"/>
                    <w:bidi w:val="0"/>
                    <w:rPr>
                      <w:rFonts w:hint="default"/>
                      <w:color w:val="auto"/>
                    </w:rPr>
                  </w:pPr>
                </w:p>
              </w:tc>
              <w:tc>
                <w:tcPr>
                  <w:tcW w:w="470" w:type="dxa"/>
                  <w:vMerge w:val="restart"/>
                  <w:tcBorders>
                    <w:tl2br w:val="nil"/>
                    <w:tr2bl w:val="nil"/>
                  </w:tcBorders>
                  <w:vAlign w:val="center"/>
                </w:tcPr>
                <w:p w14:paraId="1C549DBE">
                  <w:pPr>
                    <w:pStyle w:val="34"/>
                    <w:bidi w:val="0"/>
                    <w:rPr>
                      <w:rFonts w:hint="default"/>
                      <w:color w:val="auto"/>
                    </w:rPr>
                  </w:pPr>
                  <w:r>
                    <w:rPr>
                      <w:rFonts w:hint="default"/>
                      <w:color w:val="auto"/>
                    </w:rPr>
                    <w:t>资源开发利用效率</w:t>
                  </w:r>
                </w:p>
              </w:tc>
              <w:tc>
                <w:tcPr>
                  <w:tcW w:w="3109" w:type="dxa"/>
                  <w:tcBorders>
                    <w:tl2br w:val="nil"/>
                    <w:tr2bl w:val="nil"/>
                  </w:tcBorders>
                  <w:vAlign w:val="center"/>
                </w:tcPr>
                <w:p w14:paraId="520F19A7">
                  <w:pPr>
                    <w:pStyle w:val="34"/>
                    <w:bidi w:val="0"/>
                    <w:rPr>
                      <w:rFonts w:hint="default"/>
                      <w:color w:val="auto"/>
                    </w:rPr>
                  </w:pPr>
                  <w:r>
                    <w:rPr>
                      <w:rFonts w:hint="default"/>
                      <w:color w:val="auto"/>
                    </w:rPr>
                    <w:t>1、逐步降低水资源、土地资源、能源消耗强度，强化约束性指标管理。</w:t>
                  </w:r>
                </w:p>
              </w:tc>
              <w:tc>
                <w:tcPr>
                  <w:tcW w:w="2638" w:type="dxa"/>
                  <w:tcBorders>
                    <w:tl2br w:val="nil"/>
                    <w:tr2bl w:val="nil"/>
                  </w:tcBorders>
                  <w:vAlign w:val="center"/>
                </w:tcPr>
                <w:p w14:paraId="4ADD9C22">
                  <w:pPr>
                    <w:pStyle w:val="34"/>
                    <w:bidi w:val="0"/>
                    <w:rPr>
                      <w:rFonts w:hint="eastAsia" w:eastAsia="宋体"/>
                      <w:color w:val="auto"/>
                      <w:lang w:eastAsia="zh-CN"/>
                    </w:rPr>
                  </w:pPr>
                  <w:r>
                    <w:rPr>
                      <w:rFonts w:hint="eastAsia"/>
                      <w:color w:val="auto"/>
                    </w:rPr>
                    <w:t>本项目为河道治理工程，为环境友好型建设工程，施工期用水量较少，运营期不消耗水资源不产生污染物</w:t>
                  </w:r>
                  <w:r>
                    <w:rPr>
                      <w:rFonts w:hint="eastAsia"/>
                      <w:color w:val="auto"/>
                      <w:lang w:eastAsia="zh-CN"/>
                    </w:rPr>
                    <w:t>。</w:t>
                  </w:r>
                </w:p>
              </w:tc>
              <w:tc>
                <w:tcPr>
                  <w:tcW w:w="713" w:type="dxa"/>
                  <w:tcBorders>
                    <w:tl2br w:val="nil"/>
                    <w:tr2bl w:val="nil"/>
                  </w:tcBorders>
                  <w:vAlign w:val="center"/>
                </w:tcPr>
                <w:p w14:paraId="5D8D228D">
                  <w:pPr>
                    <w:pStyle w:val="34"/>
                    <w:bidi w:val="0"/>
                    <w:rPr>
                      <w:rFonts w:hint="default"/>
                      <w:color w:val="auto"/>
                    </w:rPr>
                  </w:pPr>
                  <w:r>
                    <w:rPr>
                      <w:rFonts w:hint="default"/>
                      <w:color w:val="auto"/>
                    </w:rPr>
                    <w:t>符合</w:t>
                  </w:r>
                </w:p>
              </w:tc>
            </w:tr>
            <w:tr w14:paraId="267BA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2" w:hRule="atLeast"/>
                <w:jc w:val="center"/>
              </w:trPr>
              <w:tc>
                <w:tcPr>
                  <w:tcW w:w="468" w:type="dxa"/>
                  <w:vMerge w:val="continue"/>
                  <w:tcBorders>
                    <w:tl2br w:val="nil"/>
                    <w:tr2bl w:val="nil"/>
                  </w:tcBorders>
                  <w:vAlign w:val="center"/>
                </w:tcPr>
                <w:p w14:paraId="3C7EDA42">
                  <w:pPr>
                    <w:pStyle w:val="34"/>
                    <w:bidi w:val="0"/>
                    <w:rPr>
                      <w:rFonts w:hint="default"/>
                      <w:color w:val="auto"/>
                    </w:rPr>
                  </w:pPr>
                </w:p>
              </w:tc>
              <w:tc>
                <w:tcPr>
                  <w:tcW w:w="470" w:type="dxa"/>
                  <w:vMerge w:val="continue"/>
                  <w:tcBorders>
                    <w:tl2br w:val="nil"/>
                    <w:tr2bl w:val="nil"/>
                  </w:tcBorders>
                  <w:vAlign w:val="center"/>
                </w:tcPr>
                <w:p w14:paraId="30325DAE">
                  <w:pPr>
                    <w:pStyle w:val="34"/>
                    <w:bidi w:val="0"/>
                    <w:rPr>
                      <w:rFonts w:hint="default"/>
                      <w:color w:val="auto"/>
                    </w:rPr>
                  </w:pPr>
                </w:p>
              </w:tc>
              <w:tc>
                <w:tcPr>
                  <w:tcW w:w="3109" w:type="dxa"/>
                  <w:tcBorders>
                    <w:tl2br w:val="nil"/>
                    <w:tr2bl w:val="nil"/>
                  </w:tcBorders>
                  <w:vAlign w:val="center"/>
                </w:tcPr>
                <w:p w14:paraId="0718D5E4">
                  <w:pPr>
                    <w:pStyle w:val="34"/>
                    <w:bidi w:val="0"/>
                    <w:rPr>
                      <w:rFonts w:hint="eastAsia" w:eastAsia="宋体"/>
                      <w:color w:val="auto"/>
                      <w:lang w:eastAsia="zh-CN"/>
                    </w:rPr>
                  </w:pPr>
                  <w:r>
                    <w:rPr>
                      <w:rFonts w:hint="default"/>
                      <w:color w:val="auto"/>
                    </w:rPr>
                    <w:t>2、实行最严格的水资源管理制度，严格用水总量、强度指标管理，用水总量、万元工业增加值用水量降幅等指标达到省级考核要求。严格取水管控，建立重点监控取水单位名录，强化重点监控取水单位管理。</w:t>
                  </w:r>
                </w:p>
              </w:tc>
              <w:tc>
                <w:tcPr>
                  <w:tcW w:w="2638" w:type="dxa"/>
                  <w:tcBorders>
                    <w:tl2br w:val="nil"/>
                    <w:tr2bl w:val="nil"/>
                  </w:tcBorders>
                  <w:vAlign w:val="center"/>
                </w:tcPr>
                <w:p w14:paraId="2568D969">
                  <w:pPr>
                    <w:pStyle w:val="34"/>
                    <w:bidi w:val="0"/>
                    <w:rPr>
                      <w:rFonts w:hint="default"/>
                      <w:color w:val="auto"/>
                    </w:rPr>
                  </w:pPr>
                  <w:r>
                    <w:rPr>
                      <w:color w:val="auto"/>
                    </w:rPr>
                    <w:t>项目</w:t>
                  </w:r>
                  <w:r>
                    <w:rPr>
                      <w:rFonts w:hint="eastAsia"/>
                      <w:color w:val="auto"/>
                      <w:lang w:val="en-US" w:eastAsia="zh-CN"/>
                    </w:rPr>
                    <w:t>运营过程中不用水</w:t>
                  </w:r>
                  <w:r>
                    <w:rPr>
                      <w:color w:val="auto"/>
                    </w:rPr>
                    <w:t>，</w:t>
                  </w:r>
                  <w:r>
                    <w:rPr>
                      <w:rFonts w:hint="eastAsia"/>
                      <w:color w:val="auto"/>
                      <w:lang w:val="en-US" w:eastAsia="zh-CN"/>
                    </w:rPr>
                    <w:t>不涉及</w:t>
                  </w:r>
                  <w:r>
                    <w:rPr>
                      <w:color w:val="auto"/>
                    </w:rPr>
                    <w:t>自行取水。</w:t>
                  </w:r>
                </w:p>
              </w:tc>
              <w:tc>
                <w:tcPr>
                  <w:tcW w:w="713" w:type="dxa"/>
                  <w:tcBorders>
                    <w:tl2br w:val="nil"/>
                    <w:tr2bl w:val="nil"/>
                  </w:tcBorders>
                  <w:vAlign w:val="center"/>
                </w:tcPr>
                <w:p w14:paraId="4A02B016">
                  <w:pPr>
                    <w:pStyle w:val="34"/>
                    <w:bidi w:val="0"/>
                    <w:rPr>
                      <w:rFonts w:hint="default"/>
                      <w:color w:val="auto"/>
                    </w:rPr>
                  </w:pPr>
                  <w:r>
                    <w:rPr>
                      <w:rFonts w:hint="default"/>
                      <w:color w:val="auto"/>
                    </w:rPr>
                    <w:t>符合</w:t>
                  </w:r>
                </w:p>
              </w:tc>
            </w:tr>
            <w:tr w14:paraId="1C250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4" w:hRule="atLeast"/>
                <w:jc w:val="center"/>
              </w:trPr>
              <w:tc>
                <w:tcPr>
                  <w:tcW w:w="468" w:type="dxa"/>
                  <w:vMerge w:val="continue"/>
                  <w:tcBorders>
                    <w:tl2br w:val="nil"/>
                    <w:tr2bl w:val="nil"/>
                  </w:tcBorders>
                  <w:vAlign w:val="center"/>
                </w:tcPr>
                <w:p w14:paraId="73654648">
                  <w:pPr>
                    <w:pStyle w:val="34"/>
                    <w:bidi w:val="0"/>
                    <w:rPr>
                      <w:rFonts w:hint="default"/>
                      <w:color w:val="auto"/>
                    </w:rPr>
                  </w:pPr>
                </w:p>
              </w:tc>
              <w:tc>
                <w:tcPr>
                  <w:tcW w:w="470" w:type="dxa"/>
                  <w:vMerge w:val="continue"/>
                  <w:tcBorders>
                    <w:tl2br w:val="nil"/>
                    <w:tr2bl w:val="nil"/>
                  </w:tcBorders>
                  <w:vAlign w:val="center"/>
                </w:tcPr>
                <w:p w14:paraId="6AAE9985">
                  <w:pPr>
                    <w:pStyle w:val="34"/>
                    <w:bidi w:val="0"/>
                    <w:rPr>
                      <w:rFonts w:hint="default"/>
                      <w:color w:val="auto"/>
                    </w:rPr>
                  </w:pPr>
                </w:p>
              </w:tc>
              <w:tc>
                <w:tcPr>
                  <w:tcW w:w="3109" w:type="dxa"/>
                  <w:tcBorders>
                    <w:tl2br w:val="nil"/>
                    <w:tr2bl w:val="nil"/>
                  </w:tcBorders>
                  <w:vAlign w:val="center"/>
                </w:tcPr>
                <w:p w14:paraId="7B7ADC2B">
                  <w:pPr>
                    <w:pStyle w:val="34"/>
                    <w:bidi w:val="0"/>
                    <w:rPr>
                      <w:rFonts w:hint="default"/>
                      <w:color w:val="auto"/>
                    </w:rPr>
                  </w:pPr>
                  <w:r>
                    <w:rPr>
                      <w:rFonts w:hint="default"/>
                      <w:color w:val="auto"/>
                    </w:rPr>
                    <w:t>3、坚持最严格的耕地保护制度，守住耕地保护红线。坚持节约用地，严格执行耕地占补平衡等制度，提高土地投资强度和单位面积产出水平。</w:t>
                  </w:r>
                </w:p>
              </w:tc>
              <w:tc>
                <w:tcPr>
                  <w:tcW w:w="2638" w:type="dxa"/>
                  <w:tcBorders>
                    <w:tl2br w:val="nil"/>
                    <w:tr2bl w:val="nil"/>
                  </w:tcBorders>
                  <w:vAlign w:val="center"/>
                </w:tcPr>
                <w:p w14:paraId="2DC397BF">
                  <w:pPr>
                    <w:pStyle w:val="34"/>
                    <w:bidi w:val="0"/>
                    <w:rPr>
                      <w:rFonts w:hint="default"/>
                      <w:color w:val="auto"/>
                      <w:lang w:val="en-US"/>
                    </w:rPr>
                  </w:pPr>
                  <w:r>
                    <w:rPr>
                      <w:rFonts w:hint="default"/>
                      <w:color w:val="auto"/>
                      <w:lang w:val="en-US"/>
                    </w:rPr>
                    <w:t>根据附件</w:t>
                  </w:r>
                  <w:r>
                    <w:rPr>
                      <w:rFonts w:hint="eastAsia"/>
                      <w:color w:val="auto"/>
                      <w:lang w:val="en-US" w:eastAsia="zh-CN"/>
                    </w:rPr>
                    <w:t>3</w:t>
                  </w:r>
                  <w:r>
                    <w:rPr>
                      <w:rFonts w:hint="default"/>
                      <w:color w:val="auto"/>
                      <w:lang w:val="en-US"/>
                    </w:rPr>
                    <w:t>《云南省水利水电勘测设计研究院关于芒市果朗河大新寨至芒里大桥段治理工程初步设计报告省级合规性审核》中《果朗河大新寨至芒里大桥段治理工程合规性审核主要指标表》，项目不涉及生态红线，永久基本农田。</w:t>
                  </w:r>
                </w:p>
              </w:tc>
              <w:tc>
                <w:tcPr>
                  <w:tcW w:w="713" w:type="dxa"/>
                  <w:tcBorders>
                    <w:tl2br w:val="nil"/>
                    <w:tr2bl w:val="nil"/>
                  </w:tcBorders>
                  <w:vAlign w:val="center"/>
                </w:tcPr>
                <w:p w14:paraId="3DCC121D">
                  <w:pPr>
                    <w:pStyle w:val="34"/>
                    <w:bidi w:val="0"/>
                    <w:rPr>
                      <w:rFonts w:hint="default"/>
                      <w:color w:val="auto"/>
                    </w:rPr>
                  </w:pPr>
                  <w:r>
                    <w:rPr>
                      <w:rFonts w:hint="default"/>
                      <w:color w:val="auto"/>
                    </w:rPr>
                    <w:t>符合</w:t>
                  </w:r>
                </w:p>
              </w:tc>
            </w:tr>
            <w:tr w14:paraId="41036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468" w:type="dxa"/>
                  <w:vMerge w:val="continue"/>
                  <w:tcBorders>
                    <w:tl2br w:val="nil"/>
                    <w:tr2bl w:val="nil"/>
                  </w:tcBorders>
                  <w:vAlign w:val="center"/>
                </w:tcPr>
                <w:p w14:paraId="1D6A6789">
                  <w:pPr>
                    <w:pStyle w:val="34"/>
                    <w:bidi w:val="0"/>
                    <w:rPr>
                      <w:rFonts w:hint="default"/>
                      <w:color w:val="auto"/>
                    </w:rPr>
                  </w:pPr>
                </w:p>
              </w:tc>
              <w:tc>
                <w:tcPr>
                  <w:tcW w:w="470" w:type="dxa"/>
                  <w:vMerge w:val="continue"/>
                  <w:tcBorders>
                    <w:tl2br w:val="nil"/>
                    <w:tr2bl w:val="nil"/>
                  </w:tcBorders>
                  <w:vAlign w:val="center"/>
                </w:tcPr>
                <w:p w14:paraId="39E62069">
                  <w:pPr>
                    <w:pStyle w:val="34"/>
                    <w:bidi w:val="0"/>
                    <w:rPr>
                      <w:rFonts w:hint="default"/>
                      <w:color w:val="auto"/>
                    </w:rPr>
                  </w:pPr>
                </w:p>
              </w:tc>
              <w:tc>
                <w:tcPr>
                  <w:tcW w:w="3109" w:type="dxa"/>
                  <w:tcBorders>
                    <w:tl2br w:val="nil"/>
                    <w:tr2bl w:val="nil"/>
                  </w:tcBorders>
                  <w:vAlign w:val="center"/>
                </w:tcPr>
                <w:p w14:paraId="1A026450">
                  <w:pPr>
                    <w:pStyle w:val="34"/>
                    <w:bidi w:val="0"/>
                    <w:rPr>
                      <w:rFonts w:hint="default"/>
                      <w:color w:val="auto"/>
                    </w:rPr>
                  </w:pPr>
                  <w:r>
                    <w:rPr>
                      <w:rFonts w:hint="default"/>
                      <w:color w:val="auto"/>
                    </w:rPr>
                    <w:t>4、全州单位GDP能耗持续下降，能耗增量控制目标达到省级考核要求。</w:t>
                  </w:r>
                </w:p>
              </w:tc>
              <w:tc>
                <w:tcPr>
                  <w:tcW w:w="2638" w:type="dxa"/>
                  <w:tcBorders>
                    <w:tl2br w:val="nil"/>
                    <w:tr2bl w:val="nil"/>
                  </w:tcBorders>
                  <w:vAlign w:val="center"/>
                </w:tcPr>
                <w:p w14:paraId="3BCA886F">
                  <w:pPr>
                    <w:pStyle w:val="34"/>
                    <w:bidi w:val="0"/>
                    <w:rPr>
                      <w:rFonts w:hint="default"/>
                      <w:color w:val="auto"/>
                    </w:rPr>
                  </w:pPr>
                  <w:r>
                    <w:rPr>
                      <w:rFonts w:hint="default"/>
                      <w:color w:val="auto"/>
                    </w:rPr>
                    <w:t>项目</w:t>
                  </w:r>
                  <w:r>
                    <w:rPr>
                      <w:rFonts w:hint="default"/>
                      <w:color w:val="auto"/>
                      <w:lang w:val="en-US" w:eastAsia="zh-CN"/>
                    </w:rPr>
                    <w:t>施工期</w:t>
                  </w:r>
                  <w:r>
                    <w:rPr>
                      <w:rFonts w:hint="default"/>
                      <w:color w:val="auto"/>
                    </w:rPr>
                    <w:t>使用电能和柴油，其使用量占区域资源量较少。</w:t>
                  </w:r>
                </w:p>
              </w:tc>
              <w:tc>
                <w:tcPr>
                  <w:tcW w:w="713" w:type="dxa"/>
                  <w:tcBorders>
                    <w:tl2br w:val="nil"/>
                    <w:tr2bl w:val="nil"/>
                  </w:tcBorders>
                  <w:vAlign w:val="center"/>
                </w:tcPr>
                <w:p w14:paraId="27ACD452">
                  <w:pPr>
                    <w:pStyle w:val="34"/>
                    <w:bidi w:val="0"/>
                    <w:rPr>
                      <w:rFonts w:hint="default"/>
                      <w:color w:val="auto"/>
                    </w:rPr>
                  </w:pPr>
                  <w:r>
                    <w:rPr>
                      <w:rFonts w:hint="default"/>
                      <w:color w:val="auto"/>
                    </w:rPr>
                    <w:t>符合</w:t>
                  </w:r>
                </w:p>
              </w:tc>
            </w:tr>
          </w:tbl>
          <w:p w14:paraId="29B3697C">
            <w:pPr>
              <w:keepNext w:val="0"/>
              <w:keepLines w:val="0"/>
              <w:pageBreakBefore w:val="0"/>
              <w:numPr>
                <w:ilvl w:val="0"/>
                <w:numId w:val="0"/>
              </w:numPr>
              <w:wordWrap/>
              <w:topLinePunct w:val="0"/>
              <w:bidi w:val="0"/>
              <w:adjustRightInd/>
              <w:snapToGrid/>
              <w:spacing w:beforeAutospacing="0" w:afterAutospacing="0" w:line="360" w:lineRule="auto"/>
              <w:ind w:left="0" w:leftChars="0" w:right="0" w:rightChars="0" w:firstLine="480" w:firstLineChars="20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本项目为河道治理类工程，不属于生产排污项目，根据上表分析可知，本项目的建设与德宏州生态环境准入清单总体准入要求不冲突。</w:t>
            </w:r>
          </w:p>
          <w:p w14:paraId="2C79C83D">
            <w:pPr>
              <w:keepNext w:val="0"/>
              <w:keepLines w:val="0"/>
              <w:pageBreakBefore w:val="0"/>
              <w:numPr>
                <w:ilvl w:val="0"/>
                <w:numId w:val="0"/>
              </w:numPr>
              <w:wordWrap/>
              <w:topLinePunct w:val="0"/>
              <w:bidi w:val="0"/>
              <w:adjustRightInd/>
              <w:snapToGrid/>
              <w:spacing w:beforeAutospacing="0" w:afterAutospacing="0" w:line="360" w:lineRule="auto"/>
              <w:ind w:left="0" w:leftChars="0" w:right="0" w:rightChars="0" w:firstLine="480" w:firstLineChars="200"/>
              <w:jc w:val="left"/>
              <w:rPr>
                <w:rFonts w:hint="eastAsia"/>
                <w:b/>
                <w:bCs/>
                <w:color w:val="auto"/>
                <w:lang w:eastAsia="zh-CN"/>
              </w:rPr>
            </w:pPr>
            <w:r>
              <w:rPr>
                <w:rFonts w:hint="default" w:ascii="Times New Roman" w:hAnsi="Times New Roman" w:eastAsia="宋体" w:cs="Times New Roman"/>
                <w:color w:val="auto"/>
                <w:lang w:val="en-US" w:eastAsia="zh-CN"/>
              </w:rPr>
              <w:t>综上分析，本项目属于生态影响类项目，非开发建设性项目，符合“三线一单”的管理要求。</w:t>
            </w:r>
          </w:p>
          <w:p w14:paraId="4478A64C">
            <w:pPr>
              <w:pStyle w:val="36"/>
              <w:bidi w:val="0"/>
              <w:rPr>
                <w:rFonts w:hint="eastAsia"/>
                <w:b/>
                <w:bCs/>
                <w:color w:val="auto"/>
                <w:lang w:eastAsia="zh-CN"/>
              </w:rPr>
            </w:pPr>
            <w:r>
              <w:rPr>
                <w:rFonts w:hint="eastAsia"/>
                <w:b/>
                <w:bCs/>
                <w:color w:val="auto"/>
                <w:lang w:val="en-US" w:eastAsia="zh-CN"/>
              </w:rPr>
              <w:t>4</w:t>
            </w:r>
            <w:r>
              <w:rPr>
                <w:rFonts w:hint="eastAsia"/>
                <w:b/>
                <w:bCs/>
                <w:color w:val="auto"/>
                <w:lang w:eastAsia="zh-CN"/>
              </w:rPr>
              <w:t>、项目与《云南省长江经济带发展负面清单指南实施细则（试行）》（</w:t>
            </w:r>
            <w:r>
              <w:rPr>
                <w:rFonts w:hint="eastAsia"/>
                <w:b/>
                <w:bCs/>
                <w:color w:val="auto"/>
                <w:lang w:val="en-US" w:eastAsia="zh-CN"/>
              </w:rPr>
              <w:t>试行，2022年版</w:t>
            </w:r>
            <w:r>
              <w:rPr>
                <w:rFonts w:hint="eastAsia"/>
                <w:b/>
                <w:bCs/>
                <w:color w:val="auto"/>
                <w:lang w:eastAsia="zh-CN"/>
              </w:rPr>
              <w:t>）符合性分析</w:t>
            </w:r>
          </w:p>
          <w:p w14:paraId="7983681B">
            <w:pPr>
              <w:pStyle w:val="36"/>
              <w:bidi w:val="0"/>
              <w:rPr>
                <w:rFonts w:hint="eastAsia" w:eastAsia="宋体" w:cs="Times New Roman"/>
                <w:color w:val="auto"/>
                <w:spacing w:val="0"/>
                <w:position w:val="0"/>
                <w:lang w:val="en-US" w:eastAsia="zh-CN"/>
              </w:rPr>
            </w:pPr>
            <w:r>
              <w:rPr>
                <w:rFonts w:hint="eastAsia" w:eastAsia="宋体" w:cs="Times New Roman"/>
                <w:color w:val="auto"/>
                <w:spacing w:val="0"/>
                <w:position w:val="0"/>
                <w:lang w:val="en-US" w:eastAsia="zh-CN"/>
              </w:rPr>
              <w:t>为深入贯彻落实习近平总书记关于推动长江经济带发展的重要讲话和指示批示精神，认真落实长江保护法，根据《长江经济带发展负面清单指南（试行，2022年版）》(长江办〔2022〕7号)，结合云南实际，制定本实施细则。项目与长江经济带发展负面清单符合性，见下表。</w:t>
            </w:r>
          </w:p>
          <w:p w14:paraId="3E6C7228">
            <w:pPr>
              <w:pStyle w:val="36"/>
              <w:bidi w:val="0"/>
              <w:spacing w:line="240" w:lineRule="auto"/>
              <w:ind w:left="0" w:leftChars="0" w:firstLine="0" w:firstLineChars="0"/>
              <w:jc w:val="center"/>
              <w:rPr>
                <w:rFonts w:hint="eastAsia" w:eastAsia="宋体" w:cs="Times New Roman"/>
                <w:b/>
                <w:bCs/>
                <w:color w:val="auto"/>
                <w:spacing w:val="0"/>
                <w:position w:val="0"/>
                <w:sz w:val="21"/>
                <w:szCs w:val="21"/>
                <w:lang w:val="en-US" w:eastAsia="zh-CN"/>
              </w:rPr>
            </w:pPr>
            <w:r>
              <w:rPr>
                <w:rFonts w:hint="eastAsia" w:eastAsia="宋体" w:cs="Times New Roman"/>
                <w:b/>
                <w:bCs/>
                <w:color w:val="auto"/>
                <w:spacing w:val="0"/>
                <w:position w:val="0"/>
                <w:sz w:val="21"/>
                <w:szCs w:val="21"/>
                <w:lang w:val="en-US" w:eastAsia="zh-CN"/>
              </w:rPr>
              <w:t>表1-</w:t>
            </w:r>
            <w:r>
              <w:rPr>
                <w:rFonts w:hint="eastAsia" w:cs="Times New Roman"/>
                <w:b/>
                <w:bCs/>
                <w:color w:val="auto"/>
                <w:spacing w:val="0"/>
                <w:position w:val="0"/>
                <w:sz w:val="21"/>
                <w:szCs w:val="21"/>
                <w:lang w:val="en-US" w:eastAsia="zh-CN"/>
              </w:rPr>
              <w:t>4</w:t>
            </w:r>
            <w:r>
              <w:rPr>
                <w:rFonts w:hint="eastAsia" w:eastAsia="宋体" w:cs="Times New Roman"/>
                <w:b/>
                <w:bCs/>
                <w:color w:val="auto"/>
                <w:spacing w:val="0"/>
                <w:position w:val="0"/>
                <w:sz w:val="21"/>
                <w:szCs w:val="21"/>
                <w:lang w:val="en-US" w:eastAsia="zh-CN"/>
              </w:rPr>
              <w:t>与“云南省长江经济带发展负面清单指南实施细则（试行）”的符合</w:t>
            </w:r>
            <w:r>
              <w:rPr>
                <w:rFonts w:hint="eastAsia" w:cs="Times New Roman"/>
                <w:b/>
                <w:bCs/>
                <w:color w:val="auto"/>
                <w:spacing w:val="0"/>
                <w:position w:val="0"/>
                <w:sz w:val="21"/>
                <w:szCs w:val="21"/>
                <w:lang w:val="en-US" w:eastAsia="zh-CN"/>
              </w:rPr>
              <w:t>性</w:t>
            </w:r>
            <w:r>
              <w:rPr>
                <w:rFonts w:hint="eastAsia" w:eastAsia="宋体" w:cs="Times New Roman"/>
                <w:b/>
                <w:bCs/>
                <w:color w:val="auto"/>
                <w:spacing w:val="0"/>
                <w:position w:val="0"/>
                <w:sz w:val="21"/>
                <w:szCs w:val="21"/>
                <w:lang w:val="en-US" w:eastAsia="zh-CN"/>
              </w:rPr>
              <w:t>性</w:t>
            </w:r>
          </w:p>
          <w:tbl>
            <w:tblPr>
              <w:tblStyle w:val="22"/>
              <w:tblW w:w="4807"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4799"/>
              <w:gridCol w:w="1756"/>
              <w:gridCol w:w="982"/>
            </w:tblGrid>
            <w:tr w14:paraId="1862526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3" w:hRule="atLeast"/>
                <w:jc w:val="center"/>
              </w:trPr>
              <w:tc>
                <w:tcPr>
                  <w:tcW w:w="3183" w:type="pct"/>
                  <w:vAlign w:val="center"/>
                </w:tcPr>
                <w:p w14:paraId="2BF6B9B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rPr>
                  </w:pPr>
                  <w:r>
                    <w:rPr>
                      <w:b/>
                      <w:bCs/>
                      <w:color w:val="auto"/>
                      <w:sz w:val="21"/>
                      <w:szCs w:val="21"/>
                    </w:rPr>
                    <w:t>负面清单指南要求</w:t>
                  </w:r>
                </w:p>
              </w:tc>
              <w:tc>
                <w:tcPr>
                  <w:tcW w:w="1164" w:type="pct"/>
                  <w:vAlign w:val="center"/>
                </w:tcPr>
                <w:p w14:paraId="4330A6E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rPr>
                  </w:pPr>
                  <w:r>
                    <w:rPr>
                      <w:rFonts w:hint="eastAsia"/>
                      <w:b/>
                      <w:bCs/>
                      <w:color w:val="auto"/>
                      <w:sz w:val="21"/>
                      <w:szCs w:val="21"/>
                    </w:rPr>
                    <w:t>本</w:t>
                  </w:r>
                  <w:r>
                    <w:rPr>
                      <w:b/>
                      <w:bCs/>
                      <w:color w:val="auto"/>
                      <w:sz w:val="21"/>
                      <w:szCs w:val="21"/>
                    </w:rPr>
                    <w:t>项目情况</w:t>
                  </w:r>
                </w:p>
              </w:tc>
              <w:tc>
                <w:tcPr>
                  <w:tcW w:w="651" w:type="pct"/>
                  <w:vAlign w:val="center"/>
                </w:tcPr>
                <w:p w14:paraId="441D60E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b/>
                      <w:bCs/>
                      <w:color w:val="auto"/>
                      <w:sz w:val="21"/>
                      <w:szCs w:val="21"/>
                    </w:rPr>
                  </w:pPr>
                  <w:r>
                    <w:rPr>
                      <w:b/>
                      <w:bCs/>
                      <w:color w:val="auto"/>
                      <w:sz w:val="21"/>
                      <w:szCs w:val="21"/>
                    </w:rPr>
                    <w:t>相符性</w:t>
                  </w:r>
                </w:p>
              </w:tc>
            </w:tr>
            <w:tr w14:paraId="1E29E35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292" w:hRule="atLeast"/>
                <w:jc w:val="center"/>
              </w:trPr>
              <w:tc>
                <w:tcPr>
                  <w:tcW w:w="3183" w:type="pct"/>
                  <w:vAlign w:val="center"/>
                </w:tcPr>
                <w:p w14:paraId="268E8A9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禁止建设不符合全国和省级港口布局规划以及港口总体规划的码头项目。</w:t>
                  </w:r>
                </w:p>
              </w:tc>
              <w:tc>
                <w:tcPr>
                  <w:tcW w:w="1164" w:type="pct"/>
                  <w:vAlign w:val="center"/>
                </w:tcPr>
                <w:p w14:paraId="1A26147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olor w:val="auto"/>
                      <w:sz w:val="21"/>
                      <w:szCs w:val="21"/>
                    </w:rPr>
                    <w:t>本项目不涉及码头项目建设。</w:t>
                  </w:r>
                </w:p>
              </w:tc>
              <w:tc>
                <w:tcPr>
                  <w:tcW w:w="651" w:type="pct"/>
                  <w:vAlign w:val="center"/>
                </w:tcPr>
                <w:p w14:paraId="1DCE9EF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olor w:val="auto"/>
                      <w:sz w:val="21"/>
                      <w:szCs w:val="21"/>
                    </w:rPr>
                    <w:t>符合</w:t>
                  </w:r>
                </w:p>
              </w:tc>
            </w:tr>
            <w:tr w14:paraId="2BD7BC6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60" w:hRule="atLeast"/>
                <w:jc w:val="center"/>
              </w:trPr>
              <w:tc>
                <w:tcPr>
                  <w:tcW w:w="3183" w:type="pct"/>
                  <w:vAlign w:val="center"/>
                </w:tcPr>
                <w:p w14:paraId="07A8BA9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禁止在生态保护红线范围内投资建设项目，生态保护红线内、自然保护地核心保护区原则上禁止人为活动；其他区域严格禁止开发性、生产性建设活动。除国家重大战略资源勘查项目、生态保护修复和环境治理项目、重大基础设施项目、军事国防项目以及农牧民基本生产生活等必要的民生项目以外的项目。生态保护红线原则上按禁止开发区域的要求进行管理外，仅允许对生态功能不造成破坏的有限人为活动。</w:t>
                  </w:r>
                </w:p>
              </w:tc>
              <w:tc>
                <w:tcPr>
                  <w:tcW w:w="1164" w:type="pct"/>
                  <w:vAlign w:val="center"/>
                </w:tcPr>
                <w:p w14:paraId="303E912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olor w:val="auto"/>
                      <w:sz w:val="21"/>
                      <w:szCs w:val="21"/>
                      <w:lang w:eastAsia="zh-CN"/>
                    </w:rPr>
                    <w:t>项目</w:t>
                  </w:r>
                  <w:r>
                    <w:rPr>
                      <w:color w:val="auto"/>
                      <w:sz w:val="21"/>
                      <w:szCs w:val="21"/>
                    </w:rPr>
                    <w:t>不</w:t>
                  </w:r>
                  <w:r>
                    <w:rPr>
                      <w:rFonts w:hint="eastAsia"/>
                      <w:color w:val="auto"/>
                      <w:sz w:val="21"/>
                      <w:szCs w:val="21"/>
                    </w:rPr>
                    <w:t>涉及占用生态保护红线。</w:t>
                  </w:r>
                </w:p>
              </w:tc>
              <w:tc>
                <w:tcPr>
                  <w:tcW w:w="651" w:type="pct"/>
                  <w:vAlign w:val="center"/>
                </w:tcPr>
                <w:p w14:paraId="4EF8D7B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符合</w:t>
                  </w:r>
                </w:p>
              </w:tc>
            </w:tr>
            <w:tr w14:paraId="3E832F6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800" w:hRule="atLeast"/>
                <w:jc w:val="center"/>
              </w:trPr>
              <w:tc>
                <w:tcPr>
                  <w:tcW w:w="3183" w:type="pct"/>
                  <w:vAlign w:val="center"/>
                </w:tcPr>
                <w:p w14:paraId="58A943D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禁止在自然保护区内进行砍伐、放牧、狩猎、捕捞、采药、开垦、烧荒、开矿、采石、挖沙等活动；禁止任何人进入自然保护区的核心区；禁止在自然保护区的缓冲区开展旅游和生产经营活动；严禁开设与自然保护区保护方向不一致的参观、旅游项目；在自然保护区的实验区内，不得建设污染环境、破坏资源或者景观的生产设施；自然保护区核心区，严禁任何生产经营活动；新建公路、铁路和其他基础设施不得穿越自然保护区核心区，尽量避免穿越缓冲区；禁止在自然保护区的核心区和缓冲区内建设畜禽养殖场、养殖小区。</w:t>
                  </w:r>
                </w:p>
              </w:tc>
              <w:tc>
                <w:tcPr>
                  <w:tcW w:w="1164" w:type="pct"/>
                  <w:vAlign w:val="center"/>
                </w:tcPr>
                <w:p w14:paraId="735740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kern w:val="0"/>
                      <w:sz w:val="21"/>
                      <w:szCs w:val="21"/>
                      <w:lang w:bidi="ar"/>
                    </w:rPr>
                    <w:t>项目建设不涉及占用自然保护区的核心区、</w:t>
                  </w:r>
                  <w:r>
                    <w:rPr>
                      <w:color w:val="auto"/>
                      <w:sz w:val="21"/>
                      <w:szCs w:val="21"/>
                    </w:rPr>
                    <w:t>缓冲区、实验区</w:t>
                  </w:r>
                  <w:r>
                    <w:rPr>
                      <w:rFonts w:hint="eastAsia"/>
                      <w:color w:val="auto"/>
                      <w:sz w:val="21"/>
                      <w:szCs w:val="21"/>
                    </w:rPr>
                    <w:t>。</w:t>
                  </w:r>
                </w:p>
              </w:tc>
              <w:tc>
                <w:tcPr>
                  <w:tcW w:w="651" w:type="pct"/>
                  <w:vAlign w:val="center"/>
                </w:tcPr>
                <w:p w14:paraId="35D2E73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olor w:val="auto"/>
                      <w:sz w:val="21"/>
                      <w:szCs w:val="21"/>
                    </w:rPr>
                    <w:t>符合</w:t>
                  </w:r>
                </w:p>
              </w:tc>
            </w:tr>
            <w:tr w14:paraId="2BB1B0D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800" w:hRule="atLeast"/>
                <w:jc w:val="center"/>
              </w:trPr>
              <w:tc>
                <w:tcPr>
                  <w:tcW w:w="3183" w:type="pct"/>
                  <w:vAlign w:val="center"/>
                </w:tcPr>
                <w:p w14:paraId="36C2B23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禁止在风景名胜区内进行开山、采石、开矿、开荒、修坟立碑等破坏景观、植被和地形地貌的活动以及修建储存爆炸性、易燃性、放射性、毒害性、腐蚀性物品的设施；禁止违反风景名胜区规划，在风景名胜区内设立各类开发区和在核心景区内建设宾馆、招待所、培训中心、疗养院以及与风景名胜资源保护无关的其他建筑物；禁止在风景名胜区从事与风景名胜资源无关的生产建设活动；风景名胜区内的水源、水体应当严加保护，禁止污染水源、水体，禁止擅自围、填、堵塞水面和围湖造田等；禁止在风景名胜区内建设畜禽养殖场、养殖小区。</w:t>
                  </w:r>
                </w:p>
              </w:tc>
              <w:tc>
                <w:tcPr>
                  <w:tcW w:w="1164" w:type="pct"/>
                  <w:vAlign w:val="center"/>
                </w:tcPr>
                <w:p w14:paraId="5008AA0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kern w:val="0"/>
                      <w:sz w:val="21"/>
                      <w:szCs w:val="21"/>
                      <w:lang w:bidi="ar"/>
                    </w:rPr>
                    <w:t>项目建设不涉及</w:t>
                  </w:r>
                  <w:r>
                    <w:rPr>
                      <w:rFonts w:hint="eastAsia"/>
                      <w:color w:val="auto"/>
                      <w:kern w:val="0"/>
                      <w:sz w:val="21"/>
                      <w:szCs w:val="21"/>
                      <w:lang w:bidi="ar"/>
                    </w:rPr>
                    <w:t>占用</w:t>
                  </w:r>
                  <w:r>
                    <w:rPr>
                      <w:color w:val="auto"/>
                      <w:kern w:val="0"/>
                      <w:sz w:val="21"/>
                      <w:szCs w:val="21"/>
                      <w:lang w:bidi="ar"/>
                    </w:rPr>
                    <w:t>风景名胜区。</w:t>
                  </w:r>
                </w:p>
              </w:tc>
              <w:tc>
                <w:tcPr>
                  <w:tcW w:w="651" w:type="pct"/>
                  <w:vAlign w:val="center"/>
                </w:tcPr>
                <w:p w14:paraId="69C0CE4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olor w:val="auto"/>
                      <w:sz w:val="21"/>
                      <w:szCs w:val="21"/>
                    </w:rPr>
                    <w:t>符合</w:t>
                  </w:r>
                </w:p>
              </w:tc>
            </w:tr>
            <w:tr w14:paraId="7206A23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23" w:hRule="atLeast"/>
                <w:jc w:val="center"/>
              </w:trPr>
              <w:tc>
                <w:tcPr>
                  <w:tcW w:w="3183" w:type="pct"/>
                  <w:vAlign w:val="center"/>
                </w:tcPr>
                <w:p w14:paraId="07C6C20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禁止擅自征收、占用国家湿地公园的土地。除国家另有规定外，禁止在国家湿地公园内开（围）垦、填埋或者排干湿地；截断湿地水源；挖沙、采矿，倾倒有毒有害物质、废弃物、垃圾；从事房地产、度假村、高尔夫球场、风力发电、光伏发电等任何不符合主体功能定位的建设项目和开发活动；破坏野生动物栖息地和迁徙通道、鱼类洄游通道；滥采滥捕野生动植物，引入外来物种；擅自放牧、捕捞、取土、取水、排污、放生等破坏湿地及其生态功能的活动。国家湿地公园保育区除开展保护、监测、科学研究等必需的保护管理活动外，不得进行任何与湿地生态系统保护和管理无关的其他活动。</w:t>
                  </w:r>
                </w:p>
              </w:tc>
              <w:tc>
                <w:tcPr>
                  <w:tcW w:w="1164" w:type="pct"/>
                  <w:vAlign w:val="center"/>
                </w:tcPr>
                <w:p w14:paraId="4819200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项目不涉及征收、占用国家湿地公园的土地。</w:t>
                  </w:r>
                </w:p>
              </w:tc>
              <w:tc>
                <w:tcPr>
                  <w:tcW w:w="651" w:type="pct"/>
                  <w:vAlign w:val="center"/>
                </w:tcPr>
                <w:p w14:paraId="7034EC6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符合</w:t>
                  </w:r>
                </w:p>
              </w:tc>
            </w:tr>
            <w:tr w14:paraId="4EDEFB5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173" w:hRule="atLeast"/>
                <w:jc w:val="center"/>
              </w:trPr>
              <w:tc>
                <w:tcPr>
                  <w:tcW w:w="3183" w:type="pct"/>
                  <w:vAlign w:val="center"/>
                </w:tcPr>
                <w:p w14:paraId="2FE8361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禁止在饮用水水源一级保护区内新建、改建、扩建与供水设施和保护水源无关的建设项目；禁止在饮用水水源一级保护区内从事网箱养殖、旅游、游泳、垂钓或者其他可能污染饮用水水体的活动。禁止在饮用水水源二级保护区内新建、改建、扩建排放污染物的建设项目；在饮用水水源二级保护区内从事网箱养殖、旅游等活动的，应当按照规定采取措施，防止污染饮用水水体。</w:t>
                  </w:r>
                </w:p>
              </w:tc>
              <w:tc>
                <w:tcPr>
                  <w:tcW w:w="1164" w:type="pct"/>
                  <w:vAlign w:val="center"/>
                </w:tcPr>
                <w:p w14:paraId="3F991D7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olor w:val="auto"/>
                      <w:sz w:val="21"/>
                      <w:szCs w:val="21"/>
                    </w:rPr>
                    <w:t>项目用地范围不涉及饮用水水源一级保护区、二级保护区。</w:t>
                  </w:r>
                </w:p>
              </w:tc>
              <w:tc>
                <w:tcPr>
                  <w:tcW w:w="651" w:type="pct"/>
                  <w:vAlign w:val="center"/>
                </w:tcPr>
                <w:p w14:paraId="39BA93E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符合</w:t>
                  </w:r>
                </w:p>
              </w:tc>
            </w:tr>
            <w:tr w14:paraId="4FA49F7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367" w:hRule="atLeast"/>
                <w:jc w:val="center"/>
              </w:trPr>
              <w:tc>
                <w:tcPr>
                  <w:tcW w:w="3183" w:type="pct"/>
                  <w:vAlign w:val="center"/>
                </w:tcPr>
                <w:p w14:paraId="7E08539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除国家明确支持的重大建设项目、军事国防类项目、交通类项目、能源类项目、水利类项目、国务院投资主管部门或国务院投资主管部门会同有关部门支持和认可的交通、能源、水利基础设施项目外</w:t>
                  </w:r>
                  <w:r>
                    <w:rPr>
                      <w:rFonts w:hint="eastAsia"/>
                      <w:color w:val="auto"/>
                      <w:sz w:val="21"/>
                      <w:szCs w:val="21"/>
                    </w:rPr>
                    <w:t>，</w:t>
                  </w:r>
                  <w:r>
                    <w:rPr>
                      <w:color w:val="auto"/>
                      <w:sz w:val="21"/>
                      <w:szCs w:val="21"/>
                    </w:rPr>
                    <w:t>禁止在永久基本农田范围内投资建设项目。重大建设项目选址确实难以避让永久基本农田的，需在可行性研究阶段，对占用的必要性、合理性和补划方案的可行性进行严格论证，按照</w:t>
                  </w:r>
                  <w:r>
                    <w:rPr>
                      <w:rFonts w:hint="eastAsia"/>
                      <w:color w:val="auto"/>
                      <w:sz w:val="21"/>
                      <w:szCs w:val="21"/>
                    </w:rPr>
                    <w:t>“</w:t>
                  </w:r>
                  <w:r>
                    <w:rPr>
                      <w:color w:val="auto"/>
                      <w:sz w:val="21"/>
                      <w:szCs w:val="21"/>
                    </w:rPr>
                    <w:t>数量不减、质量不降、布局稳定</w:t>
                  </w:r>
                  <w:r>
                    <w:rPr>
                      <w:rFonts w:hint="eastAsia"/>
                      <w:color w:val="auto"/>
                      <w:sz w:val="21"/>
                      <w:szCs w:val="21"/>
                    </w:rPr>
                    <w:t>”</w:t>
                  </w:r>
                  <w:r>
                    <w:rPr>
                      <w:color w:val="auto"/>
                      <w:sz w:val="21"/>
                      <w:szCs w:val="21"/>
                    </w:rPr>
                    <w:t>的要求进行补划，报自然资源部用地预审，依法依规办理农用地转用和土地征收，和法定程序修改相应的国土空间规划用途。</w:t>
                  </w:r>
                </w:p>
              </w:tc>
              <w:tc>
                <w:tcPr>
                  <w:tcW w:w="1164" w:type="pct"/>
                  <w:vAlign w:val="center"/>
                </w:tcPr>
                <w:p w14:paraId="1657893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olor w:val="auto"/>
                      <w:sz w:val="21"/>
                      <w:szCs w:val="21"/>
                    </w:rPr>
                    <w:t>不涉及占用永久基本农田、生态保护红线。</w:t>
                  </w:r>
                </w:p>
              </w:tc>
              <w:tc>
                <w:tcPr>
                  <w:tcW w:w="651" w:type="pct"/>
                  <w:vAlign w:val="center"/>
                </w:tcPr>
                <w:p w14:paraId="797A84F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符合</w:t>
                  </w:r>
                </w:p>
              </w:tc>
            </w:tr>
            <w:tr w14:paraId="01A91A1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173" w:hRule="atLeast"/>
                <w:jc w:val="center"/>
              </w:trPr>
              <w:tc>
                <w:tcPr>
                  <w:tcW w:w="3183" w:type="pct"/>
                  <w:vAlign w:val="center"/>
                </w:tcPr>
                <w:p w14:paraId="27199B4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禁止在《全国重要江河湖泊水功能区划》划定的河段及湖泊保护区、保留区内投资建设不利于水资源及自然生态保护的项目。禁止在金沙江、长江一级支流建设除党中央、国务院、国家投资主管部门、省级有关部门批复同意以外的过江基础设施项目；禁止未经许可在长江流域、九大高原湖泊流域新设、改设或扩大排污口，除入河（海）排污口命名与编码规则（HJ1235-2021）规定的第四类</w:t>
                  </w:r>
                  <w:r>
                    <w:rPr>
                      <w:rFonts w:hint="eastAsia"/>
                      <w:color w:val="auto"/>
                      <w:sz w:val="21"/>
                      <w:szCs w:val="21"/>
                    </w:rPr>
                    <w:t>“</w:t>
                  </w:r>
                  <w:r>
                    <w:rPr>
                      <w:color w:val="auto"/>
                      <w:sz w:val="21"/>
                      <w:szCs w:val="21"/>
                    </w:rPr>
                    <w:t>其他排口</w:t>
                  </w:r>
                  <w:r>
                    <w:rPr>
                      <w:rFonts w:hint="eastAsia"/>
                      <w:color w:val="auto"/>
                      <w:sz w:val="21"/>
                      <w:szCs w:val="21"/>
                    </w:rPr>
                    <w:t>”</w:t>
                  </w:r>
                  <w:r>
                    <w:rPr>
                      <w:color w:val="auto"/>
                      <w:sz w:val="21"/>
                      <w:szCs w:val="21"/>
                    </w:rPr>
                    <w:t>外。禁止在水产种质资源保护区内新建排污口，以及从事围湖造田、围湖造地或围填海工程。</w:t>
                  </w:r>
                </w:p>
              </w:tc>
              <w:tc>
                <w:tcPr>
                  <w:tcW w:w="1164" w:type="pct"/>
                  <w:vAlign w:val="center"/>
                </w:tcPr>
                <w:p w14:paraId="01EE83A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kern w:val="0"/>
                      <w:sz w:val="21"/>
                      <w:szCs w:val="21"/>
                      <w:lang w:bidi="ar"/>
                    </w:rPr>
                  </w:pPr>
                  <w:r>
                    <w:rPr>
                      <w:rFonts w:hint="eastAsia"/>
                      <w:color w:val="auto"/>
                      <w:sz w:val="21"/>
                      <w:szCs w:val="21"/>
                    </w:rPr>
                    <w:t>项目附近主要</w:t>
                  </w:r>
                  <w:r>
                    <w:rPr>
                      <w:color w:val="auto"/>
                      <w:sz w:val="21"/>
                      <w:szCs w:val="21"/>
                    </w:rPr>
                    <w:t>地表水体为</w:t>
                  </w:r>
                  <w:r>
                    <w:rPr>
                      <w:rFonts w:hint="eastAsia"/>
                      <w:color w:val="auto"/>
                      <w:sz w:val="21"/>
                      <w:szCs w:val="21"/>
                      <w:lang w:eastAsia="zh-CN"/>
                    </w:rPr>
                    <w:t>果朗河，</w:t>
                  </w:r>
                  <w:r>
                    <w:rPr>
                      <w:color w:val="auto"/>
                      <w:kern w:val="0"/>
                      <w:sz w:val="21"/>
                      <w:szCs w:val="21"/>
                      <w:lang w:bidi="ar"/>
                    </w:rPr>
                    <w:t>本项目不涉及</w:t>
                  </w:r>
                  <w:r>
                    <w:rPr>
                      <w:color w:val="auto"/>
                      <w:sz w:val="21"/>
                      <w:szCs w:val="21"/>
                    </w:rPr>
                    <w:t>金沙江、长江一级支流，不涉及水产种质资源保护区。</w:t>
                  </w:r>
                </w:p>
              </w:tc>
              <w:tc>
                <w:tcPr>
                  <w:tcW w:w="651" w:type="pct"/>
                  <w:vAlign w:val="center"/>
                </w:tcPr>
                <w:p w14:paraId="2CB47DB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olor w:val="auto"/>
                      <w:sz w:val="21"/>
                      <w:szCs w:val="21"/>
                    </w:rPr>
                    <w:t>符合</w:t>
                  </w:r>
                </w:p>
              </w:tc>
            </w:tr>
            <w:tr w14:paraId="72E2665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233" w:hRule="atLeast"/>
                <w:jc w:val="center"/>
              </w:trPr>
              <w:tc>
                <w:tcPr>
                  <w:tcW w:w="3183" w:type="pct"/>
                  <w:vAlign w:val="center"/>
                </w:tcPr>
                <w:p w14:paraId="22F5F37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禁止在金沙江、长江一级支流（详见附件1）岸线边界一公里范围内新建、扩建化工园区和化工项目。新建化工园区充分留足与周边城镇未来扩张发展的安全距离，立足于生态工业园区建设方向，推广绿色化学和绿色化工发展模式。化工园区设立及园区产业发展规划由省级业务主管部门牵头组织专家论证后审定。</w:t>
                  </w:r>
                </w:p>
              </w:tc>
              <w:tc>
                <w:tcPr>
                  <w:tcW w:w="1164" w:type="pct"/>
                  <w:vAlign w:val="center"/>
                </w:tcPr>
                <w:p w14:paraId="63B0623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kern w:val="0"/>
                      <w:sz w:val="21"/>
                      <w:szCs w:val="21"/>
                      <w:lang w:bidi="ar"/>
                    </w:rPr>
                  </w:pPr>
                  <w:r>
                    <w:rPr>
                      <w:color w:val="auto"/>
                      <w:kern w:val="0"/>
                      <w:sz w:val="21"/>
                      <w:szCs w:val="21"/>
                      <w:lang w:bidi="ar"/>
                    </w:rPr>
                    <w:t>本项目不涉及</w:t>
                  </w:r>
                  <w:r>
                    <w:rPr>
                      <w:color w:val="auto"/>
                      <w:sz w:val="21"/>
                      <w:szCs w:val="21"/>
                    </w:rPr>
                    <w:t>金沙江、长江一级支流。</w:t>
                  </w:r>
                </w:p>
              </w:tc>
              <w:tc>
                <w:tcPr>
                  <w:tcW w:w="651" w:type="pct"/>
                  <w:vAlign w:val="center"/>
                </w:tcPr>
                <w:p w14:paraId="4E7F364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符合</w:t>
                  </w:r>
                </w:p>
              </w:tc>
            </w:tr>
            <w:tr w14:paraId="5BB70BD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919" w:hRule="atLeast"/>
                <w:jc w:val="center"/>
              </w:trPr>
              <w:tc>
                <w:tcPr>
                  <w:tcW w:w="3183" w:type="pct"/>
                  <w:vAlign w:val="center"/>
                </w:tcPr>
                <w:p w14:paraId="4961E1C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禁止在金沙江干流岸线3公里、长江（金沙江）一级支流岸线1公里范围内新建、改建、扩建尾矿库、冶炼渣库和磷石膏库，以提升安全、生态环境保护水平为目的的改建除外。</w:t>
                  </w:r>
                </w:p>
              </w:tc>
              <w:tc>
                <w:tcPr>
                  <w:tcW w:w="1164" w:type="pct"/>
                  <w:vAlign w:val="center"/>
                </w:tcPr>
                <w:p w14:paraId="4216E7F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kern w:val="0"/>
                      <w:sz w:val="21"/>
                      <w:szCs w:val="21"/>
                      <w:lang w:bidi="ar"/>
                    </w:rPr>
                  </w:pPr>
                  <w:r>
                    <w:rPr>
                      <w:color w:val="auto"/>
                      <w:kern w:val="0"/>
                      <w:sz w:val="21"/>
                      <w:szCs w:val="21"/>
                      <w:lang w:bidi="ar"/>
                    </w:rPr>
                    <w:t>本项目不属于</w:t>
                  </w:r>
                  <w:r>
                    <w:rPr>
                      <w:color w:val="auto"/>
                      <w:sz w:val="21"/>
                      <w:szCs w:val="21"/>
                    </w:rPr>
                    <w:t>尾矿库、冶炼渣库和磷石膏库。</w:t>
                  </w:r>
                  <w:r>
                    <w:rPr>
                      <w:color w:val="auto"/>
                      <w:kern w:val="0"/>
                      <w:sz w:val="21"/>
                      <w:szCs w:val="21"/>
                      <w:lang w:bidi="ar"/>
                    </w:rPr>
                    <w:t>项目不涉及</w:t>
                  </w:r>
                  <w:r>
                    <w:rPr>
                      <w:color w:val="auto"/>
                      <w:sz w:val="21"/>
                      <w:szCs w:val="21"/>
                    </w:rPr>
                    <w:t>金沙江、长江一级支流。</w:t>
                  </w:r>
                </w:p>
              </w:tc>
              <w:tc>
                <w:tcPr>
                  <w:tcW w:w="651" w:type="pct"/>
                  <w:vAlign w:val="center"/>
                </w:tcPr>
                <w:p w14:paraId="5922AFC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olor w:val="auto"/>
                      <w:sz w:val="21"/>
                      <w:szCs w:val="21"/>
                    </w:rPr>
                    <w:t>符合</w:t>
                  </w:r>
                </w:p>
              </w:tc>
            </w:tr>
            <w:tr w14:paraId="22AE944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840" w:hRule="atLeast"/>
                <w:jc w:val="center"/>
              </w:trPr>
              <w:tc>
                <w:tcPr>
                  <w:tcW w:w="3183" w:type="pct"/>
                  <w:vAlign w:val="center"/>
                </w:tcPr>
                <w:p w14:paraId="1876D7E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禁止新建、扩建法律法规和相关政策明令禁止的落后产能项目，依法依规淘汰不符合要求的电石炉及开放式电石炉、无化产回收的单一炼焦生产设施，依法依规淘汰不符合要求的硫铁矿制酸、硫磺制酸、黄磷生产、有钙焙烧铬化合物生产装置和有机—无机复混肥料、过磷酸钙和钙镁磷肥生产线。禁止新建、扩建不符合国家产能置换要求的严重过剩产能行业的项目。禁止新建、扩建不符合要求的高耗能高排放项目。禁止建设高毒高残留以及对环境影响大的农药原药生产装置，严格控制尿素、磷铵、电石、焦炭、黄磷、烧碱、纯碱、聚氯乙烯等行业新增产能。</w:t>
                  </w:r>
                </w:p>
              </w:tc>
              <w:tc>
                <w:tcPr>
                  <w:tcW w:w="1164" w:type="pct"/>
                  <w:vAlign w:val="center"/>
                </w:tcPr>
                <w:p w14:paraId="25DD9DC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kern w:val="0"/>
                      <w:sz w:val="21"/>
                      <w:szCs w:val="21"/>
                      <w:lang w:bidi="ar"/>
                    </w:rPr>
                  </w:pPr>
                  <w:r>
                    <w:rPr>
                      <w:color w:val="auto"/>
                      <w:kern w:val="0"/>
                      <w:sz w:val="21"/>
                      <w:szCs w:val="21"/>
                      <w:lang w:bidi="ar"/>
                    </w:rPr>
                    <w:t>本项目不属于</w:t>
                  </w:r>
                  <w:r>
                    <w:rPr>
                      <w:color w:val="auto"/>
                      <w:sz w:val="21"/>
                      <w:szCs w:val="21"/>
                    </w:rPr>
                    <w:t>高耗能高排放项目</w:t>
                  </w:r>
                  <w:r>
                    <w:rPr>
                      <w:rFonts w:hint="eastAsia"/>
                      <w:color w:val="auto"/>
                      <w:sz w:val="21"/>
                      <w:szCs w:val="21"/>
                      <w:lang w:eastAsia="zh-CN"/>
                    </w:rPr>
                    <w:t>，</w:t>
                  </w:r>
                  <w:r>
                    <w:rPr>
                      <w:rFonts w:hint="eastAsia"/>
                      <w:color w:val="auto"/>
                      <w:sz w:val="21"/>
                      <w:szCs w:val="21"/>
                    </w:rPr>
                    <w:t>不涉及炼焦、制酸、复混肥及农药原药等的生产。</w:t>
                  </w:r>
                </w:p>
              </w:tc>
              <w:tc>
                <w:tcPr>
                  <w:tcW w:w="651" w:type="pct"/>
                  <w:vAlign w:val="center"/>
                </w:tcPr>
                <w:p w14:paraId="1A579FB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color w:val="auto"/>
                      <w:sz w:val="21"/>
                      <w:szCs w:val="21"/>
                    </w:rPr>
                    <w:t>符合</w:t>
                  </w:r>
                </w:p>
              </w:tc>
            </w:tr>
          </w:tbl>
          <w:p w14:paraId="6813711C">
            <w:pPr>
              <w:pStyle w:val="36"/>
              <w:bidi w:val="0"/>
              <w:rPr>
                <w:rFonts w:hint="eastAsia"/>
                <w:b/>
                <w:bCs/>
                <w:color w:val="auto"/>
                <w:lang w:eastAsia="zh-CN"/>
              </w:rPr>
            </w:pPr>
            <w:r>
              <w:rPr>
                <w:rFonts w:hint="eastAsia"/>
                <w:b/>
                <w:bCs/>
                <w:color w:val="auto"/>
                <w:lang w:val="en-US" w:eastAsia="zh-CN"/>
              </w:rPr>
              <w:t>5</w:t>
            </w:r>
            <w:r>
              <w:rPr>
                <w:rFonts w:hint="eastAsia"/>
                <w:b/>
                <w:bCs/>
                <w:color w:val="auto"/>
                <w:lang w:eastAsia="zh-CN"/>
              </w:rPr>
              <w:t>、项目与《中共云南省委云南省人民政府关于加快兴水润滇工程建设的决定》（下文简称《决定》）的符合性分析</w:t>
            </w:r>
          </w:p>
          <w:p w14:paraId="6C1BEAC6">
            <w:pPr>
              <w:pStyle w:val="36"/>
              <w:bidi w:val="0"/>
              <w:rPr>
                <w:rFonts w:hint="eastAsia"/>
                <w:color w:val="auto"/>
                <w:lang w:eastAsia="zh-CN"/>
              </w:rPr>
            </w:pPr>
            <w:r>
              <w:rPr>
                <w:rFonts w:hint="eastAsia"/>
                <w:color w:val="auto"/>
                <w:lang w:eastAsia="zh-CN"/>
              </w:rPr>
              <w:t>《中共云南省委云南省人民政府关于加快兴水润滇工程建设的决定》重点任务之一为：防洪能力提升工程。坚持人民至上、生命至上，逐步构建现代防洪抗旱减灾体系。完成跨界河流治理二期工程建设。推进金沙江白格堰塞湖灾后重建防洪工程建设。加快金沙江、珠江、红河、澜沧江、怒江、伊洛瓦底江等六大水系干流及主要支流、中小河流综合整治。积极推进山洪沟系统治理。对大中小型病险水库（水闸）实施除险加固。实施防洪能力提升工程2917件以上，规划项目总投资641亿元以上，“十四五”期间完成投资422亿元以上。</w:t>
            </w:r>
          </w:p>
          <w:p w14:paraId="731C351C">
            <w:pPr>
              <w:pStyle w:val="36"/>
              <w:bidi w:val="0"/>
              <w:rPr>
                <w:rFonts w:hint="eastAsia"/>
                <w:color w:val="auto"/>
                <w:lang w:eastAsia="zh-CN"/>
              </w:rPr>
            </w:pPr>
            <w:r>
              <w:rPr>
                <w:rFonts w:hint="eastAsia"/>
                <w:color w:val="auto"/>
                <w:lang w:eastAsia="zh-CN"/>
              </w:rPr>
              <w:t>本项目芒市果朗河大新寨至芒里大桥段治理工程为防洪除涝工程，项目的实施将有效提高果朗河治理段的防洪标准，为果朗河沿线居民的生命财产安全提供强有力的保障。项目的建设符合中共云南省委云南省人民政府关于加快兴水润滇工程建设的决定。</w:t>
            </w:r>
          </w:p>
          <w:p w14:paraId="255B4F8E">
            <w:pPr>
              <w:pStyle w:val="36"/>
              <w:bidi w:val="0"/>
              <w:ind w:left="0" w:leftChars="0" w:firstLine="482" w:firstLineChars="200"/>
              <w:rPr>
                <w:rFonts w:hint="eastAsia"/>
                <w:b/>
                <w:bCs/>
                <w:color w:val="auto"/>
                <w:lang w:eastAsia="zh-CN"/>
              </w:rPr>
            </w:pPr>
            <w:r>
              <w:rPr>
                <w:rFonts w:hint="eastAsia"/>
                <w:b/>
                <w:bCs/>
                <w:color w:val="auto"/>
                <w:lang w:val="en-US" w:eastAsia="zh-CN"/>
              </w:rPr>
              <w:t>6</w:t>
            </w:r>
            <w:r>
              <w:rPr>
                <w:rFonts w:hint="eastAsia"/>
                <w:b/>
                <w:bCs/>
                <w:color w:val="auto"/>
                <w:lang w:eastAsia="zh-CN"/>
              </w:rPr>
              <w:t>、项目与《中华人民共和国河道管理条例》符合性分析</w:t>
            </w:r>
          </w:p>
          <w:p w14:paraId="00E5A143">
            <w:pPr>
              <w:pStyle w:val="31"/>
              <w:bidi w:val="0"/>
              <w:rPr>
                <w:rFonts w:hint="eastAsia"/>
                <w:color w:val="auto"/>
                <w:lang w:eastAsia="zh-CN"/>
              </w:rPr>
            </w:pPr>
            <w:r>
              <w:rPr>
                <w:rFonts w:hint="eastAsia"/>
                <w:color w:val="auto"/>
                <w:lang w:eastAsia="zh-CN"/>
              </w:rPr>
              <w:t>表1-</w:t>
            </w:r>
            <w:r>
              <w:rPr>
                <w:rFonts w:hint="eastAsia"/>
                <w:color w:val="auto"/>
                <w:lang w:val="en-US" w:eastAsia="zh-CN"/>
              </w:rPr>
              <w:t xml:space="preserve">5 </w:t>
            </w:r>
            <w:r>
              <w:rPr>
                <w:rFonts w:hint="eastAsia"/>
                <w:color w:val="auto"/>
                <w:lang w:eastAsia="zh-CN"/>
              </w:rPr>
              <w:t>与《中华人民共和国河道管理条例》符合性分析</w:t>
            </w:r>
          </w:p>
          <w:tbl>
            <w:tblPr>
              <w:tblStyle w:val="23"/>
              <w:tblW w:w="76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3124"/>
              <w:gridCol w:w="2852"/>
              <w:gridCol w:w="978"/>
            </w:tblGrid>
            <w:tr w14:paraId="7AD878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704" w:type="dxa"/>
                  <w:vAlign w:val="center"/>
                </w:tcPr>
                <w:p w14:paraId="7FB91E1F">
                  <w:pPr>
                    <w:pStyle w:val="34"/>
                    <w:bidi w:val="0"/>
                    <w:jc w:val="center"/>
                    <w:rPr>
                      <w:rFonts w:hint="eastAsia"/>
                      <w:b/>
                      <w:bCs/>
                      <w:color w:val="auto"/>
                      <w:lang w:eastAsia="zh-CN"/>
                    </w:rPr>
                  </w:pPr>
                  <w:r>
                    <w:rPr>
                      <w:b/>
                      <w:bCs/>
                      <w:color w:val="auto"/>
                    </w:rPr>
                    <w:t>序号</w:t>
                  </w:r>
                </w:p>
              </w:tc>
              <w:tc>
                <w:tcPr>
                  <w:tcW w:w="3124" w:type="dxa"/>
                  <w:vAlign w:val="center"/>
                </w:tcPr>
                <w:p w14:paraId="36244ABE">
                  <w:pPr>
                    <w:pStyle w:val="34"/>
                    <w:bidi w:val="0"/>
                    <w:jc w:val="center"/>
                    <w:rPr>
                      <w:rFonts w:hint="eastAsia"/>
                      <w:b/>
                      <w:bCs/>
                      <w:color w:val="auto"/>
                      <w:lang w:eastAsia="zh-CN"/>
                    </w:rPr>
                  </w:pPr>
                  <w:r>
                    <w:rPr>
                      <w:b/>
                      <w:bCs/>
                      <w:color w:val="auto"/>
                    </w:rPr>
                    <w:t>河道管理条例</w:t>
                  </w:r>
                </w:p>
              </w:tc>
              <w:tc>
                <w:tcPr>
                  <w:tcW w:w="2852" w:type="dxa"/>
                  <w:vAlign w:val="center"/>
                </w:tcPr>
                <w:p w14:paraId="7FFEDCAE">
                  <w:pPr>
                    <w:pStyle w:val="34"/>
                    <w:bidi w:val="0"/>
                    <w:jc w:val="center"/>
                    <w:rPr>
                      <w:rFonts w:hint="eastAsia"/>
                      <w:b/>
                      <w:bCs/>
                      <w:color w:val="auto"/>
                      <w:lang w:eastAsia="zh-CN"/>
                    </w:rPr>
                  </w:pPr>
                  <w:r>
                    <w:rPr>
                      <w:b/>
                      <w:bCs/>
                      <w:color w:val="auto"/>
                    </w:rPr>
                    <w:t>本项目</w:t>
                  </w:r>
                </w:p>
              </w:tc>
              <w:tc>
                <w:tcPr>
                  <w:tcW w:w="978" w:type="dxa"/>
                  <w:vAlign w:val="center"/>
                </w:tcPr>
                <w:p w14:paraId="70104BE0">
                  <w:pPr>
                    <w:pStyle w:val="34"/>
                    <w:bidi w:val="0"/>
                    <w:rPr>
                      <w:rFonts w:hint="eastAsia" w:eastAsia="宋体"/>
                      <w:b/>
                      <w:bCs/>
                      <w:color w:val="auto"/>
                      <w:lang w:eastAsia="zh-CN"/>
                    </w:rPr>
                  </w:pPr>
                  <w:r>
                    <w:rPr>
                      <w:b/>
                      <w:bCs/>
                      <w:color w:val="auto"/>
                    </w:rPr>
                    <w:t>符合</w:t>
                  </w:r>
                  <w:r>
                    <w:rPr>
                      <w:rFonts w:hint="eastAsia"/>
                      <w:b/>
                      <w:bCs/>
                      <w:color w:val="auto"/>
                      <w:lang w:eastAsia="zh-CN"/>
                    </w:rPr>
                    <w:t>性</w:t>
                  </w:r>
                </w:p>
              </w:tc>
            </w:tr>
            <w:tr w14:paraId="13936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0" w:hRule="atLeast"/>
                <w:jc w:val="center"/>
              </w:trPr>
              <w:tc>
                <w:tcPr>
                  <w:tcW w:w="704" w:type="dxa"/>
                  <w:vAlign w:val="center"/>
                </w:tcPr>
                <w:p w14:paraId="0B244500">
                  <w:pPr>
                    <w:pStyle w:val="34"/>
                    <w:bidi w:val="0"/>
                    <w:rPr>
                      <w:rFonts w:hint="eastAsia"/>
                      <w:color w:val="auto"/>
                      <w:lang w:eastAsia="zh-CN"/>
                    </w:rPr>
                  </w:pPr>
                  <w:r>
                    <w:rPr>
                      <w:color w:val="auto"/>
                    </w:rPr>
                    <w:t>1</w:t>
                  </w:r>
                </w:p>
              </w:tc>
              <w:tc>
                <w:tcPr>
                  <w:tcW w:w="3124" w:type="dxa"/>
                  <w:vAlign w:val="center"/>
                </w:tcPr>
                <w:p w14:paraId="66C946D0">
                  <w:pPr>
                    <w:pStyle w:val="34"/>
                    <w:bidi w:val="0"/>
                    <w:jc w:val="both"/>
                    <w:rPr>
                      <w:rFonts w:hint="eastAsia"/>
                      <w:color w:val="auto"/>
                      <w:lang w:eastAsia="zh-CN"/>
                    </w:rPr>
                  </w:pPr>
                  <w:r>
                    <w:rPr>
                      <w:color w:val="auto"/>
                    </w:rPr>
                    <w:t>第十条：河道的整治与建设，应当服从流域综合规划，符合国</w:t>
                  </w:r>
                  <w:r>
                    <w:rPr>
                      <w:rFonts w:hint="eastAsia"/>
                      <w:color w:val="auto"/>
                      <w:lang w:eastAsia="zh-CN"/>
                    </w:rPr>
                    <w:t>家</w:t>
                  </w:r>
                  <w:r>
                    <w:rPr>
                      <w:color w:val="auto"/>
                    </w:rPr>
                    <w:t>规定的防洪标准、通航标准和其他有关技术要求，维护堤防安全，保持河势稳定和行洪、航运通畅。</w:t>
                  </w:r>
                </w:p>
              </w:tc>
              <w:tc>
                <w:tcPr>
                  <w:tcW w:w="2852" w:type="dxa"/>
                  <w:vAlign w:val="center"/>
                </w:tcPr>
                <w:p w14:paraId="613BDE30">
                  <w:pPr>
                    <w:pStyle w:val="34"/>
                    <w:bidi w:val="0"/>
                    <w:jc w:val="both"/>
                    <w:rPr>
                      <w:rFonts w:hint="eastAsia"/>
                      <w:color w:val="auto"/>
                      <w:lang w:eastAsia="zh-CN"/>
                    </w:rPr>
                  </w:pPr>
                  <w:r>
                    <w:rPr>
                      <w:rFonts w:hint="eastAsia"/>
                      <w:color w:val="auto"/>
                    </w:rPr>
                    <w:t>本项目为河道治理工程，符合相关法律法规的要求。本项目取得了德宏州水利局《德宏州水利局关于准予芒市果朗河大新寨至芒里大桥段治理工程初步设计报告的行政许可决定书</w:t>
                  </w:r>
                  <w:r>
                    <w:rPr>
                      <w:rFonts w:hint="eastAsia"/>
                      <w:color w:val="auto"/>
                      <w:lang w:eastAsia="zh-CN"/>
                    </w:rPr>
                    <w:t>》（</w:t>
                  </w:r>
                  <w:r>
                    <w:rPr>
                      <w:rFonts w:hint="eastAsia"/>
                      <w:color w:val="auto"/>
                    </w:rPr>
                    <w:t>德水规计许﹝2023﹞16号</w:t>
                  </w:r>
                  <w:r>
                    <w:rPr>
                      <w:rFonts w:hint="eastAsia"/>
                      <w:color w:val="auto"/>
                      <w:lang w:eastAsia="zh-CN"/>
                    </w:rPr>
                    <w:t>）</w:t>
                  </w:r>
                  <w:r>
                    <w:rPr>
                      <w:rFonts w:hint="eastAsia"/>
                      <w:color w:val="auto"/>
                    </w:rPr>
                    <w:t>，见附件2。</w:t>
                  </w:r>
                </w:p>
              </w:tc>
              <w:tc>
                <w:tcPr>
                  <w:tcW w:w="978" w:type="dxa"/>
                  <w:vAlign w:val="center"/>
                </w:tcPr>
                <w:p w14:paraId="4178CE7C">
                  <w:pPr>
                    <w:pStyle w:val="34"/>
                    <w:bidi w:val="0"/>
                    <w:rPr>
                      <w:rFonts w:hint="eastAsia"/>
                      <w:color w:val="auto"/>
                      <w:lang w:eastAsia="zh-CN"/>
                    </w:rPr>
                  </w:pPr>
                  <w:r>
                    <w:rPr>
                      <w:color w:val="auto"/>
                    </w:rPr>
                    <w:t>符合</w:t>
                  </w:r>
                </w:p>
              </w:tc>
            </w:tr>
            <w:tr w14:paraId="7486E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7" w:hRule="atLeast"/>
                <w:jc w:val="center"/>
              </w:trPr>
              <w:tc>
                <w:tcPr>
                  <w:tcW w:w="704" w:type="dxa"/>
                  <w:vAlign w:val="center"/>
                </w:tcPr>
                <w:p w14:paraId="1F35E8F0">
                  <w:pPr>
                    <w:pStyle w:val="34"/>
                    <w:bidi w:val="0"/>
                    <w:rPr>
                      <w:rFonts w:hint="eastAsia"/>
                      <w:color w:val="auto"/>
                      <w:lang w:val="en-US" w:eastAsia="zh-CN"/>
                    </w:rPr>
                  </w:pPr>
                  <w:r>
                    <w:rPr>
                      <w:rFonts w:hint="eastAsia"/>
                      <w:color w:val="auto"/>
                      <w:lang w:val="en-US" w:eastAsia="zh-CN"/>
                    </w:rPr>
                    <w:t>2</w:t>
                  </w:r>
                </w:p>
              </w:tc>
              <w:tc>
                <w:tcPr>
                  <w:tcW w:w="3124" w:type="dxa"/>
                  <w:vAlign w:val="center"/>
                </w:tcPr>
                <w:p w14:paraId="43579EC7">
                  <w:pPr>
                    <w:pStyle w:val="34"/>
                    <w:bidi w:val="0"/>
                    <w:rPr>
                      <w:rFonts w:hint="eastAsia"/>
                      <w:color w:val="auto"/>
                    </w:rPr>
                  </w:pPr>
                  <w:r>
                    <w:rPr>
                      <w:rFonts w:hint="eastAsia"/>
                      <w:color w:val="auto"/>
                    </w:rPr>
                    <w:t>第十一条</w:t>
                  </w:r>
                  <w:r>
                    <w:rPr>
                      <w:rFonts w:hint="eastAsia"/>
                      <w:color w:val="auto"/>
                      <w:lang w:eastAsia="zh-CN"/>
                    </w:rPr>
                    <w:t>：</w:t>
                  </w:r>
                  <w:r>
                    <w:rPr>
                      <w:rFonts w:hint="eastAsia"/>
                      <w:color w:val="auto"/>
                    </w:rPr>
                    <w:t>修建开发水利、防治水害、整治河道的各类工程和跨河、穿河、穿堤、临河的桥梁、码头、道路、渡口、管道、缆线等建筑物及设施，建设单位必须按照河道管理权限，将工程建设方案报送河道主管机关审查同意。未经河道主管机关审查同意的，建设单位不得开工建设。</w:t>
                  </w:r>
                </w:p>
                <w:p w14:paraId="33A67C3A">
                  <w:pPr>
                    <w:pStyle w:val="34"/>
                    <w:bidi w:val="0"/>
                    <w:rPr>
                      <w:color w:val="auto"/>
                    </w:rPr>
                  </w:pPr>
                  <w:r>
                    <w:rPr>
                      <w:rFonts w:hint="eastAsia"/>
                      <w:color w:val="auto"/>
                    </w:rPr>
                    <w:t>建设项目经批准后，建设单位应当将施工安排告知河道主管机关。</w:t>
                  </w:r>
                </w:p>
              </w:tc>
              <w:tc>
                <w:tcPr>
                  <w:tcW w:w="2852" w:type="dxa"/>
                  <w:vAlign w:val="center"/>
                </w:tcPr>
                <w:p w14:paraId="414CE182">
                  <w:pPr>
                    <w:pStyle w:val="34"/>
                    <w:bidi w:val="0"/>
                    <w:rPr>
                      <w:color w:val="auto"/>
                    </w:rPr>
                  </w:pPr>
                  <w:r>
                    <w:rPr>
                      <w:rFonts w:hint="eastAsia"/>
                      <w:color w:val="auto"/>
                      <w:lang w:val="en-US" w:eastAsia="zh-CN"/>
                    </w:rPr>
                    <w:t>本项目为河道治理工程，取得了德宏州水利局</w:t>
                  </w:r>
                  <w:r>
                    <w:rPr>
                      <w:rFonts w:hint="eastAsia"/>
                      <w:color w:val="auto"/>
                    </w:rPr>
                    <w:t>《德宏州水利局关于准予芒市果朗河大新寨至芒里大桥段治理工程初步设计报告的行政许可决定书</w:t>
                  </w:r>
                  <w:r>
                    <w:rPr>
                      <w:rFonts w:hint="eastAsia"/>
                      <w:color w:val="auto"/>
                      <w:lang w:eastAsia="zh-CN"/>
                    </w:rPr>
                    <w:t>》（</w:t>
                  </w:r>
                  <w:r>
                    <w:rPr>
                      <w:rFonts w:hint="eastAsia"/>
                      <w:color w:val="auto"/>
                    </w:rPr>
                    <w:t>德水规计许﹝2023﹞16号</w:t>
                  </w:r>
                  <w:r>
                    <w:rPr>
                      <w:rFonts w:hint="eastAsia"/>
                      <w:color w:val="auto"/>
                      <w:lang w:eastAsia="zh-CN"/>
                    </w:rPr>
                    <w:t>）</w:t>
                  </w:r>
                  <w:r>
                    <w:rPr>
                      <w:rFonts w:hint="eastAsia"/>
                      <w:color w:val="auto"/>
                    </w:rPr>
                    <w:t>，</w:t>
                  </w:r>
                  <w:r>
                    <w:rPr>
                      <w:rFonts w:hint="eastAsia"/>
                      <w:color w:val="auto"/>
                      <w:lang w:val="en-US" w:eastAsia="zh-CN"/>
                    </w:rPr>
                    <w:t>见附件2。后期取得河道主管机关审查同意，即可开工建设。</w:t>
                  </w:r>
                </w:p>
              </w:tc>
              <w:tc>
                <w:tcPr>
                  <w:tcW w:w="978" w:type="dxa"/>
                  <w:vAlign w:val="center"/>
                </w:tcPr>
                <w:p w14:paraId="0418D321">
                  <w:pPr>
                    <w:pStyle w:val="34"/>
                    <w:bidi w:val="0"/>
                    <w:rPr>
                      <w:rFonts w:hint="eastAsia"/>
                      <w:color w:val="auto"/>
                      <w:lang w:val="en-US" w:eastAsia="zh-CN"/>
                    </w:rPr>
                  </w:pPr>
                  <w:r>
                    <w:rPr>
                      <w:rFonts w:hint="eastAsia"/>
                      <w:color w:val="auto"/>
                      <w:lang w:val="en-US" w:eastAsia="zh-CN"/>
                    </w:rPr>
                    <w:t>符合</w:t>
                  </w:r>
                </w:p>
              </w:tc>
            </w:tr>
            <w:tr w14:paraId="4410B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0" w:hRule="atLeast"/>
                <w:jc w:val="center"/>
              </w:trPr>
              <w:tc>
                <w:tcPr>
                  <w:tcW w:w="704" w:type="dxa"/>
                  <w:vAlign w:val="center"/>
                </w:tcPr>
                <w:p w14:paraId="333609B9">
                  <w:pPr>
                    <w:pStyle w:val="34"/>
                    <w:bidi w:val="0"/>
                    <w:rPr>
                      <w:rFonts w:hint="default"/>
                      <w:color w:val="auto"/>
                      <w:lang w:val="en-US" w:eastAsia="zh-CN"/>
                    </w:rPr>
                  </w:pPr>
                  <w:r>
                    <w:rPr>
                      <w:rFonts w:hint="eastAsia"/>
                      <w:color w:val="auto"/>
                      <w:lang w:val="en-US" w:eastAsia="zh-CN"/>
                    </w:rPr>
                    <w:t>3</w:t>
                  </w:r>
                </w:p>
              </w:tc>
              <w:tc>
                <w:tcPr>
                  <w:tcW w:w="3124" w:type="dxa"/>
                  <w:vAlign w:val="center"/>
                </w:tcPr>
                <w:p w14:paraId="342BF2CE">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第十八条  河道清淤和加固堤防取土以及按照防洪规划进行河道整治需要占用的土地，由当地人民政府调剂解决。</w:t>
                  </w:r>
                </w:p>
                <w:p w14:paraId="7B9A512D">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因修建水库、整治河道所增加的可利用土地，属于国家所有，可以由县级以上人民政府用于移民安置和河道整治工程。</w:t>
                  </w:r>
                </w:p>
              </w:tc>
              <w:tc>
                <w:tcPr>
                  <w:tcW w:w="2852" w:type="dxa"/>
                  <w:vAlign w:val="center"/>
                </w:tcPr>
                <w:p w14:paraId="2BCD9DC4">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本项目不涉及河道清淤，主要工程为</w:t>
                  </w:r>
                  <w:r>
                    <w:rPr>
                      <w:rFonts w:hint="default" w:ascii="Times New Roman" w:hAnsi="Times New Roman" w:eastAsia="宋体" w:cs="Times New Roman"/>
                      <w:color w:val="auto"/>
                      <w:sz w:val="21"/>
                      <w:szCs w:val="21"/>
                      <w:highlight w:val="none"/>
                      <w:lang w:val="en-US" w:eastAsia="zh-CN"/>
                    </w:rPr>
                    <w:t>堤防工程</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b w:val="0"/>
                      <w:bCs w:val="0"/>
                      <w:color w:val="auto"/>
                      <w:sz w:val="21"/>
                      <w:szCs w:val="21"/>
                      <w:highlight w:val="none"/>
                      <w:lang w:val="en-US" w:eastAsia="zh-CN"/>
                    </w:rPr>
                    <w:t>防冲坎工程、上堤道路工程及</w:t>
                  </w:r>
                  <w:r>
                    <w:rPr>
                      <w:rFonts w:hint="default" w:ascii="Times New Roman" w:hAnsi="Times New Roman" w:eastAsia="宋体" w:cs="Times New Roman"/>
                      <w:b w:val="0"/>
                      <w:bCs w:val="0"/>
                      <w:color w:val="auto"/>
                      <w:sz w:val="21"/>
                      <w:szCs w:val="21"/>
                      <w:highlight w:val="none"/>
                    </w:rPr>
                    <w:t>亲水平台</w:t>
                  </w:r>
                  <w:r>
                    <w:rPr>
                      <w:rFonts w:hint="default" w:ascii="Times New Roman" w:hAnsi="Times New Roman" w:eastAsia="宋体" w:cs="Times New Roman"/>
                      <w:b w:val="0"/>
                      <w:bCs w:val="0"/>
                      <w:color w:val="auto"/>
                      <w:sz w:val="21"/>
                      <w:szCs w:val="21"/>
                      <w:highlight w:val="none"/>
                      <w:lang w:val="en-US" w:eastAsia="zh-CN"/>
                    </w:rPr>
                    <w:t>工程</w:t>
                  </w:r>
                  <w:r>
                    <w:rPr>
                      <w:rFonts w:hint="default" w:ascii="Times New Roman" w:hAnsi="Times New Roman" w:eastAsia="宋体" w:cs="Times New Roman"/>
                      <w:color w:val="auto"/>
                      <w:sz w:val="21"/>
                      <w:szCs w:val="21"/>
                      <w:highlight w:val="none"/>
                    </w:rPr>
                    <w:t>，未涉及移民安置，主要是在河道范围内进行工程施工。</w:t>
                  </w:r>
                </w:p>
              </w:tc>
              <w:tc>
                <w:tcPr>
                  <w:tcW w:w="978" w:type="dxa"/>
                  <w:vAlign w:val="center"/>
                </w:tcPr>
                <w:p w14:paraId="7AD1E2D8">
                  <w:pPr>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符合</w:t>
                  </w:r>
                </w:p>
              </w:tc>
            </w:tr>
            <w:tr w14:paraId="0FEBC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9" w:hRule="atLeast"/>
                <w:jc w:val="center"/>
              </w:trPr>
              <w:tc>
                <w:tcPr>
                  <w:tcW w:w="704" w:type="dxa"/>
                  <w:vAlign w:val="center"/>
                </w:tcPr>
                <w:p w14:paraId="7A2E057A">
                  <w:pPr>
                    <w:pStyle w:val="34"/>
                    <w:bidi w:val="0"/>
                    <w:rPr>
                      <w:rFonts w:hint="default"/>
                      <w:color w:val="auto"/>
                      <w:lang w:val="en-US" w:eastAsia="zh-CN"/>
                    </w:rPr>
                  </w:pPr>
                  <w:r>
                    <w:rPr>
                      <w:rFonts w:hint="eastAsia"/>
                      <w:color w:val="auto"/>
                      <w:lang w:val="en-US" w:eastAsia="zh-CN"/>
                    </w:rPr>
                    <w:t>4</w:t>
                  </w:r>
                </w:p>
              </w:tc>
              <w:tc>
                <w:tcPr>
                  <w:tcW w:w="3124" w:type="dxa"/>
                  <w:vAlign w:val="center"/>
                </w:tcPr>
                <w:p w14:paraId="5714189A">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第十九条  省、自治区、直辖市以河道为边界的，在河道两岸外侧各10公里之内，以及跨省、自治区、直辖市的河道，未经有关各方达成协议或者国务院水利行政主管部门批准，禁止单方面修建排水、阻水、引水、蓄水工程以及河道整治工程。</w:t>
                  </w:r>
                </w:p>
              </w:tc>
              <w:tc>
                <w:tcPr>
                  <w:tcW w:w="2852" w:type="dxa"/>
                  <w:vAlign w:val="center"/>
                </w:tcPr>
                <w:p w14:paraId="23366652">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lang w:eastAsia="zh-CN"/>
                    </w:rPr>
                    <w:t>本项目</w:t>
                  </w:r>
                  <w:r>
                    <w:rPr>
                      <w:rFonts w:hint="default" w:ascii="Times New Roman" w:hAnsi="Times New Roman" w:eastAsia="宋体" w:cs="Times New Roman"/>
                      <w:color w:val="auto"/>
                      <w:sz w:val="21"/>
                      <w:szCs w:val="21"/>
                      <w:lang w:val="en-US" w:eastAsia="zh-CN"/>
                    </w:rPr>
                    <w:t>取得了德宏州水利局</w:t>
                  </w:r>
                  <w:r>
                    <w:rPr>
                      <w:rFonts w:hint="eastAsia"/>
                      <w:color w:val="auto"/>
                      <w:sz w:val="21"/>
                      <w:szCs w:val="21"/>
                    </w:rPr>
                    <w:t>《德宏州水利局关于准予芒市果朗河大新寨至芒里大桥段治理工程初步设计报告的行政许可决定书</w:t>
                  </w:r>
                  <w:r>
                    <w:rPr>
                      <w:rFonts w:hint="eastAsia"/>
                      <w:color w:val="auto"/>
                      <w:sz w:val="21"/>
                      <w:szCs w:val="21"/>
                      <w:lang w:eastAsia="zh-CN"/>
                    </w:rPr>
                    <w:t>》（</w:t>
                  </w:r>
                  <w:r>
                    <w:rPr>
                      <w:rFonts w:hint="eastAsia"/>
                      <w:color w:val="auto"/>
                      <w:sz w:val="21"/>
                      <w:szCs w:val="21"/>
                    </w:rPr>
                    <w:t>德水规计许﹝2023﹞16号</w:t>
                  </w:r>
                  <w:r>
                    <w:rPr>
                      <w:rFonts w:hint="eastAsia"/>
                      <w:color w:val="auto"/>
                      <w:sz w:val="21"/>
                      <w:szCs w:val="21"/>
                      <w:lang w:eastAsia="zh-CN"/>
                    </w:rPr>
                    <w:t>）</w:t>
                  </w:r>
                  <w:r>
                    <w:rPr>
                      <w:rFonts w:hint="eastAsia"/>
                      <w:color w:val="auto"/>
                      <w:sz w:val="21"/>
                      <w:szCs w:val="21"/>
                    </w:rPr>
                    <w:t>，</w:t>
                  </w:r>
                  <w:r>
                    <w:rPr>
                      <w:rFonts w:hint="default" w:ascii="Times New Roman" w:hAnsi="Times New Roman" w:eastAsia="宋体" w:cs="Times New Roman"/>
                      <w:color w:val="auto"/>
                      <w:sz w:val="21"/>
                      <w:szCs w:val="21"/>
                      <w:lang w:eastAsia="zh-CN"/>
                    </w:rPr>
                    <w:t>见附件</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highlight w:val="none"/>
                    </w:rPr>
                    <w:t>由</w:t>
                  </w:r>
                  <w:r>
                    <w:rPr>
                      <w:rFonts w:hint="default" w:ascii="Times New Roman" w:hAnsi="Times New Roman" w:eastAsia="宋体" w:cs="Times New Roman"/>
                      <w:color w:val="auto"/>
                      <w:sz w:val="21"/>
                      <w:szCs w:val="21"/>
                      <w:highlight w:val="none"/>
                      <w:lang w:val="en-US" w:eastAsia="zh-CN"/>
                    </w:rPr>
                    <w:t>芒市水利局</w:t>
                  </w:r>
                  <w:r>
                    <w:rPr>
                      <w:rFonts w:hint="default" w:ascii="Times New Roman" w:hAnsi="Times New Roman" w:eastAsia="宋体" w:cs="Times New Roman"/>
                      <w:color w:val="auto"/>
                      <w:sz w:val="21"/>
                      <w:szCs w:val="21"/>
                      <w:highlight w:val="none"/>
                    </w:rPr>
                    <w:t>作为建设方对河道进行整治工程。</w:t>
                  </w:r>
                </w:p>
              </w:tc>
              <w:tc>
                <w:tcPr>
                  <w:tcW w:w="978" w:type="dxa"/>
                  <w:vAlign w:val="center"/>
                </w:tcPr>
                <w:p w14:paraId="55A4269C">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符合</w:t>
                  </w:r>
                </w:p>
              </w:tc>
            </w:tr>
            <w:tr w14:paraId="30BD3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6" w:hRule="atLeast"/>
                <w:jc w:val="center"/>
              </w:trPr>
              <w:tc>
                <w:tcPr>
                  <w:tcW w:w="704" w:type="dxa"/>
                  <w:vAlign w:val="center"/>
                </w:tcPr>
                <w:p w14:paraId="58B7D7FE">
                  <w:pPr>
                    <w:pStyle w:val="34"/>
                    <w:bidi w:val="0"/>
                    <w:rPr>
                      <w:rFonts w:hint="default"/>
                      <w:color w:val="auto"/>
                      <w:lang w:val="en-US" w:eastAsia="zh-CN"/>
                    </w:rPr>
                  </w:pPr>
                  <w:r>
                    <w:rPr>
                      <w:rFonts w:hint="eastAsia"/>
                      <w:color w:val="auto"/>
                      <w:lang w:val="en-US" w:eastAsia="zh-CN"/>
                    </w:rPr>
                    <w:t>5</w:t>
                  </w:r>
                </w:p>
              </w:tc>
              <w:tc>
                <w:tcPr>
                  <w:tcW w:w="3124" w:type="dxa"/>
                  <w:vAlign w:val="center"/>
                </w:tcPr>
                <w:p w14:paraId="3B6ACFE2">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第二十五条  在河道管理范围内进行下列活动，必须报经河道主管机关批准，涉及其他部门的，由河道主管机关会同有关部门批准：</w:t>
                  </w:r>
                </w:p>
                <w:p w14:paraId="24282508">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一</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采砂、取土、淘金、弃置砂石或者淤泥；</w:t>
                  </w:r>
                </w:p>
                <w:p w14:paraId="0CEC2D51">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二</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爆破、钻探、挖筑鱼塘；</w:t>
                  </w:r>
                </w:p>
                <w:p w14:paraId="09F94669">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三</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在河道滩地存放物料、修建厂房或者其他建筑设施；</w:t>
                  </w:r>
                </w:p>
                <w:p w14:paraId="74650F8D">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四</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在河道滩地开采地下资源及进行考古发掘。</w:t>
                  </w:r>
                </w:p>
              </w:tc>
              <w:tc>
                <w:tcPr>
                  <w:tcW w:w="2852" w:type="dxa"/>
                  <w:vAlign w:val="center"/>
                </w:tcPr>
                <w:p w14:paraId="6DA017FE">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本项目为</w:t>
                  </w:r>
                  <w:r>
                    <w:rPr>
                      <w:rFonts w:hint="default" w:ascii="Times New Roman" w:hAnsi="Times New Roman" w:eastAsia="宋体" w:cs="Times New Roman"/>
                      <w:color w:val="auto"/>
                      <w:sz w:val="21"/>
                      <w:szCs w:val="21"/>
                      <w:highlight w:val="none"/>
                      <w:lang w:eastAsia="zh-CN"/>
                    </w:rPr>
                    <w:t>河道治理工程</w:t>
                  </w:r>
                  <w:r>
                    <w:rPr>
                      <w:rFonts w:hint="default" w:ascii="Times New Roman" w:hAnsi="Times New Roman" w:eastAsia="宋体" w:cs="Times New Roman"/>
                      <w:color w:val="auto"/>
                      <w:sz w:val="21"/>
                      <w:szCs w:val="21"/>
                      <w:highlight w:val="none"/>
                    </w:rPr>
                    <w:t>，不涉及采砂、取土、淘金、弃置砂石或者淤泥、爆破、钻探、挖筑鱼塘、在河道滩地开采地下资源及进行考古发掘。项目施工过程中会在河滩内堆放材料，但施工结束后对堆放区进行</w:t>
                  </w:r>
                  <w:r>
                    <w:rPr>
                      <w:rFonts w:hint="default" w:ascii="Times New Roman" w:hAnsi="Times New Roman" w:eastAsia="宋体" w:cs="Times New Roman"/>
                      <w:color w:val="auto"/>
                      <w:sz w:val="21"/>
                      <w:szCs w:val="21"/>
                      <w:highlight w:val="none"/>
                      <w:lang w:eastAsia="zh-CN"/>
                    </w:rPr>
                    <w:t>生态恢复</w:t>
                  </w:r>
                  <w:r>
                    <w:rPr>
                      <w:rFonts w:hint="default" w:ascii="Times New Roman" w:hAnsi="Times New Roman" w:eastAsia="宋体" w:cs="Times New Roman"/>
                      <w:color w:val="auto"/>
                      <w:sz w:val="21"/>
                      <w:szCs w:val="21"/>
                      <w:highlight w:val="none"/>
                    </w:rPr>
                    <w:t>。</w:t>
                  </w:r>
                </w:p>
              </w:tc>
              <w:tc>
                <w:tcPr>
                  <w:tcW w:w="978" w:type="dxa"/>
                  <w:vAlign w:val="center"/>
                </w:tcPr>
                <w:p w14:paraId="047B4D6D">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符合</w:t>
                  </w:r>
                </w:p>
              </w:tc>
            </w:tr>
            <w:tr w14:paraId="60E8B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0" w:hRule="atLeast"/>
                <w:jc w:val="center"/>
              </w:trPr>
              <w:tc>
                <w:tcPr>
                  <w:tcW w:w="704" w:type="dxa"/>
                  <w:vAlign w:val="center"/>
                </w:tcPr>
                <w:p w14:paraId="5E095C1F">
                  <w:pPr>
                    <w:pStyle w:val="34"/>
                    <w:bidi w:val="0"/>
                    <w:rPr>
                      <w:rFonts w:hint="default"/>
                      <w:color w:val="auto"/>
                      <w:lang w:val="en-US" w:eastAsia="zh-CN"/>
                    </w:rPr>
                  </w:pPr>
                  <w:r>
                    <w:rPr>
                      <w:rFonts w:hint="eastAsia"/>
                      <w:color w:val="auto"/>
                      <w:lang w:val="en-US" w:eastAsia="zh-CN"/>
                    </w:rPr>
                    <w:t>6</w:t>
                  </w:r>
                </w:p>
              </w:tc>
              <w:tc>
                <w:tcPr>
                  <w:tcW w:w="3124" w:type="dxa"/>
                  <w:vAlign w:val="center"/>
                </w:tcPr>
                <w:p w14:paraId="0BBECDE4">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第二十六条  根据堤防的重要程度、堤基土质条件等，河道主管机关报经县级以上人民政府批准，可以在河道管理范围的相连地域划定堤防安全保护区。在堤防安全保护区内，禁止进行打井、钻探、爆破、挖筑鱼塘、采石、取土等危害堤防安全的活动。</w:t>
                  </w:r>
                </w:p>
              </w:tc>
              <w:tc>
                <w:tcPr>
                  <w:tcW w:w="2852" w:type="dxa"/>
                  <w:vAlign w:val="center"/>
                </w:tcPr>
                <w:p w14:paraId="23BA1FA5">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本项目为</w:t>
                  </w:r>
                  <w:r>
                    <w:rPr>
                      <w:rFonts w:hint="default" w:ascii="Times New Roman" w:hAnsi="Times New Roman" w:eastAsia="宋体" w:cs="Times New Roman"/>
                      <w:color w:val="auto"/>
                      <w:sz w:val="21"/>
                      <w:szCs w:val="21"/>
                      <w:highlight w:val="none"/>
                      <w:lang w:eastAsia="zh-CN"/>
                    </w:rPr>
                    <w:t>河道治理工程</w:t>
                  </w:r>
                  <w:r>
                    <w:rPr>
                      <w:rFonts w:hint="default" w:ascii="Times New Roman" w:hAnsi="Times New Roman" w:eastAsia="宋体" w:cs="Times New Roman"/>
                      <w:color w:val="auto"/>
                      <w:sz w:val="21"/>
                      <w:szCs w:val="21"/>
                      <w:highlight w:val="none"/>
                    </w:rPr>
                    <w:t>，已经取得人民政府的批准，在施工过程中不存在打井、钻探、爆破、挖筑鱼塘、采石、取土等危害堤防安全的活动。</w:t>
                  </w:r>
                </w:p>
              </w:tc>
              <w:tc>
                <w:tcPr>
                  <w:tcW w:w="978" w:type="dxa"/>
                  <w:vAlign w:val="center"/>
                </w:tcPr>
                <w:p w14:paraId="690DAD37">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符合</w:t>
                  </w:r>
                </w:p>
              </w:tc>
            </w:tr>
          </w:tbl>
          <w:p w14:paraId="05C46683">
            <w:pPr>
              <w:pStyle w:val="36"/>
              <w:bidi w:val="0"/>
              <w:rPr>
                <w:rFonts w:hint="eastAsia"/>
                <w:color w:val="auto"/>
                <w:lang w:eastAsia="zh-CN"/>
              </w:rPr>
            </w:pPr>
            <w:r>
              <w:rPr>
                <w:rFonts w:hint="eastAsia"/>
                <w:color w:val="auto"/>
                <w:lang w:eastAsia="zh-CN"/>
              </w:rPr>
              <w:t>根据上表可知，项目的建设符合《中华人民共和国河道管理条例》要求。</w:t>
            </w:r>
          </w:p>
          <w:p w14:paraId="480F21DB">
            <w:pPr>
              <w:pStyle w:val="36"/>
              <w:bidi w:val="0"/>
              <w:rPr>
                <w:rFonts w:hint="eastAsia"/>
                <w:b/>
                <w:bCs/>
                <w:color w:val="auto"/>
                <w:lang w:eastAsia="zh-CN"/>
              </w:rPr>
            </w:pPr>
            <w:r>
              <w:rPr>
                <w:rFonts w:hint="eastAsia"/>
                <w:b/>
                <w:bCs/>
                <w:color w:val="auto"/>
                <w:lang w:val="en-US" w:eastAsia="zh-CN"/>
              </w:rPr>
              <w:t>7</w:t>
            </w:r>
            <w:r>
              <w:rPr>
                <w:rFonts w:hint="eastAsia"/>
                <w:b/>
                <w:bCs/>
                <w:color w:val="auto"/>
                <w:lang w:eastAsia="zh-CN"/>
              </w:rPr>
              <w:t>、项目与《关于印发机场、港口、水利（河湖整治与防洪除涝工程）三个行业建设项目环境影响评价文件审批原则的通知》（环办环评〔2018〕2号）符合性分析</w:t>
            </w:r>
          </w:p>
          <w:p w14:paraId="0F890482">
            <w:pPr>
              <w:pStyle w:val="31"/>
              <w:bidi w:val="0"/>
              <w:rPr>
                <w:rFonts w:hint="eastAsia"/>
                <w:color w:val="auto"/>
                <w:lang w:eastAsia="zh-CN"/>
              </w:rPr>
            </w:pPr>
            <w:r>
              <w:rPr>
                <w:rFonts w:hint="eastAsia"/>
                <w:color w:val="auto"/>
                <w:lang w:eastAsia="zh-CN"/>
              </w:rPr>
              <w:t>表1-</w:t>
            </w:r>
            <w:r>
              <w:rPr>
                <w:rFonts w:hint="eastAsia"/>
                <w:color w:val="auto"/>
                <w:lang w:val="en-US" w:eastAsia="zh-CN"/>
              </w:rPr>
              <w:t xml:space="preserve">6 </w:t>
            </w:r>
            <w:r>
              <w:rPr>
                <w:rFonts w:hint="eastAsia"/>
                <w:color w:val="auto"/>
                <w:lang w:eastAsia="zh-CN"/>
              </w:rPr>
              <w:t>项目与（环办环评〔2018〕2号）符合性分析</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9"/>
              <w:gridCol w:w="3004"/>
              <w:gridCol w:w="2696"/>
              <w:gridCol w:w="890"/>
            </w:tblGrid>
            <w:tr w14:paraId="1EEF4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69" w:type="dxa"/>
                  <w:vAlign w:val="center"/>
                </w:tcPr>
                <w:p w14:paraId="0166D9D6">
                  <w:pPr>
                    <w:pStyle w:val="34"/>
                    <w:bidi w:val="0"/>
                    <w:rPr>
                      <w:rFonts w:hint="eastAsia"/>
                      <w:b/>
                      <w:bCs/>
                      <w:color w:val="auto"/>
                      <w:lang w:eastAsia="zh-CN"/>
                    </w:rPr>
                  </w:pPr>
                  <w:r>
                    <w:rPr>
                      <w:b/>
                      <w:bCs/>
                      <w:color w:val="auto"/>
                    </w:rPr>
                    <w:t>序号</w:t>
                  </w:r>
                </w:p>
              </w:tc>
              <w:tc>
                <w:tcPr>
                  <w:tcW w:w="3004" w:type="dxa"/>
                  <w:vAlign w:val="center"/>
                </w:tcPr>
                <w:p w14:paraId="1DE4361A">
                  <w:pPr>
                    <w:pStyle w:val="34"/>
                    <w:bidi w:val="0"/>
                    <w:rPr>
                      <w:rFonts w:hint="eastAsia"/>
                      <w:b/>
                      <w:bCs/>
                      <w:color w:val="auto"/>
                      <w:lang w:eastAsia="zh-CN"/>
                    </w:rPr>
                  </w:pPr>
                  <w:r>
                    <w:rPr>
                      <w:b/>
                      <w:bCs/>
                      <w:color w:val="auto"/>
                    </w:rPr>
                    <w:t>（环办环评〔2018〕2号）文件</w:t>
                  </w:r>
                </w:p>
              </w:tc>
              <w:tc>
                <w:tcPr>
                  <w:tcW w:w="2696" w:type="dxa"/>
                  <w:vAlign w:val="center"/>
                </w:tcPr>
                <w:p w14:paraId="78711EE2">
                  <w:pPr>
                    <w:pStyle w:val="34"/>
                    <w:bidi w:val="0"/>
                    <w:rPr>
                      <w:rFonts w:hint="eastAsia"/>
                      <w:b/>
                      <w:bCs/>
                      <w:color w:val="auto"/>
                      <w:lang w:eastAsia="zh-CN"/>
                    </w:rPr>
                  </w:pPr>
                  <w:r>
                    <w:rPr>
                      <w:b/>
                      <w:bCs/>
                      <w:color w:val="auto"/>
                    </w:rPr>
                    <w:t>本项目</w:t>
                  </w:r>
                </w:p>
              </w:tc>
              <w:tc>
                <w:tcPr>
                  <w:tcW w:w="890" w:type="dxa"/>
                  <w:vAlign w:val="center"/>
                </w:tcPr>
                <w:p w14:paraId="798A1973">
                  <w:pPr>
                    <w:pStyle w:val="34"/>
                    <w:bidi w:val="0"/>
                    <w:rPr>
                      <w:rFonts w:hint="eastAsia" w:eastAsia="宋体"/>
                      <w:b/>
                      <w:bCs/>
                      <w:color w:val="auto"/>
                      <w:lang w:eastAsia="zh-CN"/>
                    </w:rPr>
                  </w:pPr>
                  <w:r>
                    <w:rPr>
                      <w:b/>
                      <w:bCs/>
                      <w:color w:val="auto"/>
                    </w:rPr>
                    <w:t>符合</w:t>
                  </w:r>
                  <w:r>
                    <w:rPr>
                      <w:rFonts w:hint="eastAsia"/>
                      <w:b/>
                      <w:bCs/>
                      <w:color w:val="auto"/>
                      <w:lang w:eastAsia="zh-CN"/>
                    </w:rPr>
                    <w:t>性</w:t>
                  </w:r>
                </w:p>
              </w:tc>
            </w:tr>
            <w:tr w14:paraId="53A87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69" w:type="dxa"/>
                  <w:vAlign w:val="center"/>
                </w:tcPr>
                <w:p w14:paraId="3712ECB1">
                  <w:pPr>
                    <w:pStyle w:val="34"/>
                    <w:bidi w:val="0"/>
                    <w:rPr>
                      <w:rFonts w:hint="eastAsia"/>
                      <w:color w:val="auto"/>
                      <w:lang w:eastAsia="zh-CN"/>
                    </w:rPr>
                  </w:pPr>
                  <w:r>
                    <w:rPr>
                      <w:color w:val="auto"/>
                    </w:rPr>
                    <w:t>1</w:t>
                  </w:r>
                </w:p>
              </w:tc>
              <w:tc>
                <w:tcPr>
                  <w:tcW w:w="3004" w:type="dxa"/>
                  <w:vAlign w:val="center"/>
                </w:tcPr>
                <w:p w14:paraId="1391392E">
                  <w:pPr>
                    <w:pStyle w:val="34"/>
                    <w:bidi w:val="0"/>
                    <w:jc w:val="both"/>
                    <w:rPr>
                      <w:rFonts w:hint="eastAsia" w:eastAsia="宋体"/>
                      <w:color w:val="auto"/>
                      <w:lang w:eastAsia="zh-CN"/>
                    </w:rPr>
                  </w:pPr>
                  <w:r>
                    <w:rPr>
                      <w:color w:val="auto"/>
                    </w:rPr>
                    <w:t>第二条：项目符合环境保护相关法律法规和政策要求，与主体功能区规划、生态功能区划、水环境功能区划、水功能区划、生态环境保护规划、流域综合规划、防洪规划等相协调，满足相关规划环评要求。工程涉及岸线调整（治导线变化）、裁弯取直、围垦水面和占用河湖滩地等建设内容的，充分论证了方案环境可行性，最大程度保持了河湖自然形态，最大限度维护了河湖健康、生态系统功能和生物多样性</w:t>
                  </w:r>
                  <w:r>
                    <w:rPr>
                      <w:rFonts w:hint="eastAsia"/>
                      <w:color w:val="auto"/>
                      <w:lang w:eastAsia="zh-CN"/>
                    </w:rPr>
                    <w:t>。</w:t>
                  </w:r>
                </w:p>
              </w:tc>
              <w:tc>
                <w:tcPr>
                  <w:tcW w:w="2696" w:type="dxa"/>
                  <w:vAlign w:val="center"/>
                </w:tcPr>
                <w:p w14:paraId="268BEABD">
                  <w:pPr>
                    <w:pStyle w:val="34"/>
                    <w:bidi w:val="0"/>
                    <w:jc w:val="both"/>
                    <w:rPr>
                      <w:rFonts w:hint="eastAsia" w:eastAsia="宋体"/>
                      <w:color w:val="auto"/>
                      <w:lang w:eastAsia="zh-CN"/>
                    </w:rPr>
                  </w:pPr>
                  <w:r>
                    <w:rPr>
                      <w:color w:val="auto"/>
                    </w:rPr>
                    <w:t>项目符合环境保护相关法律法规和政策要求，项目符合云南省主体功能区规划、云南省生态功能区划</w:t>
                  </w:r>
                  <w:r>
                    <w:rPr>
                      <w:rFonts w:hint="eastAsia"/>
                      <w:color w:val="auto"/>
                      <w:lang w:eastAsia="zh-CN"/>
                    </w:rPr>
                    <w:t>。</w:t>
                  </w:r>
                </w:p>
                <w:p w14:paraId="3A839A94">
                  <w:pPr>
                    <w:pStyle w:val="34"/>
                    <w:bidi w:val="0"/>
                    <w:jc w:val="both"/>
                    <w:rPr>
                      <w:rFonts w:hint="eastAsia"/>
                      <w:color w:val="auto"/>
                      <w:lang w:eastAsia="zh-CN"/>
                    </w:rPr>
                  </w:pPr>
                  <w:r>
                    <w:rPr>
                      <w:color w:val="auto"/>
                    </w:rPr>
                    <w:t>本项目堤线布置遵循河道的自然属性，不改变现状河道走势，基本沿现状河坎线布置，既保留了原河道凹岸、凸岸、河湾和浅滩，最大程度保持了河湖自然形态，最大限度维护了河湖健康、生态系统功能和生物多样性。</w:t>
                  </w:r>
                </w:p>
              </w:tc>
              <w:tc>
                <w:tcPr>
                  <w:tcW w:w="890" w:type="dxa"/>
                  <w:vAlign w:val="center"/>
                </w:tcPr>
                <w:p w14:paraId="41AD3082">
                  <w:pPr>
                    <w:pStyle w:val="34"/>
                    <w:bidi w:val="0"/>
                    <w:rPr>
                      <w:rFonts w:hint="eastAsia"/>
                      <w:color w:val="auto"/>
                      <w:lang w:eastAsia="zh-CN"/>
                    </w:rPr>
                  </w:pPr>
                  <w:r>
                    <w:rPr>
                      <w:color w:val="auto"/>
                    </w:rPr>
                    <w:t>符合</w:t>
                  </w:r>
                </w:p>
              </w:tc>
            </w:tr>
            <w:tr w14:paraId="374A0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69" w:type="dxa"/>
                  <w:vAlign w:val="center"/>
                </w:tcPr>
                <w:p w14:paraId="6FFBC1D1">
                  <w:pPr>
                    <w:pStyle w:val="34"/>
                    <w:bidi w:val="0"/>
                    <w:rPr>
                      <w:rFonts w:hint="eastAsia"/>
                      <w:color w:val="auto"/>
                      <w:lang w:eastAsia="zh-CN"/>
                    </w:rPr>
                  </w:pPr>
                  <w:r>
                    <w:rPr>
                      <w:rFonts w:hint="eastAsia"/>
                      <w:color w:val="auto"/>
                      <w:lang w:val="en-US" w:eastAsia="zh-CN"/>
                    </w:rPr>
                    <w:t>2</w:t>
                  </w:r>
                </w:p>
              </w:tc>
              <w:tc>
                <w:tcPr>
                  <w:tcW w:w="3004" w:type="dxa"/>
                  <w:vAlign w:val="center"/>
                </w:tcPr>
                <w:p w14:paraId="4D4516C9">
                  <w:pPr>
                    <w:pStyle w:val="34"/>
                    <w:bidi w:val="0"/>
                    <w:jc w:val="both"/>
                    <w:rPr>
                      <w:rFonts w:hint="eastAsia" w:eastAsia="宋体"/>
                      <w:color w:val="auto"/>
                      <w:lang w:eastAsia="zh-CN"/>
                    </w:rPr>
                  </w:pPr>
                  <w:r>
                    <w:rPr>
                      <w:color w:val="auto"/>
                    </w:rPr>
                    <w:t>第三条</w:t>
                  </w:r>
                  <w:r>
                    <w:rPr>
                      <w:rFonts w:hint="eastAsia"/>
                      <w:color w:val="auto"/>
                      <w:lang w:eastAsia="zh-CN"/>
                    </w:rPr>
                    <w:t>：</w:t>
                  </w:r>
                  <w:r>
                    <w:rPr>
                      <w:color w:val="auto"/>
                    </w:rPr>
                    <w:t>工程选址选线、施工布置原则上不占用自然保护区、风景名胜区、世界文化和自然遗产地以及其他生态保护红线等环境敏感区中法律法规禁止占用的区域，并与饮用水水源保护区的保护要求相协调。法律法规、政策另有规定的从其规定</w:t>
                  </w:r>
                  <w:r>
                    <w:rPr>
                      <w:rFonts w:hint="eastAsia"/>
                      <w:color w:val="auto"/>
                      <w:lang w:eastAsia="zh-CN"/>
                    </w:rPr>
                    <w:t>。</w:t>
                  </w:r>
                </w:p>
              </w:tc>
              <w:tc>
                <w:tcPr>
                  <w:tcW w:w="2696" w:type="dxa"/>
                  <w:vAlign w:val="center"/>
                </w:tcPr>
                <w:p w14:paraId="52E30B1A">
                  <w:pPr>
                    <w:pStyle w:val="34"/>
                    <w:bidi w:val="0"/>
                    <w:jc w:val="both"/>
                    <w:rPr>
                      <w:rFonts w:hint="eastAsia"/>
                      <w:color w:val="auto"/>
                      <w:lang w:eastAsia="zh-CN"/>
                    </w:rPr>
                  </w:pPr>
                  <w:r>
                    <w:rPr>
                      <w:color w:val="auto"/>
                    </w:rPr>
                    <w:t>项目工程选址选线、施工布置不占用自然保护区、风景名胜区、世界文化和自然遗产地，不涉及生态红线等环境敏感区中法律法规禁止占用的区域，项目建设未涉及饮用水水源保护区。</w:t>
                  </w:r>
                </w:p>
              </w:tc>
              <w:tc>
                <w:tcPr>
                  <w:tcW w:w="890" w:type="dxa"/>
                  <w:vAlign w:val="center"/>
                </w:tcPr>
                <w:p w14:paraId="6FEC85F0">
                  <w:pPr>
                    <w:pStyle w:val="34"/>
                    <w:bidi w:val="0"/>
                    <w:rPr>
                      <w:rFonts w:hint="default"/>
                      <w:color w:val="auto"/>
                      <w:lang w:val="en-US" w:eastAsia="zh-CN"/>
                    </w:rPr>
                  </w:pPr>
                  <w:r>
                    <w:rPr>
                      <w:rFonts w:hint="eastAsia"/>
                      <w:color w:val="auto"/>
                      <w:lang w:eastAsia="zh-CN"/>
                    </w:rPr>
                    <w:t>符合</w:t>
                  </w:r>
                </w:p>
              </w:tc>
            </w:tr>
            <w:tr w14:paraId="4CDFD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69" w:type="dxa"/>
                  <w:vAlign w:val="center"/>
                </w:tcPr>
                <w:p w14:paraId="3713D11C">
                  <w:pPr>
                    <w:pStyle w:val="34"/>
                    <w:bidi w:val="0"/>
                    <w:rPr>
                      <w:rFonts w:hint="eastAsia"/>
                      <w:color w:val="auto"/>
                      <w:lang w:eastAsia="zh-CN"/>
                    </w:rPr>
                  </w:pPr>
                  <w:r>
                    <w:rPr>
                      <w:color w:val="auto"/>
                    </w:rPr>
                    <w:t>3</w:t>
                  </w:r>
                </w:p>
              </w:tc>
              <w:tc>
                <w:tcPr>
                  <w:tcW w:w="3004" w:type="dxa"/>
                  <w:vAlign w:val="center"/>
                </w:tcPr>
                <w:p w14:paraId="6335CB26">
                  <w:pPr>
                    <w:pStyle w:val="34"/>
                    <w:bidi w:val="0"/>
                    <w:rPr>
                      <w:rFonts w:hint="eastAsia"/>
                      <w:color w:val="auto"/>
                      <w:lang w:eastAsia="zh-CN"/>
                    </w:rPr>
                  </w:pPr>
                  <w:r>
                    <w:rPr>
                      <w:color w:val="auto"/>
                    </w:rPr>
                    <w:t>第五条：项目对鱼类等水生生物的洄游通道及</w:t>
                  </w:r>
                  <w:r>
                    <w:rPr>
                      <w:rFonts w:hint="eastAsia"/>
                      <w:color w:val="auto"/>
                      <w:lang w:eastAsia="zh-CN"/>
                    </w:rPr>
                    <w:t>“</w:t>
                  </w:r>
                  <w:r>
                    <w:rPr>
                      <w:color w:val="auto"/>
                    </w:rPr>
                    <w:t>三场</w:t>
                  </w:r>
                  <w:r>
                    <w:rPr>
                      <w:rFonts w:hint="eastAsia"/>
                      <w:color w:val="auto"/>
                      <w:lang w:eastAsia="zh-CN"/>
                    </w:rPr>
                    <w:t>”</w:t>
                  </w:r>
                  <w:r>
                    <w:rPr>
                      <w:color w:val="auto"/>
                    </w:rPr>
                    <w:t>等重要生境、物种多样性及资源量等产生不利影响的</w:t>
                  </w:r>
                  <w:r>
                    <w:rPr>
                      <w:rFonts w:hint="eastAsia"/>
                      <w:color w:val="auto"/>
                      <w:lang w:eastAsia="zh-CN"/>
                    </w:rPr>
                    <w:t>，</w:t>
                  </w:r>
                  <w:r>
                    <w:rPr>
                      <w:color w:val="auto"/>
                    </w:rPr>
                    <w:t>提出了下泄生态流量、恢复鱼类洄游通道、采用生态友好型护岸（坡、底）、生态修复、增殖放流等措施。在采取上述措施后，对水生生物的不利影响能够得到缓解和控制，不会造成原有珍稀濒危保护、区域特有或重要经济水生生物在相关河段消失，不会对相关河段水生生态系统造成重大不利影响。</w:t>
                  </w:r>
                </w:p>
              </w:tc>
              <w:tc>
                <w:tcPr>
                  <w:tcW w:w="2696" w:type="dxa"/>
                  <w:vAlign w:val="center"/>
                </w:tcPr>
                <w:p w14:paraId="66B00459">
                  <w:pPr>
                    <w:pStyle w:val="34"/>
                    <w:bidi w:val="0"/>
                    <w:rPr>
                      <w:rFonts w:hint="eastAsia" w:eastAsia="宋体"/>
                      <w:color w:val="auto"/>
                      <w:lang w:eastAsia="zh-CN"/>
                    </w:rPr>
                  </w:pPr>
                  <w:r>
                    <w:rPr>
                      <w:color w:val="auto"/>
                    </w:rPr>
                    <w:t>项目治理段范围内不涉及鱼类等水生生物的洄游通道及“三场</w:t>
                  </w:r>
                  <w:r>
                    <w:rPr>
                      <w:rFonts w:hint="eastAsia"/>
                      <w:color w:val="auto"/>
                      <w:lang w:eastAsia="zh-CN"/>
                    </w:rPr>
                    <w:t>”</w:t>
                  </w:r>
                  <w:r>
                    <w:rPr>
                      <w:color w:val="auto"/>
                    </w:rPr>
                    <w:t>等重要生境，项目的建设不会对水文情势造成影响。本次治理河段</w:t>
                  </w:r>
                  <w:r>
                    <w:rPr>
                      <w:rFonts w:hint="eastAsia"/>
                      <w:color w:val="auto"/>
                    </w:rPr>
                    <w:t>结合本工程实际情况，</w:t>
                  </w:r>
                  <w:r>
                    <w:rPr>
                      <w:rFonts w:hint="eastAsia"/>
                      <w:color w:val="auto"/>
                      <w:lang w:eastAsia="zh-CN"/>
                    </w:rPr>
                    <w:t>治理河段</w:t>
                  </w:r>
                  <w:r>
                    <w:rPr>
                      <w:rFonts w:hint="eastAsia"/>
                      <w:color w:val="auto"/>
                    </w:rPr>
                    <w:t>冲刷较为严重，一般材料抗冲性能较差，从开挖料利用、工程投资、河岸生态及景观性及施工便利条件等方面的因素综合考虑</w:t>
                  </w:r>
                  <w:r>
                    <w:rPr>
                      <w:rFonts w:hint="eastAsia"/>
                      <w:color w:val="auto"/>
                      <w:lang w:eastAsia="zh-CN"/>
                    </w:rPr>
                    <w:t>，</w:t>
                  </w:r>
                  <w:r>
                    <w:rPr>
                      <w:rFonts w:hint="eastAsia"/>
                      <w:color w:val="auto"/>
                      <w:lang w:val="en-US" w:eastAsia="zh-CN"/>
                    </w:rPr>
                    <w:t>满足防洪标准的河段保持原状。施工期通过采取相应的环保措施后，不会大面积破坏河流的生态。综上，</w:t>
                  </w:r>
                  <w:r>
                    <w:rPr>
                      <w:rFonts w:hint="eastAsia"/>
                      <w:color w:val="auto"/>
                      <w:lang w:eastAsia="zh-CN"/>
                    </w:rPr>
                    <w:t>本工程</w:t>
                  </w:r>
                  <w:r>
                    <w:rPr>
                      <w:color w:val="auto"/>
                    </w:rPr>
                    <w:t>不会造成原有珍稀濒危保护、区域特有或重要经济水生生物在相关河段消失，不会对相关河段水生生态系统造成重大不利影响</w:t>
                  </w:r>
                  <w:r>
                    <w:rPr>
                      <w:rFonts w:hint="eastAsia"/>
                      <w:color w:val="auto"/>
                      <w:lang w:eastAsia="zh-CN"/>
                    </w:rPr>
                    <w:t>。</w:t>
                  </w:r>
                </w:p>
              </w:tc>
              <w:tc>
                <w:tcPr>
                  <w:tcW w:w="890" w:type="dxa"/>
                  <w:vAlign w:val="center"/>
                </w:tcPr>
                <w:p w14:paraId="4073D4B1">
                  <w:pPr>
                    <w:pStyle w:val="34"/>
                    <w:bidi w:val="0"/>
                    <w:rPr>
                      <w:rFonts w:hint="eastAsia"/>
                      <w:color w:val="auto"/>
                      <w:lang w:eastAsia="zh-CN"/>
                    </w:rPr>
                  </w:pPr>
                  <w:r>
                    <w:rPr>
                      <w:color w:val="auto"/>
                    </w:rPr>
                    <w:t>符合</w:t>
                  </w:r>
                </w:p>
              </w:tc>
            </w:tr>
            <w:tr w14:paraId="411ED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69" w:type="dxa"/>
                  <w:vAlign w:val="center"/>
                </w:tcPr>
                <w:p w14:paraId="579696D6">
                  <w:pPr>
                    <w:pStyle w:val="34"/>
                    <w:bidi w:val="0"/>
                    <w:rPr>
                      <w:rFonts w:hint="eastAsia"/>
                      <w:color w:val="auto"/>
                      <w:lang w:eastAsia="zh-CN"/>
                    </w:rPr>
                  </w:pPr>
                  <w:r>
                    <w:rPr>
                      <w:color w:val="auto"/>
                    </w:rPr>
                    <w:t>4</w:t>
                  </w:r>
                </w:p>
              </w:tc>
              <w:tc>
                <w:tcPr>
                  <w:tcW w:w="3004" w:type="dxa"/>
                  <w:vAlign w:val="center"/>
                </w:tcPr>
                <w:p w14:paraId="39B78153">
                  <w:pPr>
                    <w:pStyle w:val="34"/>
                    <w:bidi w:val="0"/>
                    <w:rPr>
                      <w:rFonts w:hint="eastAsia"/>
                      <w:color w:val="auto"/>
                      <w:lang w:eastAsia="zh-CN"/>
                    </w:rPr>
                  </w:pPr>
                  <w:r>
                    <w:rPr>
                      <w:color w:val="auto"/>
                    </w:rPr>
                    <w:t>第七条：项目施工组织方案具有环境合理性，对料场、弃土（渣）场等施工场地提出了水土流失防治和生态修复等措施。根据环境保护相关标准和要求，对施工期各类废（污）水、扬尘、废气、噪声、固体废物等提出了防治或处置措施</w:t>
                  </w:r>
                  <w:r>
                    <w:rPr>
                      <w:rFonts w:hint="eastAsia"/>
                      <w:color w:val="auto"/>
                      <w:lang w:eastAsia="zh-CN"/>
                    </w:rPr>
                    <w:t>。</w:t>
                  </w:r>
                  <w:r>
                    <w:rPr>
                      <w:color w:val="auto"/>
                    </w:rPr>
                    <w:t>其中，涉水施工涉及饮用水水源保护区或取水口并可能对水质造成不利影响的，提出了避让、施工方案优化、污染物控制等措施；涉水施工对鱼类等水生生物及其重要生境造成不利影响的，提出了避让、施工方案优化、控制施工噪声等措施；针对清淤、疏浚等产生的淤泥，提出了符合相关规定的处置或综合利用方案。在采取上述措施后</w:t>
                  </w:r>
                  <w:r>
                    <w:rPr>
                      <w:rFonts w:hint="eastAsia"/>
                      <w:color w:val="auto"/>
                      <w:lang w:eastAsia="zh-CN"/>
                    </w:rPr>
                    <w:t>，</w:t>
                  </w:r>
                  <w:r>
                    <w:rPr>
                      <w:color w:val="auto"/>
                    </w:rPr>
                    <w:t>施工期的不利环境影响能够得到缓解和控制，不会对周围环境和敏感保护目标造成重大不利影响。</w:t>
                  </w:r>
                </w:p>
              </w:tc>
              <w:tc>
                <w:tcPr>
                  <w:tcW w:w="2696" w:type="dxa"/>
                  <w:vAlign w:val="center"/>
                </w:tcPr>
                <w:p w14:paraId="7BB28619">
                  <w:pPr>
                    <w:pStyle w:val="34"/>
                    <w:bidi w:val="0"/>
                    <w:rPr>
                      <w:rFonts w:hint="eastAsia"/>
                      <w:color w:val="auto"/>
                      <w:lang w:eastAsia="zh-CN"/>
                    </w:rPr>
                  </w:pPr>
                  <w:r>
                    <w:rPr>
                      <w:color w:val="auto"/>
                    </w:rPr>
                    <w:t>项目施工组织方案有环境合理性，在河堤建设过程中，避开丰水期，选在枯水期建设，能减少扰动水体对河流的影响，对河道治理主体工程、临时堆土场区等提出了水土流失防治和生态修复等措施。根据环境保护相关标准和要求，对施工期各类废（污）水、粉尘、废气、噪声、固体废物等提出了防治或处置措施。</w:t>
                  </w:r>
                  <w:r>
                    <w:rPr>
                      <w:rFonts w:hint="eastAsia"/>
                      <w:color w:val="auto"/>
                      <w:lang w:val="en-US" w:eastAsia="zh-CN"/>
                    </w:rPr>
                    <w:t>项目不涉及</w:t>
                  </w:r>
                  <w:r>
                    <w:rPr>
                      <w:rFonts w:hint="eastAsia"/>
                      <w:color w:val="auto"/>
                      <w:lang w:eastAsia="zh-CN"/>
                    </w:rPr>
                    <w:t>清淤、疏浚</w:t>
                  </w:r>
                  <w:r>
                    <w:rPr>
                      <w:rFonts w:hint="eastAsia"/>
                      <w:color w:val="auto"/>
                      <w:lang w:val="en-US" w:eastAsia="zh-CN"/>
                    </w:rPr>
                    <w:t>工程</w:t>
                  </w:r>
                  <w:r>
                    <w:rPr>
                      <w:rFonts w:hint="eastAsia"/>
                      <w:color w:val="auto"/>
                      <w:lang w:eastAsia="zh-CN"/>
                    </w:rPr>
                    <w:t>。在采取上述措施后，施工期的不利环境影响能够得到缓解和控制，不会对周围环境和敏感保护目标造成重大不利影响。</w:t>
                  </w:r>
                </w:p>
              </w:tc>
              <w:tc>
                <w:tcPr>
                  <w:tcW w:w="890" w:type="dxa"/>
                  <w:vAlign w:val="center"/>
                </w:tcPr>
                <w:p w14:paraId="59BDB3FB">
                  <w:pPr>
                    <w:pStyle w:val="34"/>
                    <w:bidi w:val="0"/>
                    <w:rPr>
                      <w:rFonts w:hint="eastAsia"/>
                      <w:color w:val="auto"/>
                      <w:lang w:eastAsia="zh-CN"/>
                    </w:rPr>
                  </w:pPr>
                  <w:r>
                    <w:rPr>
                      <w:color w:val="auto"/>
                    </w:rPr>
                    <w:t>符合</w:t>
                  </w:r>
                </w:p>
              </w:tc>
            </w:tr>
            <w:tr w14:paraId="6806E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69" w:type="dxa"/>
                  <w:vAlign w:val="center"/>
                </w:tcPr>
                <w:p w14:paraId="5927D0D1">
                  <w:pPr>
                    <w:pStyle w:val="34"/>
                    <w:bidi w:val="0"/>
                    <w:rPr>
                      <w:rFonts w:hint="eastAsia"/>
                      <w:color w:val="auto"/>
                      <w:lang w:eastAsia="zh-CN"/>
                    </w:rPr>
                  </w:pPr>
                  <w:r>
                    <w:rPr>
                      <w:color w:val="auto"/>
                    </w:rPr>
                    <w:t>5</w:t>
                  </w:r>
                </w:p>
              </w:tc>
              <w:tc>
                <w:tcPr>
                  <w:tcW w:w="3004" w:type="dxa"/>
                  <w:vAlign w:val="center"/>
                </w:tcPr>
                <w:p w14:paraId="132E88A0">
                  <w:pPr>
                    <w:pStyle w:val="34"/>
                    <w:bidi w:val="0"/>
                    <w:rPr>
                      <w:rFonts w:hint="eastAsia"/>
                      <w:color w:val="auto"/>
                      <w:lang w:eastAsia="zh-CN"/>
                    </w:rPr>
                  </w:pPr>
                  <w:r>
                    <w:rPr>
                      <w:color w:val="auto"/>
                    </w:rPr>
                    <w:t>第八条：项目移民安置的选址和建设方式具有环境合理性，提出了生态保护、污水处理、固体废物处置等措施。针对蓄滞洪区的环境污染、新增占地涉及污染场地等，提出了环境管理对策建议。</w:t>
                  </w:r>
                </w:p>
              </w:tc>
              <w:tc>
                <w:tcPr>
                  <w:tcW w:w="2696" w:type="dxa"/>
                  <w:vAlign w:val="center"/>
                </w:tcPr>
                <w:p w14:paraId="450E1455">
                  <w:pPr>
                    <w:pStyle w:val="34"/>
                    <w:bidi w:val="0"/>
                    <w:rPr>
                      <w:rFonts w:hint="eastAsia"/>
                      <w:color w:val="auto"/>
                      <w:lang w:eastAsia="zh-CN"/>
                    </w:rPr>
                  </w:pPr>
                  <w:r>
                    <w:rPr>
                      <w:color w:val="auto"/>
                    </w:rPr>
                    <w:t>本工程建设征地范围内无搬迁人口，因此不存在移民生产、生活的安置问题。</w:t>
                  </w:r>
                </w:p>
              </w:tc>
              <w:tc>
                <w:tcPr>
                  <w:tcW w:w="890" w:type="dxa"/>
                  <w:vAlign w:val="center"/>
                </w:tcPr>
                <w:p w14:paraId="1FF1D4AD">
                  <w:pPr>
                    <w:pStyle w:val="34"/>
                    <w:bidi w:val="0"/>
                    <w:rPr>
                      <w:rFonts w:hint="eastAsia"/>
                      <w:color w:val="auto"/>
                      <w:lang w:eastAsia="zh-CN"/>
                    </w:rPr>
                  </w:pPr>
                  <w:r>
                    <w:rPr>
                      <w:color w:val="auto"/>
                    </w:rPr>
                    <w:t>符合</w:t>
                  </w:r>
                </w:p>
              </w:tc>
            </w:tr>
          </w:tbl>
          <w:p w14:paraId="6C4F1B1D">
            <w:pPr>
              <w:pStyle w:val="36"/>
              <w:bidi w:val="0"/>
              <w:rPr>
                <w:rFonts w:hint="eastAsia"/>
                <w:color w:val="auto"/>
                <w:lang w:eastAsia="zh-CN"/>
              </w:rPr>
            </w:pPr>
            <w:r>
              <w:rPr>
                <w:rFonts w:hint="eastAsia"/>
                <w:color w:val="auto"/>
                <w:lang w:eastAsia="zh-CN"/>
              </w:rPr>
              <w:t>根据上表可知，项目与《关于印发机场、港口、水利（河湖整治与防洪除涝工程）三个行业建设项目环境影响评价文件审批原则的通知》（环办环评〔2018〕2号）符合。</w:t>
            </w:r>
          </w:p>
          <w:p w14:paraId="7B0E130E">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jc w:val="left"/>
              <w:textAlignment w:val="auto"/>
              <w:rPr>
                <w:rFonts w:hint="default" w:ascii="Times New Roman" w:hAnsi="Times New Roman" w:eastAsia="宋体" w:cs="Times New Roman"/>
                <w:b/>
                <w:bCs/>
                <w:color w:val="auto"/>
                <w:sz w:val="24"/>
                <w:highlight w:val="none"/>
              </w:rPr>
            </w:pPr>
            <w:r>
              <w:rPr>
                <w:rFonts w:hint="eastAsia"/>
                <w:b/>
                <w:bCs/>
                <w:color w:val="auto"/>
                <w:lang w:val="en-US" w:eastAsia="zh-CN"/>
              </w:rPr>
              <w:t>8</w:t>
            </w:r>
            <w:r>
              <w:rPr>
                <w:rFonts w:hint="eastAsia"/>
                <w:b/>
                <w:bCs/>
                <w:color w:val="auto"/>
                <w:lang w:eastAsia="zh-CN"/>
              </w:rPr>
              <w:t>、</w:t>
            </w:r>
            <w:r>
              <w:rPr>
                <w:rFonts w:hint="default" w:ascii="Times New Roman" w:hAnsi="Times New Roman" w:eastAsia="宋体" w:cs="Times New Roman"/>
                <w:b/>
                <w:bCs/>
                <w:color w:val="auto"/>
                <w:sz w:val="24"/>
                <w:highlight w:val="none"/>
              </w:rPr>
              <w:t>与国家《防洪标准》（GB50201-2014）符合性分析</w:t>
            </w:r>
          </w:p>
          <w:p w14:paraId="4081A4CC">
            <w:pPr>
              <w:pStyle w:val="36"/>
              <w:bidi w:val="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依据国家《防洪标准》（GB50201-2014），</w:t>
            </w:r>
            <w:r>
              <w:rPr>
                <w:rFonts w:hint="default" w:ascii="Times New Roman" w:hAnsi="Times New Roman" w:eastAsia="宋体" w:cs="Times New Roman"/>
                <w:color w:val="auto"/>
                <w:lang w:eastAsia="zh-CN"/>
              </w:rPr>
              <w:t>本次河道治理工程是以加固、绿化、砌筑护岸为重点的综合性工程，通过综合治理，使果朗河达到“水清、流畅、岸绿、景美”的治理目标，实现人与自然的和谐共处，为不断提高人民群众生活水平和质量奠定良好的基础，是实现乡村振兴的有力</w:t>
            </w:r>
            <w:r>
              <w:rPr>
                <w:rFonts w:hint="default" w:ascii="Times New Roman" w:hAnsi="Times New Roman" w:eastAsia="宋体" w:cs="Times New Roman"/>
                <w:color w:val="auto"/>
                <w:highlight w:val="none"/>
                <w:lang w:eastAsia="zh-CN"/>
              </w:rPr>
              <w:t>保障</w:t>
            </w:r>
            <w:r>
              <w:rPr>
                <w:rFonts w:hint="default" w:ascii="Times New Roman" w:hAnsi="Times New Roman" w:eastAsia="宋体" w:cs="Times New Roman"/>
                <w:color w:val="auto"/>
                <w:sz w:val="24"/>
                <w:highlight w:val="none"/>
                <w:lang w:eastAsia="zh-CN"/>
              </w:rPr>
              <w:t>。</w:t>
            </w:r>
          </w:p>
          <w:p w14:paraId="23A3EB77">
            <w:pPr>
              <w:pStyle w:val="36"/>
              <w:bidi w:val="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芒市果朗河大新寨至芒里大桥段治理工程主要涉及勐戛镇勐戛村、勐稳村、勐旺村及风平镇芒里村等4个村委，保护人口1.72万人，保护耕地面积6.60万亩。防洪标准的选定，应根据灾后损失、河岸所处的特殊位置、区域经济发展的情况，按照国家综合考虑政治、经济、社会、征占地等多方面因素综合选定。</w:t>
            </w:r>
          </w:p>
          <w:p w14:paraId="0704D5A0">
            <w:pPr>
              <w:pStyle w:val="36"/>
              <w:bidi w:val="0"/>
              <w:rPr>
                <w:rFonts w:hint="eastAsia" w:ascii="Times New Roman" w:hAnsi="Times New Roman" w:eastAsia="宋体" w:cs="Times New Roman"/>
                <w:color w:val="auto"/>
                <w:sz w:val="24"/>
                <w:highlight w:val="none"/>
                <w:lang w:val="en-US" w:eastAsia="zh-CN"/>
              </w:rPr>
            </w:pPr>
            <w:bookmarkStart w:id="13" w:name="bookmark43"/>
            <w:bookmarkEnd w:id="13"/>
            <w:r>
              <w:rPr>
                <w:rFonts w:hint="default" w:ascii="Times New Roman" w:hAnsi="Times New Roman" w:eastAsia="宋体" w:cs="Times New Roman"/>
                <w:color w:val="auto"/>
                <w:sz w:val="24"/>
                <w:highlight w:val="none"/>
              </w:rPr>
              <w:t>根据国家《防洪标准》（GB50201-2014）规定：城市防护区，重要性一般，常住人口＜20万，防护标准为50～20年；乡村防护区，保护人口＜20万，耕地面积＜30万亩，防护标准为20～10年，防护等级为Ⅳ级。果朗河治理河段防护区属乡村防护区，保护人口为1.72万人，保护耕地面积 6.60万亩，则工程防护区的防护等级为Ⅳ级，防洪标准为 20～10 年一遇，综合考虑果朗河沿岸涉及村镇的社会、经济、征占地等多方面因素，确定果朗河防洪标准为10年一遇（P= 10%），主要建筑物级别为5级。</w:t>
            </w:r>
            <w:r>
              <w:rPr>
                <w:rFonts w:hint="eastAsia" w:ascii="Times New Roman" w:hAnsi="Times New Roman" w:eastAsia="宋体" w:cs="Times New Roman"/>
                <w:color w:val="auto"/>
                <w:sz w:val="24"/>
                <w:highlight w:val="none"/>
                <w:lang w:eastAsia="zh-CN"/>
              </w:rPr>
              <w:t>故项目</w:t>
            </w:r>
            <w:r>
              <w:rPr>
                <w:rFonts w:hint="eastAsia" w:ascii="Times New Roman" w:hAnsi="Times New Roman" w:eastAsia="宋体" w:cs="Times New Roman"/>
                <w:color w:val="auto"/>
                <w:sz w:val="24"/>
                <w:highlight w:val="none"/>
                <w:lang w:val="en-US" w:eastAsia="zh-CN"/>
              </w:rPr>
              <w:t xml:space="preserve"> 建设符合</w:t>
            </w:r>
            <w:r>
              <w:rPr>
                <w:rFonts w:hint="default" w:ascii="Times New Roman" w:hAnsi="Times New Roman" w:eastAsia="宋体" w:cs="Times New Roman"/>
                <w:color w:val="auto"/>
                <w:sz w:val="24"/>
                <w:highlight w:val="none"/>
              </w:rPr>
              <w:t>国家《防洪标准》（GB50201-2014）</w:t>
            </w:r>
            <w:r>
              <w:rPr>
                <w:rFonts w:hint="eastAsia" w:ascii="Times New Roman" w:hAnsi="Times New Roman" w:eastAsia="宋体" w:cs="Times New Roman"/>
                <w:color w:val="auto"/>
                <w:sz w:val="24"/>
                <w:highlight w:val="none"/>
                <w:lang w:eastAsia="zh-CN"/>
              </w:rPr>
              <w:t>的要求。</w:t>
            </w:r>
          </w:p>
          <w:p w14:paraId="36D4EEC8">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2" w:firstLineChars="200"/>
              <w:jc w:val="left"/>
              <w:textAlignment w:val="auto"/>
              <w:rPr>
                <w:rFonts w:hint="default" w:ascii="Times New Roman" w:hAnsi="Times New Roman" w:eastAsia="宋体" w:cs="Times New Roman"/>
                <w:b/>
                <w:color w:val="auto"/>
                <w:sz w:val="24"/>
                <w:highlight w:val="none"/>
              </w:rPr>
            </w:pPr>
            <w:r>
              <w:rPr>
                <w:rFonts w:hint="eastAsia" w:cs="Times New Roman"/>
                <w:b/>
                <w:bCs/>
                <w:color w:val="auto"/>
                <w:sz w:val="24"/>
                <w:highlight w:val="none"/>
                <w:lang w:val="en-US" w:eastAsia="zh-CN"/>
              </w:rPr>
              <w:t>9</w:t>
            </w:r>
            <w:r>
              <w:rPr>
                <w:rFonts w:hint="default" w:ascii="Times New Roman" w:hAnsi="Times New Roman" w:eastAsia="宋体" w:cs="Times New Roman"/>
                <w:b/>
                <w:bCs/>
                <w:color w:val="auto"/>
                <w:sz w:val="24"/>
                <w:highlight w:val="none"/>
              </w:rPr>
              <w:t>、</w:t>
            </w:r>
            <w:r>
              <w:rPr>
                <w:rFonts w:hint="default" w:ascii="Times New Roman" w:hAnsi="Times New Roman" w:eastAsia="宋体" w:cs="Times New Roman"/>
                <w:b/>
                <w:color w:val="auto"/>
                <w:sz w:val="24"/>
                <w:highlight w:val="none"/>
              </w:rPr>
              <w:t>与云南省生物多样性保护战略与行动计划的相符性分析</w:t>
            </w:r>
          </w:p>
          <w:p w14:paraId="4B0016F6">
            <w:pPr>
              <w:autoSpaceDE w:val="0"/>
              <w:autoSpaceDN w:val="0"/>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2013年2月5日云南省人民政府十二届第二次常务会议审议通过了《云南省生物多样性保护战略与行动计划（2012－2030年）》。该计划结合云南生态系统类型的典型性、特有程度、特殊生态功能以及物种的丰富程度、珍稀濒危程度、受威胁因子、经济用途、科学研究价值等因素，提出了全省生物多样性保护的6个一级优先区域和18个二级优先区域，涉及16个州、市101个县、市、区，总面积约9.5万平方千米，占云南国土面积的23.8%。并针对6个优先区域提出了9大保护优先领域和34项行动。具体的优先保护区如下表所示。</w:t>
            </w:r>
          </w:p>
          <w:p w14:paraId="42A2C897">
            <w:pPr>
              <w:autoSpaceDE w:val="0"/>
              <w:autoSpaceDN w:val="0"/>
              <w:jc w:val="center"/>
              <w:rPr>
                <w:rFonts w:hint="default" w:ascii="Times New Roman" w:hAnsi="Times New Roman" w:eastAsia="宋体" w:cs="Times New Roman"/>
                <w:b/>
                <w:color w:val="auto"/>
                <w:kern w:val="0"/>
                <w:sz w:val="24"/>
                <w:highlight w:val="none"/>
              </w:rPr>
            </w:pPr>
            <w:r>
              <w:rPr>
                <w:rFonts w:hint="default" w:ascii="Times New Roman" w:hAnsi="Times New Roman" w:eastAsia="宋体" w:cs="Times New Roman"/>
                <w:b/>
                <w:color w:val="auto"/>
                <w:kern w:val="0"/>
                <w:sz w:val="24"/>
                <w:highlight w:val="none"/>
              </w:rPr>
              <w:t>表1-</w:t>
            </w:r>
            <w:r>
              <w:rPr>
                <w:rFonts w:hint="eastAsia" w:cs="Times New Roman"/>
                <w:b/>
                <w:color w:val="auto"/>
                <w:kern w:val="0"/>
                <w:sz w:val="24"/>
                <w:highlight w:val="none"/>
                <w:lang w:val="en-US" w:eastAsia="zh-CN"/>
              </w:rPr>
              <w:t>7</w:t>
            </w:r>
            <w:r>
              <w:rPr>
                <w:rFonts w:hint="default" w:ascii="Times New Roman" w:hAnsi="Times New Roman" w:eastAsia="宋体" w:cs="Times New Roman"/>
                <w:b/>
                <w:color w:val="auto"/>
                <w:kern w:val="0"/>
                <w:sz w:val="24"/>
                <w:highlight w:val="none"/>
              </w:rPr>
              <w:t xml:space="preserve">  云南省生物多样性优先保护区情况一览表</w:t>
            </w:r>
          </w:p>
          <w:tbl>
            <w:tblPr>
              <w:tblStyle w:val="22"/>
              <w:tblW w:w="487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72"/>
              <w:gridCol w:w="4186"/>
            </w:tblGrid>
            <w:tr w14:paraId="18E3A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2" w:hRule="atLeast"/>
                <w:jc w:val="center"/>
              </w:trPr>
              <w:tc>
                <w:tcPr>
                  <w:tcW w:w="3472" w:type="dxa"/>
                  <w:tcBorders>
                    <w:top w:val="single" w:color="auto" w:sz="4" w:space="0"/>
                    <w:left w:val="single" w:color="auto" w:sz="4" w:space="0"/>
                    <w:bottom w:val="single" w:color="auto" w:sz="4" w:space="0"/>
                    <w:right w:val="single" w:color="auto" w:sz="4" w:space="0"/>
                  </w:tcBorders>
                  <w:noWrap w:val="0"/>
                  <w:vAlign w:val="center"/>
                </w:tcPr>
                <w:p w14:paraId="6C0D0C4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一级区划</w:t>
                  </w:r>
                </w:p>
              </w:tc>
              <w:tc>
                <w:tcPr>
                  <w:tcW w:w="4187" w:type="dxa"/>
                  <w:tcBorders>
                    <w:top w:val="single" w:color="auto" w:sz="4" w:space="0"/>
                    <w:left w:val="single" w:color="auto" w:sz="4" w:space="0"/>
                    <w:bottom w:val="single" w:color="auto" w:sz="4" w:space="0"/>
                    <w:right w:val="single" w:color="auto" w:sz="4" w:space="0"/>
                  </w:tcBorders>
                  <w:noWrap w:val="0"/>
                  <w:vAlign w:val="center"/>
                </w:tcPr>
                <w:p w14:paraId="12F7542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二级区划</w:t>
                  </w:r>
                </w:p>
              </w:tc>
            </w:tr>
            <w:tr w14:paraId="0C8BC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3472" w:type="dxa"/>
                  <w:tcBorders>
                    <w:top w:val="single" w:color="auto" w:sz="4" w:space="0"/>
                    <w:left w:val="single" w:color="auto" w:sz="4" w:space="0"/>
                    <w:bottom w:val="single" w:color="auto" w:sz="4" w:space="0"/>
                    <w:right w:val="single" w:color="auto" w:sz="4" w:space="0"/>
                  </w:tcBorders>
                  <w:noWrap w:val="0"/>
                  <w:vAlign w:val="center"/>
                </w:tcPr>
                <w:p w14:paraId="125122B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1、滇西北高山峡谷针叶林区</w:t>
                  </w:r>
                </w:p>
              </w:tc>
              <w:tc>
                <w:tcPr>
                  <w:tcW w:w="4187" w:type="dxa"/>
                  <w:tcBorders>
                    <w:top w:val="single" w:color="auto" w:sz="4" w:space="0"/>
                    <w:left w:val="single" w:color="auto" w:sz="4" w:space="0"/>
                    <w:bottom w:val="single" w:color="auto" w:sz="4" w:space="0"/>
                    <w:right w:val="single" w:color="auto" w:sz="4" w:space="0"/>
                  </w:tcBorders>
                  <w:noWrap w:val="0"/>
                  <w:vAlign w:val="center"/>
                </w:tcPr>
                <w:p w14:paraId="132273D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1.1高黎贡山北段温凉性针叶林区</w:t>
                  </w:r>
                </w:p>
                <w:p w14:paraId="422E188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1.2梅里雪山-碧罗雪山寒温性针叶林区</w:t>
                  </w:r>
                </w:p>
                <w:p w14:paraId="11B7E32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1.3云岭山脉寒温性-暖温性针叶林区</w:t>
                  </w:r>
                </w:p>
                <w:p w14:paraId="29238DE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1.4香格里拉山原寒温性针叶林区</w:t>
                  </w:r>
                </w:p>
              </w:tc>
            </w:tr>
            <w:tr w14:paraId="2F17D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7" w:hRule="atLeast"/>
                <w:jc w:val="center"/>
              </w:trPr>
              <w:tc>
                <w:tcPr>
                  <w:tcW w:w="3472" w:type="dxa"/>
                  <w:tcBorders>
                    <w:top w:val="single" w:color="auto" w:sz="4" w:space="0"/>
                    <w:left w:val="single" w:color="auto" w:sz="4" w:space="0"/>
                    <w:bottom w:val="single" w:color="auto" w:sz="4" w:space="0"/>
                    <w:right w:val="single" w:color="auto" w:sz="4" w:space="0"/>
                  </w:tcBorders>
                  <w:noWrap w:val="0"/>
                  <w:vAlign w:val="center"/>
                </w:tcPr>
                <w:p w14:paraId="1830564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2、云南南部边缘热带雨林区</w:t>
                  </w:r>
                </w:p>
              </w:tc>
              <w:tc>
                <w:tcPr>
                  <w:tcW w:w="4187" w:type="dxa"/>
                  <w:tcBorders>
                    <w:top w:val="single" w:color="auto" w:sz="4" w:space="0"/>
                    <w:left w:val="single" w:color="auto" w:sz="4" w:space="0"/>
                    <w:bottom w:val="single" w:color="auto" w:sz="4" w:space="0"/>
                    <w:right w:val="single" w:color="auto" w:sz="4" w:space="0"/>
                  </w:tcBorders>
                  <w:noWrap w:val="0"/>
                  <w:vAlign w:val="center"/>
                </w:tcPr>
                <w:p w14:paraId="06FEF98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2.1高黎贡山南段中山湿性常绿阔叶林区</w:t>
                  </w:r>
                </w:p>
                <w:p w14:paraId="59E4130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2.2铜壁关热带雨林区</w:t>
                  </w:r>
                </w:p>
                <w:p w14:paraId="5A57701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2.3南汀河热带雨林区</w:t>
                  </w:r>
                </w:p>
                <w:p w14:paraId="1EDF8B7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2.4西双版纳热带雨林区</w:t>
                  </w:r>
                </w:p>
                <w:p w14:paraId="6826157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2.5红河湿润雨林</w:t>
                  </w:r>
                </w:p>
              </w:tc>
            </w:tr>
            <w:tr w14:paraId="3F5A2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3472" w:type="dxa"/>
                  <w:tcBorders>
                    <w:top w:val="single" w:color="auto" w:sz="4" w:space="0"/>
                    <w:left w:val="single" w:color="auto" w:sz="4" w:space="0"/>
                    <w:bottom w:val="single" w:color="auto" w:sz="4" w:space="0"/>
                    <w:right w:val="single" w:color="auto" w:sz="4" w:space="0"/>
                  </w:tcBorders>
                  <w:noWrap w:val="0"/>
                  <w:vAlign w:val="center"/>
                </w:tcPr>
                <w:p w14:paraId="29A908B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3、滇东南喀斯特东南季风阔叶林区</w:t>
                  </w:r>
                </w:p>
              </w:tc>
              <w:tc>
                <w:tcPr>
                  <w:tcW w:w="4187" w:type="dxa"/>
                  <w:tcBorders>
                    <w:top w:val="single" w:color="auto" w:sz="4" w:space="0"/>
                    <w:left w:val="single" w:color="auto" w:sz="4" w:space="0"/>
                    <w:bottom w:val="single" w:color="auto" w:sz="4" w:space="0"/>
                    <w:right w:val="single" w:color="auto" w:sz="4" w:space="0"/>
                  </w:tcBorders>
                  <w:noWrap w:val="0"/>
                  <w:vAlign w:val="center"/>
                </w:tcPr>
                <w:p w14:paraId="7AE105A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3滇东南喀斯东南季风阔叶林区域</w:t>
                  </w:r>
                </w:p>
              </w:tc>
            </w:tr>
            <w:tr w14:paraId="1BF62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jc w:val="center"/>
              </w:trPr>
              <w:tc>
                <w:tcPr>
                  <w:tcW w:w="3472" w:type="dxa"/>
                  <w:tcBorders>
                    <w:top w:val="single" w:color="auto" w:sz="4" w:space="0"/>
                    <w:left w:val="single" w:color="auto" w:sz="4" w:space="0"/>
                    <w:bottom w:val="single" w:color="auto" w:sz="4" w:space="0"/>
                    <w:right w:val="single" w:color="auto" w:sz="4" w:space="0"/>
                  </w:tcBorders>
                  <w:noWrap w:val="0"/>
                  <w:vAlign w:val="center"/>
                </w:tcPr>
                <w:p w14:paraId="2B19A9A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4、滇东北乌蒙山湿润常绿阔叶林区</w:t>
                  </w:r>
                </w:p>
              </w:tc>
              <w:tc>
                <w:tcPr>
                  <w:tcW w:w="4187" w:type="dxa"/>
                  <w:tcBorders>
                    <w:top w:val="single" w:color="auto" w:sz="4" w:space="0"/>
                    <w:left w:val="single" w:color="auto" w:sz="4" w:space="0"/>
                    <w:bottom w:val="single" w:color="auto" w:sz="4" w:space="0"/>
                    <w:right w:val="single" w:color="auto" w:sz="4" w:space="0"/>
                  </w:tcBorders>
                  <w:noWrap w:val="0"/>
                  <w:vAlign w:val="center"/>
                </w:tcPr>
                <w:p w14:paraId="6AEA639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4.1乌蒙山湿润常绿阔叶林区</w:t>
                  </w:r>
                </w:p>
                <w:p w14:paraId="2AFCB97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4.2金沙江下游干热河谷区</w:t>
                  </w:r>
                </w:p>
              </w:tc>
            </w:tr>
            <w:tr w14:paraId="6A254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4" w:hRule="atLeast"/>
                <w:jc w:val="center"/>
              </w:trPr>
              <w:tc>
                <w:tcPr>
                  <w:tcW w:w="3472" w:type="dxa"/>
                  <w:tcBorders>
                    <w:top w:val="single" w:color="auto" w:sz="4" w:space="0"/>
                    <w:left w:val="single" w:color="auto" w:sz="4" w:space="0"/>
                    <w:bottom w:val="single" w:color="auto" w:sz="4" w:space="0"/>
                    <w:right w:val="single" w:color="auto" w:sz="4" w:space="0"/>
                  </w:tcBorders>
                  <w:noWrap w:val="0"/>
                  <w:vAlign w:val="center"/>
                </w:tcPr>
                <w:p w14:paraId="2238EE7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5、澜沧江中游</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哀牢山中山湿性常绿阔叶林区</w:t>
                  </w:r>
                </w:p>
              </w:tc>
              <w:tc>
                <w:tcPr>
                  <w:tcW w:w="4187" w:type="dxa"/>
                  <w:tcBorders>
                    <w:top w:val="single" w:color="auto" w:sz="4" w:space="0"/>
                    <w:left w:val="single" w:color="auto" w:sz="4" w:space="0"/>
                    <w:bottom w:val="single" w:color="auto" w:sz="4" w:space="0"/>
                    <w:right w:val="single" w:color="auto" w:sz="4" w:space="0"/>
                  </w:tcBorders>
                  <w:noWrap w:val="0"/>
                  <w:vAlign w:val="center"/>
                </w:tcPr>
                <w:p w14:paraId="72F197A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5.1澜沧江中山宽谷常绿阔叶林区</w:t>
                  </w:r>
                </w:p>
                <w:p w14:paraId="7A2ECF4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5.2无量山中山湿性常绿阔叶林区</w:t>
                  </w:r>
                </w:p>
                <w:p w14:paraId="3124CAE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5.3哀牢山中山湿性常绿阔叶林区</w:t>
                  </w:r>
                </w:p>
              </w:tc>
            </w:tr>
            <w:tr w14:paraId="05CD2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4" w:hRule="atLeast"/>
                <w:jc w:val="center"/>
              </w:trPr>
              <w:tc>
                <w:tcPr>
                  <w:tcW w:w="3472" w:type="dxa"/>
                  <w:tcBorders>
                    <w:top w:val="single" w:color="auto" w:sz="4" w:space="0"/>
                    <w:left w:val="single" w:color="auto" w:sz="4" w:space="0"/>
                    <w:bottom w:val="single" w:color="auto" w:sz="4" w:space="0"/>
                    <w:right w:val="single" w:color="auto" w:sz="4" w:space="0"/>
                  </w:tcBorders>
                  <w:noWrap w:val="0"/>
                  <w:vAlign w:val="center"/>
                </w:tcPr>
                <w:p w14:paraId="6310E1E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6、云南高原湿地区</w:t>
                  </w:r>
                </w:p>
              </w:tc>
              <w:tc>
                <w:tcPr>
                  <w:tcW w:w="4187" w:type="dxa"/>
                  <w:tcBorders>
                    <w:top w:val="single" w:color="auto" w:sz="4" w:space="0"/>
                    <w:left w:val="single" w:color="auto" w:sz="4" w:space="0"/>
                    <w:bottom w:val="single" w:color="auto" w:sz="4" w:space="0"/>
                    <w:right w:val="single" w:color="auto" w:sz="4" w:space="0"/>
                  </w:tcBorders>
                  <w:noWrap w:val="0"/>
                  <w:vAlign w:val="center"/>
                </w:tcPr>
                <w:p w14:paraId="29E5F99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6.1滇中高原湖泊区</w:t>
                  </w:r>
                </w:p>
                <w:p w14:paraId="34FF148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6.2滇西北高原湖泊区</w:t>
                  </w:r>
                </w:p>
                <w:p w14:paraId="73D63E6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6.3滇东北高山沼泽化草甸区</w:t>
                  </w:r>
                </w:p>
              </w:tc>
            </w:tr>
          </w:tbl>
          <w:p w14:paraId="22B9EC5B">
            <w:pPr>
              <w:autoSpaceDE w:val="0"/>
              <w:autoSpaceDN w:val="0"/>
              <w:spacing w:line="360" w:lineRule="auto"/>
              <w:ind w:left="0" w:leftChars="0" w:firstLine="0" w:firstLineChars="0"/>
              <w:jc w:val="left"/>
              <w:rPr>
                <w:color w:val="auto"/>
              </w:rPr>
            </w:pPr>
          </w:p>
          <w:p w14:paraId="364293B0">
            <w:pPr>
              <w:autoSpaceDE w:val="0"/>
              <w:autoSpaceDN w:val="0"/>
              <w:spacing w:line="360" w:lineRule="auto"/>
              <w:ind w:left="0" w:leftChars="0" w:firstLine="0" w:firstLineChars="0"/>
              <w:jc w:val="left"/>
              <w:rPr>
                <w:rFonts w:hint="default" w:ascii="Times New Roman" w:hAnsi="Times New Roman" w:eastAsia="宋体" w:cs="Times New Roman"/>
                <w:b/>
                <w:color w:val="auto"/>
                <w:kern w:val="0"/>
                <w:sz w:val="24"/>
                <w:highlight w:val="none"/>
              </w:rPr>
            </w:pPr>
            <w:r>
              <w:rPr>
                <w:color w:val="auto"/>
              </w:rPr>
              <w:drawing>
                <wp:inline distT="0" distB="0" distL="114300" distR="114300">
                  <wp:extent cx="4953000" cy="3191510"/>
                  <wp:effectExtent l="0" t="0" r="0" b="8890"/>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38"/>
                          <a:srcRect t="8949"/>
                          <a:stretch>
                            <a:fillRect/>
                          </a:stretch>
                        </pic:blipFill>
                        <pic:spPr>
                          <a:xfrm>
                            <a:off x="0" y="0"/>
                            <a:ext cx="4953000" cy="3191510"/>
                          </a:xfrm>
                          <a:prstGeom prst="rect">
                            <a:avLst/>
                          </a:prstGeom>
                          <a:noFill/>
                          <a:ln>
                            <a:noFill/>
                          </a:ln>
                        </pic:spPr>
                      </pic:pic>
                    </a:graphicData>
                  </a:graphic>
                </wp:inline>
              </w:drawing>
            </w:r>
            <w:r>
              <w:rPr>
                <w:color w:val="auto"/>
                <w:sz w:val="24"/>
              </w:rPr>
              <mc:AlternateContent>
                <mc:Choice Requires="wps">
                  <w:drawing>
                    <wp:anchor distT="0" distB="0" distL="114300" distR="114300" simplePos="0" relativeHeight="251661312" behindDoc="0" locked="0" layoutInCell="1" allowOverlap="1">
                      <wp:simplePos x="0" y="0"/>
                      <wp:positionH relativeFrom="column">
                        <wp:posOffset>1183640</wp:posOffset>
                      </wp:positionH>
                      <wp:positionV relativeFrom="paragraph">
                        <wp:posOffset>351790</wp:posOffset>
                      </wp:positionV>
                      <wp:extent cx="923925" cy="287655"/>
                      <wp:effectExtent l="458470" t="6350" r="19685" b="1260475"/>
                      <wp:wrapNone/>
                      <wp:docPr id="31" name="矩形标注 31"/>
                      <wp:cNvGraphicFramePr/>
                      <a:graphic xmlns:a="http://schemas.openxmlformats.org/drawingml/2006/main">
                        <a:graphicData uri="http://schemas.microsoft.com/office/word/2010/wordprocessingShape">
                          <wps:wsp>
                            <wps:cNvSpPr/>
                            <wps:spPr>
                              <a:xfrm>
                                <a:off x="2275205" y="5926455"/>
                                <a:ext cx="923925" cy="287655"/>
                              </a:xfrm>
                              <a:prstGeom prst="wedgeRectCallout">
                                <a:avLst>
                                  <a:gd name="adj1" fmla="val -96597"/>
                                  <a:gd name="adj2" fmla="val 469205"/>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1A1DBE03">
                                  <w:pPr>
                                    <w:spacing w:line="240" w:lineRule="auto"/>
                                    <w:ind w:left="0" w:leftChars="0" w:firstLine="0" w:firstLineChars="0"/>
                                    <w:jc w:val="left"/>
                                    <w:rPr>
                                      <w:rFonts w:hint="eastAsia" w:eastAsia="宋体"/>
                                      <w:lang w:eastAsia="zh-CN"/>
                                    </w:rPr>
                                  </w:pPr>
                                  <w:r>
                                    <w:rPr>
                                      <w:rFonts w:hint="eastAsia"/>
                                      <w:sz w:val="21"/>
                                      <w:szCs w:val="21"/>
                                      <w:lang w:eastAsia="zh-CN"/>
                                    </w:rPr>
                                    <w:t>本项</w:t>
                                  </w:r>
                                  <w:r>
                                    <w:rPr>
                                      <w:rFonts w:hint="eastAsia"/>
                                      <w:lang w:eastAsia="zh-CN"/>
                                    </w:rPr>
                                    <w:t>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93.2pt;margin-top:27.7pt;height:22.65pt;width:72.75pt;z-index:251661312;v-text-anchor:middle;mso-width-relative:page;mso-height-relative:page;" filled="f" stroked="t" coordsize="21600,21600" o:gfxdata="UEsDBAoAAAAAAIdO4kAAAAAAAAAAAAAAAAAEAAAAZHJzL1BLAwQUAAAACACHTuJAdQvrQdkAAAAK&#10;AQAADwAAAGRycy9kb3ducmV2LnhtbE2PzU7DMBCE70i8g7VIXBC1Q38JcXpAqkSFeqDQuxtvk4h4&#10;HdluE3h6lhOcVqP5NDtTrEfXiQuG2HrSkE0UCKTK25ZqDR/vm/sViJgMWdN5Qg1fGGFdXl8VJrd+&#10;oDe87FMtOIRibjQ0KfW5lLFq0Jk48T0SeycfnEksQy1tMAOHu04+KLWQzrTEHxrT43OD1ef+7DQM&#10;h9eXdtanndtkKpwO4/b7brnV+vYmU08gEo7pD4bf+lwdSu509GeyUXSsV4sZoxrmc74MTKfZI4gj&#10;O0otQZaF/D+h/AFQSwMEFAAAAAgAh07iQFsMlsnIAgAAagUAAA4AAABkcnMvZTJvRG9jLnhtbK1U&#10;zXLTMBC+M8M7aHRvnbhx0mTqdEJCGWYK7VAYzoosJ2b0YySlTnkBHgOGE5w58ziU1+CT7LahcOiB&#10;i7yrXX+7++2ujo63SpJLYV1ldE77+z1KhOamqPQqp29en+wdUuI80wWTRoucXglHj6ePHx019USk&#10;Zm1kISwBiHaTps7p2vt6kiSOr4Vibt/UQsNYGquYh2pXSWFZA3Qlk7TXGyaNsUVtDRfO4XbRGmmH&#10;aB8CaMqy4mJh+EYJ7VtUKyTzKMmtq9rRacy2LAX3Z2XphCcyp6jUxxNBIC/DmUyP2GRlWb2ueJcC&#10;e0gK92pSrNIIegu1YJ6Rja3+glIVt8aZ0u9zo5K2kMgIquj37nFzsWa1iLWAalffku7+Hyx/eXlu&#10;SVXk9KBPiWYKHf/16dvPH1+uP3+8/v6V4BocNbWbwPWiPred5iCGgrelVeGLUsg2p2k6ytJeRslV&#10;TrNxOhxkWcux2HrC4TBOD8Yp7BwO6eFo2NqTO6DaOv9MGEWCkNNGFCvxCn2cMynNxkeW2eWp85Hu&#10;osuZFe+Qf6kkunfJJNkbD7PxqGvvjlO66zQYjkOuqAjxO0xINxmEANqcVFLGKZGaNFiYdNTD8HCG&#10;0S8xchBVDfqcXlHC5Ao7xb2NWTojqyL8HoCcXS3n0hIkh8KfjrInw+gkN+qFKdrrUdYDdptO5x9T&#10;+wMoZLdgbt3+Ek1tmaryWExZqZweAucWSWqAhAa2LQuS3y63XR+XprjCBFjTroar+UmFCKfM+XNm&#10;wSaKxWvhz3CU0oAB00mUrI398K/74I8RhZWSBrsFdt5vmBWUyOcawzvuDwZhGaMyyEYpFLtrWe5a&#10;9EbNDUhDf5FdFIO/lzdiaY16i0dlFqLCxDRH7LYPnTL37c7jWeJiNotuWMCa+VN9UfMA3nZ7tvGm&#10;rHzoQSCqZadTsIKxHd1zEXZ8V49ed0/k9D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B1C+tB2QAA&#10;AAoBAAAPAAAAAAAAAAEAIAAAACIAAABkcnMvZG93bnJldi54bWxQSwECFAAUAAAACACHTuJAWwyW&#10;ycgCAABqBQAADgAAAAAAAAABACAAAAAoAQAAZHJzL2Uyb0RvYy54bWxQSwUGAAAAAAYABgBZAQAA&#10;YgYAAAAA&#10;" adj="-10065,112148">
                      <v:fill on="f" focussize="0,0"/>
                      <v:stroke weight="1pt" color="#2E75B6 [2404]" miterlimit="8" joinstyle="miter"/>
                      <v:imagedata o:title=""/>
                      <o:lock v:ext="edit" aspectratio="f"/>
                      <v:textbox>
                        <w:txbxContent>
                          <w:p w14:paraId="1A1DBE03">
                            <w:pPr>
                              <w:spacing w:line="240" w:lineRule="auto"/>
                              <w:ind w:left="0" w:leftChars="0" w:firstLine="0" w:firstLineChars="0"/>
                              <w:jc w:val="left"/>
                              <w:rPr>
                                <w:rFonts w:hint="eastAsia" w:eastAsia="宋体"/>
                                <w:lang w:eastAsia="zh-CN"/>
                              </w:rPr>
                            </w:pPr>
                            <w:r>
                              <w:rPr>
                                <w:rFonts w:hint="eastAsia"/>
                                <w:sz w:val="21"/>
                                <w:szCs w:val="21"/>
                                <w:lang w:eastAsia="zh-CN"/>
                              </w:rPr>
                              <w:t>本项</w:t>
                            </w:r>
                            <w:r>
                              <w:rPr>
                                <w:rFonts w:hint="eastAsia"/>
                                <w:lang w:eastAsia="zh-CN"/>
                              </w:rPr>
                              <w:t>目位置</w:t>
                            </w:r>
                          </w:p>
                        </w:txbxContent>
                      </v:textbox>
                    </v:shape>
                  </w:pict>
                </mc:Fallback>
              </mc:AlternateContent>
            </w:r>
          </w:p>
          <w:p w14:paraId="6CF1EA26">
            <w:pPr>
              <w:autoSpaceDE w:val="0"/>
              <w:autoSpaceDN w:val="0"/>
              <w:spacing w:line="240" w:lineRule="auto"/>
              <w:ind w:left="0" w:leftChars="0" w:firstLine="0" w:firstLineChars="0"/>
              <w:jc w:val="center"/>
              <w:rPr>
                <w:rFonts w:hint="default" w:ascii="Times New Roman" w:hAnsi="Times New Roman" w:eastAsia="宋体" w:cs="Times New Roman"/>
                <w:b/>
                <w:color w:val="auto"/>
                <w:kern w:val="0"/>
                <w:sz w:val="24"/>
                <w:highlight w:val="none"/>
                <w:lang w:val="en-US" w:eastAsia="zh-CN"/>
              </w:rPr>
            </w:pPr>
            <w:r>
              <w:rPr>
                <w:rFonts w:hint="eastAsia" w:ascii="Times New Roman" w:hAnsi="Times New Roman" w:cs="Times New Roman"/>
                <w:b/>
                <w:color w:val="auto"/>
                <w:kern w:val="0"/>
                <w:sz w:val="24"/>
                <w:highlight w:val="none"/>
                <w:lang w:eastAsia="zh-CN"/>
              </w:rPr>
              <w:t>图</w:t>
            </w:r>
            <w:r>
              <w:rPr>
                <w:rFonts w:hint="eastAsia" w:ascii="Times New Roman" w:hAnsi="Times New Roman" w:cs="Times New Roman"/>
                <w:b/>
                <w:color w:val="auto"/>
                <w:kern w:val="0"/>
                <w:sz w:val="24"/>
                <w:highlight w:val="none"/>
                <w:lang w:val="en-US" w:eastAsia="zh-CN"/>
              </w:rPr>
              <w:t>1-</w:t>
            </w:r>
            <w:r>
              <w:rPr>
                <w:rFonts w:hint="eastAsia" w:cs="Times New Roman"/>
                <w:b/>
                <w:color w:val="auto"/>
                <w:kern w:val="0"/>
                <w:sz w:val="24"/>
                <w:highlight w:val="none"/>
                <w:lang w:val="en-US" w:eastAsia="zh-CN"/>
              </w:rPr>
              <w:t>3</w:t>
            </w:r>
            <w:r>
              <w:rPr>
                <w:rFonts w:hint="eastAsia" w:ascii="Times New Roman" w:hAnsi="Times New Roman" w:cs="Times New Roman"/>
                <w:b/>
                <w:color w:val="auto"/>
                <w:kern w:val="0"/>
                <w:sz w:val="24"/>
                <w:highlight w:val="none"/>
                <w:lang w:val="en-US" w:eastAsia="zh-CN"/>
              </w:rPr>
              <w:t xml:space="preserve"> 项目与云南省生物多样性优先保护单元的位置关系图</w:t>
            </w:r>
          </w:p>
          <w:p w14:paraId="0FAA371A">
            <w:pPr>
              <w:autoSpaceDE w:val="0"/>
              <w:autoSpaceDN w:val="0"/>
              <w:spacing w:line="360" w:lineRule="auto"/>
              <w:ind w:firstLine="482" w:firstLineChars="200"/>
              <w:jc w:val="both"/>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b/>
                <w:color w:val="auto"/>
                <w:kern w:val="0"/>
                <w:sz w:val="24"/>
                <w:highlight w:val="none"/>
              </w:rPr>
              <w:t>符合性分析</w:t>
            </w:r>
            <w:r>
              <w:rPr>
                <w:rFonts w:hint="eastAsia" w:ascii="Times New Roman" w:hAnsi="Times New Roman" w:cs="Times New Roman"/>
                <w:b/>
                <w:color w:val="auto"/>
                <w:kern w:val="0"/>
                <w:sz w:val="24"/>
                <w:highlight w:val="none"/>
                <w:lang w:eastAsia="zh-CN"/>
              </w:rPr>
              <w:t>：</w:t>
            </w:r>
            <w:r>
              <w:rPr>
                <w:rFonts w:hint="eastAsia" w:ascii="Times New Roman" w:hAnsi="Times New Roman" w:cs="Times New Roman"/>
                <w:b w:val="0"/>
                <w:bCs/>
                <w:color w:val="auto"/>
                <w:kern w:val="0"/>
                <w:sz w:val="24"/>
                <w:highlight w:val="none"/>
                <w:lang w:eastAsia="zh-CN"/>
              </w:rPr>
              <w:t>根据图</w:t>
            </w:r>
            <w:r>
              <w:rPr>
                <w:rFonts w:hint="eastAsia" w:ascii="Times New Roman" w:hAnsi="Times New Roman" w:cs="Times New Roman"/>
                <w:b w:val="0"/>
                <w:bCs/>
                <w:color w:val="auto"/>
                <w:kern w:val="0"/>
                <w:sz w:val="24"/>
                <w:highlight w:val="none"/>
                <w:lang w:val="en-US" w:eastAsia="zh-CN"/>
              </w:rPr>
              <w:t>1-</w:t>
            </w:r>
            <w:r>
              <w:rPr>
                <w:rFonts w:hint="eastAsia" w:cs="Times New Roman"/>
                <w:b w:val="0"/>
                <w:bCs/>
                <w:color w:val="auto"/>
                <w:kern w:val="0"/>
                <w:sz w:val="24"/>
                <w:highlight w:val="none"/>
                <w:lang w:val="en-US" w:eastAsia="zh-CN"/>
              </w:rPr>
              <w:t>3</w:t>
            </w:r>
            <w:r>
              <w:rPr>
                <w:rFonts w:hint="eastAsia" w:ascii="Times New Roman" w:hAnsi="Times New Roman" w:cs="Times New Roman"/>
                <w:b w:val="0"/>
                <w:bCs/>
                <w:color w:val="auto"/>
                <w:kern w:val="0"/>
                <w:sz w:val="24"/>
                <w:highlight w:val="none"/>
                <w:lang w:val="en-US" w:eastAsia="zh-CN"/>
              </w:rPr>
              <w:t>可知，</w:t>
            </w:r>
            <w:r>
              <w:rPr>
                <w:rFonts w:hint="default" w:ascii="Times New Roman" w:hAnsi="Times New Roman" w:eastAsia="宋体" w:cs="Times New Roman"/>
                <w:b w:val="0"/>
                <w:bCs/>
                <w:color w:val="auto"/>
                <w:kern w:val="0"/>
                <w:sz w:val="24"/>
                <w:highlight w:val="none"/>
              </w:rPr>
              <w:t>本项</w:t>
            </w:r>
            <w:r>
              <w:rPr>
                <w:rFonts w:hint="default" w:ascii="Times New Roman" w:hAnsi="Times New Roman" w:eastAsia="宋体" w:cs="Times New Roman"/>
                <w:color w:val="auto"/>
                <w:kern w:val="0"/>
                <w:sz w:val="24"/>
                <w:highlight w:val="none"/>
              </w:rPr>
              <w:t>目所在地不属于《云南省生物多样性保护战略与行动计划（2012－2030年）》划定的生物多样性保护的6个一级优先区域（18个二级优先区域），项目的建设符合《云南省生物多样性保护战略与行动计划（2012－2030年）》。</w:t>
            </w:r>
          </w:p>
          <w:p w14:paraId="60B97D30">
            <w:pPr>
              <w:pStyle w:val="18"/>
              <w:widowControl w:val="0"/>
              <w:spacing w:before="0" w:beforeAutospacing="0" w:after="0" w:afterAutospacing="0" w:line="360" w:lineRule="auto"/>
              <w:ind w:firstLine="480"/>
              <w:rPr>
                <w:rFonts w:hint="default" w:ascii="Times New Roman" w:hAnsi="Times New Roman" w:cs="Times New Roman"/>
                <w:b/>
                <w:bCs/>
                <w:color w:val="auto"/>
                <w:kern w:val="2"/>
              </w:rPr>
            </w:pPr>
            <w:r>
              <w:rPr>
                <w:rFonts w:hint="eastAsia"/>
                <w:b/>
                <w:bCs/>
                <w:color w:val="auto"/>
                <w:lang w:val="en-US" w:eastAsia="zh-CN"/>
              </w:rPr>
              <w:t>10、</w:t>
            </w:r>
            <w:r>
              <w:rPr>
                <w:rFonts w:hint="default" w:ascii="Times New Roman" w:hAnsi="Times New Roman" w:cs="Times New Roman"/>
                <w:b/>
                <w:bCs/>
                <w:color w:val="auto"/>
                <w:kern w:val="2"/>
                <w:lang w:bidi="ar"/>
              </w:rPr>
              <w:t>与《中华人民共和国水污染防治法》的符合性分析</w:t>
            </w:r>
          </w:p>
          <w:p w14:paraId="5A1454C5">
            <w:pPr>
              <w:pStyle w:val="18"/>
              <w:widowControl w:val="0"/>
              <w:spacing w:before="0" w:beforeAutospacing="0" w:after="0" w:afterAutospacing="0" w:line="360" w:lineRule="auto"/>
              <w:ind w:firstLine="480"/>
              <w:rPr>
                <w:rFonts w:hint="default" w:ascii="Times New Roman" w:hAnsi="Times New Roman" w:cs="Times New Roman"/>
                <w:color w:val="auto"/>
                <w:kern w:val="2"/>
              </w:rPr>
            </w:pPr>
            <w:r>
              <w:rPr>
                <w:rFonts w:hint="default" w:ascii="Times New Roman" w:hAnsi="Times New Roman" w:cs="Times New Roman"/>
                <w:color w:val="auto"/>
                <w:kern w:val="2"/>
                <w:lang w:bidi="ar"/>
              </w:rPr>
              <w:t>项目与《中华人民共和国水污染防治法》的符合性如下表所示：</w:t>
            </w:r>
          </w:p>
          <w:p w14:paraId="2EF4648A">
            <w:pPr>
              <w:pStyle w:val="18"/>
              <w:widowControl w:val="0"/>
              <w:spacing w:before="0" w:beforeAutospacing="0" w:after="0" w:afterAutospacing="0" w:line="240" w:lineRule="auto"/>
              <w:jc w:val="center"/>
              <w:rPr>
                <w:rFonts w:hint="default" w:ascii="Times New Roman" w:hAnsi="Times New Roman" w:cs="Times New Roman"/>
                <w:b/>
                <w:bCs/>
                <w:color w:val="auto"/>
                <w:kern w:val="2"/>
                <w:sz w:val="21"/>
                <w:szCs w:val="21"/>
              </w:rPr>
            </w:pPr>
            <w:r>
              <w:rPr>
                <w:rFonts w:hint="default" w:ascii="Times New Roman" w:hAnsi="Times New Roman" w:cs="Times New Roman"/>
                <w:b/>
                <w:bCs/>
                <w:color w:val="auto"/>
                <w:kern w:val="2"/>
                <w:sz w:val="21"/>
                <w:szCs w:val="21"/>
                <w:lang w:bidi="ar"/>
              </w:rPr>
              <w:t>表1-</w:t>
            </w:r>
            <w:r>
              <w:rPr>
                <w:rFonts w:hint="eastAsia" w:ascii="Times New Roman" w:hAnsi="Times New Roman" w:cs="Times New Roman"/>
                <w:b/>
                <w:bCs/>
                <w:color w:val="auto"/>
                <w:kern w:val="2"/>
                <w:sz w:val="21"/>
                <w:szCs w:val="21"/>
                <w:lang w:val="en-US" w:eastAsia="zh-CN" w:bidi="ar"/>
              </w:rPr>
              <w:t>8</w:t>
            </w:r>
            <w:r>
              <w:rPr>
                <w:rFonts w:hint="default" w:ascii="Times New Roman" w:hAnsi="Times New Roman" w:cs="Times New Roman"/>
                <w:b/>
                <w:bCs/>
                <w:color w:val="auto"/>
                <w:kern w:val="2"/>
                <w:sz w:val="21"/>
                <w:szCs w:val="21"/>
                <w:lang w:bidi="ar"/>
              </w:rPr>
              <w:t>项目与《中华人民共和国水污染防治法》的相符性</w:t>
            </w:r>
          </w:p>
          <w:tbl>
            <w:tblPr>
              <w:tblStyle w:val="22"/>
              <w:tblW w:w="480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1"/>
              <w:gridCol w:w="2944"/>
              <w:gridCol w:w="3000"/>
              <w:gridCol w:w="794"/>
            </w:tblGrid>
            <w:tr w14:paraId="50418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1" w:type="pct"/>
                  <w:noWrap w:val="0"/>
                  <w:vAlign w:val="center"/>
                </w:tcPr>
                <w:p w14:paraId="1DD28B90">
                  <w:pPr>
                    <w:keepNext w:val="0"/>
                    <w:keepLines w:val="0"/>
                    <w:pageBreakBefore w:val="0"/>
                    <w:widowControl w:val="0"/>
                    <w:kinsoku/>
                    <w:wordWrap/>
                    <w:overflowPunct/>
                    <w:topLinePunct w:val="0"/>
                    <w:autoSpaceDE w:val="0"/>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lang w:bidi="ar"/>
                    </w:rPr>
                    <w:t>序号</w:t>
                  </w:r>
                </w:p>
              </w:tc>
              <w:tc>
                <w:tcPr>
                  <w:tcW w:w="1952" w:type="pct"/>
                  <w:noWrap w:val="0"/>
                  <w:vAlign w:val="center"/>
                </w:tcPr>
                <w:p w14:paraId="4998D6A4">
                  <w:pPr>
                    <w:keepNext w:val="0"/>
                    <w:keepLines w:val="0"/>
                    <w:pageBreakBefore w:val="0"/>
                    <w:widowControl w:val="0"/>
                    <w:kinsoku/>
                    <w:wordWrap/>
                    <w:overflowPunct/>
                    <w:topLinePunct w:val="0"/>
                    <w:autoSpaceDE w:val="0"/>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lang w:bidi="ar"/>
                    </w:rPr>
                    <w:t>相关要求</w:t>
                  </w:r>
                </w:p>
              </w:tc>
              <w:tc>
                <w:tcPr>
                  <w:tcW w:w="1989" w:type="pct"/>
                  <w:noWrap w:val="0"/>
                  <w:vAlign w:val="center"/>
                </w:tcPr>
                <w:p w14:paraId="26CE09EC">
                  <w:pPr>
                    <w:keepNext w:val="0"/>
                    <w:keepLines w:val="0"/>
                    <w:pageBreakBefore w:val="0"/>
                    <w:widowControl w:val="0"/>
                    <w:kinsoku/>
                    <w:wordWrap/>
                    <w:overflowPunct/>
                    <w:topLinePunct w:val="0"/>
                    <w:autoSpaceDE w:val="0"/>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lang w:bidi="ar"/>
                    </w:rPr>
                    <w:t>建设内容</w:t>
                  </w:r>
                </w:p>
              </w:tc>
              <w:tc>
                <w:tcPr>
                  <w:tcW w:w="526" w:type="pct"/>
                  <w:noWrap w:val="0"/>
                  <w:vAlign w:val="center"/>
                </w:tcPr>
                <w:p w14:paraId="0C1A65DD">
                  <w:pPr>
                    <w:keepNext w:val="0"/>
                    <w:keepLines w:val="0"/>
                    <w:pageBreakBefore w:val="0"/>
                    <w:widowControl w:val="0"/>
                    <w:kinsoku/>
                    <w:wordWrap/>
                    <w:overflowPunct/>
                    <w:topLinePunct w:val="0"/>
                    <w:autoSpaceDE w:val="0"/>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lang w:bidi="ar"/>
                    </w:rPr>
                    <w:t>符合性分析</w:t>
                  </w:r>
                </w:p>
              </w:tc>
            </w:tr>
            <w:tr w14:paraId="71589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1" w:type="pct"/>
                  <w:noWrap w:val="0"/>
                  <w:vAlign w:val="center"/>
                </w:tcPr>
                <w:p w14:paraId="68E75B3C">
                  <w:pPr>
                    <w:keepNext w:val="0"/>
                    <w:keepLines w:val="0"/>
                    <w:pageBreakBefore w:val="0"/>
                    <w:widowControl w:val="0"/>
                    <w:kinsoku/>
                    <w:wordWrap/>
                    <w:overflowPunct/>
                    <w:topLinePunct w:val="0"/>
                    <w:autoSpaceDE w:val="0"/>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1</w:t>
                  </w:r>
                </w:p>
              </w:tc>
              <w:tc>
                <w:tcPr>
                  <w:tcW w:w="1952" w:type="pct"/>
                  <w:noWrap w:val="0"/>
                  <w:vAlign w:val="center"/>
                </w:tcPr>
                <w:p w14:paraId="56C8B78F">
                  <w:pPr>
                    <w:keepNext w:val="0"/>
                    <w:keepLines w:val="0"/>
                    <w:pageBreakBefore w:val="0"/>
                    <w:widowControl w:val="0"/>
                    <w:kinsoku/>
                    <w:wordWrap/>
                    <w:overflowPunct/>
                    <w:topLinePunct w:val="0"/>
                    <w:autoSpaceDE w:val="0"/>
                    <w:autoSpaceDN/>
                    <w:bidi w:val="0"/>
                    <w:adjustRightInd/>
                    <w:snapToGrid/>
                    <w:spacing w:line="240" w:lineRule="auto"/>
                    <w:ind w:firstLine="0" w:firstLineChars="0"/>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lang w:bidi="ar"/>
                    </w:rPr>
                    <w:t>第三条</w:t>
                  </w:r>
                  <w:r>
                    <w:rPr>
                      <w:rFonts w:hint="default" w:ascii="Times New Roman" w:hAnsi="Times New Roman" w:cs="Times New Roman"/>
                      <w:color w:val="auto"/>
                      <w:sz w:val="21"/>
                      <w:szCs w:val="21"/>
                      <w:lang w:bidi="ar"/>
                    </w:rPr>
                    <w:t xml:space="preserve"> 水污染防治应当坚持预防为主、防治结合、综合治理的原则，优先保护饮用水水源，严格控制工业污染、城镇生活污染，防治农业面源污染，积极推进生态治理工程建设，预防、控制和减少水环境污染和生态破坏。</w:t>
                  </w:r>
                </w:p>
              </w:tc>
              <w:tc>
                <w:tcPr>
                  <w:tcW w:w="1989" w:type="pct"/>
                  <w:noWrap w:val="0"/>
                  <w:vAlign w:val="center"/>
                </w:tcPr>
                <w:p w14:paraId="1B4DF63A">
                  <w:pPr>
                    <w:keepNext w:val="0"/>
                    <w:keepLines w:val="0"/>
                    <w:pageBreakBefore w:val="0"/>
                    <w:widowControl w:val="0"/>
                    <w:kinsoku/>
                    <w:wordWrap/>
                    <w:overflowPunct/>
                    <w:topLinePunct w:val="0"/>
                    <w:autoSpaceDN/>
                    <w:bidi w:val="0"/>
                    <w:adjustRightInd/>
                    <w:snapToGrid/>
                    <w:spacing w:line="240" w:lineRule="auto"/>
                    <w:ind w:firstLine="0" w:firstLineChars="0"/>
                    <w:jc w:val="both"/>
                    <w:textAlignment w:val="auto"/>
                    <w:rPr>
                      <w:rFonts w:hint="default" w:ascii="Times New Roman" w:hAnsi="Times New Roman" w:cs="Times New Roman"/>
                      <w:color w:val="auto"/>
                      <w:sz w:val="21"/>
                      <w:szCs w:val="21"/>
                    </w:rPr>
                  </w:pPr>
                  <w:r>
                    <w:rPr>
                      <w:rFonts w:hint="eastAsia" w:ascii="Times New Roman" w:hAnsi="Times New Roman" w:eastAsia="宋体" w:cs="Times New Roman"/>
                      <w:color w:val="auto"/>
                      <w:sz w:val="21"/>
                      <w:szCs w:val="21"/>
                      <w:lang w:val="en-US" w:eastAsia="zh-CN"/>
                    </w:rPr>
                    <w:t>本项目不涉及饮用水水源，</w:t>
                  </w:r>
                  <w:r>
                    <w:rPr>
                      <w:rFonts w:hint="default" w:ascii="Times New Roman" w:hAnsi="Times New Roman" w:eastAsia="宋体" w:cs="Times New Roman"/>
                      <w:color w:val="auto"/>
                      <w:sz w:val="21"/>
                      <w:szCs w:val="21"/>
                      <w:lang w:val="en-US" w:eastAsia="zh-CN"/>
                    </w:rPr>
                    <w:t>施工废水处理后回用，对周边水体水环境影响很小，运行期工程本身不排放污染物。</w:t>
                  </w:r>
                  <w:r>
                    <w:rPr>
                      <w:rFonts w:hint="eastAsia" w:ascii="Times New Roman" w:hAnsi="Times New Roman" w:eastAsia="宋体" w:cs="Times New Roman"/>
                      <w:color w:val="auto"/>
                      <w:sz w:val="21"/>
                      <w:szCs w:val="21"/>
                      <w:lang w:val="en-US" w:eastAsia="zh-CN"/>
                    </w:rPr>
                    <w:t>不会造成水环境污染和生态破坏。</w:t>
                  </w:r>
                </w:p>
              </w:tc>
              <w:tc>
                <w:tcPr>
                  <w:tcW w:w="526" w:type="pct"/>
                  <w:noWrap w:val="0"/>
                  <w:vAlign w:val="center"/>
                </w:tcPr>
                <w:p w14:paraId="0D771A0F">
                  <w:pPr>
                    <w:keepNext w:val="0"/>
                    <w:keepLines w:val="0"/>
                    <w:pageBreakBefore w:val="0"/>
                    <w:widowControl w:val="0"/>
                    <w:kinsoku/>
                    <w:wordWrap/>
                    <w:overflowPunct/>
                    <w:topLinePunct w:val="0"/>
                    <w:autoSpaceDE w:val="0"/>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符合</w:t>
                  </w:r>
                </w:p>
              </w:tc>
            </w:tr>
            <w:tr w14:paraId="7865A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1" w:type="pct"/>
                  <w:noWrap w:val="0"/>
                  <w:vAlign w:val="center"/>
                </w:tcPr>
                <w:p w14:paraId="1651CCD3">
                  <w:pPr>
                    <w:keepNext w:val="0"/>
                    <w:keepLines w:val="0"/>
                    <w:pageBreakBefore w:val="0"/>
                    <w:widowControl w:val="0"/>
                    <w:kinsoku/>
                    <w:wordWrap/>
                    <w:overflowPunct/>
                    <w:topLinePunct w:val="0"/>
                    <w:autoSpaceDE w:val="0"/>
                    <w:autoSpaceDN/>
                    <w:bidi w:val="0"/>
                    <w:adjustRightInd/>
                    <w:snapToGrid/>
                    <w:spacing w:line="240" w:lineRule="auto"/>
                    <w:ind w:firstLine="0" w:firstLineChars="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2</w:t>
                  </w:r>
                </w:p>
              </w:tc>
              <w:tc>
                <w:tcPr>
                  <w:tcW w:w="1952" w:type="pct"/>
                  <w:noWrap w:val="0"/>
                  <w:vAlign w:val="center"/>
                </w:tcPr>
                <w:p w14:paraId="6B9E6E33">
                  <w:pPr>
                    <w:keepNext w:val="0"/>
                    <w:keepLines w:val="0"/>
                    <w:pageBreakBefore w:val="0"/>
                    <w:widowControl w:val="0"/>
                    <w:kinsoku/>
                    <w:wordWrap/>
                    <w:overflowPunct/>
                    <w:topLinePunct w:val="0"/>
                    <w:autoSpaceDE w:val="0"/>
                    <w:autoSpaceDN/>
                    <w:bidi w:val="0"/>
                    <w:adjustRightInd/>
                    <w:snapToGrid/>
                    <w:spacing w:line="240" w:lineRule="auto"/>
                    <w:ind w:firstLine="0" w:firstLineChars="0"/>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lang w:bidi="ar"/>
                    </w:rPr>
                    <w:t>第十条</w:t>
                  </w:r>
                  <w:r>
                    <w:rPr>
                      <w:rFonts w:hint="default" w:ascii="Times New Roman" w:hAnsi="Times New Roman" w:cs="Times New Roman"/>
                      <w:color w:val="auto"/>
                      <w:sz w:val="21"/>
                      <w:szCs w:val="21"/>
                      <w:lang w:bidi="ar"/>
                    </w:rPr>
                    <w:t xml:space="preserve"> 排放水污染物，不得超过国家或者地方规定的水污染物排放标准和重点水污染物排放总量控制指标。</w:t>
                  </w:r>
                </w:p>
              </w:tc>
              <w:tc>
                <w:tcPr>
                  <w:tcW w:w="1989" w:type="pct"/>
                  <w:noWrap w:val="0"/>
                  <w:vAlign w:val="center"/>
                </w:tcPr>
                <w:p w14:paraId="107E0F6E">
                  <w:pPr>
                    <w:keepNext w:val="0"/>
                    <w:keepLines w:val="0"/>
                    <w:pageBreakBefore w:val="0"/>
                    <w:widowControl w:val="0"/>
                    <w:kinsoku/>
                    <w:wordWrap/>
                    <w:overflowPunct/>
                    <w:topLinePunct w:val="0"/>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项目废水经收集后</w:t>
                  </w:r>
                  <w:r>
                    <w:rPr>
                      <w:rFonts w:hint="eastAsia" w:ascii="Times New Roman" w:hAnsi="Times New Roman" w:cs="Times New Roman"/>
                      <w:color w:val="auto"/>
                      <w:kern w:val="0"/>
                      <w:sz w:val="21"/>
                      <w:szCs w:val="21"/>
                      <w:lang w:eastAsia="zh-CN" w:bidi="ar"/>
                    </w:rPr>
                    <w:t>合理处置</w:t>
                  </w:r>
                  <w:r>
                    <w:rPr>
                      <w:rFonts w:hint="default" w:ascii="Times New Roman" w:hAnsi="Times New Roman" w:cs="Times New Roman"/>
                      <w:color w:val="auto"/>
                      <w:kern w:val="0"/>
                      <w:sz w:val="21"/>
                      <w:szCs w:val="21"/>
                      <w:lang w:bidi="ar"/>
                    </w:rPr>
                    <w:t>，不外排</w:t>
                  </w:r>
                  <w:r>
                    <w:rPr>
                      <w:rFonts w:hint="default" w:ascii="Times New Roman" w:hAnsi="Times New Roman" w:cs="Times New Roman"/>
                      <w:color w:val="auto"/>
                      <w:sz w:val="21"/>
                      <w:szCs w:val="21"/>
                    </w:rPr>
                    <w:t>，本项目不设废水总量指标</w:t>
                  </w:r>
                  <w:r>
                    <w:rPr>
                      <w:rFonts w:hint="eastAsia" w:ascii="Times New Roman" w:hAnsi="Times New Roman" w:cs="Times New Roman"/>
                      <w:color w:val="auto"/>
                      <w:sz w:val="21"/>
                      <w:szCs w:val="21"/>
                      <w:lang w:eastAsia="zh-CN"/>
                    </w:rPr>
                    <w:t>。</w:t>
                  </w:r>
                </w:p>
              </w:tc>
              <w:tc>
                <w:tcPr>
                  <w:tcW w:w="526" w:type="pct"/>
                  <w:noWrap w:val="0"/>
                  <w:vAlign w:val="center"/>
                </w:tcPr>
                <w:p w14:paraId="7E867AD1">
                  <w:pPr>
                    <w:keepNext w:val="0"/>
                    <w:keepLines w:val="0"/>
                    <w:pageBreakBefore w:val="0"/>
                    <w:widowControl w:val="0"/>
                    <w:kinsoku/>
                    <w:wordWrap/>
                    <w:overflowPunct/>
                    <w:topLinePunct w:val="0"/>
                    <w:autoSpaceDE w:val="0"/>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符合</w:t>
                  </w:r>
                </w:p>
              </w:tc>
            </w:tr>
            <w:tr w14:paraId="4E463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1" w:type="pct"/>
                  <w:noWrap w:val="0"/>
                  <w:vAlign w:val="center"/>
                </w:tcPr>
                <w:p w14:paraId="12297C0A">
                  <w:pPr>
                    <w:keepNext w:val="0"/>
                    <w:keepLines w:val="0"/>
                    <w:pageBreakBefore w:val="0"/>
                    <w:widowControl w:val="0"/>
                    <w:kinsoku/>
                    <w:wordWrap/>
                    <w:overflowPunct/>
                    <w:topLinePunct w:val="0"/>
                    <w:autoSpaceDE w:val="0"/>
                    <w:autoSpaceDN/>
                    <w:bidi w:val="0"/>
                    <w:adjustRightInd/>
                    <w:snapToGrid/>
                    <w:spacing w:line="240" w:lineRule="auto"/>
                    <w:ind w:firstLine="0" w:firstLineChars="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3</w:t>
                  </w:r>
                </w:p>
              </w:tc>
              <w:tc>
                <w:tcPr>
                  <w:tcW w:w="1952" w:type="pct"/>
                  <w:noWrap w:val="0"/>
                  <w:vAlign w:val="center"/>
                </w:tcPr>
                <w:p w14:paraId="441FB3E8">
                  <w:pPr>
                    <w:keepNext w:val="0"/>
                    <w:keepLines w:val="0"/>
                    <w:pageBreakBefore w:val="0"/>
                    <w:widowControl w:val="0"/>
                    <w:numPr>
                      <w:ilvl w:val="0"/>
                      <w:numId w:val="1"/>
                    </w:numPr>
                    <w:kinsoku/>
                    <w:wordWrap/>
                    <w:overflowPunct/>
                    <w:topLinePunct w:val="0"/>
                    <w:autoSpaceDE w:val="0"/>
                    <w:autoSpaceDN/>
                    <w:bidi w:val="0"/>
                    <w:adjustRightInd/>
                    <w:snapToGrid/>
                    <w:spacing w:line="240" w:lineRule="auto"/>
                    <w:ind w:firstLine="0" w:firstLineChars="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新建、改建、扩建直接或者间接向水体排放污染物的建设项目和其他水上设施，应当依法进行环境影响评价。</w:t>
                  </w:r>
                </w:p>
                <w:p w14:paraId="44D00120">
                  <w:pPr>
                    <w:keepNext w:val="0"/>
                    <w:keepLines w:val="0"/>
                    <w:pageBreakBefore w:val="0"/>
                    <w:widowControl w:val="0"/>
                    <w:kinsoku/>
                    <w:wordWrap/>
                    <w:overflowPunct/>
                    <w:topLinePunct w:val="0"/>
                    <w:autoSpaceDE w:val="0"/>
                    <w:autoSpaceDN/>
                    <w:bidi w:val="0"/>
                    <w:adjustRightInd/>
                    <w:snapToGrid/>
                    <w:spacing w:line="240" w:lineRule="auto"/>
                    <w:ind w:firstLine="0" w:firstLineChars="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建设单位在江河、湖泊新建、改建、扩建排污口的，应当取得水行政主管部门或者流域管理机构同意；涉及通航、渔业水域的，环境保护主管部门在审批环境影响评价文件时，应当征求交通、渔业主管部门的意见。</w:t>
                  </w:r>
                </w:p>
              </w:tc>
              <w:tc>
                <w:tcPr>
                  <w:tcW w:w="1989" w:type="pct"/>
                  <w:noWrap w:val="0"/>
                  <w:vAlign w:val="center"/>
                </w:tcPr>
                <w:p w14:paraId="4E7154A4">
                  <w:pPr>
                    <w:keepNext w:val="0"/>
                    <w:keepLines w:val="0"/>
                    <w:pageBreakBefore w:val="0"/>
                    <w:widowControl w:val="0"/>
                    <w:kinsoku/>
                    <w:wordWrap/>
                    <w:overflowPunct/>
                    <w:topLinePunct w:val="0"/>
                    <w:autoSpaceDN/>
                    <w:bidi w:val="0"/>
                    <w:adjustRightInd/>
                    <w:snapToGrid/>
                    <w:spacing w:line="240" w:lineRule="auto"/>
                    <w:ind w:firstLine="0" w:firstLineChars="0"/>
                    <w:textAlignment w:val="auto"/>
                    <w:rPr>
                      <w:rFonts w:hint="default" w:ascii="Times New Roman" w:hAnsi="Times New Roman" w:cs="Times New Roman"/>
                      <w:color w:val="auto"/>
                      <w:sz w:val="21"/>
                      <w:szCs w:val="21"/>
                    </w:rPr>
                  </w:pPr>
                  <w:r>
                    <w:rPr>
                      <w:rFonts w:hint="default" w:ascii="Times New Roman" w:hAnsi="Times New Roman" w:cs="Times New Roman"/>
                      <w:bCs/>
                      <w:color w:val="auto"/>
                      <w:kern w:val="0"/>
                      <w:sz w:val="21"/>
                      <w:szCs w:val="21"/>
                    </w:rPr>
                    <w:t>本项目为新建项目，项目废水不外排，建设单位已按要求正在进行环境影响报告的编制。项目不涉及新建排污口。</w:t>
                  </w:r>
                </w:p>
              </w:tc>
              <w:tc>
                <w:tcPr>
                  <w:tcW w:w="526" w:type="pct"/>
                  <w:noWrap w:val="0"/>
                  <w:vAlign w:val="center"/>
                </w:tcPr>
                <w:p w14:paraId="7F2C25FC">
                  <w:pPr>
                    <w:keepNext w:val="0"/>
                    <w:keepLines w:val="0"/>
                    <w:pageBreakBefore w:val="0"/>
                    <w:widowControl w:val="0"/>
                    <w:kinsoku/>
                    <w:wordWrap/>
                    <w:overflowPunct/>
                    <w:topLinePunct w:val="0"/>
                    <w:autoSpaceDE w:val="0"/>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符合</w:t>
                  </w:r>
                </w:p>
              </w:tc>
            </w:tr>
            <w:tr w14:paraId="38560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1" w:type="pct"/>
                  <w:noWrap w:val="0"/>
                  <w:vAlign w:val="center"/>
                </w:tcPr>
                <w:p w14:paraId="7A642AD7">
                  <w:pPr>
                    <w:keepNext w:val="0"/>
                    <w:keepLines w:val="0"/>
                    <w:pageBreakBefore w:val="0"/>
                    <w:widowControl w:val="0"/>
                    <w:kinsoku/>
                    <w:wordWrap/>
                    <w:overflowPunct/>
                    <w:topLinePunct w:val="0"/>
                    <w:autoSpaceDE w:val="0"/>
                    <w:autoSpaceDN/>
                    <w:bidi w:val="0"/>
                    <w:adjustRightInd/>
                    <w:snapToGrid/>
                    <w:spacing w:line="240" w:lineRule="auto"/>
                    <w:ind w:firstLine="0" w:firstLineChars="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4</w:t>
                  </w:r>
                </w:p>
              </w:tc>
              <w:tc>
                <w:tcPr>
                  <w:tcW w:w="1952" w:type="pct"/>
                  <w:noWrap w:val="0"/>
                  <w:vAlign w:val="center"/>
                </w:tcPr>
                <w:p w14:paraId="54B27618">
                  <w:pPr>
                    <w:keepNext w:val="0"/>
                    <w:keepLines w:val="0"/>
                    <w:pageBreakBefore w:val="0"/>
                    <w:widowControl w:val="0"/>
                    <w:kinsoku/>
                    <w:wordWrap/>
                    <w:overflowPunct/>
                    <w:topLinePunct w:val="0"/>
                    <w:autoSpaceDE w:val="0"/>
                    <w:autoSpaceDN/>
                    <w:bidi w:val="0"/>
                    <w:adjustRightInd/>
                    <w:snapToGrid/>
                    <w:spacing w:line="240" w:lineRule="auto"/>
                    <w:ind w:firstLine="0" w:firstLineChars="0"/>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lang w:bidi="ar"/>
                    </w:rPr>
                    <w:t>第三十三条</w:t>
                  </w:r>
                  <w:r>
                    <w:rPr>
                      <w:rFonts w:hint="default" w:ascii="Times New Roman" w:hAnsi="Times New Roman" w:cs="Times New Roman"/>
                      <w:color w:val="auto"/>
                      <w:sz w:val="21"/>
                      <w:szCs w:val="21"/>
                      <w:lang w:bidi="ar"/>
                    </w:rPr>
                    <w:t xml:space="preserve"> 禁止向水体排放油类、酸液、碱液或者剧毒废液。禁止在水体清洗装贮国油类或者有毒污染物的车辆和容器。</w:t>
                  </w:r>
                </w:p>
              </w:tc>
              <w:tc>
                <w:tcPr>
                  <w:tcW w:w="1989" w:type="pct"/>
                  <w:noWrap w:val="0"/>
                  <w:vAlign w:val="center"/>
                </w:tcPr>
                <w:p w14:paraId="5DE9199C">
                  <w:pPr>
                    <w:keepNext w:val="0"/>
                    <w:keepLines w:val="0"/>
                    <w:pageBreakBefore w:val="0"/>
                    <w:widowControl w:val="0"/>
                    <w:kinsoku/>
                    <w:wordWrap/>
                    <w:overflowPunct/>
                    <w:topLinePunct w:val="0"/>
                    <w:autoSpaceDN/>
                    <w:bidi w:val="0"/>
                    <w:adjustRightInd/>
                    <w:snapToGrid/>
                    <w:spacing w:line="240" w:lineRule="auto"/>
                    <w:ind w:firstLine="0" w:firstLineChars="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施工废水处理后回用，对周边水体水环境影响很小，运行期工程本身不排放污染物。项目运营期不涉及向水体排放油类物质。</w:t>
                  </w:r>
                </w:p>
              </w:tc>
              <w:tc>
                <w:tcPr>
                  <w:tcW w:w="526" w:type="pct"/>
                  <w:noWrap w:val="0"/>
                  <w:vAlign w:val="center"/>
                </w:tcPr>
                <w:p w14:paraId="6CB1CC4F">
                  <w:pPr>
                    <w:keepNext w:val="0"/>
                    <w:keepLines w:val="0"/>
                    <w:pageBreakBefore w:val="0"/>
                    <w:widowControl w:val="0"/>
                    <w:kinsoku/>
                    <w:wordWrap/>
                    <w:overflowPunct/>
                    <w:topLinePunct w:val="0"/>
                    <w:autoSpaceDE w:val="0"/>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符合</w:t>
                  </w:r>
                </w:p>
              </w:tc>
            </w:tr>
            <w:tr w14:paraId="46B5C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1" w:type="pct"/>
                  <w:noWrap w:val="0"/>
                  <w:vAlign w:val="center"/>
                </w:tcPr>
                <w:p w14:paraId="66962E22">
                  <w:pPr>
                    <w:keepNext w:val="0"/>
                    <w:keepLines w:val="0"/>
                    <w:pageBreakBefore w:val="0"/>
                    <w:widowControl w:val="0"/>
                    <w:kinsoku/>
                    <w:wordWrap/>
                    <w:overflowPunct/>
                    <w:topLinePunct w:val="0"/>
                    <w:autoSpaceDE w:val="0"/>
                    <w:autoSpaceDN/>
                    <w:bidi w:val="0"/>
                    <w:adjustRightInd/>
                    <w:snapToGrid/>
                    <w:spacing w:line="240" w:lineRule="auto"/>
                    <w:ind w:firstLine="0" w:firstLineChars="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5</w:t>
                  </w:r>
                </w:p>
              </w:tc>
              <w:tc>
                <w:tcPr>
                  <w:tcW w:w="1952" w:type="pct"/>
                  <w:noWrap w:val="0"/>
                  <w:vAlign w:val="center"/>
                </w:tcPr>
                <w:p w14:paraId="32BE13F6">
                  <w:pPr>
                    <w:keepNext w:val="0"/>
                    <w:keepLines w:val="0"/>
                    <w:pageBreakBefore w:val="0"/>
                    <w:widowControl w:val="0"/>
                    <w:kinsoku/>
                    <w:wordWrap/>
                    <w:overflowPunct/>
                    <w:topLinePunct w:val="0"/>
                    <w:autoSpaceDE w:val="0"/>
                    <w:autoSpaceDN/>
                    <w:bidi w:val="0"/>
                    <w:adjustRightInd/>
                    <w:snapToGrid/>
                    <w:spacing w:line="240" w:lineRule="auto"/>
                    <w:ind w:firstLine="0" w:firstLineChars="0"/>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lang w:bidi="ar"/>
                    </w:rPr>
                    <w:t>第三十四条</w:t>
                  </w:r>
                  <w:r>
                    <w:rPr>
                      <w:rFonts w:hint="default" w:ascii="Times New Roman" w:hAnsi="Times New Roman" w:cs="Times New Roman"/>
                      <w:color w:val="auto"/>
                      <w:sz w:val="21"/>
                      <w:szCs w:val="21"/>
                      <w:lang w:bidi="ar"/>
                    </w:rPr>
                    <w:t xml:space="preserve"> 禁止向水体排放、倾倒工业废渣、城镇垃圾和其他废弃物。</w:t>
                  </w:r>
                </w:p>
              </w:tc>
              <w:tc>
                <w:tcPr>
                  <w:tcW w:w="1989" w:type="pct"/>
                  <w:noWrap w:val="0"/>
                  <w:vAlign w:val="center"/>
                </w:tcPr>
                <w:p w14:paraId="5DBB5050">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color w:val="auto"/>
                      <w:sz w:val="21"/>
                      <w:szCs w:val="21"/>
                    </w:rPr>
                  </w:pPr>
                  <w:r>
                    <w:rPr>
                      <w:rFonts w:hint="default"/>
                      <w:color w:val="auto"/>
                      <w:sz w:val="21"/>
                      <w:szCs w:val="21"/>
                    </w:rPr>
                    <w:t>工程建设过程中产生的废弃土石临时堆存用于回填，无永久弃渣产生，项目不设置弃渣场。施工期间临时表土堆存过程中，堆放的四周采用编织袋挡墙，采用土工布覆盖，定期洒水抑尘；施工人员生活垃圾集中收集后清运至最近的垃圾收集点，由环卫部门清运处置；废弃水泥袋等</w:t>
                  </w:r>
                  <w:r>
                    <w:rPr>
                      <w:rFonts w:hint="eastAsia"/>
                      <w:color w:val="auto"/>
                      <w:sz w:val="21"/>
                      <w:szCs w:val="21"/>
                      <w:lang w:eastAsia="zh-CN"/>
                    </w:rPr>
                    <w:t>可回收利用的垃圾，分类</w:t>
                  </w:r>
                  <w:r>
                    <w:rPr>
                      <w:rFonts w:hint="default"/>
                      <w:color w:val="auto"/>
                      <w:sz w:val="21"/>
                      <w:szCs w:val="21"/>
                    </w:rPr>
                    <w:t>收集后清运</w:t>
                  </w:r>
                  <w:r>
                    <w:rPr>
                      <w:rFonts w:hint="eastAsia"/>
                      <w:color w:val="auto"/>
                      <w:sz w:val="21"/>
                      <w:szCs w:val="21"/>
                      <w:lang w:eastAsia="zh-CN"/>
                    </w:rPr>
                    <w:t>由废旧品回收单位回收</w:t>
                  </w:r>
                  <w:r>
                    <w:rPr>
                      <w:rFonts w:hint="default"/>
                      <w:color w:val="auto"/>
                      <w:sz w:val="21"/>
                      <w:szCs w:val="21"/>
                    </w:rPr>
                    <w:t>；</w:t>
                  </w:r>
                  <w:r>
                    <w:rPr>
                      <w:rFonts w:hint="eastAsia"/>
                      <w:color w:val="auto"/>
                      <w:sz w:val="21"/>
                      <w:szCs w:val="21"/>
                      <w:lang w:eastAsia="zh-CN"/>
                    </w:rPr>
                    <w:t>施工机械不在施工场地维修，车辆维修，施工机械设备开往附近修理厂维修，维修过程产生的废矿物油处置责任由修理厂承担，施工场地不涉及废矿物油的产生及储存。</w:t>
                  </w:r>
                  <w:r>
                    <w:rPr>
                      <w:rFonts w:hint="default" w:ascii="Times New Roman" w:hAnsi="Times New Roman" w:eastAsia="宋体" w:cs="Times New Roman"/>
                      <w:color w:val="auto"/>
                      <w:kern w:val="2"/>
                      <w:sz w:val="21"/>
                      <w:szCs w:val="21"/>
                      <w:lang w:val="en-US" w:eastAsia="zh-CN" w:bidi="ar-SA"/>
                    </w:rPr>
                    <w:t>项目区固体污染物都妥善处置，处置率100%对环境影响较小</w:t>
                  </w:r>
                  <w:r>
                    <w:rPr>
                      <w:rFonts w:hint="default" w:ascii="Times New Roman" w:hAnsi="Times New Roman" w:cs="Times New Roman"/>
                      <w:color w:val="auto"/>
                      <w:sz w:val="21"/>
                      <w:szCs w:val="21"/>
                    </w:rPr>
                    <w:t>。不涉及向水体排放、倾倒工业废渣、城镇垃圾和其他废弃物。</w:t>
                  </w:r>
                </w:p>
              </w:tc>
              <w:tc>
                <w:tcPr>
                  <w:tcW w:w="526" w:type="pct"/>
                  <w:noWrap w:val="0"/>
                  <w:vAlign w:val="center"/>
                </w:tcPr>
                <w:p w14:paraId="059D5957">
                  <w:pPr>
                    <w:keepNext w:val="0"/>
                    <w:keepLines w:val="0"/>
                    <w:pageBreakBefore w:val="0"/>
                    <w:widowControl w:val="0"/>
                    <w:kinsoku/>
                    <w:wordWrap/>
                    <w:overflowPunct/>
                    <w:topLinePunct w:val="0"/>
                    <w:autoSpaceDE w:val="0"/>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符合</w:t>
                  </w:r>
                </w:p>
              </w:tc>
            </w:tr>
            <w:tr w14:paraId="3B3DB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1" w:type="pct"/>
                  <w:noWrap w:val="0"/>
                  <w:vAlign w:val="center"/>
                </w:tcPr>
                <w:p w14:paraId="07B2303C">
                  <w:pPr>
                    <w:keepNext w:val="0"/>
                    <w:keepLines w:val="0"/>
                    <w:pageBreakBefore w:val="0"/>
                    <w:widowControl w:val="0"/>
                    <w:kinsoku/>
                    <w:wordWrap/>
                    <w:overflowPunct/>
                    <w:topLinePunct w:val="0"/>
                    <w:autoSpaceDE w:val="0"/>
                    <w:autoSpaceDN/>
                    <w:bidi w:val="0"/>
                    <w:adjustRightInd/>
                    <w:snapToGrid/>
                    <w:spacing w:line="240" w:lineRule="auto"/>
                    <w:ind w:firstLine="0" w:firstLineChars="0"/>
                    <w:jc w:val="both"/>
                    <w:textAlignment w:val="auto"/>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bidi="ar"/>
                    </w:rPr>
                    <w:t>6</w:t>
                  </w:r>
                </w:p>
              </w:tc>
              <w:tc>
                <w:tcPr>
                  <w:tcW w:w="1952" w:type="pct"/>
                  <w:noWrap w:val="0"/>
                  <w:vAlign w:val="center"/>
                </w:tcPr>
                <w:p w14:paraId="76BF90A5">
                  <w:pPr>
                    <w:keepNext w:val="0"/>
                    <w:keepLines w:val="0"/>
                    <w:pageBreakBefore w:val="0"/>
                    <w:widowControl w:val="0"/>
                    <w:kinsoku/>
                    <w:wordWrap/>
                    <w:overflowPunct/>
                    <w:topLinePunct w:val="0"/>
                    <w:autoSpaceDE w:val="0"/>
                    <w:autoSpaceDN/>
                    <w:bidi w:val="0"/>
                    <w:adjustRightInd/>
                    <w:snapToGrid/>
                    <w:spacing w:line="240" w:lineRule="auto"/>
                    <w:ind w:firstLine="0" w:firstLineChars="0"/>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lang w:bidi="ar"/>
                    </w:rPr>
                    <w:t xml:space="preserve">第六十六条  </w:t>
                  </w:r>
                  <w:r>
                    <w:rPr>
                      <w:rFonts w:hint="default" w:ascii="Times New Roman" w:hAnsi="Times New Roman" w:cs="Times New Roman"/>
                      <w:color w:val="auto"/>
                      <w:sz w:val="21"/>
                      <w:szCs w:val="21"/>
                      <w:lang w:bidi="ar"/>
                    </w:rPr>
                    <w:t>禁止在饮用水水源二级保护区内新建、改建、扩建排放污染物的建设项目；已建成的排放污染物的建设项目，由县级以上人民政府责令出拆除或者关闭。</w:t>
                  </w:r>
                </w:p>
                <w:p w14:paraId="02287C95">
                  <w:pPr>
                    <w:keepNext w:val="0"/>
                    <w:keepLines w:val="0"/>
                    <w:pageBreakBefore w:val="0"/>
                    <w:widowControl w:val="0"/>
                    <w:kinsoku/>
                    <w:wordWrap/>
                    <w:overflowPunct/>
                    <w:topLinePunct w:val="0"/>
                    <w:autoSpaceDE w:val="0"/>
                    <w:autoSpaceDN/>
                    <w:bidi w:val="0"/>
                    <w:adjustRightInd/>
                    <w:snapToGrid/>
                    <w:spacing w:line="240" w:lineRule="auto"/>
                    <w:ind w:firstLine="0" w:firstLineChars="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在饮用水二级保护区内从事网箱养殖、旅游等活动的，应当按照规定采取措施，防治污染饮用水水体。</w:t>
                  </w:r>
                </w:p>
              </w:tc>
              <w:tc>
                <w:tcPr>
                  <w:tcW w:w="1989" w:type="pct"/>
                  <w:noWrap w:val="0"/>
                  <w:vAlign w:val="center"/>
                </w:tcPr>
                <w:p w14:paraId="661C1B56">
                  <w:pPr>
                    <w:keepNext w:val="0"/>
                    <w:keepLines w:val="0"/>
                    <w:pageBreakBefore w:val="0"/>
                    <w:widowControl w:val="0"/>
                    <w:kinsoku/>
                    <w:wordWrap/>
                    <w:overflowPunct/>
                    <w:topLinePunct w:val="0"/>
                    <w:autoSpaceDE w:val="0"/>
                    <w:autoSpaceDN/>
                    <w:bidi w:val="0"/>
                    <w:adjustRightInd/>
                    <w:snapToGrid/>
                    <w:spacing w:line="240" w:lineRule="auto"/>
                    <w:ind w:firstLine="0" w:firstLineChars="0"/>
                    <w:jc w:val="left"/>
                    <w:textAlignment w:val="auto"/>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bidi="ar"/>
                    </w:rPr>
                    <w:t>本</w:t>
                  </w:r>
                  <w:r>
                    <w:rPr>
                      <w:rFonts w:hint="default" w:ascii="Times New Roman" w:hAnsi="Times New Roman" w:cs="Times New Roman"/>
                      <w:color w:val="auto"/>
                      <w:sz w:val="21"/>
                      <w:szCs w:val="21"/>
                      <w:lang w:bidi="ar"/>
                    </w:rPr>
                    <w:t>项目占地范围内不涉及饮用水源保护区。</w:t>
                  </w:r>
                </w:p>
              </w:tc>
              <w:tc>
                <w:tcPr>
                  <w:tcW w:w="526" w:type="pct"/>
                  <w:noWrap w:val="0"/>
                  <w:vAlign w:val="center"/>
                </w:tcPr>
                <w:p w14:paraId="5F1290A2">
                  <w:pPr>
                    <w:keepNext w:val="0"/>
                    <w:keepLines w:val="0"/>
                    <w:pageBreakBefore w:val="0"/>
                    <w:widowControl w:val="0"/>
                    <w:kinsoku/>
                    <w:wordWrap/>
                    <w:overflowPunct/>
                    <w:topLinePunct w:val="0"/>
                    <w:autoSpaceDE w:val="0"/>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符合</w:t>
                  </w:r>
                </w:p>
              </w:tc>
            </w:tr>
          </w:tbl>
          <w:p w14:paraId="1123CE8B">
            <w:pPr>
              <w:autoSpaceDE w:val="0"/>
              <w:spacing w:line="360" w:lineRule="auto"/>
              <w:ind w:firstLine="480" w:firstLineChars="200"/>
              <w:jc w:val="both"/>
              <w:rPr>
                <w:rFonts w:hint="default" w:ascii="Times New Roman" w:hAnsi="Times New Roman" w:cs="Times New Roman"/>
                <w:color w:val="auto"/>
                <w:sz w:val="24"/>
              </w:rPr>
            </w:pPr>
            <w:r>
              <w:rPr>
                <w:rFonts w:hint="default" w:ascii="Times New Roman" w:hAnsi="Times New Roman" w:cs="Times New Roman"/>
                <w:color w:val="auto"/>
                <w:sz w:val="24"/>
                <w:lang w:bidi="ar"/>
              </w:rPr>
              <w:t>总体而言，项目建设符合《中华人民共和国水污染防治法》相关要求。</w:t>
            </w:r>
          </w:p>
          <w:p w14:paraId="4F46F547">
            <w:pPr>
              <w:pStyle w:val="18"/>
              <w:keepNext w:val="0"/>
              <w:keepLines w:val="0"/>
              <w:widowControl w:val="0"/>
              <w:suppressLineNumbers w:val="0"/>
              <w:spacing w:before="0" w:beforeAutospacing="0" w:after="0" w:afterAutospacing="0" w:line="360" w:lineRule="auto"/>
              <w:ind w:left="0" w:right="0" w:firstLine="482" w:firstLineChars="200"/>
              <w:jc w:val="both"/>
              <w:rPr>
                <w:rFonts w:hint="default" w:ascii="Times New Roman" w:hAnsi="Times New Roman" w:eastAsia="宋体" w:cs="Times New Roman"/>
                <w:b/>
                <w:bCs/>
                <w:color w:val="auto"/>
                <w:kern w:val="2"/>
                <w:sz w:val="24"/>
                <w:szCs w:val="24"/>
                <w:lang w:val="en-US" w:eastAsia="zh-CN" w:bidi="ar"/>
              </w:rPr>
            </w:pPr>
            <w:r>
              <w:rPr>
                <w:rFonts w:hint="eastAsia"/>
                <w:b/>
                <w:bCs/>
                <w:color w:val="auto"/>
                <w:lang w:val="en-US" w:eastAsia="zh-CN"/>
              </w:rPr>
              <w:t>11、</w:t>
            </w:r>
            <w:r>
              <w:rPr>
                <w:rFonts w:hint="default" w:ascii="Times New Roman" w:hAnsi="Times New Roman" w:eastAsia="宋体" w:cs="Times New Roman"/>
                <w:b/>
                <w:bCs/>
                <w:color w:val="auto"/>
                <w:kern w:val="2"/>
                <w:sz w:val="24"/>
                <w:szCs w:val="24"/>
                <w:lang w:val="en-US" w:eastAsia="zh-CN" w:bidi="ar"/>
              </w:rPr>
              <w:t>项目与《中小河流治理建设管理办法》的相符性分析</w:t>
            </w:r>
          </w:p>
          <w:p w14:paraId="6EED2CF9">
            <w:pPr>
              <w:pStyle w:val="18"/>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b/>
                <w:bCs/>
                <w:color w:val="auto"/>
                <w:kern w:val="2"/>
                <w:sz w:val="24"/>
                <w:szCs w:val="24"/>
                <w:lang w:val="en-US" w:eastAsia="zh-CN" w:bidi="ar"/>
              </w:rPr>
            </w:pPr>
            <w:r>
              <w:rPr>
                <w:rFonts w:hint="default" w:ascii="Times New Roman" w:hAnsi="Times New Roman" w:eastAsia="宋体" w:cs="Times New Roman"/>
                <w:color w:val="auto"/>
                <w:kern w:val="2"/>
                <w:sz w:val="24"/>
                <w:szCs w:val="24"/>
                <w:lang w:val="en-US" w:eastAsia="zh-CN" w:bidi="ar"/>
              </w:rPr>
              <w:t>《中小河流治理建设管理办法》自2023年7月1日起施行，项目与其相符性分析详见下表。</w:t>
            </w:r>
          </w:p>
          <w:p w14:paraId="02C27A75">
            <w:pPr>
              <w:keepNext w:val="0"/>
              <w:keepLines w:val="0"/>
              <w:widowControl w:val="0"/>
              <w:suppressLineNumbers w:val="0"/>
              <w:autoSpaceDE w:val="0"/>
              <w:autoSpaceDN w:val="0"/>
              <w:adjustRightInd w:val="0"/>
              <w:snapToGrid w:val="0"/>
              <w:spacing w:before="0" w:beforeAutospacing="0" w:after="0" w:afterAutospacing="0"/>
              <w:ind w:left="0" w:right="0" w:firstLine="422" w:firstLineChars="200"/>
              <w:jc w:val="center"/>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kern w:val="2"/>
                <w:sz w:val="21"/>
                <w:szCs w:val="21"/>
                <w:lang w:val="en-US" w:eastAsia="zh-CN" w:bidi="ar"/>
              </w:rPr>
              <w:t>表1</w:t>
            </w:r>
            <w:r>
              <w:rPr>
                <w:rFonts w:hint="eastAsia" w:ascii="Times New Roman" w:hAnsi="Times New Roman" w:eastAsia="宋体" w:cs="Times New Roman"/>
                <w:b/>
                <w:bCs/>
                <w:color w:val="auto"/>
                <w:kern w:val="2"/>
                <w:sz w:val="21"/>
                <w:szCs w:val="21"/>
                <w:lang w:val="en-US" w:eastAsia="zh-CN" w:bidi="ar"/>
              </w:rPr>
              <w:t>-9</w:t>
            </w:r>
            <w:r>
              <w:rPr>
                <w:rFonts w:hint="default" w:ascii="Times New Roman" w:hAnsi="Times New Roman" w:eastAsia="宋体" w:cs="Times New Roman"/>
                <w:b/>
                <w:bCs/>
                <w:color w:val="auto"/>
                <w:spacing w:val="59"/>
                <w:kern w:val="2"/>
                <w:sz w:val="21"/>
                <w:szCs w:val="21"/>
                <w:lang w:val="en-US" w:eastAsia="zh-CN" w:bidi="ar"/>
              </w:rPr>
              <w:t xml:space="preserve"> </w:t>
            </w:r>
            <w:r>
              <w:rPr>
                <w:rFonts w:hint="default" w:ascii="Times New Roman" w:hAnsi="Times New Roman" w:eastAsia="宋体" w:cs="Times New Roman"/>
                <w:b/>
                <w:bCs/>
                <w:color w:val="auto"/>
                <w:kern w:val="2"/>
                <w:sz w:val="21"/>
                <w:szCs w:val="21"/>
                <w:lang w:val="en-US" w:eastAsia="zh-CN" w:bidi="ar"/>
              </w:rPr>
              <w:t>本工程与《中小河流治理建设管理办法》相符性分析</w:t>
            </w:r>
          </w:p>
          <w:tbl>
            <w:tblPr>
              <w:tblStyle w:val="23"/>
              <w:tblW w:w="75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9"/>
              <w:gridCol w:w="3268"/>
              <w:gridCol w:w="3259"/>
              <w:gridCol w:w="472"/>
            </w:tblGrid>
            <w:tr w14:paraId="1AD08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8" w:hRule="atLeast"/>
                <w:jc w:val="center"/>
              </w:trPr>
              <w:tc>
                <w:tcPr>
                  <w:tcW w:w="519" w:type="dxa"/>
                  <w:tcBorders>
                    <w:top w:val="single" w:color="auto" w:sz="4" w:space="0"/>
                    <w:left w:val="single" w:color="auto" w:sz="4" w:space="0"/>
                    <w:bottom w:val="single" w:color="auto" w:sz="4" w:space="0"/>
                    <w:right w:val="single" w:color="auto" w:sz="4" w:space="0"/>
                  </w:tcBorders>
                  <w:noWrap w:val="0"/>
                  <w:vAlign w:val="center"/>
                </w:tcPr>
                <w:p w14:paraId="18E8BE3A">
                  <w:pPr>
                    <w:pStyle w:val="18"/>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lang w:val="en-US" w:eastAsia="zh-CN" w:bidi="ar"/>
                    </w:rPr>
                    <w:t>序号</w:t>
                  </w:r>
                </w:p>
              </w:tc>
              <w:tc>
                <w:tcPr>
                  <w:tcW w:w="3268" w:type="dxa"/>
                  <w:tcBorders>
                    <w:top w:val="single" w:color="auto" w:sz="4" w:space="0"/>
                    <w:left w:val="single" w:color="auto" w:sz="4" w:space="0"/>
                    <w:bottom w:val="single" w:color="auto" w:sz="4" w:space="0"/>
                    <w:right w:val="single" w:color="auto" w:sz="4" w:space="0"/>
                  </w:tcBorders>
                  <w:noWrap w:val="0"/>
                  <w:vAlign w:val="center"/>
                </w:tcPr>
                <w:p w14:paraId="3FD5F25B">
                  <w:pPr>
                    <w:pStyle w:val="18"/>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lang w:val="en-US" w:eastAsia="zh-CN" w:bidi="ar"/>
                    </w:rPr>
                  </w:pPr>
                  <w:r>
                    <w:rPr>
                      <w:rFonts w:hint="default" w:ascii="Times New Roman" w:hAnsi="Times New Roman" w:eastAsia="宋体" w:cs="Times New Roman"/>
                      <w:b/>
                      <w:bCs/>
                      <w:color w:val="auto"/>
                      <w:kern w:val="2"/>
                      <w:sz w:val="21"/>
                      <w:szCs w:val="21"/>
                      <w:lang w:val="en-US" w:eastAsia="zh-CN" w:bidi="ar"/>
                    </w:rPr>
                    <w:t>第三条</w:t>
                  </w:r>
                </w:p>
                <w:p w14:paraId="6AFBCB38">
                  <w:pPr>
                    <w:pStyle w:val="18"/>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lang w:val="en-US" w:eastAsia="zh-CN" w:bidi="ar"/>
                    </w:rPr>
                    <w:t>中小河流治理应遵循以下原则</w:t>
                  </w:r>
                </w:p>
              </w:tc>
              <w:tc>
                <w:tcPr>
                  <w:tcW w:w="3259" w:type="dxa"/>
                  <w:tcBorders>
                    <w:top w:val="single" w:color="auto" w:sz="4" w:space="0"/>
                    <w:left w:val="single" w:color="auto" w:sz="4" w:space="0"/>
                    <w:bottom w:val="single" w:color="auto" w:sz="4" w:space="0"/>
                    <w:right w:val="single" w:color="auto" w:sz="4" w:space="0"/>
                  </w:tcBorders>
                  <w:noWrap w:val="0"/>
                  <w:vAlign w:val="center"/>
                </w:tcPr>
                <w:p w14:paraId="28BFB103">
                  <w:pPr>
                    <w:pStyle w:val="18"/>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lang w:val="en-US" w:eastAsia="zh-CN" w:bidi="ar"/>
                    </w:rPr>
                    <w:t>项目情况</w:t>
                  </w:r>
                </w:p>
              </w:tc>
              <w:tc>
                <w:tcPr>
                  <w:tcW w:w="472" w:type="dxa"/>
                  <w:tcBorders>
                    <w:top w:val="single" w:color="auto" w:sz="4" w:space="0"/>
                    <w:left w:val="single" w:color="auto" w:sz="4" w:space="0"/>
                    <w:bottom w:val="single" w:color="auto" w:sz="4" w:space="0"/>
                    <w:right w:val="single" w:color="auto" w:sz="4" w:space="0"/>
                  </w:tcBorders>
                  <w:noWrap w:val="0"/>
                  <w:vAlign w:val="center"/>
                </w:tcPr>
                <w:p w14:paraId="042AFD2D">
                  <w:pPr>
                    <w:pStyle w:val="18"/>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lang w:val="en-US" w:eastAsia="zh-CN" w:bidi="ar"/>
                    </w:rPr>
                    <w:t>相符性</w:t>
                  </w:r>
                </w:p>
              </w:tc>
            </w:tr>
            <w:tr w14:paraId="5DC0E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3" w:hRule="atLeast"/>
                <w:jc w:val="center"/>
              </w:trPr>
              <w:tc>
                <w:tcPr>
                  <w:tcW w:w="519" w:type="dxa"/>
                  <w:tcBorders>
                    <w:top w:val="single" w:color="auto" w:sz="4" w:space="0"/>
                    <w:left w:val="single" w:color="auto" w:sz="4" w:space="0"/>
                    <w:bottom w:val="single" w:color="auto" w:sz="4" w:space="0"/>
                    <w:right w:val="single" w:color="auto" w:sz="4" w:space="0"/>
                  </w:tcBorders>
                  <w:noWrap w:val="0"/>
                  <w:vAlign w:val="center"/>
                </w:tcPr>
                <w:p w14:paraId="7DCE8542">
                  <w:pPr>
                    <w:pStyle w:val="18"/>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1</w:t>
                  </w:r>
                </w:p>
              </w:tc>
              <w:tc>
                <w:tcPr>
                  <w:tcW w:w="3268" w:type="dxa"/>
                  <w:tcBorders>
                    <w:top w:val="single" w:color="auto" w:sz="4" w:space="0"/>
                    <w:left w:val="single" w:color="auto" w:sz="4" w:space="0"/>
                    <w:bottom w:val="single" w:color="auto" w:sz="4" w:space="0"/>
                    <w:right w:val="single" w:color="auto" w:sz="4" w:space="0"/>
                  </w:tcBorders>
                  <w:noWrap w:val="0"/>
                  <w:vAlign w:val="center"/>
                </w:tcPr>
                <w:p w14:paraId="16783F18">
                  <w:pPr>
                    <w:pStyle w:val="18"/>
                    <w:keepNext w:val="0"/>
                    <w:keepLines w:val="0"/>
                    <w:widowControl w:val="0"/>
                    <w:suppressLineNumbers w:val="0"/>
                    <w:spacing w:before="0" w:beforeAutospacing="0" w:after="0" w:afterAutospacing="0" w:line="240" w:lineRule="auto"/>
                    <w:ind w:left="0" w:right="0" w:firstLine="0" w:firstLineChars="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1 、坚持人民至上</w:t>
                  </w:r>
                  <w:r>
                    <w:rPr>
                      <w:rFonts w:hint="eastAsia" w:ascii="Times New Roman" w:hAnsi="Times New Roman" w:cs="Times New Roman"/>
                      <w:color w:val="auto"/>
                      <w:kern w:val="2"/>
                      <w:sz w:val="21"/>
                      <w:szCs w:val="21"/>
                      <w:lang w:val="en-US" w:eastAsia="zh-CN" w:bidi="ar"/>
                    </w:rPr>
                    <w:t>、</w:t>
                  </w:r>
                  <w:r>
                    <w:rPr>
                      <w:rFonts w:hint="default" w:ascii="Times New Roman" w:hAnsi="Times New Roman" w:eastAsia="宋体" w:cs="Times New Roman"/>
                      <w:color w:val="auto"/>
                      <w:kern w:val="2"/>
                      <w:sz w:val="21"/>
                      <w:szCs w:val="21"/>
                      <w:lang w:val="en-US" w:eastAsia="zh-CN" w:bidi="ar"/>
                    </w:rPr>
                    <w:t>生命至上。统筹发展和安全，把保护人民生命财产安全放在系统治理的首要位置，切实提升中小河流行洪和防洪能力。</w:t>
                  </w:r>
                </w:p>
              </w:tc>
              <w:tc>
                <w:tcPr>
                  <w:tcW w:w="3259" w:type="dxa"/>
                  <w:tcBorders>
                    <w:top w:val="single" w:color="auto" w:sz="4" w:space="0"/>
                    <w:left w:val="single" w:color="auto" w:sz="4" w:space="0"/>
                    <w:bottom w:val="single" w:color="auto" w:sz="4" w:space="0"/>
                    <w:right w:val="single" w:color="auto" w:sz="4" w:space="0"/>
                  </w:tcBorders>
                  <w:noWrap w:val="0"/>
                  <w:vAlign w:val="center"/>
                </w:tcPr>
                <w:p w14:paraId="2258B053">
                  <w:pPr>
                    <w:pStyle w:val="18"/>
                    <w:keepNext w:val="0"/>
                    <w:keepLines w:val="0"/>
                    <w:widowControl w:val="0"/>
                    <w:suppressLineNumbers w:val="0"/>
                    <w:spacing w:before="0" w:beforeAutospacing="0" w:after="0" w:afterAutospacing="0" w:line="240" w:lineRule="auto"/>
                    <w:ind w:left="0" w:right="0" w:firstLine="0" w:firstLineChars="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本项目属于防洪除涝工程，项目实施后切实提升</w:t>
                  </w:r>
                  <w:r>
                    <w:rPr>
                      <w:rFonts w:hint="eastAsia" w:ascii="Times New Roman" w:hAnsi="Times New Roman" w:eastAsia="宋体" w:cs="Times New Roman"/>
                      <w:color w:val="auto"/>
                      <w:kern w:val="2"/>
                      <w:sz w:val="21"/>
                      <w:szCs w:val="21"/>
                      <w:lang w:val="en-US" w:eastAsia="zh-CN" w:bidi="ar"/>
                    </w:rPr>
                    <w:t>治理河段</w:t>
                  </w:r>
                  <w:r>
                    <w:rPr>
                      <w:rFonts w:hint="default" w:ascii="Times New Roman" w:hAnsi="Times New Roman" w:eastAsia="宋体" w:cs="Times New Roman"/>
                      <w:color w:val="auto"/>
                      <w:kern w:val="2"/>
                      <w:sz w:val="21"/>
                      <w:szCs w:val="21"/>
                      <w:lang w:val="en-US" w:eastAsia="zh-CN" w:bidi="ar"/>
                    </w:rPr>
                    <w:t>行洪和防洪能力。</w:t>
                  </w:r>
                </w:p>
              </w:tc>
              <w:tc>
                <w:tcPr>
                  <w:tcW w:w="472" w:type="dxa"/>
                  <w:tcBorders>
                    <w:top w:val="single" w:color="auto" w:sz="4" w:space="0"/>
                    <w:left w:val="single" w:color="auto" w:sz="4" w:space="0"/>
                    <w:bottom w:val="single" w:color="auto" w:sz="4" w:space="0"/>
                    <w:right w:val="single" w:color="auto" w:sz="4" w:space="0"/>
                  </w:tcBorders>
                  <w:noWrap w:val="0"/>
                  <w:vAlign w:val="center"/>
                </w:tcPr>
                <w:p w14:paraId="26D8A4C0">
                  <w:pPr>
                    <w:pStyle w:val="18"/>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符合</w:t>
                  </w:r>
                </w:p>
              </w:tc>
            </w:tr>
            <w:tr w14:paraId="6953F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8" w:hRule="atLeast"/>
                <w:jc w:val="center"/>
              </w:trPr>
              <w:tc>
                <w:tcPr>
                  <w:tcW w:w="519" w:type="dxa"/>
                  <w:tcBorders>
                    <w:top w:val="single" w:color="auto" w:sz="4" w:space="0"/>
                    <w:left w:val="single" w:color="auto" w:sz="4" w:space="0"/>
                    <w:bottom w:val="single" w:color="auto" w:sz="4" w:space="0"/>
                    <w:right w:val="single" w:color="auto" w:sz="4" w:space="0"/>
                  </w:tcBorders>
                  <w:noWrap w:val="0"/>
                  <w:vAlign w:val="center"/>
                </w:tcPr>
                <w:p w14:paraId="3624900A">
                  <w:pPr>
                    <w:pStyle w:val="18"/>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2</w:t>
                  </w:r>
                </w:p>
              </w:tc>
              <w:tc>
                <w:tcPr>
                  <w:tcW w:w="3268" w:type="dxa"/>
                  <w:tcBorders>
                    <w:top w:val="single" w:color="auto" w:sz="4" w:space="0"/>
                    <w:left w:val="single" w:color="auto" w:sz="4" w:space="0"/>
                    <w:bottom w:val="single" w:color="auto" w:sz="4" w:space="0"/>
                    <w:right w:val="single" w:color="auto" w:sz="4" w:space="0"/>
                  </w:tcBorders>
                  <w:noWrap w:val="0"/>
                  <w:vAlign w:val="center"/>
                </w:tcPr>
                <w:p w14:paraId="413EB1F6">
                  <w:pPr>
                    <w:pStyle w:val="18"/>
                    <w:keepNext w:val="0"/>
                    <w:keepLines w:val="0"/>
                    <w:widowControl w:val="0"/>
                    <w:suppressLineNumbers w:val="0"/>
                    <w:spacing w:before="0" w:beforeAutospacing="0" w:after="0" w:afterAutospacing="0" w:line="240" w:lineRule="auto"/>
                    <w:ind w:left="0" w:right="0" w:firstLine="0" w:firstLineChars="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2 、坚持系统治理，整体规划。以流域为单元，统筹上下游、左右岸、干支流，与流域综合规划、防洪规划和区域规划相协调，逐流域规划、逐流域治理，治理一条，见效一条。</w:t>
                  </w:r>
                </w:p>
              </w:tc>
              <w:tc>
                <w:tcPr>
                  <w:tcW w:w="3259" w:type="dxa"/>
                  <w:tcBorders>
                    <w:top w:val="single" w:color="auto" w:sz="4" w:space="0"/>
                    <w:left w:val="single" w:color="auto" w:sz="4" w:space="0"/>
                    <w:bottom w:val="single" w:color="auto" w:sz="4" w:space="0"/>
                    <w:right w:val="single" w:color="auto" w:sz="4" w:space="0"/>
                  </w:tcBorders>
                  <w:noWrap w:val="0"/>
                  <w:vAlign w:val="center"/>
                </w:tcPr>
                <w:p w14:paraId="7DC7E214">
                  <w:pPr>
                    <w:pStyle w:val="18"/>
                    <w:keepNext w:val="0"/>
                    <w:keepLines w:val="0"/>
                    <w:widowControl w:val="0"/>
                    <w:suppressLineNumbers w:val="0"/>
                    <w:spacing w:before="0" w:beforeAutospacing="0" w:after="0" w:afterAutospacing="0" w:line="240" w:lineRule="auto"/>
                    <w:ind w:left="0" w:right="0" w:firstLine="0" w:firstLineChars="0"/>
                    <w:jc w:val="both"/>
                    <w:rPr>
                      <w:rFonts w:hint="default" w:ascii="Times New Roman" w:hAnsi="Times New Roman" w:eastAsia="宋体" w:cs="Times New Roman"/>
                      <w:color w:val="auto"/>
                      <w:kern w:val="2"/>
                      <w:sz w:val="21"/>
                      <w:szCs w:val="21"/>
                    </w:rPr>
                  </w:pPr>
                  <w:r>
                    <w:rPr>
                      <w:rFonts w:hint="eastAsia" w:ascii="Times New Roman" w:hAnsi="Times New Roman" w:eastAsia="宋体" w:cs="Times New Roman"/>
                      <w:color w:val="auto"/>
                      <w:kern w:val="2"/>
                      <w:sz w:val="21"/>
                      <w:szCs w:val="21"/>
                      <w:lang w:val="en-US" w:eastAsia="zh-CN" w:bidi="ar"/>
                    </w:rPr>
                    <w:t>本项目</w:t>
                  </w:r>
                  <w:r>
                    <w:rPr>
                      <w:rFonts w:hint="default" w:ascii="Times New Roman" w:hAnsi="Times New Roman" w:eastAsia="宋体" w:cs="Times New Roman"/>
                      <w:color w:val="auto"/>
                      <w:kern w:val="2"/>
                      <w:sz w:val="21"/>
                      <w:szCs w:val="21"/>
                      <w:lang w:val="en-US" w:eastAsia="zh-CN" w:bidi="ar"/>
                    </w:rPr>
                    <w:t>坚持系统治理，整体规划</w:t>
                  </w:r>
                  <w:r>
                    <w:rPr>
                      <w:rFonts w:hint="eastAsia" w:ascii="Times New Roman" w:hAnsi="Times New Roman" w:eastAsia="宋体" w:cs="Times New Roman"/>
                      <w:color w:val="auto"/>
                      <w:kern w:val="2"/>
                      <w:sz w:val="21"/>
                      <w:szCs w:val="21"/>
                      <w:lang w:val="en-US" w:eastAsia="zh-CN" w:bidi="ar"/>
                    </w:rPr>
                    <w:t>，</w:t>
                  </w:r>
                  <w:r>
                    <w:rPr>
                      <w:rFonts w:hint="default" w:ascii="Times New Roman" w:hAnsi="Times New Roman" w:eastAsia="宋体" w:cs="Times New Roman"/>
                      <w:color w:val="auto"/>
                      <w:kern w:val="2"/>
                      <w:sz w:val="21"/>
                      <w:szCs w:val="21"/>
                      <w:lang w:val="en-US" w:eastAsia="zh-CN" w:bidi="ar"/>
                    </w:rPr>
                    <w:t>通过工程措施满足两岸的防洪要求，确保岸线及河势稳定，从而保障两岸农田的防洪安全；保护人口1.72万人，保护耕地面积6.60万亩。</w:t>
                  </w:r>
                </w:p>
              </w:tc>
              <w:tc>
                <w:tcPr>
                  <w:tcW w:w="472" w:type="dxa"/>
                  <w:tcBorders>
                    <w:top w:val="single" w:color="auto" w:sz="4" w:space="0"/>
                    <w:left w:val="single" w:color="auto" w:sz="4" w:space="0"/>
                    <w:bottom w:val="single" w:color="auto" w:sz="4" w:space="0"/>
                    <w:right w:val="single" w:color="auto" w:sz="4" w:space="0"/>
                  </w:tcBorders>
                  <w:noWrap w:val="0"/>
                  <w:vAlign w:val="center"/>
                </w:tcPr>
                <w:p w14:paraId="281433A9">
                  <w:pPr>
                    <w:pStyle w:val="18"/>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符合</w:t>
                  </w:r>
                </w:p>
              </w:tc>
            </w:tr>
            <w:tr w14:paraId="5A314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5" w:hRule="atLeast"/>
                <w:jc w:val="center"/>
              </w:trPr>
              <w:tc>
                <w:tcPr>
                  <w:tcW w:w="519" w:type="dxa"/>
                  <w:tcBorders>
                    <w:top w:val="single" w:color="auto" w:sz="4" w:space="0"/>
                    <w:left w:val="single" w:color="auto" w:sz="4" w:space="0"/>
                    <w:bottom w:val="single" w:color="auto" w:sz="4" w:space="0"/>
                    <w:right w:val="single" w:color="auto" w:sz="4" w:space="0"/>
                  </w:tcBorders>
                  <w:noWrap w:val="0"/>
                  <w:vAlign w:val="center"/>
                </w:tcPr>
                <w:p w14:paraId="2FC08D24">
                  <w:pPr>
                    <w:pStyle w:val="18"/>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3</w:t>
                  </w:r>
                </w:p>
              </w:tc>
              <w:tc>
                <w:tcPr>
                  <w:tcW w:w="3268" w:type="dxa"/>
                  <w:tcBorders>
                    <w:top w:val="single" w:color="auto" w:sz="4" w:space="0"/>
                    <w:left w:val="single" w:color="auto" w:sz="4" w:space="0"/>
                    <w:bottom w:val="single" w:color="auto" w:sz="4" w:space="0"/>
                    <w:right w:val="single" w:color="auto" w:sz="4" w:space="0"/>
                  </w:tcBorders>
                  <w:noWrap w:val="0"/>
                  <w:vAlign w:val="center"/>
                </w:tcPr>
                <w:p w14:paraId="62A08955">
                  <w:pPr>
                    <w:pStyle w:val="18"/>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3.坚持因地制宜，生态安全。尊重河流自然属性，科学确定治理标准和治理方案，处理好河流治理与生态保护的关系，实现人水和谐。</w:t>
                  </w:r>
                </w:p>
              </w:tc>
              <w:tc>
                <w:tcPr>
                  <w:tcW w:w="3259" w:type="dxa"/>
                  <w:tcBorders>
                    <w:top w:val="single" w:color="auto" w:sz="4" w:space="0"/>
                    <w:left w:val="single" w:color="auto" w:sz="4" w:space="0"/>
                    <w:bottom w:val="single" w:color="auto" w:sz="4" w:space="0"/>
                    <w:right w:val="single" w:color="auto" w:sz="4" w:space="0"/>
                  </w:tcBorders>
                  <w:noWrap w:val="0"/>
                  <w:vAlign w:val="center"/>
                </w:tcPr>
                <w:p w14:paraId="052F8134">
                  <w:pPr>
                    <w:pStyle w:val="18"/>
                    <w:keepNext w:val="0"/>
                    <w:keepLines w:val="0"/>
                    <w:widowControl w:val="0"/>
                    <w:suppressLineNumbers w:val="0"/>
                    <w:spacing w:before="0" w:beforeAutospacing="0" w:after="0" w:afterAutospacing="0" w:line="240" w:lineRule="auto"/>
                    <w:ind w:left="0" w:right="0" w:firstLine="0" w:firstLineChars="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项目</w:t>
                  </w:r>
                  <w:r>
                    <w:rPr>
                      <w:rFonts w:hint="eastAsia" w:ascii="Times New Roman" w:hAnsi="Times New Roman" w:eastAsia="宋体" w:cs="Times New Roman"/>
                      <w:color w:val="auto"/>
                      <w:kern w:val="2"/>
                      <w:sz w:val="21"/>
                      <w:szCs w:val="21"/>
                      <w:lang w:val="en-US" w:eastAsia="zh-CN" w:bidi="ar"/>
                    </w:rPr>
                    <w:t>因地制宜，尊重河流自然属性，防洪</w:t>
                  </w:r>
                  <w:r>
                    <w:rPr>
                      <w:rFonts w:hint="default" w:ascii="Times New Roman" w:hAnsi="Times New Roman" w:eastAsia="宋体" w:cs="Times New Roman"/>
                      <w:color w:val="auto"/>
                      <w:kern w:val="2"/>
                      <w:sz w:val="21"/>
                      <w:szCs w:val="21"/>
                      <w:lang w:val="en-US" w:eastAsia="zh-CN" w:bidi="ar"/>
                    </w:rPr>
                    <w:t>标准为10年一遇，符合《防洪标准》GB50201-2014标准要求</w:t>
                  </w:r>
                  <w:r>
                    <w:rPr>
                      <w:rFonts w:hint="eastAsia" w:ascii="Times New Roman" w:hAnsi="Times New Roman" w:eastAsia="宋体" w:cs="Times New Roman"/>
                      <w:color w:val="auto"/>
                      <w:kern w:val="2"/>
                      <w:sz w:val="21"/>
                      <w:szCs w:val="21"/>
                      <w:lang w:val="en-US" w:eastAsia="zh-CN" w:bidi="ar"/>
                    </w:rPr>
                    <w:t>，</w:t>
                  </w:r>
                  <w:r>
                    <w:rPr>
                      <w:rFonts w:hint="default" w:ascii="Times New Roman" w:hAnsi="Times New Roman" w:eastAsia="宋体" w:cs="Times New Roman"/>
                      <w:color w:val="auto"/>
                      <w:kern w:val="2"/>
                      <w:sz w:val="21"/>
                      <w:szCs w:val="21"/>
                      <w:lang w:val="en-US" w:eastAsia="zh-CN" w:bidi="ar"/>
                    </w:rPr>
                    <w:t>治理方案</w:t>
                  </w:r>
                  <w:r>
                    <w:rPr>
                      <w:rFonts w:hint="eastAsia" w:ascii="Times New Roman" w:hAnsi="Times New Roman" w:eastAsia="宋体" w:cs="Times New Roman"/>
                      <w:color w:val="auto"/>
                      <w:kern w:val="2"/>
                      <w:sz w:val="21"/>
                      <w:szCs w:val="21"/>
                      <w:lang w:val="en-US" w:eastAsia="zh-CN" w:bidi="ar"/>
                    </w:rPr>
                    <w:t>合理，</w:t>
                  </w:r>
                  <w:r>
                    <w:rPr>
                      <w:rFonts w:hint="default" w:ascii="Times New Roman" w:hAnsi="Times New Roman" w:eastAsia="宋体" w:cs="Times New Roman"/>
                      <w:color w:val="auto"/>
                      <w:kern w:val="2"/>
                      <w:sz w:val="21"/>
                      <w:szCs w:val="21"/>
                      <w:lang w:val="en-US" w:eastAsia="zh-CN" w:bidi="ar"/>
                    </w:rPr>
                    <w:t>保护项目区人口约</w:t>
                  </w:r>
                  <w:r>
                    <w:rPr>
                      <w:rFonts w:hint="eastAsia" w:ascii="Times New Roman" w:hAnsi="Times New Roman" w:eastAsia="宋体" w:cs="Times New Roman"/>
                      <w:color w:val="auto"/>
                      <w:kern w:val="2"/>
                      <w:sz w:val="21"/>
                      <w:szCs w:val="21"/>
                      <w:lang w:val="en-US" w:eastAsia="zh-CN" w:bidi="ar"/>
                    </w:rPr>
                    <w:t>1.72</w:t>
                  </w:r>
                  <w:r>
                    <w:rPr>
                      <w:rFonts w:hint="default" w:ascii="Times New Roman" w:hAnsi="Times New Roman" w:eastAsia="宋体" w:cs="Times New Roman"/>
                      <w:color w:val="auto"/>
                      <w:kern w:val="2"/>
                      <w:sz w:val="21"/>
                      <w:szCs w:val="21"/>
                      <w:lang w:val="en-US" w:eastAsia="zh-CN" w:bidi="ar"/>
                    </w:rPr>
                    <w:t>万人</w:t>
                  </w:r>
                  <w:r>
                    <w:rPr>
                      <w:rFonts w:hint="eastAsia" w:ascii="Times New Roman" w:hAnsi="Times New Roman" w:eastAsia="宋体" w:cs="Times New Roman"/>
                      <w:color w:val="auto"/>
                      <w:kern w:val="2"/>
                      <w:sz w:val="21"/>
                      <w:szCs w:val="21"/>
                      <w:lang w:val="en-US" w:eastAsia="zh-CN" w:bidi="ar"/>
                    </w:rPr>
                    <w:t>，</w:t>
                  </w:r>
                  <w:r>
                    <w:rPr>
                      <w:rFonts w:hint="default" w:ascii="Times New Roman" w:hAnsi="Times New Roman" w:eastAsia="宋体" w:cs="Times New Roman"/>
                      <w:color w:val="auto"/>
                      <w:kern w:val="2"/>
                      <w:sz w:val="21"/>
                      <w:szCs w:val="21"/>
                      <w:lang w:val="en-US" w:eastAsia="zh-CN" w:bidi="ar"/>
                    </w:rPr>
                    <w:t>实现人水和谐。</w:t>
                  </w:r>
                </w:p>
              </w:tc>
              <w:tc>
                <w:tcPr>
                  <w:tcW w:w="472" w:type="dxa"/>
                  <w:tcBorders>
                    <w:top w:val="single" w:color="auto" w:sz="4" w:space="0"/>
                    <w:left w:val="single" w:color="auto" w:sz="4" w:space="0"/>
                    <w:bottom w:val="single" w:color="auto" w:sz="4" w:space="0"/>
                    <w:right w:val="single" w:color="auto" w:sz="4" w:space="0"/>
                  </w:tcBorders>
                  <w:noWrap w:val="0"/>
                  <w:vAlign w:val="center"/>
                </w:tcPr>
                <w:p w14:paraId="590BB6B4">
                  <w:pPr>
                    <w:pStyle w:val="18"/>
                    <w:keepNext w:val="0"/>
                    <w:keepLines w:val="0"/>
                    <w:widowControl w:val="0"/>
                    <w:suppressLineNumbers w:val="0"/>
                    <w:spacing w:before="0" w:beforeAutospacing="0" w:after="0" w:afterAutospacing="0" w:line="240" w:lineRule="auto"/>
                    <w:ind w:left="0" w:right="0" w:firstLine="0" w:firstLineChars="0"/>
                    <w:jc w:val="both"/>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符合</w:t>
                  </w:r>
                </w:p>
              </w:tc>
            </w:tr>
            <w:tr w14:paraId="5240A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3" w:hRule="atLeast"/>
                <w:jc w:val="center"/>
              </w:trPr>
              <w:tc>
                <w:tcPr>
                  <w:tcW w:w="519" w:type="dxa"/>
                  <w:tcBorders>
                    <w:top w:val="single" w:color="auto" w:sz="4" w:space="0"/>
                    <w:left w:val="single" w:color="auto" w:sz="4" w:space="0"/>
                    <w:bottom w:val="single" w:color="auto" w:sz="4" w:space="0"/>
                    <w:right w:val="single" w:color="auto" w:sz="4" w:space="0"/>
                  </w:tcBorders>
                  <w:noWrap w:val="0"/>
                  <w:vAlign w:val="center"/>
                </w:tcPr>
                <w:p w14:paraId="2C50E670">
                  <w:pPr>
                    <w:pStyle w:val="18"/>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4</w:t>
                  </w:r>
                </w:p>
              </w:tc>
              <w:tc>
                <w:tcPr>
                  <w:tcW w:w="3268" w:type="dxa"/>
                  <w:tcBorders>
                    <w:top w:val="single" w:color="auto" w:sz="4" w:space="0"/>
                    <w:left w:val="single" w:color="auto" w:sz="4" w:space="0"/>
                    <w:bottom w:val="single" w:color="auto" w:sz="4" w:space="0"/>
                    <w:right w:val="single" w:color="auto" w:sz="4" w:space="0"/>
                  </w:tcBorders>
                  <w:noWrap w:val="0"/>
                  <w:vAlign w:val="center"/>
                </w:tcPr>
                <w:p w14:paraId="7894D2DA">
                  <w:pPr>
                    <w:pStyle w:val="18"/>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4.坚持数字赋能，智慧管理。逐流域、逐河流、逐项目建档立卡，实现中小河流治理全过程信息化管理，提升治理管理数字化、网络化、智能化水平。</w:t>
                  </w:r>
                </w:p>
              </w:tc>
              <w:tc>
                <w:tcPr>
                  <w:tcW w:w="3259" w:type="dxa"/>
                  <w:tcBorders>
                    <w:top w:val="single" w:color="auto" w:sz="4" w:space="0"/>
                    <w:left w:val="single" w:color="auto" w:sz="4" w:space="0"/>
                    <w:bottom w:val="single" w:color="auto" w:sz="4" w:space="0"/>
                    <w:right w:val="single" w:color="auto" w:sz="4" w:space="0"/>
                  </w:tcBorders>
                  <w:noWrap w:val="0"/>
                  <w:vAlign w:val="center"/>
                </w:tcPr>
                <w:p w14:paraId="6BD283B6">
                  <w:pPr>
                    <w:pStyle w:val="18"/>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项目实施后，建设单位按照要求运行管理。</w:t>
                  </w:r>
                </w:p>
              </w:tc>
              <w:tc>
                <w:tcPr>
                  <w:tcW w:w="472" w:type="dxa"/>
                  <w:tcBorders>
                    <w:top w:val="single" w:color="auto" w:sz="4" w:space="0"/>
                    <w:left w:val="single" w:color="auto" w:sz="4" w:space="0"/>
                    <w:bottom w:val="single" w:color="auto" w:sz="4" w:space="0"/>
                    <w:right w:val="single" w:color="auto" w:sz="4" w:space="0"/>
                  </w:tcBorders>
                  <w:noWrap w:val="0"/>
                  <w:vAlign w:val="center"/>
                </w:tcPr>
                <w:p w14:paraId="2B4973B3">
                  <w:pPr>
                    <w:pStyle w:val="18"/>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符合</w:t>
                  </w:r>
                </w:p>
              </w:tc>
            </w:tr>
          </w:tbl>
          <w:p w14:paraId="0ACFBBDE">
            <w:pPr>
              <w:pStyle w:val="18"/>
              <w:keepNext w:val="0"/>
              <w:keepLines w:val="0"/>
              <w:widowControl w:val="0"/>
              <w:suppressLineNumbers w:val="0"/>
              <w:spacing w:before="0" w:beforeAutospacing="0" w:after="0" w:afterAutospacing="0" w:line="360" w:lineRule="auto"/>
              <w:ind w:left="0" w:right="0" w:firstLine="482" w:firstLineChars="200"/>
              <w:jc w:val="left"/>
              <w:rPr>
                <w:rFonts w:hint="default" w:ascii="Times New Roman" w:hAnsi="Times New Roman" w:eastAsia="宋体" w:cs="Times New Roman"/>
                <w:b/>
                <w:bCs/>
                <w:color w:val="auto"/>
                <w:kern w:val="2"/>
                <w:sz w:val="24"/>
                <w:szCs w:val="24"/>
                <w:lang w:val="en-US" w:eastAsia="zh-CN" w:bidi="ar"/>
              </w:rPr>
            </w:pPr>
            <w:r>
              <w:rPr>
                <w:rFonts w:hint="eastAsia"/>
                <w:b/>
                <w:bCs/>
                <w:color w:val="auto"/>
                <w:lang w:val="en-US" w:eastAsia="zh-CN"/>
              </w:rPr>
              <w:t>12、</w:t>
            </w:r>
            <w:r>
              <w:rPr>
                <w:rFonts w:hint="default" w:ascii="Times New Roman" w:hAnsi="Times New Roman" w:eastAsia="宋体" w:cs="Times New Roman"/>
                <w:b/>
                <w:bCs/>
                <w:color w:val="auto"/>
                <w:kern w:val="2"/>
                <w:sz w:val="24"/>
                <w:szCs w:val="24"/>
                <w:lang w:val="en-US" w:eastAsia="zh-CN" w:bidi="ar"/>
              </w:rPr>
              <w:t>项目与《云南省中小河流生态治理初步设计指导意见（修订稿）》（云南省水利厅 2017年6月）的相符性分析</w:t>
            </w:r>
          </w:p>
          <w:p w14:paraId="74CC53D4">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lang w:val="en-US" w:eastAsia="zh-CN" w:bidi="ar"/>
              </w:rPr>
            </w:pPr>
            <w:r>
              <w:rPr>
                <w:rFonts w:hint="default" w:ascii="Times New Roman" w:hAnsi="Times New Roman" w:eastAsia="宋体" w:cs="Times New Roman"/>
                <w:color w:val="auto"/>
                <w:kern w:val="2"/>
                <w:sz w:val="24"/>
                <w:szCs w:val="24"/>
                <w:lang w:val="en-US" w:eastAsia="zh-CN" w:bidi="ar"/>
              </w:rPr>
              <w:t>《云南省中小河流生态治理初步设计指导意见》（2017年6月），项目与其相符性分析详见下表。</w:t>
            </w:r>
          </w:p>
          <w:p w14:paraId="1E4590F3">
            <w:pPr>
              <w:keepNext w:val="0"/>
              <w:keepLines w:val="0"/>
              <w:widowControl w:val="0"/>
              <w:suppressLineNumbers w:val="0"/>
              <w:autoSpaceDE w:val="0"/>
              <w:autoSpaceDN w:val="0"/>
              <w:adjustRightInd w:val="0"/>
              <w:snapToGrid w:val="0"/>
              <w:spacing w:before="0" w:beforeAutospacing="0" w:after="0" w:afterAutospacing="0"/>
              <w:ind w:left="0" w:leftChars="0" w:right="0" w:firstLine="0" w:firstLineChars="0"/>
              <w:jc w:val="center"/>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kern w:val="2"/>
                <w:sz w:val="21"/>
                <w:szCs w:val="21"/>
                <w:lang w:val="en-US" w:eastAsia="zh-CN" w:bidi="ar"/>
              </w:rPr>
              <w:t>表1-</w:t>
            </w:r>
            <w:r>
              <w:rPr>
                <w:rFonts w:hint="eastAsia" w:ascii="Times New Roman" w:hAnsi="Times New Roman" w:eastAsia="宋体" w:cs="Times New Roman"/>
                <w:b/>
                <w:bCs/>
                <w:color w:val="auto"/>
                <w:kern w:val="2"/>
                <w:sz w:val="21"/>
                <w:szCs w:val="21"/>
                <w:lang w:val="en-US" w:eastAsia="zh-CN" w:bidi="ar"/>
              </w:rPr>
              <w:t>10</w:t>
            </w:r>
            <w:r>
              <w:rPr>
                <w:rFonts w:hint="default" w:ascii="Times New Roman" w:hAnsi="Times New Roman" w:eastAsia="宋体" w:cs="Times New Roman"/>
                <w:b/>
                <w:bCs/>
                <w:color w:val="auto"/>
                <w:spacing w:val="59"/>
                <w:kern w:val="2"/>
                <w:sz w:val="21"/>
                <w:szCs w:val="21"/>
                <w:lang w:val="en-US" w:eastAsia="zh-CN" w:bidi="ar"/>
              </w:rPr>
              <w:t xml:space="preserve"> </w:t>
            </w:r>
            <w:r>
              <w:rPr>
                <w:rFonts w:hint="default" w:ascii="Times New Roman" w:hAnsi="Times New Roman" w:eastAsia="宋体" w:cs="Times New Roman"/>
                <w:b/>
                <w:bCs/>
                <w:color w:val="auto"/>
                <w:kern w:val="2"/>
                <w:sz w:val="21"/>
                <w:szCs w:val="21"/>
                <w:lang w:val="en-US" w:eastAsia="zh-CN" w:bidi="ar"/>
              </w:rPr>
              <w:t>本工程与云南省中小河流生态治理初步设计指导意见相符性分析</w:t>
            </w:r>
          </w:p>
          <w:tbl>
            <w:tblPr>
              <w:tblStyle w:val="22"/>
              <w:tblW w:w="487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60"/>
              <w:gridCol w:w="3005"/>
              <w:gridCol w:w="786"/>
            </w:tblGrid>
            <w:tr w14:paraId="548E8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22" w:type="pct"/>
                  <w:tcBorders>
                    <w:top w:val="single" w:color="auto" w:sz="4" w:space="0"/>
                    <w:left w:val="single" w:color="auto" w:sz="4" w:space="0"/>
                    <w:bottom w:val="single" w:color="auto" w:sz="4" w:space="0"/>
                    <w:right w:val="single" w:color="auto" w:sz="4" w:space="0"/>
                  </w:tcBorders>
                  <w:noWrap w:val="0"/>
                  <w:vAlign w:val="center"/>
                </w:tcPr>
                <w:p w14:paraId="6FC35960">
                  <w:pPr>
                    <w:pStyle w:val="18"/>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lang w:val="en-US" w:eastAsia="zh-CN" w:bidi="ar"/>
                    </w:rPr>
                  </w:pPr>
                  <w:r>
                    <w:rPr>
                      <w:rFonts w:hint="default" w:ascii="Times New Roman" w:hAnsi="Times New Roman" w:eastAsia="宋体" w:cs="Times New Roman"/>
                      <w:b/>
                      <w:bCs/>
                      <w:color w:val="auto"/>
                      <w:kern w:val="2"/>
                      <w:sz w:val="21"/>
                      <w:szCs w:val="21"/>
                      <w:lang w:val="en-US" w:eastAsia="zh-CN" w:bidi="ar"/>
                    </w:rPr>
                    <w:t>二、基本要求</w:t>
                  </w:r>
                </w:p>
                <w:p w14:paraId="4224B86F">
                  <w:pPr>
                    <w:pStyle w:val="18"/>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lang w:val="en-US" w:eastAsia="zh-CN" w:bidi="ar"/>
                    </w:rPr>
                  </w:pPr>
                  <w:r>
                    <w:rPr>
                      <w:rFonts w:hint="default" w:ascii="Times New Roman" w:hAnsi="Times New Roman" w:eastAsia="宋体" w:cs="Times New Roman"/>
                      <w:b/>
                      <w:bCs/>
                      <w:color w:val="auto"/>
                      <w:kern w:val="2"/>
                      <w:sz w:val="21"/>
                      <w:szCs w:val="21"/>
                      <w:lang w:val="en-US" w:eastAsia="zh-CN" w:bidi="ar"/>
                    </w:rPr>
                    <w:t>设计应坚持以下基本原则</w:t>
                  </w:r>
                </w:p>
              </w:tc>
              <w:tc>
                <w:tcPr>
                  <w:tcW w:w="1963" w:type="pct"/>
                  <w:tcBorders>
                    <w:top w:val="single" w:color="auto" w:sz="4" w:space="0"/>
                    <w:left w:val="single" w:color="auto" w:sz="4" w:space="0"/>
                    <w:bottom w:val="single" w:color="auto" w:sz="4" w:space="0"/>
                    <w:right w:val="single" w:color="auto" w:sz="4" w:space="0"/>
                  </w:tcBorders>
                  <w:noWrap w:val="0"/>
                  <w:vAlign w:val="center"/>
                </w:tcPr>
                <w:p w14:paraId="2F006EDC">
                  <w:pPr>
                    <w:pStyle w:val="18"/>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lang w:val="en-US" w:eastAsia="zh-CN" w:bidi="ar"/>
                    </w:rPr>
                  </w:pPr>
                  <w:r>
                    <w:rPr>
                      <w:rFonts w:hint="default" w:ascii="Times New Roman" w:hAnsi="Times New Roman" w:eastAsia="宋体" w:cs="Times New Roman"/>
                      <w:b/>
                      <w:bCs/>
                      <w:color w:val="auto"/>
                      <w:kern w:val="2"/>
                      <w:sz w:val="21"/>
                      <w:szCs w:val="21"/>
                      <w:lang w:val="en-US" w:eastAsia="zh-CN" w:bidi="ar"/>
                    </w:rPr>
                    <w:t>项目情况</w:t>
                  </w:r>
                </w:p>
              </w:tc>
              <w:tc>
                <w:tcPr>
                  <w:tcW w:w="513" w:type="pct"/>
                  <w:tcBorders>
                    <w:top w:val="single" w:color="auto" w:sz="4" w:space="0"/>
                    <w:left w:val="single" w:color="auto" w:sz="4" w:space="0"/>
                    <w:bottom w:val="single" w:color="auto" w:sz="4" w:space="0"/>
                    <w:right w:val="single" w:color="auto" w:sz="4" w:space="0"/>
                  </w:tcBorders>
                  <w:noWrap w:val="0"/>
                  <w:vAlign w:val="center"/>
                </w:tcPr>
                <w:p w14:paraId="7B3260E1">
                  <w:pPr>
                    <w:pStyle w:val="18"/>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lang w:val="en-US" w:eastAsia="zh-CN" w:bidi="ar"/>
                    </w:rPr>
                  </w:pPr>
                  <w:r>
                    <w:rPr>
                      <w:rFonts w:hint="default" w:ascii="Times New Roman" w:hAnsi="Times New Roman" w:eastAsia="宋体" w:cs="Times New Roman"/>
                      <w:b/>
                      <w:bCs/>
                      <w:color w:val="auto"/>
                      <w:kern w:val="2"/>
                      <w:sz w:val="21"/>
                      <w:szCs w:val="21"/>
                      <w:lang w:val="en-US" w:eastAsia="zh-CN" w:bidi="ar"/>
                    </w:rPr>
                    <w:t>相符性</w:t>
                  </w:r>
                </w:p>
              </w:tc>
            </w:tr>
            <w:tr w14:paraId="1EDB0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22" w:type="pct"/>
                  <w:tcBorders>
                    <w:top w:val="single" w:color="auto" w:sz="4" w:space="0"/>
                    <w:left w:val="single" w:color="auto" w:sz="4" w:space="0"/>
                    <w:bottom w:val="single" w:color="auto" w:sz="4" w:space="0"/>
                    <w:right w:val="single" w:color="auto" w:sz="4" w:space="0"/>
                  </w:tcBorders>
                  <w:noWrap w:val="0"/>
                  <w:vAlign w:val="center"/>
                </w:tcPr>
                <w:p w14:paraId="6AE9B1B4">
                  <w:pPr>
                    <w:pStyle w:val="66"/>
                    <w:spacing w:before="39" w:line="240" w:lineRule="auto"/>
                    <w:ind w:left="133" w:leftChars="0" w:right="104" w:rightChars="0" w:firstLine="16" w:firstLineChars="0"/>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Times New Roman" w:cs="Times New Roman"/>
                      <w:color w:val="auto"/>
                      <w:spacing w:val="5"/>
                      <w:sz w:val="21"/>
                      <w:szCs w:val="21"/>
                    </w:rPr>
                    <w:t>1</w:t>
                  </w:r>
                  <w:r>
                    <w:rPr>
                      <w:rFonts w:hint="default" w:ascii="Times New Roman" w:hAnsi="Times New Roman" w:eastAsia="Times New Roman" w:cs="Times New Roman"/>
                      <w:color w:val="auto"/>
                      <w:spacing w:val="-25"/>
                      <w:sz w:val="21"/>
                      <w:szCs w:val="21"/>
                    </w:rPr>
                    <w:t xml:space="preserve"> </w:t>
                  </w:r>
                  <w:r>
                    <w:rPr>
                      <w:rFonts w:hint="default" w:ascii="Times New Roman" w:hAnsi="Times New Roman" w:cs="Times New Roman"/>
                      <w:color w:val="auto"/>
                      <w:spacing w:val="5"/>
                      <w:sz w:val="21"/>
                      <w:szCs w:val="21"/>
                    </w:rPr>
                    <w:t>、保障防洪安全。防洪治水是中小河流</w:t>
                  </w:r>
                  <w:r>
                    <w:rPr>
                      <w:rFonts w:hint="default" w:ascii="Times New Roman" w:hAnsi="Times New Roman" w:cs="Times New Roman"/>
                      <w:color w:val="auto"/>
                      <w:spacing w:val="13"/>
                      <w:sz w:val="21"/>
                      <w:szCs w:val="21"/>
                    </w:rPr>
                    <w:t>治理的首要任务，中小河流治理要合理确定治理范围、治理标准，科学拟定总体方案、治理措施和建设内容，切实提高中小河流重点河段的防洪减灾能力，保障区域防洪安全和粮食安全。应处理</w:t>
                  </w:r>
                  <w:r>
                    <w:rPr>
                      <w:rFonts w:hint="default" w:ascii="Times New Roman" w:hAnsi="Times New Roman" w:cs="Times New Roman"/>
                      <w:color w:val="auto"/>
                      <w:spacing w:val="9"/>
                      <w:sz w:val="21"/>
                      <w:szCs w:val="21"/>
                    </w:rPr>
                    <w:t>好</w:t>
                  </w:r>
                  <w:r>
                    <w:rPr>
                      <w:rFonts w:hint="eastAsia" w:ascii="宋体" w:hAnsi="宋体" w:eastAsia="宋体" w:cs="宋体"/>
                      <w:color w:val="auto"/>
                      <w:spacing w:val="9"/>
                      <w:sz w:val="21"/>
                      <w:szCs w:val="21"/>
                    </w:rPr>
                    <w:t>“大水</w:t>
                  </w:r>
                  <w:r>
                    <w:rPr>
                      <w:rFonts w:hint="eastAsia" w:ascii="宋体" w:hAnsi="宋体" w:eastAsia="宋体" w:cs="宋体"/>
                      <w:color w:val="auto"/>
                      <w:spacing w:val="-56"/>
                      <w:sz w:val="21"/>
                      <w:szCs w:val="21"/>
                    </w:rPr>
                    <w:t xml:space="preserve"> </w:t>
                  </w:r>
                  <w:r>
                    <w:rPr>
                      <w:rFonts w:hint="eastAsia" w:ascii="宋体" w:hAnsi="宋体" w:eastAsia="宋体" w:cs="宋体"/>
                      <w:color w:val="auto"/>
                      <w:spacing w:val="9"/>
                      <w:sz w:val="21"/>
                      <w:szCs w:val="21"/>
                    </w:rPr>
                    <w:t>”“小水</w:t>
                  </w:r>
                  <w:r>
                    <w:rPr>
                      <w:rFonts w:hint="eastAsia" w:ascii="宋体" w:hAnsi="宋体" w:eastAsia="宋体" w:cs="宋体"/>
                      <w:color w:val="auto"/>
                      <w:spacing w:val="-66"/>
                      <w:sz w:val="21"/>
                      <w:szCs w:val="21"/>
                    </w:rPr>
                    <w:t xml:space="preserve"> </w:t>
                  </w:r>
                  <w:r>
                    <w:rPr>
                      <w:rFonts w:hint="eastAsia" w:ascii="宋体" w:hAnsi="宋体" w:eastAsia="宋体" w:cs="宋体"/>
                      <w:color w:val="auto"/>
                      <w:spacing w:val="9"/>
                      <w:sz w:val="21"/>
                      <w:szCs w:val="21"/>
                    </w:rPr>
                    <w:t>”</w:t>
                  </w:r>
                  <w:r>
                    <w:rPr>
                      <w:rFonts w:hint="default" w:ascii="Times New Roman" w:hAnsi="Times New Roman" w:cs="Times New Roman"/>
                      <w:color w:val="auto"/>
                      <w:spacing w:val="9"/>
                      <w:sz w:val="21"/>
                      <w:szCs w:val="21"/>
                    </w:rPr>
                    <w:t>的关系。山区河道</w:t>
                  </w:r>
                  <w:r>
                    <w:rPr>
                      <w:rFonts w:hint="default" w:ascii="Times New Roman" w:hAnsi="Times New Roman" w:cs="Times New Roman"/>
                      <w:color w:val="auto"/>
                      <w:sz w:val="21"/>
                      <w:szCs w:val="21"/>
                    </w:rPr>
                    <w:t xml:space="preserve"> </w:t>
                  </w:r>
                  <w:r>
                    <w:rPr>
                      <w:rFonts w:hint="default" w:ascii="Times New Roman" w:hAnsi="Times New Roman" w:cs="Times New Roman"/>
                      <w:color w:val="auto"/>
                      <w:spacing w:val="13"/>
                      <w:sz w:val="21"/>
                      <w:szCs w:val="21"/>
                    </w:rPr>
                    <w:t>治理应以防冲护砌措施为主，具有较多</w:t>
                  </w:r>
                  <w:r>
                    <w:rPr>
                      <w:rFonts w:hint="default" w:ascii="Times New Roman" w:hAnsi="Times New Roman" w:cs="Times New Roman"/>
                      <w:color w:val="auto"/>
                      <w:spacing w:val="10"/>
                      <w:sz w:val="21"/>
                      <w:szCs w:val="21"/>
                    </w:rPr>
                    <w:t xml:space="preserve"> </w:t>
                  </w:r>
                  <w:r>
                    <w:rPr>
                      <w:rFonts w:hint="default" w:ascii="Times New Roman" w:hAnsi="Times New Roman" w:cs="Times New Roman"/>
                      <w:color w:val="auto"/>
                      <w:spacing w:val="13"/>
                      <w:sz w:val="21"/>
                      <w:szCs w:val="21"/>
                    </w:rPr>
                    <w:t>防护对象的平坝区、城镇宜以堤防建设</w:t>
                  </w:r>
                  <w:r>
                    <w:rPr>
                      <w:rFonts w:hint="default" w:ascii="Times New Roman" w:hAnsi="Times New Roman" w:cs="Times New Roman"/>
                      <w:color w:val="auto"/>
                      <w:spacing w:val="3"/>
                      <w:sz w:val="21"/>
                      <w:szCs w:val="21"/>
                    </w:rPr>
                    <w:t>为主。</w:t>
                  </w:r>
                </w:p>
              </w:tc>
              <w:tc>
                <w:tcPr>
                  <w:tcW w:w="1963" w:type="pct"/>
                  <w:tcBorders>
                    <w:top w:val="single" w:color="auto" w:sz="4" w:space="0"/>
                    <w:left w:val="single" w:color="auto" w:sz="4" w:space="0"/>
                    <w:bottom w:val="single" w:color="auto" w:sz="4" w:space="0"/>
                    <w:right w:val="single" w:color="auto" w:sz="4" w:space="0"/>
                  </w:tcBorders>
                  <w:noWrap w:val="0"/>
                  <w:vAlign w:val="center"/>
                </w:tcPr>
                <w:p w14:paraId="65B41E2C">
                  <w:pPr>
                    <w:pStyle w:val="66"/>
                    <w:spacing w:before="25" w:line="240" w:lineRule="auto"/>
                    <w:ind w:left="0" w:leftChars="0" w:firstLine="0" w:firstLineChars="0"/>
                    <w:jc w:val="both"/>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本项目属于防洪除涝工程，项目实施后切实提升</w:t>
                  </w:r>
                  <w:r>
                    <w:rPr>
                      <w:rFonts w:hint="eastAsia" w:ascii="Times New Roman" w:hAnsi="Times New Roman" w:eastAsia="宋体" w:cs="Times New Roman"/>
                      <w:color w:val="auto"/>
                      <w:kern w:val="2"/>
                      <w:sz w:val="21"/>
                      <w:szCs w:val="21"/>
                      <w:lang w:val="en-US" w:eastAsia="zh-CN" w:bidi="ar"/>
                    </w:rPr>
                    <w:t>果朗河治理河段</w:t>
                  </w:r>
                  <w:r>
                    <w:rPr>
                      <w:rFonts w:hint="default" w:ascii="Times New Roman" w:hAnsi="Times New Roman" w:eastAsia="宋体" w:cs="Times New Roman"/>
                      <w:color w:val="auto"/>
                      <w:kern w:val="2"/>
                      <w:sz w:val="21"/>
                      <w:szCs w:val="21"/>
                      <w:lang w:val="en-US" w:eastAsia="zh-CN" w:bidi="ar"/>
                    </w:rPr>
                    <w:t>行洪和防洪能力。</w:t>
                  </w:r>
                </w:p>
              </w:tc>
              <w:tc>
                <w:tcPr>
                  <w:tcW w:w="513" w:type="pct"/>
                  <w:tcBorders>
                    <w:top w:val="single" w:color="auto" w:sz="4" w:space="0"/>
                    <w:left w:val="single" w:color="auto" w:sz="4" w:space="0"/>
                    <w:bottom w:val="single" w:color="auto" w:sz="4" w:space="0"/>
                    <w:right w:val="single" w:color="auto" w:sz="4" w:space="0"/>
                  </w:tcBorders>
                  <w:noWrap w:val="0"/>
                  <w:vAlign w:val="center"/>
                </w:tcPr>
                <w:p w14:paraId="632E0038">
                  <w:pPr>
                    <w:pStyle w:val="66"/>
                    <w:spacing w:before="65" w:line="240" w:lineRule="auto"/>
                    <w:ind w:left="0" w:leftChars="0" w:firstLine="0" w:firstLineChars="0"/>
                    <w:rPr>
                      <w:rFonts w:hint="default" w:ascii="Times New Roman" w:hAnsi="Times New Roman" w:eastAsia="宋体" w:cs="Times New Roman"/>
                      <w:color w:val="auto"/>
                      <w:kern w:val="2"/>
                      <w:sz w:val="21"/>
                      <w:szCs w:val="21"/>
                      <w:lang w:val="en-US" w:eastAsia="zh-CN" w:bidi="ar"/>
                    </w:rPr>
                  </w:pPr>
                  <w:r>
                    <w:rPr>
                      <w:rFonts w:hint="default" w:ascii="Times New Roman" w:hAnsi="Times New Roman" w:cs="Times New Roman"/>
                      <w:color w:val="auto"/>
                      <w:spacing w:val="3"/>
                      <w:sz w:val="21"/>
                      <w:szCs w:val="21"/>
                    </w:rPr>
                    <w:t>符合</w:t>
                  </w:r>
                </w:p>
              </w:tc>
            </w:tr>
            <w:tr w14:paraId="2B6D6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22" w:type="pct"/>
                  <w:tcBorders>
                    <w:top w:val="single" w:color="auto" w:sz="4" w:space="0"/>
                    <w:left w:val="single" w:color="auto" w:sz="4" w:space="0"/>
                    <w:bottom w:val="single" w:color="auto" w:sz="4" w:space="0"/>
                    <w:right w:val="single" w:color="auto" w:sz="4" w:space="0"/>
                  </w:tcBorders>
                  <w:noWrap w:val="0"/>
                  <w:vAlign w:val="center"/>
                </w:tcPr>
                <w:p w14:paraId="35FF5077">
                  <w:pPr>
                    <w:pStyle w:val="66"/>
                    <w:spacing w:before="39" w:line="240" w:lineRule="auto"/>
                    <w:ind w:left="131" w:leftChars="0" w:right="104" w:rightChars="0" w:hanging="2" w:firstLineChars="0"/>
                    <w:jc w:val="both"/>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Times New Roman" w:cs="Times New Roman"/>
                      <w:color w:val="auto"/>
                      <w:spacing w:val="6"/>
                      <w:sz w:val="21"/>
                      <w:szCs w:val="21"/>
                    </w:rPr>
                    <w:t>2</w:t>
                  </w:r>
                  <w:r>
                    <w:rPr>
                      <w:rFonts w:hint="default" w:ascii="Times New Roman" w:hAnsi="Times New Roman" w:eastAsia="Times New Roman" w:cs="Times New Roman"/>
                      <w:color w:val="auto"/>
                      <w:spacing w:val="-23"/>
                      <w:sz w:val="21"/>
                      <w:szCs w:val="21"/>
                    </w:rPr>
                    <w:t xml:space="preserve"> </w:t>
                  </w:r>
                  <w:r>
                    <w:rPr>
                      <w:rFonts w:hint="default" w:ascii="Times New Roman" w:hAnsi="Times New Roman" w:cs="Times New Roman"/>
                      <w:color w:val="auto"/>
                      <w:spacing w:val="6"/>
                      <w:sz w:val="21"/>
                      <w:szCs w:val="21"/>
                    </w:rPr>
                    <w:t>、尊重自然规律。我省大部分中小河流</w:t>
                  </w:r>
                  <w:r>
                    <w:rPr>
                      <w:rFonts w:hint="default" w:ascii="Times New Roman" w:hAnsi="Times New Roman" w:cs="Times New Roman"/>
                      <w:color w:val="auto"/>
                      <w:spacing w:val="13"/>
                      <w:sz w:val="21"/>
                      <w:szCs w:val="21"/>
                    </w:rPr>
                    <w:t>治理段属于蜿蜒型河道，普遍具有平面形态相对稳定、冲淤变化小的特点。设</w:t>
                  </w:r>
                  <w:r>
                    <w:rPr>
                      <w:rFonts w:hint="default" w:ascii="Times New Roman" w:hAnsi="Times New Roman" w:cs="Times New Roman"/>
                      <w:color w:val="auto"/>
                      <w:spacing w:val="10"/>
                      <w:sz w:val="21"/>
                      <w:szCs w:val="21"/>
                    </w:rPr>
                    <w:t>计中应维护河流原有的自然特性</w:t>
                  </w:r>
                  <w:r>
                    <w:rPr>
                      <w:rFonts w:hint="eastAsia" w:ascii="Times New Roman" w:hAnsi="Times New Roman" w:cs="Times New Roman"/>
                      <w:color w:val="auto"/>
                      <w:spacing w:val="10"/>
                      <w:sz w:val="21"/>
                      <w:szCs w:val="21"/>
                      <w:lang w:eastAsia="zh-CN"/>
                    </w:rPr>
                    <w:t>，</w:t>
                  </w:r>
                  <w:r>
                    <w:rPr>
                      <w:rFonts w:hint="default" w:ascii="Times New Roman" w:hAnsi="Times New Roman" w:cs="Times New Roman"/>
                      <w:color w:val="auto"/>
                      <w:spacing w:val="10"/>
                      <w:sz w:val="21"/>
                      <w:szCs w:val="21"/>
                    </w:rPr>
                    <w:t>在河床</w:t>
                  </w:r>
                  <w:r>
                    <w:rPr>
                      <w:rFonts w:hint="default" w:ascii="Times New Roman" w:hAnsi="Times New Roman" w:cs="Times New Roman"/>
                      <w:color w:val="auto"/>
                      <w:spacing w:val="13"/>
                      <w:sz w:val="21"/>
                      <w:szCs w:val="21"/>
                    </w:rPr>
                    <w:t>演变分析的基础上，尽量避免破坏河流原貌。在治导线和堤线选择上，不得侵占河道行洪通道和河滩地，基本维持河</w:t>
                  </w:r>
                  <w:r>
                    <w:rPr>
                      <w:rFonts w:hint="default" w:ascii="Times New Roman" w:hAnsi="Times New Roman" w:cs="Times New Roman"/>
                      <w:color w:val="auto"/>
                      <w:spacing w:val="9"/>
                      <w:sz w:val="21"/>
                      <w:szCs w:val="21"/>
                    </w:rPr>
                    <w:t>道现有岸线自然蜿蜒的特性</w:t>
                  </w:r>
                  <w:r>
                    <w:rPr>
                      <w:rFonts w:hint="eastAsia" w:ascii="Times New Roman" w:hAnsi="Times New Roman" w:cs="Times New Roman"/>
                      <w:color w:val="auto"/>
                      <w:spacing w:val="9"/>
                      <w:sz w:val="21"/>
                      <w:szCs w:val="21"/>
                      <w:lang w:eastAsia="zh-CN"/>
                    </w:rPr>
                    <w:t>；</w:t>
                  </w:r>
                  <w:r>
                    <w:rPr>
                      <w:rFonts w:hint="default" w:ascii="Times New Roman" w:hAnsi="Times New Roman" w:cs="Times New Roman"/>
                      <w:color w:val="auto"/>
                      <w:spacing w:val="9"/>
                      <w:sz w:val="21"/>
                      <w:szCs w:val="21"/>
                    </w:rPr>
                    <w:t>在堤距确定</w:t>
                  </w:r>
                  <w:r>
                    <w:rPr>
                      <w:rFonts w:hint="default" w:ascii="Times New Roman" w:hAnsi="Times New Roman" w:cs="Times New Roman"/>
                      <w:color w:val="auto"/>
                      <w:spacing w:val="13"/>
                      <w:sz w:val="21"/>
                      <w:szCs w:val="21"/>
                    </w:rPr>
                    <w:t>上，应尽量维持现有河宽，不得缩窄河</w:t>
                  </w:r>
                  <w:r>
                    <w:rPr>
                      <w:rFonts w:hint="default" w:ascii="Times New Roman" w:hAnsi="Times New Roman" w:cs="Times New Roman"/>
                      <w:color w:val="auto"/>
                      <w:spacing w:val="11"/>
                      <w:sz w:val="21"/>
                      <w:szCs w:val="21"/>
                    </w:rPr>
                    <w:t>道，确需扩宽的，须经充分论证，</w:t>
                  </w:r>
                  <w:r>
                    <w:rPr>
                      <w:rFonts w:hint="default" w:ascii="Times New Roman" w:hAnsi="Times New Roman" w:cs="Times New Roman"/>
                      <w:color w:val="auto"/>
                      <w:spacing w:val="-55"/>
                      <w:sz w:val="21"/>
                      <w:szCs w:val="21"/>
                    </w:rPr>
                    <w:t xml:space="preserve"> </w:t>
                  </w:r>
                  <w:r>
                    <w:rPr>
                      <w:rFonts w:hint="default" w:ascii="Times New Roman" w:hAnsi="Times New Roman" w:cs="Times New Roman"/>
                      <w:color w:val="auto"/>
                      <w:spacing w:val="11"/>
                      <w:sz w:val="21"/>
                      <w:szCs w:val="21"/>
                    </w:rPr>
                    <w:t>以形</w:t>
                  </w:r>
                  <w:r>
                    <w:rPr>
                      <w:rFonts w:hint="default" w:ascii="Times New Roman" w:hAnsi="Times New Roman" w:cs="Times New Roman"/>
                      <w:color w:val="auto"/>
                      <w:spacing w:val="9"/>
                      <w:sz w:val="21"/>
                      <w:szCs w:val="21"/>
                    </w:rPr>
                    <w:t>成深浅交错、宽窄相间的自然河流</w:t>
                  </w:r>
                  <w:r>
                    <w:rPr>
                      <w:rFonts w:hint="eastAsia" w:ascii="Times New Roman" w:hAnsi="Times New Roman" w:cs="Times New Roman"/>
                      <w:color w:val="auto"/>
                      <w:spacing w:val="9"/>
                      <w:sz w:val="21"/>
                      <w:szCs w:val="21"/>
                      <w:lang w:eastAsia="zh-CN"/>
                    </w:rPr>
                    <w:t>；</w:t>
                  </w:r>
                  <w:r>
                    <w:rPr>
                      <w:rFonts w:hint="default" w:ascii="Times New Roman" w:hAnsi="Times New Roman" w:cs="Times New Roman"/>
                      <w:color w:val="auto"/>
                      <w:spacing w:val="9"/>
                      <w:sz w:val="21"/>
                      <w:szCs w:val="21"/>
                    </w:rPr>
                    <w:t>在工</w:t>
                  </w:r>
                  <w:r>
                    <w:rPr>
                      <w:rFonts w:hint="default" w:ascii="Times New Roman" w:hAnsi="Times New Roman" w:cs="Times New Roman"/>
                      <w:color w:val="auto"/>
                      <w:spacing w:val="10"/>
                      <w:sz w:val="21"/>
                      <w:szCs w:val="21"/>
                    </w:rPr>
                    <w:t>程方案上，要尽量采用生态工程措施</w:t>
                  </w:r>
                  <w:r>
                    <w:rPr>
                      <w:rFonts w:hint="eastAsia" w:ascii="Times New Roman" w:hAnsi="Times New Roman" w:cs="Times New Roman"/>
                      <w:color w:val="auto"/>
                      <w:spacing w:val="10"/>
                      <w:sz w:val="21"/>
                      <w:szCs w:val="21"/>
                      <w:lang w:eastAsia="zh-CN"/>
                    </w:rPr>
                    <w:t>，</w:t>
                  </w:r>
                  <w:r>
                    <w:rPr>
                      <w:rFonts w:hint="default" w:ascii="Times New Roman" w:hAnsi="Times New Roman" w:cs="Times New Roman"/>
                      <w:color w:val="auto"/>
                      <w:spacing w:val="10"/>
                      <w:sz w:val="21"/>
                      <w:szCs w:val="21"/>
                    </w:rPr>
                    <w:t>保</w:t>
                  </w:r>
                  <w:r>
                    <w:rPr>
                      <w:rFonts w:hint="default" w:ascii="Times New Roman" w:hAnsi="Times New Roman" w:cs="Times New Roman"/>
                      <w:color w:val="auto"/>
                      <w:spacing w:val="8"/>
                      <w:sz w:val="21"/>
                      <w:szCs w:val="21"/>
                    </w:rPr>
                    <w:t>持河流与周围生态系统的正常交流。</w:t>
                  </w:r>
                </w:p>
              </w:tc>
              <w:tc>
                <w:tcPr>
                  <w:tcW w:w="1963" w:type="pct"/>
                  <w:tcBorders>
                    <w:top w:val="single" w:color="auto" w:sz="4" w:space="0"/>
                    <w:left w:val="single" w:color="auto" w:sz="4" w:space="0"/>
                    <w:bottom w:val="single" w:color="auto" w:sz="4" w:space="0"/>
                    <w:right w:val="single" w:color="auto" w:sz="4" w:space="0"/>
                  </w:tcBorders>
                  <w:noWrap w:val="0"/>
                  <w:vAlign w:val="center"/>
                </w:tcPr>
                <w:p w14:paraId="74B754E8">
                  <w:pPr>
                    <w:pStyle w:val="66"/>
                    <w:spacing w:before="65" w:line="240" w:lineRule="auto"/>
                    <w:ind w:left="0" w:leftChars="0" w:right="44" w:rightChars="0" w:firstLine="0" w:firstLineChars="0"/>
                    <w:rPr>
                      <w:rFonts w:hint="default" w:ascii="Times New Roman" w:hAnsi="Times New Roman" w:eastAsia="宋体" w:cs="Times New Roman"/>
                      <w:color w:val="auto"/>
                      <w:kern w:val="2"/>
                      <w:sz w:val="21"/>
                      <w:szCs w:val="21"/>
                      <w:lang w:val="en-US" w:eastAsia="zh-CN" w:bidi="ar"/>
                    </w:rPr>
                  </w:pPr>
                  <w:r>
                    <w:rPr>
                      <w:rFonts w:hint="default" w:ascii="Times New Roman" w:hAnsi="Times New Roman" w:cs="Times New Roman"/>
                      <w:color w:val="auto"/>
                      <w:spacing w:val="19"/>
                      <w:sz w:val="21"/>
                      <w:szCs w:val="21"/>
                    </w:rPr>
                    <w:t>本项目堤线基本沿现状河堤线布置，基本维持河道现有岸线自然</w:t>
                  </w:r>
                  <w:r>
                    <w:rPr>
                      <w:rFonts w:hint="default" w:ascii="Times New Roman" w:hAnsi="Times New Roman" w:cs="Times New Roman"/>
                      <w:color w:val="auto"/>
                      <w:spacing w:val="11"/>
                      <w:sz w:val="21"/>
                      <w:szCs w:val="21"/>
                    </w:rPr>
                    <w:t>蜿蜒的特性</w:t>
                  </w:r>
                  <w:r>
                    <w:rPr>
                      <w:rFonts w:hint="default" w:ascii="Times New Roman" w:hAnsi="Times New Roman" w:cs="Times New Roman"/>
                      <w:color w:val="auto"/>
                      <w:spacing w:val="11"/>
                      <w:sz w:val="21"/>
                      <w:szCs w:val="21"/>
                      <w:lang w:eastAsia="zh-CN"/>
                    </w:rPr>
                    <w:t>，</w:t>
                  </w:r>
                  <w:r>
                    <w:rPr>
                      <w:rFonts w:hint="default" w:ascii="Times New Roman" w:hAnsi="Times New Roman" w:cs="Times New Roman"/>
                      <w:color w:val="auto"/>
                      <w:spacing w:val="19"/>
                      <w:sz w:val="21"/>
                      <w:szCs w:val="21"/>
                    </w:rPr>
                    <w:t>设计堤距</w:t>
                  </w:r>
                  <w:r>
                    <w:rPr>
                      <w:rFonts w:hint="eastAsia" w:ascii="Times New Roman" w:hAnsi="Times New Roman" w:cs="Times New Roman"/>
                      <w:color w:val="auto"/>
                      <w:spacing w:val="19"/>
                      <w:sz w:val="21"/>
                      <w:szCs w:val="21"/>
                      <w:lang w:val="en-US" w:eastAsia="zh-CN"/>
                    </w:rPr>
                    <w:t>3</w:t>
                  </w:r>
                  <w:r>
                    <w:rPr>
                      <w:rFonts w:hint="default" w:ascii="Times New Roman" w:hAnsi="Times New Roman" w:cs="Times New Roman"/>
                      <w:color w:val="auto"/>
                      <w:spacing w:val="19"/>
                      <w:sz w:val="21"/>
                      <w:szCs w:val="21"/>
                    </w:rPr>
                    <w:t>～</w:t>
                  </w:r>
                  <w:r>
                    <w:rPr>
                      <w:rFonts w:hint="eastAsia" w:ascii="Times New Roman" w:hAnsi="Times New Roman" w:cs="Times New Roman"/>
                      <w:color w:val="auto"/>
                      <w:spacing w:val="19"/>
                      <w:sz w:val="21"/>
                      <w:szCs w:val="21"/>
                      <w:lang w:val="en-US" w:eastAsia="zh-CN"/>
                    </w:rPr>
                    <w:t>35</w:t>
                  </w:r>
                  <w:r>
                    <w:rPr>
                      <w:rFonts w:hint="default" w:ascii="Times New Roman" w:hAnsi="Times New Roman" w:cs="Times New Roman"/>
                      <w:color w:val="auto"/>
                      <w:spacing w:val="19"/>
                      <w:sz w:val="21"/>
                      <w:szCs w:val="21"/>
                    </w:rPr>
                    <w:t>m。通过河道治理，治理段防洪标准提高到10年一遇，项目满足防洪标准要求</w:t>
                  </w:r>
                  <w:r>
                    <w:rPr>
                      <w:rFonts w:hint="default" w:ascii="Times New Roman" w:hAnsi="Times New Roman" w:cs="Times New Roman"/>
                      <w:color w:val="auto"/>
                      <w:spacing w:val="19"/>
                      <w:sz w:val="21"/>
                      <w:szCs w:val="21"/>
                      <w:lang w:eastAsia="zh-CN"/>
                    </w:rPr>
                    <w:t>，</w:t>
                  </w:r>
                  <w:r>
                    <w:rPr>
                      <w:rFonts w:hint="default" w:ascii="Times New Roman" w:hAnsi="Times New Roman" w:cs="Times New Roman"/>
                      <w:color w:val="auto"/>
                      <w:spacing w:val="20"/>
                      <w:sz w:val="21"/>
                      <w:szCs w:val="21"/>
                    </w:rPr>
                    <w:t>在治导线和堤线选择上，不侵占河道行洪通道和河滩地</w:t>
                  </w:r>
                  <w:r>
                    <w:rPr>
                      <w:rFonts w:hint="default" w:ascii="Times New Roman" w:hAnsi="Times New Roman" w:cs="Times New Roman"/>
                      <w:color w:val="auto"/>
                      <w:spacing w:val="2"/>
                      <w:sz w:val="21"/>
                      <w:szCs w:val="21"/>
                    </w:rPr>
                    <w:t>，维持现有河宽，</w:t>
                  </w:r>
                  <w:r>
                    <w:rPr>
                      <w:rFonts w:hint="default" w:ascii="Times New Roman" w:hAnsi="Times New Roman" w:cs="Times New Roman"/>
                      <w:color w:val="auto"/>
                      <w:spacing w:val="7"/>
                      <w:sz w:val="21"/>
                      <w:szCs w:val="21"/>
                    </w:rPr>
                    <w:t>项目建设符合要求。</w:t>
                  </w:r>
                </w:p>
              </w:tc>
              <w:tc>
                <w:tcPr>
                  <w:tcW w:w="513" w:type="pct"/>
                  <w:tcBorders>
                    <w:top w:val="single" w:color="auto" w:sz="4" w:space="0"/>
                    <w:left w:val="single" w:color="auto" w:sz="4" w:space="0"/>
                    <w:bottom w:val="single" w:color="auto" w:sz="4" w:space="0"/>
                    <w:right w:val="single" w:color="auto" w:sz="4" w:space="0"/>
                  </w:tcBorders>
                  <w:noWrap w:val="0"/>
                  <w:vAlign w:val="center"/>
                </w:tcPr>
                <w:p w14:paraId="2F3D0578">
                  <w:pPr>
                    <w:pStyle w:val="66"/>
                    <w:spacing w:before="65" w:line="240" w:lineRule="auto"/>
                    <w:ind w:left="0" w:leftChars="0" w:firstLine="0" w:firstLineChars="0"/>
                    <w:rPr>
                      <w:rFonts w:hint="default" w:ascii="Times New Roman" w:hAnsi="Times New Roman" w:eastAsia="宋体" w:cs="Times New Roman"/>
                      <w:color w:val="auto"/>
                      <w:kern w:val="2"/>
                      <w:sz w:val="21"/>
                      <w:szCs w:val="21"/>
                      <w:lang w:val="en-US" w:eastAsia="zh-CN" w:bidi="ar"/>
                    </w:rPr>
                  </w:pPr>
                  <w:r>
                    <w:rPr>
                      <w:rFonts w:hint="default" w:ascii="Times New Roman" w:hAnsi="Times New Roman" w:cs="Times New Roman"/>
                      <w:color w:val="auto"/>
                      <w:spacing w:val="3"/>
                      <w:sz w:val="21"/>
                      <w:szCs w:val="21"/>
                    </w:rPr>
                    <w:t>符合</w:t>
                  </w:r>
                </w:p>
              </w:tc>
            </w:tr>
            <w:tr w14:paraId="1B29E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22" w:type="pct"/>
                  <w:tcBorders>
                    <w:top w:val="single" w:color="auto" w:sz="4" w:space="0"/>
                    <w:left w:val="single" w:color="auto" w:sz="4" w:space="0"/>
                    <w:bottom w:val="single" w:color="auto" w:sz="4" w:space="0"/>
                    <w:right w:val="single" w:color="auto" w:sz="4" w:space="0"/>
                  </w:tcBorders>
                  <w:noWrap w:val="0"/>
                  <w:vAlign w:val="center"/>
                </w:tcPr>
                <w:p w14:paraId="33470B02">
                  <w:pPr>
                    <w:pStyle w:val="66"/>
                    <w:spacing w:before="46" w:line="240" w:lineRule="auto"/>
                    <w:ind w:left="0" w:leftChars="0" w:right="33" w:rightChars="0" w:firstLine="0" w:firstLineChars="0"/>
                    <w:jc w:val="both"/>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Times New Roman" w:cs="Times New Roman"/>
                      <w:color w:val="auto"/>
                      <w:spacing w:val="5"/>
                      <w:sz w:val="21"/>
                      <w:szCs w:val="21"/>
                    </w:rPr>
                    <w:t>3</w:t>
                  </w:r>
                  <w:r>
                    <w:rPr>
                      <w:rFonts w:hint="default" w:ascii="Times New Roman" w:hAnsi="Times New Roman" w:eastAsia="Times New Roman" w:cs="Times New Roman"/>
                      <w:color w:val="auto"/>
                      <w:spacing w:val="-23"/>
                      <w:sz w:val="21"/>
                      <w:szCs w:val="21"/>
                    </w:rPr>
                    <w:t xml:space="preserve"> </w:t>
                  </w:r>
                  <w:r>
                    <w:rPr>
                      <w:rFonts w:hint="default" w:ascii="Times New Roman" w:hAnsi="Times New Roman" w:cs="Times New Roman"/>
                      <w:color w:val="auto"/>
                      <w:spacing w:val="5"/>
                      <w:sz w:val="21"/>
                      <w:szCs w:val="21"/>
                    </w:rPr>
                    <w:t>、突出综合利用。中小河流治理要突出综合效益，由以单一防洪为目标向排涝、</w:t>
                  </w:r>
                  <w:r>
                    <w:rPr>
                      <w:rFonts w:hint="default" w:ascii="Times New Roman" w:hAnsi="Times New Roman" w:cs="Times New Roman"/>
                      <w:color w:val="auto"/>
                      <w:spacing w:val="12"/>
                      <w:sz w:val="21"/>
                      <w:szCs w:val="21"/>
                    </w:rPr>
                    <w:t>供水、景观、生态、环境、旅游等多功能目标的综合治理转变。治理方案应综</w:t>
                  </w:r>
                  <w:r>
                    <w:rPr>
                      <w:rFonts w:hint="default" w:ascii="Times New Roman" w:hAnsi="Times New Roman" w:cs="Times New Roman"/>
                      <w:color w:val="auto"/>
                      <w:spacing w:val="13"/>
                      <w:sz w:val="21"/>
                      <w:szCs w:val="21"/>
                    </w:rPr>
                    <w:t>合考虑各功能的要求，协调好各功能之间的关系，要与河流水资源综合利用功能相协调，保证现有取水设施功能的正常发挥。</w:t>
                  </w:r>
                </w:p>
              </w:tc>
              <w:tc>
                <w:tcPr>
                  <w:tcW w:w="1963" w:type="pct"/>
                  <w:tcBorders>
                    <w:top w:val="single" w:color="auto" w:sz="4" w:space="0"/>
                    <w:left w:val="single" w:color="auto" w:sz="4" w:space="0"/>
                    <w:bottom w:val="single" w:color="auto" w:sz="4" w:space="0"/>
                    <w:right w:val="single" w:color="auto" w:sz="4" w:space="0"/>
                  </w:tcBorders>
                  <w:noWrap w:val="0"/>
                  <w:vAlign w:val="center"/>
                </w:tcPr>
                <w:p w14:paraId="5D11B958">
                  <w:pPr>
                    <w:pStyle w:val="66"/>
                    <w:spacing w:before="47" w:line="240" w:lineRule="auto"/>
                    <w:ind w:left="0" w:leftChars="0" w:right="100" w:rightChars="0" w:firstLine="0" w:firstLineChars="0"/>
                    <w:jc w:val="both"/>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本项目属于防洪除涝工程，对于保障</w:t>
                  </w:r>
                  <w:r>
                    <w:rPr>
                      <w:rFonts w:hint="eastAsia" w:ascii="Times New Roman" w:hAnsi="Times New Roman" w:eastAsia="宋体" w:cs="Times New Roman"/>
                      <w:color w:val="auto"/>
                      <w:kern w:val="2"/>
                      <w:sz w:val="21"/>
                      <w:szCs w:val="21"/>
                      <w:lang w:val="en-US" w:eastAsia="zh-CN" w:bidi="ar"/>
                    </w:rPr>
                    <w:t>果朗河</w:t>
                  </w:r>
                  <w:r>
                    <w:rPr>
                      <w:rFonts w:hint="default" w:ascii="Times New Roman" w:hAnsi="Times New Roman" w:eastAsia="宋体" w:cs="Times New Roman"/>
                      <w:color w:val="auto"/>
                      <w:kern w:val="2"/>
                      <w:sz w:val="21"/>
                      <w:szCs w:val="21"/>
                      <w:lang w:val="en-US" w:eastAsia="zh-CN" w:bidi="ar"/>
                    </w:rPr>
                    <w:t>沿岸广大人民群众生命财产的安全，具有十分重要的意义。有利于保护区域自然生态环境，保护生物多样性，营造</w:t>
                  </w:r>
                  <w:r>
                    <w:rPr>
                      <w:rFonts w:hint="eastAsia" w:ascii="Times New Roman" w:hAnsi="Times New Roman" w:eastAsia="宋体" w:cs="Times New Roman"/>
                      <w:color w:val="auto"/>
                      <w:kern w:val="2"/>
                      <w:sz w:val="21"/>
                      <w:szCs w:val="21"/>
                      <w:lang w:val="en-US" w:eastAsia="zh-CN" w:bidi="ar"/>
                    </w:rPr>
                    <w:t>芒市</w:t>
                  </w:r>
                  <w:r>
                    <w:rPr>
                      <w:rFonts w:hint="default" w:ascii="Times New Roman" w:hAnsi="Times New Roman" w:eastAsia="宋体" w:cs="Times New Roman"/>
                      <w:color w:val="auto"/>
                      <w:kern w:val="2"/>
                      <w:sz w:val="21"/>
                      <w:szCs w:val="21"/>
                      <w:lang w:val="en-US" w:eastAsia="zh-CN" w:bidi="ar"/>
                    </w:rPr>
                    <w:t>低碳、环保、清洁的整体环境，引导民众树立生态环境保护理念，减少垃圾污染。</w:t>
                  </w:r>
                </w:p>
              </w:tc>
              <w:tc>
                <w:tcPr>
                  <w:tcW w:w="513" w:type="pct"/>
                  <w:tcBorders>
                    <w:top w:val="single" w:color="auto" w:sz="4" w:space="0"/>
                    <w:left w:val="single" w:color="auto" w:sz="4" w:space="0"/>
                    <w:bottom w:val="single" w:color="auto" w:sz="4" w:space="0"/>
                    <w:right w:val="single" w:color="auto" w:sz="4" w:space="0"/>
                  </w:tcBorders>
                  <w:noWrap w:val="0"/>
                  <w:vAlign w:val="center"/>
                </w:tcPr>
                <w:p w14:paraId="61EE665B">
                  <w:pPr>
                    <w:pStyle w:val="66"/>
                    <w:spacing w:before="65" w:line="240" w:lineRule="auto"/>
                    <w:ind w:left="0" w:leftChars="0" w:firstLine="0" w:firstLineChars="0"/>
                    <w:rPr>
                      <w:rFonts w:hint="default" w:ascii="Times New Roman" w:hAnsi="Times New Roman" w:eastAsia="宋体" w:cs="Times New Roman"/>
                      <w:color w:val="auto"/>
                      <w:kern w:val="2"/>
                      <w:sz w:val="21"/>
                      <w:szCs w:val="21"/>
                      <w:lang w:val="en-US" w:eastAsia="zh-CN" w:bidi="ar"/>
                    </w:rPr>
                  </w:pPr>
                  <w:r>
                    <w:rPr>
                      <w:rFonts w:hint="default" w:ascii="Times New Roman" w:hAnsi="Times New Roman" w:cs="Times New Roman"/>
                      <w:color w:val="auto"/>
                      <w:spacing w:val="3"/>
                      <w:sz w:val="21"/>
                      <w:szCs w:val="21"/>
                    </w:rPr>
                    <w:t>符合</w:t>
                  </w:r>
                </w:p>
              </w:tc>
            </w:tr>
            <w:tr w14:paraId="2D923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22" w:type="pct"/>
                  <w:tcBorders>
                    <w:top w:val="single" w:color="auto" w:sz="4" w:space="0"/>
                    <w:left w:val="single" w:color="auto" w:sz="4" w:space="0"/>
                    <w:bottom w:val="single" w:color="auto" w:sz="4" w:space="0"/>
                    <w:right w:val="single" w:color="auto" w:sz="4" w:space="0"/>
                  </w:tcBorders>
                  <w:noWrap w:val="0"/>
                  <w:vAlign w:val="center"/>
                </w:tcPr>
                <w:p w14:paraId="1FE64B8C">
                  <w:pPr>
                    <w:pStyle w:val="18"/>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Times New Roman" w:cs="Times New Roman"/>
                      <w:color w:val="auto"/>
                      <w:spacing w:val="5"/>
                      <w:sz w:val="21"/>
                      <w:szCs w:val="21"/>
                    </w:rPr>
                    <w:t>4</w:t>
                  </w:r>
                  <w:r>
                    <w:rPr>
                      <w:rFonts w:hint="default" w:ascii="Times New Roman" w:hAnsi="Times New Roman" w:eastAsia="Times New Roman" w:cs="Times New Roman"/>
                      <w:color w:val="auto"/>
                      <w:spacing w:val="-17"/>
                      <w:sz w:val="21"/>
                      <w:szCs w:val="21"/>
                    </w:rPr>
                    <w:t xml:space="preserve"> </w:t>
                  </w:r>
                  <w:r>
                    <w:rPr>
                      <w:rFonts w:hint="default" w:ascii="Times New Roman" w:hAnsi="Times New Roman" w:cs="Times New Roman"/>
                      <w:color w:val="auto"/>
                      <w:spacing w:val="5"/>
                      <w:sz w:val="21"/>
                      <w:szCs w:val="21"/>
                    </w:rPr>
                    <w:t>、注重生态环境。河道本身所拥有的自</w:t>
                  </w:r>
                  <w:r>
                    <w:rPr>
                      <w:rFonts w:hint="default" w:ascii="Times New Roman" w:hAnsi="Times New Roman" w:cs="Times New Roman"/>
                      <w:color w:val="auto"/>
                      <w:spacing w:val="12"/>
                      <w:sz w:val="21"/>
                      <w:szCs w:val="21"/>
                    </w:rPr>
                    <w:t>然景观应尽可能保留，要避免对河道生</w:t>
                  </w:r>
                  <w:r>
                    <w:rPr>
                      <w:rFonts w:hint="default" w:ascii="Times New Roman" w:hAnsi="Times New Roman" w:cs="Times New Roman"/>
                      <w:color w:val="auto"/>
                      <w:spacing w:val="8"/>
                      <w:sz w:val="21"/>
                      <w:szCs w:val="21"/>
                    </w:rPr>
                    <w:t>态环境的破坏，保护好河流湿地和滩涂</w:t>
                  </w:r>
                  <w:r>
                    <w:rPr>
                      <w:rFonts w:hint="default" w:ascii="Times New Roman" w:hAnsi="Times New Roman" w:eastAsia="宋体" w:cs="Times New Roman"/>
                      <w:color w:val="auto"/>
                      <w:spacing w:val="8"/>
                      <w:sz w:val="21"/>
                      <w:szCs w:val="21"/>
                      <w:lang w:eastAsia="zh-CN"/>
                    </w:rPr>
                    <w:t>；</w:t>
                  </w:r>
                  <w:r>
                    <w:rPr>
                      <w:rFonts w:hint="default" w:ascii="Times New Roman" w:hAnsi="Times New Roman" w:cs="Times New Roman"/>
                      <w:color w:val="auto"/>
                      <w:spacing w:val="12"/>
                      <w:sz w:val="21"/>
                      <w:szCs w:val="21"/>
                    </w:rPr>
                    <w:t>要不影响河流生物生存所需的环境，保</w:t>
                  </w:r>
                  <w:r>
                    <w:rPr>
                      <w:rFonts w:hint="default" w:ascii="Times New Roman" w:hAnsi="Times New Roman" w:cs="Times New Roman"/>
                      <w:color w:val="auto"/>
                      <w:spacing w:val="8"/>
                      <w:sz w:val="21"/>
                      <w:szCs w:val="21"/>
                    </w:rPr>
                    <w:t>留水生动植物生息、繁衍场所</w:t>
                  </w:r>
                  <w:r>
                    <w:rPr>
                      <w:rFonts w:hint="default" w:ascii="Times New Roman" w:hAnsi="Times New Roman" w:eastAsia="宋体" w:cs="Times New Roman"/>
                      <w:color w:val="auto"/>
                      <w:spacing w:val="8"/>
                      <w:sz w:val="21"/>
                      <w:szCs w:val="21"/>
                      <w:lang w:eastAsia="zh-CN"/>
                    </w:rPr>
                    <w:t>；</w:t>
                  </w:r>
                  <w:r>
                    <w:rPr>
                      <w:rFonts w:hint="default" w:ascii="Times New Roman" w:hAnsi="Times New Roman" w:cs="Times New Roman"/>
                      <w:color w:val="auto"/>
                      <w:spacing w:val="8"/>
                      <w:sz w:val="21"/>
                      <w:szCs w:val="21"/>
                    </w:rPr>
                    <w:t>在满足防</w:t>
                  </w:r>
                  <w:r>
                    <w:rPr>
                      <w:rFonts w:hint="default" w:ascii="Times New Roman" w:hAnsi="Times New Roman" w:cs="Times New Roman"/>
                      <w:color w:val="auto"/>
                      <w:spacing w:val="12"/>
                      <w:sz w:val="21"/>
                      <w:szCs w:val="21"/>
                    </w:rPr>
                    <w:t>冲要求的基础上，要尽量采用生态透水</w:t>
                  </w:r>
                  <w:r>
                    <w:rPr>
                      <w:rFonts w:hint="default" w:ascii="Times New Roman" w:hAnsi="Times New Roman" w:cs="Times New Roman"/>
                      <w:color w:val="auto"/>
                      <w:spacing w:val="12"/>
                      <w:sz w:val="21"/>
                      <w:szCs w:val="21"/>
                      <w:lang w:eastAsia="zh-CN"/>
                    </w:rPr>
                    <w:t>；</w:t>
                  </w:r>
                  <w:r>
                    <w:rPr>
                      <w:rFonts w:hint="default" w:ascii="Times New Roman" w:hAnsi="Times New Roman" w:cs="Times New Roman"/>
                      <w:color w:val="auto"/>
                      <w:spacing w:val="12"/>
                      <w:sz w:val="21"/>
                      <w:szCs w:val="21"/>
                    </w:rPr>
                    <w:t>工程型式，保持河道与两岸的横向联通</w:t>
                  </w:r>
                  <w:r>
                    <w:rPr>
                      <w:rFonts w:hint="default" w:ascii="Times New Roman" w:hAnsi="Times New Roman" w:cs="Times New Roman"/>
                      <w:color w:val="auto"/>
                      <w:spacing w:val="5"/>
                      <w:sz w:val="21"/>
                      <w:szCs w:val="21"/>
                    </w:rPr>
                    <w:t>性，避免硬化、白化、渠化河道，使水、陆两相紧密联系，打造完整的生态系统。</w:t>
                  </w:r>
                  <w:r>
                    <w:rPr>
                      <w:rFonts w:hint="default" w:ascii="Times New Roman" w:hAnsi="Times New Roman" w:cs="Times New Roman"/>
                      <w:color w:val="auto"/>
                      <w:spacing w:val="12"/>
                      <w:sz w:val="21"/>
                      <w:szCs w:val="21"/>
                    </w:rPr>
                    <w:t>强化山水林田湖系统治理，在规划的基</w:t>
                  </w:r>
                  <w:r>
                    <w:rPr>
                      <w:rFonts w:hint="default" w:ascii="Times New Roman" w:hAnsi="Times New Roman" w:cs="Times New Roman"/>
                      <w:color w:val="auto"/>
                      <w:spacing w:val="5"/>
                      <w:sz w:val="21"/>
                      <w:szCs w:val="21"/>
                    </w:rPr>
                    <w:t>础上稳步实施退田还湖还湿、退渔还湖</w:t>
                  </w:r>
                  <w:r>
                    <w:rPr>
                      <w:rFonts w:hint="default" w:ascii="Times New Roman" w:hAnsi="Times New Roman" w:cs="Times New Roman"/>
                      <w:color w:val="auto"/>
                      <w:spacing w:val="14"/>
                      <w:sz w:val="21"/>
                      <w:szCs w:val="21"/>
                      <w:lang w:eastAsia="zh-CN"/>
                    </w:rPr>
                    <w:t>；</w:t>
                  </w:r>
                  <w:r>
                    <w:rPr>
                      <w:rFonts w:hint="default" w:ascii="Times New Roman" w:hAnsi="Times New Roman" w:cs="Times New Roman"/>
                      <w:color w:val="auto"/>
                      <w:spacing w:val="8"/>
                      <w:sz w:val="21"/>
                      <w:szCs w:val="21"/>
                    </w:rPr>
                    <w:t>恢复河湖库渠水系的自然连通。</w:t>
                  </w:r>
                </w:p>
              </w:tc>
              <w:tc>
                <w:tcPr>
                  <w:tcW w:w="1963" w:type="pct"/>
                  <w:tcBorders>
                    <w:top w:val="single" w:color="auto" w:sz="4" w:space="0"/>
                    <w:left w:val="single" w:color="auto" w:sz="4" w:space="0"/>
                    <w:bottom w:val="single" w:color="auto" w:sz="4" w:space="0"/>
                    <w:right w:val="single" w:color="auto" w:sz="4" w:space="0"/>
                  </w:tcBorders>
                  <w:noWrap w:val="0"/>
                  <w:vAlign w:val="center"/>
                </w:tcPr>
                <w:p w14:paraId="5551F02E">
                  <w:pPr>
                    <w:pStyle w:val="18"/>
                    <w:keepNext w:val="0"/>
                    <w:keepLines w:val="0"/>
                    <w:widowControl w:val="0"/>
                    <w:suppressLineNumbers w:val="0"/>
                    <w:spacing w:before="0" w:beforeAutospacing="0" w:after="0" w:afterAutospacing="0" w:line="240" w:lineRule="auto"/>
                    <w:ind w:left="0" w:right="0" w:firstLine="0" w:firstLineChars="0"/>
                    <w:jc w:val="both"/>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spacing w:val="5"/>
                      <w:sz w:val="21"/>
                      <w:szCs w:val="21"/>
                    </w:rPr>
                    <w:t>项目在河道治理期间，尽量选在</w:t>
                  </w:r>
                  <w:r>
                    <w:rPr>
                      <w:rFonts w:hint="default" w:ascii="Times New Roman" w:hAnsi="Times New Roman" w:eastAsia="宋体" w:cs="Times New Roman"/>
                      <w:color w:val="auto"/>
                      <w:spacing w:val="5"/>
                      <w:sz w:val="21"/>
                      <w:szCs w:val="21"/>
                      <w:lang w:eastAsia="zh-CN"/>
                    </w:rPr>
                    <w:t>枯水期</w:t>
                  </w:r>
                  <w:r>
                    <w:rPr>
                      <w:rFonts w:hint="default" w:ascii="Times New Roman" w:hAnsi="Times New Roman" w:eastAsia="宋体" w:cs="Times New Roman"/>
                      <w:color w:val="auto"/>
                      <w:spacing w:val="5"/>
                      <w:sz w:val="21"/>
                      <w:szCs w:val="21"/>
                    </w:rPr>
                    <w:t>，项目施工</w:t>
                  </w:r>
                  <w:r>
                    <w:rPr>
                      <w:rFonts w:hint="default" w:ascii="Times New Roman" w:hAnsi="Times New Roman" w:eastAsia="宋体" w:cs="Times New Roman"/>
                      <w:color w:val="auto"/>
                      <w:spacing w:val="5"/>
                      <w:sz w:val="21"/>
                      <w:szCs w:val="21"/>
                      <w:lang w:eastAsia="zh-CN"/>
                    </w:rPr>
                    <w:t>涉及</w:t>
                  </w:r>
                  <w:r>
                    <w:rPr>
                      <w:rFonts w:hint="default" w:ascii="Times New Roman" w:hAnsi="Times New Roman" w:eastAsia="宋体" w:cs="Times New Roman"/>
                      <w:color w:val="auto"/>
                      <w:spacing w:val="5"/>
                      <w:sz w:val="21"/>
                      <w:szCs w:val="21"/>
                    </w:rPr>
                    <w:t>河道</w:t>
                  </w:r>
                  <w:r>
                    <w:rPr>
                      <w:rFonts w:hint="eastAsia" w:ascii="Times New Roman" w:hAnsi="Times New Roman" w:eastAsia="宋体" w:cs="Times New Roman"/>
                      <w:color w:val="auto"/>
                      <w:spacing w:val="5"/>
                      <w:sz w:val="21"/>
                      <w:szCs w:val="21"/>
                      <w:lang w:eastAsia="zh-CN"/>
                    </w:rPr>
                    <w:t>护岸工程、堤防工程、排涝涵管建设</w:t>
                  </w:r>
                  <w:r>
                    <w:rPr>
                      <w:rFonts w:hint="default" w:ascii="Times New Roman" w:hAnsi="Times New Roman" w:eastAsia="宋体" w:cs="Times New Roman"/>
                      <w:color w:val="auto"/>
                      <w:spacing w:val="5"/>
                      <w:sz w:val="21"/>
                      <w:szCs w:val="21"/>
                    </w:rPr>
                    <w:t>、绿化建设等，</w:t>
                  </w:r>
                  <w:r>
                    <w:rPr>
                      <w:rFonts w:hint="default" w:ascii="Times New Roman" w:hAnsi="Times New Roman" w:eastAsia="宋体" w:cs="Times New Roman"/>
                      <w:color w:val="auto"/>
                      <w:spacing w:val="5"/>
                      <w:sz w:val="21"/>
                      <w:szCs w:val="21"/>
                      <w:lang w:eastAsia="zh-CN"/>
                    </w:rPr>
                    <w:t>不</w:t>
                  </w:r>
                  <w:r>
                    <w:rPr>
                      <w:rFonts w:hint="default" w:ascii="Times New Roman" w:hAnsi="Times New Roman" w:eastAsia="宋体" w:cs="Times New Roman"/>
                      <w:color w:val="auto"/>
                      <w:spacing w:val="5"/>
                      <w:sz w:val="21"/>
                      <w:szCs w:val="21"/>
                    </w:rPr>
                    <w:t>影响河流生物生存所需的环境，</w:t>
                  </w:r>
                  <w:r>
                    <w:rPr>
                      <w:rFonts w:hint="default" w:ascii="Times New Roman" w:hAnsi="Times New Roman" w:eastAsia="宋体" w:cs="Times New Roman"/>
                      <w:color w:val="auto"/>
                      <w:spacing w:val="5"/>
                      <w:sz w:val="21"/>
                      <w:szCs w:val="21"/>
                      <w:lang w:eastAsia="zh-CN"/>
                    </w:rPr>
                    <w:t>对</w:t>
                  </w:r>
                  <w:r>
                    <w:rPr>
                      <w:rFonts w:hint="default" w:ascii="Times New Roman" w:hAnsi="Times New Roman" w:eastAsia="宋体" w:cs="Times New Roman"/>
                      <w:color w:val="auto"/>
                      <w:spacing w:val="5"/>
                      <w:sz w:val="21"/>
                      <w:szCs w:val="21"/>
                    </w:rPr>
                    <w:t>水生动植物生息、繁衍场所</w:t>
                  </w:r>
                  <w:r>
                    <w:rPr>
                      <w:rFonts w:hint="default" w:ascii="Times New Roman" w:hAnsi="Times New Roman" w:eastAsia="宋体" w:cs="Times New Roman"/>
                      <w:color w:val="auto"/>
                      <w:spacing w:val="5"/>
                      <w:sz w:val="21"/>
                      <w:szCs w:val="21"/>
                      <w:lang w:eastAsia="zh-CN"/>
                    </w:rPr>
                    <w:t>影响较小</w:t>
                  </w:r>
                  <w:r>
                    <w:rPr>
                      <w:rFonts w:hint="default" w:ascii="Times New Roman" w:hAnsi="Times New Roman" w:eastAsia="宋体" w:cs="Times New Roman"/>
                      <w:color w:val="auto"/>
                      <w:spacing w:val="5"/>
                      <w:sz w:val="21"/>
                      <w:szCs w:val="21"/>
                    </w:rPr>
                    <w:t>。</w:t>
                  </w:r>
                </w:p>
              </w:tc>
              <w:tc>
                <w:tcPr>
                  <w:tcW w:w="513" w:type="pct"/>
                  <w:tcBorders>
                    <w:top w:val="single" w:color="auto" w:sz="4" w:space="0"/>
                    <w:left w:val="single" w:color="auto" w:sz="4" w:space="0"/>
                    <w:bottom w:val="single" w:color="auto" w:sz="4" w:space="0"/>
                    <w:right w:val="single" w:color="auto" w:sz="4" w:space="0"/>
                  </w:tcBorders>
                  <w:noWrap w:val="0"/>
                  <w:vAlign w:val="center"/>
                </w:tcPr>
                <w:p w14:paraId="6113D4F1">
                  <w:pPr>
                    <w:pStyle w:val="18"/>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符合</w:t>
                  </w:r>
                </w:p>
              </w:tc>
            </w:tr>
            <w:tr w14:paraId="7C134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22" w:type="pct"/>
                  <w:tcBorders>
                    <w:top w:val="single" w:color="auto" w:sz="4" w:space="0"/>
                    <w:left w:val="single" w:color="auto" w:sz="4" w:space="0"/>
                    <w:bottom w:val="single" w:color="auto" w:sz="4" w:space="0"/>
                    <w:right w:val="single" w:color="auto" w:sz="4" w:space="0"/>
                  </w:tcBorders>
                  <w:noWrap w:val="0"/>
                  <w:vAlign w:val="center"/>
                </w:tcPr>
                <w:p w14:paraId="5667A35B">
                  <w:pPr>
                    <w:pStyle w:val="18"/>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pacing w:val="5"/>
                      <w:sz w:val="21"/>
                      <w:szCs w:val="21"/>
                    </w:rPr>
                  </w:pPr>
                  <w:r>
                    <w:rPr>
                      <w:rFonts w:hint="default" w:ascii="Times New Roman" w:hAnsi="Times New Roman" w:eastAsia="Times New Roman" w:cs="Times New Roman"/>
                      <w:color w:val="auto"/>
                      <w:spacing w:val="6"/>
                      <w:sz w:val="21"/>
                      <w:szCs w:val="21"/>
                    </w:rPr>
                    <w:t>5</w:t>
                  </w:r>
                  <w:r>
                    <w:rPr>
                      <w:rFonts w:hint="default" w:ascii="Times New Roman" w:hAnsi="Times New Roman" w:eastAsia="Times New Roman" w:cs="Times New Roman"/>
                      <w:color w:val="auto"/>
                      <w:spacing w:val="-29"/>
                      <w:sz w:val="21"/>
                      <w:szCs w:val="21"/>
                    </w:rPr>
                    <w:t xml:space="preserve"> </w:t>
                  </w:r>
                  <w:r>
                    <w:rPr>
                      <w:rFonts w:hint="default" w:ascii="Times New Roman" w:hAnsi="Times New Roman" w:cs="Times New Roman"/>
                      <w:color w:val="auto"/>
                      <w:spacing w:val="6"/>
                      <w:sz w:val="21"/>
                      <w:szCs w:val="21"/>
                    </w:rPr>
                    <w:t>、坚持因河施治。每一条河流都有其形</w:t>
                  </w:r>
                  <w:r>
                    <w:rPr>
                      <w:rFonts w:hint="default" w:ascii="Times New Roman" w:hAnsi="Times New Roman" w:cs="Times New Roman"/>
                      <w:color w:val="auto"/>
                      <w:spacing w:val="1"/>
                      <w:sz w:val="21"/>
                      <w:szCs w:val="21"/>
                    </w:rPr>
                    <w:t>成的条件和独有的自然特性，要坚持“因</w:t>
                  </w:r>
                  <w:r>
                    <w:rPr>
                      <w:rFonts w:hint="default" w:ascii="Times New Roman" w:hAnsi="Times New Roman" w:cs="Times New Roman"/>
                      <w:color w:val="auto"/>
                      <w:spacing w:val="14"/>
                      <w:sz w:val="21"/>
                      <w:szCs w:val="21"/>
                    </w:rPr>
                    <w:t xml:space="preserve"> </w:t>
                  </w:r>
                  <w:r>
                    <w:rPr>
                      <w:rFonts w:hint="default" w:ascii="Times New Roman" w:hAnsi="Times New Roman" w:cs="Times New Roman"/>
                      <w:color w:val="auto"/>
                      <w:spacing w:val="11"/>
                      <w:sz w:val="21"/>
                      <w:szCs w:val="21"/>
                    </w:rPr>
                    <w:t>地制宜、因河施治、因势利导</w:t>
                  </w:r>
                  <w:r>
                    <w:rPr>
                      <w:rFonts w:hint="default" w:ascii="Times New Roman" w:hAnsi="Times New Roman" w:cs="Times New Roman"/>
                      <w:color w:val="auto"/>
                      <w:spacing w:val="-55"/>
                      <w:sz w:val="21"/>
                      <w:szCs w:val="21"/>
                    </w:rPr>
                    <w:t xml:space="preserve"> </w:t>
                  </w:r>
                  <w:r>
                    <w:rPr>
                      <w:rFonts w:hint="default" w:ascii="Times New Roman" w:hAnsi="Times New Roman" w:cs="Times New Roman"/>
                      <w:color w:val="auto"/>
                      <w:spacing w:val="11"/>
                      <w:sz w:val="21"/>
                      <w:szCs w:val="21"/>
                    </w:rPr>
                    <w:t>”的原则</w:t>
                  </w:r>
                  <w:r>
                    <w:rPr>
                      <w:rFonts w:hint="default" w:ascii="Times New Roman" w:hAnsi="Times New Roman" w:cs="Times New Roman"/>
                      <w:color w:val="auto"/>
                      <w:spacing w:val="13"/>
                      <w:sz w:val="21"/>
                      <w:szCs w:val="21"/>
                    </w:rPr>
                    <w:t>开展河道整治设计。每一条河的不同段应综合考虑河道特点、地形地质、施工</w:t>
                  </w:r>
                  <w:r>
                    <w:rPr>
                      <w:rFonts w:hint="default" w:ascii="Times New Roman" w:hAnsi="Times New Roman" w:cs="Times New Roman"/>
                      <w:color w:val="auto"/>
                      <w:spacing w:val="7"/>
                      <w:sz w:val="21"/>
                      <w:szCs w:val="21"/>
                    </w:rPr>
                    <w:t>条件、环境影响、</w:t>
                  </w:r>
                  <w:r>
                    <w:rPr>
                      <w:rFonts w:hint="default" w:ascii="Times New Roman" w:hAnsi="Times New Roman" w:cs="Times New Roman"/>
                      <w:color w:val="auto"/>
                      <w:spacing w:val="-44"/>
                      <w:sz w:val="21"/>
                      <w:szCs w:val="21"/>
                    </w:rPr>
                    <w:t xml:space="preserve"> </w:t>
                  </w:r>
                  <w:r>
                    <w:rPr>
                      <w:rFonts w:hint="default" w:ascii="Times New Roman" w:hAnsi="Times New Roman" w:cs="Times New Roman"/>
                      <w:color w:val="auto"/>
                      <w:spacing w:val="7"/>
                      <w:sz w:val="21"/>
                      <w:szCs w:val="21"/>
                    </w:rPr>
                    <w:t>占地移民等因素</w:t>
                  </w:r>
                  <w:r>
                    <w:rPr>
                      <w:rFonts w:hint="eastAsia" w:ascii="Times New Roman" w:hAnsi="Times New Roman" w:cs="Times New Roman"/>
                      <w:color w:val="auto"/>
                      <w:spacing w:val="7"/>
                      <w:sz w:val="21"/>
                      <w:szCs w:val="21"/>
                      <w:lang w:eastAsia="zh-CN"/>
                    </w:rPr>
                    <w:t>，</w:t>
                  </w:r>
                  <w:r>
                    <w:rPr>
                      <w:rFonts w:hint="default" w:ascii="Times New Roman" w:hAnsi="Times New Roman" w:cs="Times New Roman"/>
                      <w:color w:val="auto"/>
                      <w:spacing w:val="7"/>
                      <w:sz w:val="21"/>
                      <w:szCs w:val="21"/>
                    </w:rPr>
                    <w:t>加强</w:t>
                  </w:r>
                  <w:r>
                    <w:rPr>
                      <w:rFonts w:hint="default" w:ascii="Times New Roman" w:hAnsi="Times New Roman" w:cs="Times New Roman"/>
                      <w:color w:val="auto"/>
                      <w:spacing w:val="13"/>
                      <w:sz w:val="21"/>
                      <w:szCs w:val="21"/>
                    </w:rPr>
                    <w:t>多方案技术经济比较，制定不同的治理</w:t>
                  </w:r>
                  <w:r>
                    <w:rPr>
                      <w:rFonts w:hint="default" w:ascii="Times New Roman" w:hAnsi="Times New Roman" w:cs="Times New Roman"/>
                      <w:color w:val="auto"/>
                      <w:spacing w:val="9"/>
                      <w:sz w:val="21"/>
                      <w:szCs w:val="21"/>
                    </w:rPr>
                    <w:t>方案</w:t>
                  </w:r>
                  <w:r>
                    <w:rPr>
                      <w:rFonts w:hint="eastAsia" w:ascii="Times New Roman" w:hAnsi="Times New Roman" w:cs="Times New Roman"/>
                      <w:color w:val="auto"/>
                      <w:spacing w:val="9"/>
                      <w:sz w:val="21"/>
                      <w:szCs w:val="21"/>
                      <w:lang w:eastAsia="zh-CN"/>
                    </w:rPr>
                    <w:t>；</w:t>
                  </w:r>
                  <w:r>
                    <w:rPr>
                      <w:rFonts w:hint="default" w:ascii="Times New Roman" w:hAnsi="Times New Roman" w:cs="Times New Roman"/>
                      <w:color w:val="auto"/>
                      <w:spacing w:val="9"/>
                      <w:sz w:val="21"/>
                      <w:szCs w:val="21"/>
                    </w:rPr>
                    <w:t>不同情况采用不同的断面型式和工</w:t>
                  </w:r>
                  <w:r>
                    <w:rPr>
                      <w:rFonts w:hint="default" w:ascii="Times New Roman" w:hAnsi="Times New Roman" w:cs="Times New Roman"/>
                      <w:color w:val="auto"/>
                      <w:spacing w:val="13"/>
                      <w:sz w:val="21"/>
                      <w:szCs w:val="21"/>
                    </w:rPr>
                    <w:t>程措施，要就地取材，减小二次生态破</w:t>
                  </w:r>
                  <w:r>
                    <w:rPr>
                      <w:rFonts w:hint="default" w:ascii="Times New Roman" w:hAnsi="Times New Roman" w:cs="Times New Roman"/>
                      <w:color w:val="auto"/>
                      <w:spacing w:val="18"/>
                      <w:sz w:val="21"/>
                      <w:szCs w:val="21"/>
                    </w:rPr>
                    <w:t>坏</w:t>
                  </w:r>
                  <w:r>
                    <w:rPr>
                      <w:rFonts w:hint="default" w:ascii="Times New Roman" w:hAnsi="Times New Roman" w:eastAsia="宋体" w:cs="Times New Roman"/>
                      <w:color w:val="auto"/>
                      <w:spacing w:val="18"/>
                      <w:sz w:val="21"/>
                      <w:szCs w:val="21"/>
                      <w:lang w:eastAsia="zh-CN"/>
                    </w:rPr>
                    <w:t>；</w:t>
                  </w:r>
                  <w:r>
                    <w:rPr>
                      <w:rFonts w:hint="default" w:ascii="Times New Roman" w:hAnsi="Times New Roman" w:cs="Times New Roman"/>
                      <w:color w:val="auto"/>
                      <w:spacing w:val="18"/>
                      <w:sz w:val="21"/>
                      <w:szCs w:val="21"/>
                    </w:rPr>
                    <w:t>要合理选定治理标准及治理方案</w:t>
                  </w:r>
                  <w:r>
                    <w:rPr>
                      <w:rFonts w:hint="eastAsia" w:ascii="Times New Roman" w:hAnsi="Times New Roman" w:eastAsia="宋体" w:cs="Times New Roman"/>
                      <w:color w:val="auto"/>
                      <w:spacing w:val="18"/>
                      <w:sz w:val="21"/>
                      <w:szCs w:val="21"/>
                      <w:lang w:eastAsia="zh-CN"/>
                    </w:rPr>
                    <w:t>,</w:t>
                  </w:r>
                  <w:r>
                    <w:rPr>
                      <w:rFonts w:hint="default" w:ascii="Times New Roman" w:hAnsi="Times New Roman" w:cs="Times New Roman"/>
                      <w:color w:val="auto"/>
                      <w:spacing w:val="18"/>
                      <w:sz w:val="21"/>
                      <w:szCs w:val="21"/>
                    </w:rPr>
                    <w:t>避</w:t>
                  </w:r>
                  <w:r>
                    <w:rPr>
                      <w:rFonts w:hint="default" w:ascii="Times New Roman" w:hAnsi="Times New Roman" w:cs="Times New Roman"/>
                      <w:color w:val="auto"/>
                      <w:spacing w:val="6"/>
                      <w:sz w:val="21"/>
                      <w:szCs w:val="21"/>
                    </w:rPr>
                    <w:t>免过度治理。</w:t>
                  </w:r>
                </w:p>
              </w:tc>
              <w:tc>
                <w:tcPr>
                  <w:tcW w:w="1963" w:type="pct"/>
                  <w:tcBorders>
                    <w:top w:val="single" w:color="auto" w:sz="4" w:space="0"/>
                    <w:left w:val="single" w:color="auto" w:sz="4" w:space="0"/>
                    <w:bottom w:val="single" w:color="auto" w:sz="4" w:space="0"/>
                    <w:right w:val="single" w:color="auto" w:sz="4" w:space="0"/>
                  </w:tcBorders>
                  <w:noWrap w:val="0"/>
                  <w:vAlign w:val="center"/>
                </w:tcPr>
                <w:p w14:paraId="0AC2EFA6">
                  <w:pPr>
                    <w:pStyle w:val="18"/>
                    <w:keepNext w:val="0"/>
                    <w:keepLines w:val="0"/>
                    <w:widowControl w:val="0"/>
                    <w:suppressLineNumbers w:val="0"/>
                    <w:spacing w:before="0" w:beforeAutospacing="0" w:after="0" w:afterAutospacing="0" w:line="240" w:lineRule="auto"/>
                    <w:ind w:left="0" w:right="0" w:firstLine="0" w:firstLineChars="0"/>
                    <w:jc w:val="both"/>
                    <w:rPr>
                      <w:rFonts w:hint="default" w:ascii="Times New Roman" w:hAnsi="Times New Roman" w:eastAsia="宋体" w:cs="Times New Roman"/>
                      <w:color w:val="auto"/>
                      <w:kern w:val="2"/>
                      <w:sz w:val="21"/>
                      <w:szCs w:val="21"/>
                      <w:lang w:val="en-US" w:eastAsia="zh-CN" w:bidi="ar"/>
                    </w:rPr>
                  </w:pPr>
                  <w:r>
                    <w:rPr>
                      <w:rFonts w:hint="default" w:ascii="Times New Roman" w:hAnsi="Times New Roman" w:cs="Times New Roman"/>
                      <w:color w:val="auto"/>
                      <w:spacing w:val="18"/>
                      <w:sz w:val="21"/>
                      <w:szCs w:val="21"/>
                    </w:rPr>
                    <w:t>项目设计根据</w:t>
                  </w:r>
                  <w:r>
                    <w:rPr>
                      <w:rFonts w:hint="eastAsia" w:ascii="Times New Roman" w:hAnsi="Times New Roman" w:cs="Times New Roman"/>
                      <w:color w:val="auto"/>
                      <w:spacing w:val="18"/>
                      <w:sz w:val="21"/>
                      <w:szCs w:val="21"/>
                      <w:lang w:eastAsia="zh-CN"/>
                    </w:rPr>
                    <w:t>果朗河</w:t>
                  </w:r>
                  <w:r>
                    <w:rPr>
                      <w:rFonts w:hint="default" w:ascii="Times New Roman" w:hAnsi="Times New Roman" w:cs="Times New Roman"/>
                      <w:color w:val="auto"/>
                      <w:spacing w:val="19"/>
                      <w:sz w:val="21"/>
                      <w:szCs w:val="21"/>
                    </w:rPr>
                    <w:t>该河段的自然因素，进行因河施治，根据项目河道特点，</w:t>
                  </w:r>
                  <w:r>
                    <w:rPr>
                      <w:rFonts w:hint="default" w:ascii="Times New Roman" w:hAnsi="Times New Roman" w:cs="Times New Roman"/>
                      <w:color w:val="auto"/>
                      <w:spacing w:val="13"/>
                      <w:sz w:val="21"/>
                      <w:szCs w:val="21"/>
                    </w:rPr>
                    <w:t>多方案技术经济比较</w:t>
                  </w:r>
                  <w:r>
                    <w:rPr>
                      <w:rFonts w:hint="default" w:ascii="Times New Roman" w:hAnsi="Times New Roman" w:cs="Times New Roman"/>
                      <w:color w:val="auto"/>
                      <w:spacing w:val="13"/>
                      <w:sz w:val="21"/>
                      <w:szCs w:val="21"/>
                      <w:lang w:eastAsia="zh-CN"/>
                    </w:rPr>
                    <w:t>，</w:t>
                  </w:r>
                  <w:r>
                    <w:rPr>
                      <w:rFonts w:hint="default" w:ascii="Times New Roman" w:hAnsi="Times New Roman" w:cs="Times New Roman"/>
                      <w:color w:val="auto"/>
                      <w:spacing w:val="19"/>
                      <w:sz w:val="21"/>
                      <w:szCs w:val="21"/>
                    </w:rPr>
                    <w:t>制定治理方案，河长34.44km，河道治理长度为20.23km。勐戛段K5+000~K12+350河长7.35km，治理河道长</w:t>
                  </w:r>
                  <w:r>
                    <w:rPr>
                      <w:rFonts w:hint="eastAsia" w:ascii="Times New Roman" w:hAnsi="Times New Roman" w:cs="Times New Roman"/>
                      <w:color w:val="auto"/>
                      <w:spacing w:val="19"/>
                      <w:sz w:val="21"/>
                      <w:szCs w:val="21"/>
                      <w:lang w:val="en-US" w:eastAsia="zh-CN"/>
                    </w:rPr>
                    <w:t>7</w:t>
                  </w:r>
                  <w:r>
                    <w:rPr>
                      <w:rFonts w:hint="default" w:ascii="Times New Roman" w:hAnsi="Times New Roman" w:cs="Times New Roman"/>
                      <w:color w:val="auto"/>
                      <w:spacing w:val="19"/>
                      <w:sz w:val="21"/>
                      <w:szCs w:val="21"/>
                    </w:rPr>
                    <w:t>.35km，新建钢筋石笼护岸10.07km；勐稳段K14+275~K20+200河长5.92km，治理道河长5.92km，新建钢筋石笼护岸7.44km；干沟坪段K24+250~K29+460河长5.21km，治理河道长4.39km，新建钢筋石笼护岸6.14km；芒里段K31+870~K34+435河长2.57km，治理河道长2.57km，新建钢筋石笼护岸2.08km，新建钢筋石笼护脚+堤防2.70km。合计治理河道长20.23km，新建钢筋石笼护岸25.73km，新建钢筋石笼护脚+堤防2.70km，排涝涵管75处，种植橘子树5395棵，种植草皮护坡7057m</w:t>
                  </w:r>
                  <w:r>
                    <w:rPr>
                      <w:rFonts w:hint="default" w:ascii="Times New Roman" w:hAnsi="Times New Roman" w:cs="Times New Roman"/>
                      <w:color w:val="auto"/>
                      <w:spacing w:val="19"/>
                      <w:sz w:val="21"/>
                      <w:szCs w:val="21"/>
                      <w:vertAlign w:val="superscript"/>
                    </w:rPr>
                    <w:t>2</w:t>
                  </w:r>
                  <w:r>
                    <w:rPr>
                      <w:rFonts w:hint="default" w:ascii="Times New Roman" w:hAnsi="Times New Roman" w:cs="Times New Roman"/>
                      <w:color w:val="auto"/>
                      <w:spacing w:val="19"/>
                      <w:sz w:val="21"/>
                      <w:szCs w:val="21"/>
                    </w:rPr>
                    <w:t>。</w:t>
                  </w:r>
                </w:p>
              </w:tc>
              <w:tc>
                <w:tcPr>
                  <w:tcW w:w="513" w:type="pct"/>
                  <w:tcBorders>
                    <w:top w:val="single" w:color="auto" w:sz="4" w:space="0"/>
                    <w:left w:val="single" w:color="auto" w:sz="4" w:space="0"/>
                    <w:bottom w:val="single" w:color="auto" w:sz="4" w:space="0"/>
                    <w:right w:val="single" w:color="auto" w:sz="4" w:space="0"/>
                  </w:tcBorders>
                  <w:noWrap w:val="0"/>
                  <w:vAlign w:val="center"/>
                </w:tcPr>
                <w:p w14:paraId="2A23459C">
                  <w:pPr>
                    <w:pStyle w:val="18"/>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符合</w:t>
                  </w:r>
                </w:p>
              </w:tc>
            </w:tr>
            <w:tr w14:paraId="082C4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22" w:type="pct"/>
                  <w:tcBorders>
                    <w:top w:val="single" w:color="auto" w:sz="4" w:space="0"/>
                    <w:left w:val="single" w:color="auto" w:sz="4" w:space="0"/>
                    <w:bottom w:val="single" w:color="auto" w:sz="4" w:space="0"/>
                    <w:right w:val="single" w:color="auto" w:sz="4" w:space="0"/>
                  </w:tcBorders>
                  <w:noWrap w:val="0"/>
                  <w:vAlign w:val="center"/>
                </w:tcPr>
                <w:p w14:paraId="78888762">
                  <w:pPr>
                    <w:pStyle w:val="18"/>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pacing w:val="6"/>
                      <w:sz w:val="21"/>
                      <w:szCs w:val="21"/>
                    </w:rPr>
                  </w:pPr>
                  <w:r>
                    <w:rPr>
                      <w:rFonts w:hint="eastAsia" w:ascii="Times New Roman" w:hAnsi="Times New Roman" w:cs="Times New Roman"/>
                      <w:color w:val="auto"/>
                      <w:spacing w:val="5"/>
                      <w:sz w:val="21"/>
                      <w:szCs w:val="21"/>
                      <w:lang w:val="en-US" w:eastAsia="zh-CN"/>
                    </w:rPr>
                    <w:t>6</w:t>
                  </w:r>
                  <w:r>
                    <w:rPr>
                      <w:rFonts w:hint="default" w:ascii="Times New Roman" w:hAnsi="Times New Roman" w:cs="Times New Roman"/>
                      <w:color w:val="auto"/>
                      <w:spacing w:val="5"/>
                      <w:sz w:val="21"/>
                      <w:szCs w:val="21"/>
                    </w:rPr>
                    <w:t>、切实做好工程设计。设计中要加强基</w:t>
                  </w:r>
                  <w:r>
                    <w:rPr>
                      <w:rFonts w:hint="default" w:ascii="Times New Roman" w:hAnsi="Times New Roman" w:cs="Times New Roman"/>
                      <w:color w:val="auto"/>
                      <w:spacing w:val="12"/>
                      <w:sz w:val="21"/>
                      <w:szCs w:val="21"/>
                    </w:rPr>
                    <w:t>础资料的收集、整理和分析；开展必要的测量工作，重视水下地形测量，测量精度应满足河道治理相关规范的要求；应根据有关规程、规范要求，结合不同区域河流地质条件的差异和治理工程实</w:t>
                  </w:r>
                  <w:r>
                    <w:rPr>
                      <w:rFonts w:hint="default" w:ascii="Times New Roman" w:hAnsi="Times New Roman" w:cs="Times New Roman"/>
                      <w:color w:val="auto"/>
                      <w:spacing w:val="2"/>
                      <w:sz w:val="21"/>
                      <w:szCs w:val="21"/>
                    </w:rPr>
                    <w:t>际，开展地质勘察工作</w:t>
                  </w:r>
                  <w:r>
                    <w:rPr>
                      <w:rFonts w:hint="default" w:ascii="Times New Roman" w:hAnsi="Times New Roman" w:eastAsia="Times New Roman" w:cs="Times New Roman"/>
                      <w:color w:val="auto"/>
                      <w:spacing w:val="2"/>
                      <w:sz w:val="21"/>
                      <w:szCs w:val="21"/>
                    </w:rPr>
                    <w:t>;</w:t>
                  </w:r>
                  <w:r>
                    <w:rPr>
                      <w:rFonts w:hint="default" w:ascii="Times New Roman" w:hAnsi="Times New Roman" w:cs="Times New Roman"/>
                      <w:color w:val="auto"/>
                      <w:spacing w:val="2"/>
                      <w:sz w:val="21"/>
                      <w:szCs w:val="21"/>
                    </w:rPr>
                    <w:t>要重视河道调查、</w:t>
                  </w:r>
                  <w:r>
                    <w:rPr>
                      <w:rFonts w:hint="default" w:ascii="Times New Roman" w:hAnsi="Times New Roman" w:cs="Times New Roman"/>
                      <w:color w:val="auto"/>
                      <w:spacing w:val="9"/>
                      <w:sz w:val="21"/>
                      <w:szCs w:val="21"/>
                    </w:rPr>
                    <w:t xml:space="preserve"> </w:t>
                  </w:r>
                  <w:r>
                    <w:rPr>
                      <w:rFonts w:hint="default" w:ascii="Times New Roman" w:hAnsi="Times New Roman" w:cs="Times New Roman"/>
                      <w:color w:val="auto"/>
                      <w:spacing w:val="12"/>
                      <w:sz w:val="21"/>
                      <w:szCs w:val="21"/>
                    </w:rPr>
                    <w:t>河道特性和河床演变分析工作；治</w:t>
                  </w:r>
                  <w:r>
                    <w:rPr>
                      <w:rFonts w:hint="eastAsia" w:ascii="Times New Roman" w:hAnsi="Times New Roman" w:cs="Times New Roman"/>
                      <w:color w:val="auto"/>
                      <w:spacing w:val="12"/>
                      <w:sz w:val="21"/>
                      <w:szCs w:val="21"/>
                      <w:lang w:eastAsia="zh-CN"/>
                    </w:rPr>
                    <w:t>理</w:t>
                  </w:r>
                  <w:r>
                    <w:rPr>
                      <w:rFonts w:hint="default" w:ascii="Times New Roman" w:hAnsi="Times New Roman" w:cs="Times New Roman"/>
                      <w:color w:val="auto"/>
                      <w:spacing w:val="12"/>
                      <w:sz w:val="21"/>
                      <w:szCs w:val="21"/>
                    </w:rPr>
                    <w:t>导线</w:t>
                  </w:r>
                  <w:r>
                    <w:rPr>
                      <w:rFonts w:hint="default" w:ascii="Times New Roman" w:hAnsi="Times New Roman" w:cs="Times New Roman"/>
                      <w:color w:val="auto"/>
                      <w:spacing w:val="14"/>
                      <w:sz w:val="21"/>
                      <w:szCs w:val="21"/>
                    </w:rPr>
                    <w:t>和堤距的选择要保护河流的自然形态，</w:t>
                  </w:r>
                  <w:r>
                    <w:rPr>
                      <w:rFonts w:hint="default" w:ascii="Times New Roman" w:hAnsi="Times New Roman" w:cs="Times New Roman"/>
                      <w:color w:val="auto"/>
                      <w:spacing w:val="12"/>
                      <w:sz w:val="21"/>
                      <w:szCs w:val="21"/>
                    </w:rPr>
                    <w:t>维护河流断面的多样化；治理方案要针对河流特性，分段定位、分段研究、分段设计，避免治理方案单一；工程措施应尽量采用生态透水工程型式，设置亲水设施，与周边环境协调，维护河流与周围生态系统的正常交流。要避免采用</w:t>
                  </w:r>
                  <w:r>
                    <w:rPr>
                      <w:rFonts w:hint="default" w:ascii="Times New Roman" w:hAnsi="Times New Roman" w:cs="Times New Roman"/>
                      <w:color w:val="auto"/>
                      <w:spacing w:val="5"/>
                      <w:sz w:val="21"/>
                      <w:szCs w:val="21"/>
                    </w:rPr>
                    <w:t>河流渠系化、平面直线化、断面规则化、</w:t>
                  </w:r>
                  <w:r>
                    <w:rPr>
                      <w:rFonts w:hint="default" w:ascii="Times New Roman" w:hAnsi="Times New Roman" w:cs="Times New Roman"/>
                      <w:color w:val="auto"/>
                      <w:spacing w:val="8"/>
                      <w:sz w:val="21"/>
                      <w:szCs w:val="21"/>
                    </w:rPr>
                    <w:t>材料硬质化的治理方案。</w:t>
                  </w:r>
                </w:p>
              </w:tc>
              <w:tc>
                <w:tcPr>
                  <w:tcW w:w="1963" w:type="pct"/>
                  <w:tcBorders>
                    <w:top w:val="single" w:color="auto" w:sz="4" w:space="0"/>
                    <w:left w:val="single" w:color="auto" w:sz="4" w:space="0"/>
                    <w:bottom w:val="single" w:color="auto" w:sz="4" w:space="0"/>
                    <w:right w:val="single" w:color="auto" w:sz="4" w:space="0"/>
                  </w:tcBorders>
                  <w:noWrap w:val="0"/>
                  <w:vAlign w:val="center"/>
                </w:tcPr>
                <w:p w14:paraId="12565053">
                  <w:pPr>
                    <w:pStyle w:val="18"/>
                    <w:keepNext w:val="0"/>
                    <w:keepLines w:val="0"/>
                    <w:widowControl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2"/>
                      <w:sz w:val="21"/>
                      <w:szCs w:val="21"/>
                      <w:lang w:val="en-US" w:eastAsia="zh-CN" w:bidi="ar"/>
                    </w:rPr>
                  </w:pPr>
                  <w:r>
                    <w:rPr>
                      <w:color w:val="auto"/>
                      <w:spacing w:val="18"/>
                      <w:sz w:val="21"/>
                      <w:szCs w:val="21"/>
                    </w:rPr>
                    <w:t>项目根据河流的自然</w:t>
                  </w:r>
                  <w:r>
                    <w:rPr>
                      <w:color w:val="auto"/>
                      <w:spacing w:val="19"/>
                      <w:sz w:val="21"/>
                      <w:szCs w:val="21"/>
                    </w:rPr>
                    <w:t>形态，分段研究、分</w:t>
                  </w:r>
                  <w:r>
                    <w:rPr>
                      <w:color w:val="auto"/>
                      <w:spacing w:val="4"/>
                      <w:sz w:val="21"/>
                      <w:szCs w:val="21"/>
                    </w:rPr>
                    <w:t>段设计。</w:t>
                  </w:r>
                  <w:r>
                    <w:rPr>
                      <w:rFonts w:hint="default" w:ascii="Times New Roman" w:hAnsi="Times New Roman" w:cs="Times New Roman"/>
                      <w:color w:val="auto"/>
                      <w:spacing w:val="12"/>
                      <w:sz w:val="21"/>
                      <w:szCs w:val="21"/>
                    </w:rPr>
                    <w:t>治</w:t>
                  </w:r>
                  <w:r>
                    <w:rPr>
                      <w:rFonts w:hint="eastAsia" w:ascii="Times New Roman" w:hAnsi="Times New Roman" w:cs="Times New Roman"/>
                      <w:color w:val="auto"/>
                      <w:spacing w:val="12"/>
                      <w:sz w:val="21"/>
                      <w:szCs w:val="21"/>
                      <w:lang w:eastAsia="zh-CN"/>
                    </w:rPr>
                    <w:t>理</w:t>
                  </w:r>
                  <w:r>
                    <w:rPr>
                      <w:rFonts w:hint="default" w:ascii="Times New Roman" w:hAnsi="Times New Roman" w:cs="Times New Roman"/>
                      <w:color w:val="auto"/>
                      <w:spacing w:val="12"/>
                      <w:sz w:val="21"/>
                      <w:szCs w:val="21"/>
                    </w:rPr>
                    <w:t>导线</w:t>
                  </w:r>
                  <w:r>
                    <w:rPr>
                      <w:rFonts w:hint="default" w:ascii="Times New Roman" w:hAnsi="Times New Roman" w:cs="Times New Roman"/>
                      <w:color w:val="auto"/>
                      <w:spacing w:val="14"/>
                      <w:sz w:val="21"/>
                      <w:szCs w:val="21"/>
                    </w:rPr>
                    <w:t>和堤距的选择保护河流的自然形态，</w:t>
                  </w:r>
                  <w:r>
                    <w:rPr>
                      <w:rFonts w:hint="default" w:ascii="Times New Roman" w:hAnsi="Times New Roman" w:cs="Times New Roman"/>
                      <w:color w:val="auto"/>
                      <w:spacing w:val="12"/>
                      <w:sz w:val="21"/>
                      <w:szCs w:val="21"/>
                    </w:rPr>
                    <w:t>维护</w:t>
                  </w:r>
                  <w:r>
                    <w:rPr>
                      <w:rFonts w:hint="eastAsia" w:ascii="Times New Roman" w:hAnsi="Times New Roman" w:cs="Times New Roman"/>
                      <w:color w:val="auto"/>
                      <w:spacing w:val="12"/>
                      <w:sz w:val="21"/>
                      <w:szCs w:val="21"/>
                      <w:lang w:eastAsia="zh-CN"/>
                    </w:rPr>
                    <w:t>了</w:t>
                  </w:r>
                  <w:r>
                    <w:rPr>
                      <w:rFonts w:hint="default" w:ascii="Times New Roman" w:hAnsi="Times New Roman" w:cs="Times New Roman"/>
                      <w:color w:val="auto"/>
                      <w:spacing w:val="12"/>
                      <w:sz w:val="21"/>
                      <w:szCs w:val="21"/>
                    </w:rPr>
                    <w:t>河流断面的多样化</w:t>
                  </w:r>
                  <w:r>
                    <w:rPr>
                      <w:rFonts w:hint="eastAsia" w:ascii="Times New Roman" w:hAnsi="Times New Roman" w:cs="Times New Roman"/>
                      <w:color w:val="auto"/>
                      <w:spacing w:val="12"/>
                      <w:sz w:val="21"/>
                      <w:szCs w:val="21"/>
                      <w:lang w:eastAsia="zh-CN"/>
                    </w:rPr>
                    <w:t>，工艺选择最大程度避免对治理河段生态的影响，</w:t>
                  </w:r>
                  <w:r>
                    <w:rPr>
                      <w:rFonts w:hint="eastAsia" w:ascii="Times New Roman" w:hAnsi="Times New Roman" w:eastAsia="宋体" w:cs="Times New Roman"/>
                      <w:color w:val="auto"/>
                      <w:kern w:val="2"/>
                      <w:sz w:val="21"/>
                      <w:szCs w:val="21"/>
                      <w:lang w:val="en-US" w:eastAsia="zh-CN" w:bidi="ar"/>
                    </w:rPr>
                    <w:t>与周边环境协调，维护河流与周围生态系统的正常交流。</w:t>
                  </w:r>
                </w:p>
              </w:tc>
              <w:tc>
                <w:tcPr>
                  <w:tcW w:w="513" w:type="pct"/>
                  <w:tcBorders>
                    <w:top w:val="single" w:color="auto" w:sz="4" w:space="0"/>
                    <w:left w:val="single" w:color="auto" w:sz="4" w:space="0"/>
                    <w:bottom w:val="single" w:color="auto" w:sz="4" w:space="0"/>
                    <w:right w:val="single" w:color="auto" w:sz="4" w:space="0"/>
                  </w:tcBorders>
                  <w:noWrap w:val="0"/>
                  <w:vAlign w:val="center"/>
                </w:tcPr>
                <w:p w14:paraId="4E9343D1">
                  <w:pPr>
                    <w:pStyle w:val="18"/>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lang w:val="en-US" w:eastAsia="zh-CN" w:bidi="ar"/>
                    </w:rPr>
                  </w:pPr>
                  <w:r>
                    <w:rPr>
                      <w:rFonts w:hint="eastAsia" w:ascii="Times New Roman" w:hAnsi="Times New Roman" w:eastAsia="宋体" w:cs="Times New Roman"/>
                      <w:color w:val="auto"/>
                      <w:kern w:val="2"/>
                      <w:sz w:val="21"/>
                      <w:szCs w:val="21"/>
                      <w:lang w:val="en-US" w:eastAsia="zh-CN" w:bidi="ar"/>
                    </w:rPr>
                    <w:t>符合</w:t>
                  </w:r>
                </w:p>
              </w:tc>
            </w:tr>
          </w:tbl>
          <w:p w14:paraId="7F307A85">
            <w:pPr>
              <w:bidi w:val="0"/>
              <w:ind w:left="0" w:leftChars="0" w:firstLine="0" w:firstLineChars="0"/>
              <w:rPr>
                <w:rFonts w:hint="default"/>
                <w:color w:val="auto"/>
                <w:lang w:val="en-US" w:eastAsia="zh-CN"/>
              </w:rPr>
            </w:pPr>
          </w:p>
        </w:tc>
      </w:tr>
    </w:tbl>
    <w:p w14:paraId="14F676EC">
      <w:pPr>
        <w:rPr>
          <w:rFonts w:hint="default" w:ascii="Times New Roman" w:hAnsi="Times New Roman" w:cs="Times New Roman"/>
          <w:color w:val="auto"/>
        </w:rPr>
        <w:sectPr>
          <w:footerReference r:id="rId8" w:type="default"/>
          <w:pgSz w:w="11906" w:h="16838"/>
          <w:pgMar w:top="1134" w:right="1701" w:bottom="1134" w:left="1701"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14:paraId="5CFBF7D4">
      <w:pPr>
        <w:pStyle w:val="4"/>
        <w:keepNext w:val="0"/>
        <w:keepLines w:val="0"/>
        <w:pageBreakBefore/>
        <w:widowControl w:val="0"/>
        <w:kinsoku/>
        <w:wordWrap/>
        <w:overflowPunct/>
        <w:topLinePunct w:val="0"/>
        <w:autoSpaceDE/>
        <w:autoSpaceDN/>
        <w:bidi w:val="0"/>
        <w:adjustRightInd/>
        <w:snapToGrid w:val="0"/>
        <w:ind w:firstLine="0" w:firstLineChars="0"/>
        <w:textAlignment w:val="auto"/>
        <w:rPr>
          <w:rFonts w:hint="default"/>
          <w:color w:val="auto"/>
        </w:rPr>
      </w:pPr>
      <w:bookmarkStart w:id="14" w:name="_Toc20857"/>
      <w:r>
        <w:rPr>
          <w:rFonts w:hint="default"/>
          <w:color w:val="auto"/>
        </w:rPr>
        <w:t>二、建设内容</w:t>
      </w:r>
      <w:bookmarkEnd w:id="14"/>
    </w:p>
    <w:tbl>
      <w:tblPr>
        <w:tblStyle w:val="2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89"/>
        <w:gridCol w:w="7933"/>
      </w:tblGrid>
      <w:tr w14:paraId="015EC6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45" w:type="pct"/>
            <w:vAlign w:val="center"/>
          </w:tcPr>
          <w:p w14:paraId="789B265F">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color w:val="auto"/>
              </w:rPr>
            </w:pPr>
            <w:r>
              <w:rPr>
                <w:rFonts w:hint="default"/>
                <w:color w:val="auto"/>
              </w:rPr>
              <w:t>地理位置</w:t>
            </w:r>
          </w:p>
        </w:tc>
        <w:tc>
          <w:tcPr>
            <w:tcW w:w="4654" w:type="pct"/>
            <w:vAlign w:val="center"/>
          </w:tcPr>
          <w:p w14:paraId="33F1EF84">
            <w:pPr>
              <w:pStyle w:val="41"/>
              <w:bidi w:val="0"/>
              <w:jc w:val="both"/>
              <w:rPr>
                <w:rFonts w:hint="default"/>
                <w:color w:val="auto"/>
              </w:rPr>
            </w:pPr>
            <w:r>
              <w:rPr>
                <w:rFonts w:hint="default"/>
                <w:color w:val="auto"/>
              </w:rPr>
              <w:t>果朗河属伊洛瓦底江水系主要支流龙江（瑞丽江）流域内芒市大河的主要支流，果朗河发源于勐戛镇八家寨，源头叫大新寨河，至勐戛叫勐戛河，至南必河村叫南必河，至当连村叫当连河，流向偏东北，其间有田丘河、南公河、南马河汇入，至盾中西折而偏西流，经芒弄、法破，在腊掌村新广沙河后流至芒市糖厂汇入芒市大河。流域面积483km</w:t>
            </w:r>
            <w:r>
              <w:rPr>
                <w:rFonts w:hint="default"/>
                <w:color w:val="auto"/>
                <w:vertAlign w:val="superscript"/>
              </w:rPr>
              <w:t>2</w:t>
            </w:r>
            <w:r>
              <w:rPr>
                <w:rFonts w:hint="default"/>
                <w:color w:val="auto"/>
              </w:rPr>
              <w:t>，全流域主河道长44.0km，主河道比降11.3‰。</w:t>
            </w:r>
          </w:p>
          <w:p w14:paraId="7798B582">
            <w:pPr>
              <w:pStyle w:val="41"/>
              <w:bidi w:val="0"/>
              <w:jc w:val="both"/>
              <w:rPr>
                <w:color w:val="auto"/>
              </w:rPr>
            </w:pPr>
            <w:r>
              <w:rPr>
                <w:rFonts w:ascii="宋体" w:hAnsi="宋体" w:eastAsia="宋体" w:cs="宋体"/>
                <w:sz w:val="24"/>
                <w:szCs w:val="24"/>
              </w:rPr>
              <w:t>芒市果朗河大新寨至芒里大桥段治理工程位于云南省德宏州芒市境内，治理起</w:t>
            </w:r>
            <w:r>
              <w:rPr>
                <w:rFonts w:ascii="宋体" w:hAnsi="宋体" w:eastAsia="宋体" w:cs="宋体"/>
                <w:spacing w:val="-2"/>
                <w:sz w:val="24"/>
                <w:szCs w:val="24"/>
              </w:rPr>
              <w:t>点为勐戛镇大新寨村，地理坐标为东经</w:t>
            </w:r>
            <w:r>
              <w:rPr>
                <w:rFonts w:ascii="Times New Roman" w:hAnsi="Times New Roman" w:eastAsia="Times New Roman" w:cs="Times New Roman"/>
                <w:spacing w:val="-2"/>
                <w:sz w:val="24"/>
                <w:szCs w:val="24"/>
              </w:rPr>
              <w:t>98°23′30.03″</w:t>
            </w:r>
            <w:r>
              <w:rPr>
                <w:rFonts w:ascii="宋体" w:hAnsi="宋体" w:eastAsia="宋体" w:cs="宋体"/>
                <w:spacing w:val="-2"/>
                <w:sz w:val="24"/>
                <w:szCs w:val="24"/>
              </w:rPr>
              <w:t>、北纬</w:t>
            </w:r>
            <w:r>
              <w:rPr>
                <w:rFonts w:ascii="Times New Roman" w:hAnsi="Times New Roman" w:eastAsia="Times New Roman" w:cs="Times New Roman"/>
                <w:spacing w:val="-2"/>
                <w:sz w:val="24"/>
                <w:szCs w:val="24"/>
              </w:rPr>
              <w:t>24°14′30.77″</w:t>
            </w:r>
            <w:r>
              <w:rPr>
                <w:rFonts w:ascii="宋体" w:hAnsi="宋体" w:eastAsia="宋体" w:cs="宋体"/>
                <w:spacing w:val="-2"/>
                <w:sz w:val="24"/>
                <w:szCs w:val="24"/>
              </w:rPr>
              <w:t>，治理终点为风平镇芒里村芒里大桥，地理坐标为东经</w:t>
            </w:r>
            <w:r>
              <w:rPr>
                <w:rFonts w:ascii="Times New Roman" w:hAnsi="Times New Roman" w:eastAsia="Times New Roman" w:cs="Times New Roman"/>
                <w:spacing w:val="-2"/>
                <w:sz w:val="24"/>
                <w:szCs w:val="24"/>
              </w:rPr>
              <w:t>98°34′19.89″</w:t>
            </w:r>
            <w:r>
              <w:rPr>
                <w:rFonts w:ascii="宋体" w:hAnsi="宋体" w:eastAsia="宋体" w:cs="宋体"/>
                <w:spacing w:val="-2"/>
                <w:sz w:val="24"/>
                <w:szCs w:val="24"/>
              </w:rPr>
              <w:t>、北纬</w:t>
            </w:r>
            <w:r>
              <w:rPr>
                <w:rFonts w:ascii="Times New Roman" w:hAnsi="Times New Roman" w:eastAsia="Times New Roman" w:cs="Times New Roman"/>
                <w:spacing w:val="-2"/>
                <w:sz w:val="24"/>
                <w:szCs w:val="24"/>
              </w:rPr>
              <w:t>24°21′</w:t>
            </w:r>
            <w:r>
              <w:rPr>
                <w:rFonts w:ascii="Times New Roman" w:hAnsi="Times New Roman" w:eastAsia="Times New Roman" w:cs="Times New Roman"/>
                <w:spacing w:val="-3"/>
                <w:sz w:val="24"/>
                <w:szCs w:val="24"/>
              </w:rPr>
              <w:t>24.33″</w:t>
            </w:r>
            <w:r>
              <w:rPr>
                <w:rFonts w:ascii="宋体" w:hAnsi="宋体" w:eastAsia="宋体" w:cs="宋体"/>
                <w:spacing w:val="-3"/>
                <w:sz w:val="24"/>
                <w:szCs w:val="24"/>
              </w:rPr>
              <w:t>，河长</w:t>
            </w:r>
            <w:r>
              <w:rPr>
                <w:rFonts w:ascii="Times New Roman" w:hAnsi="Times New Roman" w:eastAsia="Times New Roman" w:cs="Times New Roman"/>
                <w:spacing w:val="2"/>
                <w:sz w:val="24"/>
                <w:szCs w:val="24"/>
              </w:rPr>
              <w:t>34.44</w:t>
            </w:r>
            <w:r>
              <w:rPr>
                <w:rFonts w:ascii="Times New Roman" w:hAnsi="Times New Roman" w:eastAsia="Times New Roman" w:cs="Times New Roman"/>
                <w:sz w:val="24"/>
                <w:szCs w:val="24"/>
              </w:rPr>
              <w:t>km</w:t>
            </w:r>
            <w:r>
              <w:rPr>
                <w:rFonts w:ascii="Times New Roman" w:hAnsi="Times New Roman" w:eastAsia="Times New Roman" w:cs="Times New Roman"/>
                <w:spacing w:val="-23"/>
                <w:sz w:val="24"/>
                <w:szCs w:val="24"/>
              </w:rPr>
              <w:t xml:space="preserve"> </w:t>
            </w:r>
            <w:r>
              <w:rPr>
                <w:rFonts w:ascii="宋体" w:hAnsi="宋体" w:eastAsia="宋体" w:cs="宋体"/>
                <w:spacing w:val="2"/>
                <w:sz w:val="24"/>
                <w:szCs w:val="24"/>
              </w:rPr>
              <w:t>，河道治理长度为</w:t>
            </w:r>
            <w:r>
              <w:rPr>
                <w:rFonts w:ascii="Times New Roman" w:hAnsi="Times New Roman" w:eastAsia="Times New Roman" w:cs="Times New Roman"/>
                <w:spacing w:val="2"/>
                <w:sz w:val="24"/>
                <w:szCs w:val="24"/>
              </w:rPr>
              <w:t>20.23</w:t>
            </w:r>
            <w:r>
              <w:rPr>
                <w:rFonts w:ascii="Times New Roman" w:hAnsi="Times New Roman" w:eastAsia="Times New Roman" w:cs="Times New Roman"/>
                <w:sz w:val="24"/>
                <w:szCs w:val="24"/>
              </w:rPr>
              <w:t>km</w:t>
            </w:r>
            <w:r>
              <w:rPr>
                <w:rFonts w:ascii="宋体" w:hAnsi="宋体" w:eastAsia="宋体" w:cs="宋体"/>
                <w:spacing w:val="2"/>
                <w:sz w:val="24"/>
                <w:szCs w:val="24"/>
              </w:rPr>
              <w:t>。</w:t>
            </w:r>
            <w:r>
              <w:rPr>
                <w:rFonts w:hint="default"/>
                <w:color w:val="auto"/>
              </w:rPr>
              <w:t>治理终点断面以上流域面积242.9km</w:t>
            </w:r>
            <w:r>
              <w:rPr>
                <w:rFonts w:hint="default"/>
                <w:color w:val="auto"/>
                <w:vertAlign w:val="superscript"/>
              </w:rPr>
              <w:t>2</w:t>
            </w:r>
            <w:r>
              <w:rPr>
                <w:rFonts w:hint="default"/>
                <w:color w:val="auto"/>
              </w:rPr>
              <w:t>，全流域主河道长36.4km，主河道比降21.8‰。</w:t>
            </w:r>
          </w:p>
          <w:p w14:paraId="341611C4">
            <w:pPr>
              <w:bidi w:val="0"/>
              <w:rPr>
                <w:rFonts w:hint="default"/>
                <w:color w:val="auto"/>
              </w:rPr>
            </w:pPr>
            <w:r>
              <w:rPr>
                <w:rFonts w:hint="default"/>
                <w:b/>
                <w:bCs/>
                <w:color w:val="auto"/>
              </w:rPr>
              <w:t>项目地理位置图见附图1。</w:t>
            </w:r>
          </w:p>
        </w:tc>
      </w:tr>
      <w:tr w14:paraId="05A819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21" w:hRule="atLeast"/>
          <w:jc w:val="center"/>
        </w:trPr>
        <w:tc>
          <w:tcPr>
            <w:tcW w:w="345" w:type="pct"/>
            <w:vAlign w:val="center"/>
          </w:tcPr>
          <w:p w14:paraId="77878C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rPr>
            </w:pPr>
            <w:r>
              <w:rPr>
                <w:rFonts w:hint="default"/>
                <w:color w:val="auto"/>
              </w:rPr>
              <w:t>项目组成及规模</w:t>
            </w:r>
          </w:p>
        </w:tc>
        <w:tc>
          <w:tcPr>
            <w:tcW w:w="4654" w:type="pct"/>
            <w:vAlign w:val="center"/>
          </w:tcPr>
          <w:p w14:paraId="596A3A9A">
            <w:pPr>
              <w:bidi w:val="0"/>
              <w:rPr>
                <w:rFonts w:hint="eastAsia" w:eastAsia="宋体"/>
                <w:b/>
                <w:bCs/>
                <w:color w:val="auto"/>
                <w:lang w:eastAsia="zh-CN"/>
              </w:rPr>
            </w:pPr>
            <w:r>
              <w:rPr>
                <w:rFonts w:hint="eastAsia"/>
                <w:b/>
                <w:bCs/>
                <w:color w:val="auto"/>
                <w:lang w:eastAsia="zh-CN"/>
              </w:rPr>
              <w:t>一</w:t>
            </w:r>
            <w:r>
              <w:rPr>
                <w:rFonts w:hint="default"/>
                <w:b/>
                <w:bCs/>
                <w:color w:val="auto"/>
              </w:rPr>
              <w:t>、</w:t>
            </w:r>
            <w:r>
              <w:rPr>
                <w:rFonts w:hint="eastAsia"/>
                <w:b/>
                <w:bCs/>
                <w:color w:val="auto"/>
                <w:lang w:eastAsia="zh-CN"/>
              </w:rPr>
              <w:t>工程任务</w:t>
            </w:r>
          </w:p>
          <w:p w14:paraId="2F20415C">
            <w:pPr>
              <w:pStyle w:val="36"/>
              <w:keepNext w:val="0"/>
              <w:keepLines w:val="0"/>
              <w:pageBreakBefore w:val="0"/>
              <w:widowControl w:val="0"/>
              <w:kinsoku/>
              <w:wordWrap/>
              <w:overflowPunct/>
              <w:topLinePunct w:val="0"/>
              <w:autoSpaceDE/>
              <w:autoSpaceDN/>
              <w:bidi w:val="0"/>
              <w:snapToGrid/>
              <w:spacing w:line="360" w:lineRule="auto"/>
              <w:ind w:left="0" w:right="0"/>
              <w:rPr>
                <w:rFonts w:hint="eastAsia" w:eastAsia="宋体"/>
                <w:color w:val="auto"/>
                <w:lang w:eastAsia="zh-CN"/>
              </w:rPr>
            </w:pPr>
            <w:r>
              <w:rPr>
                <w:rFonts w:hint="eastAsia"/>
                <w:color w:val="auto"/>
              </w:rPr>
              <w:t>本工程为河道治理工程</w:t>
            </w:r>
            <w:r>
              <w:rPr>
                <w:rFonts w:hint="eastAsia"/>
                <w:color w:val="auto"/>
                <w:lang w:eastAsia="zh-CN"/>
              </w:rPr>
              <w:t>，</w:t>
            </w:r>
            <w:r>
              <w:rPr>
                <w:rFonts w:hint="eastAsia"/>
                <w:color w:val="auto"/>
              </w:rPr>
              <w:t>根据防洪保护要求，治理河段勐戛镇勐戛村、勐稳村、勐旺村及风平镇芒里村等4个村委，保护人口1.72万人，保护耕地面积6.60万亩。</w:t>
            </w:r>
          </w:p>
          <w:p w14:paraId="0B0E52DD">
            <w:pPr>
              <w:keepNext w:val="0"/>
              <w:keepLines w:val="0"/>
              <w:pageBreakBefore w:val="0"/>
              <w:widowControl w:val="0"/>
              <w:kinsoku/>
              <w:wordWrap/>
              <w:overflowPunct/>
              <w:topLinePunct w:val="0"/>
              <w:autoSpaceDE/>
              <w:autoSpaceDN/>
              <w:bidi w:val="0"/>
              <w:snapToGrid/>
              <w:spacing w:line="360" w:lineRule="auto"/>
              <w:ind w:left="0" w:right="0" w:firstLine="480"/>
              <w:rPr>
                <w:rFonts w:hint="eastAsia" w:ascii="Times New Roman" w:hAnsi="Times New Roman" w:eastAsia="宋体" w:cs="Times New Roman"/>
                <w:color w:val="auto"/>
              </w:rPr>
            </w:pPr>
            <w:r>
              <w:rPr>
                <w:rFonts w:hint="eastAsia" w:ascii="Times New Roman" w:hAnsi="Times New Roman" w:eastAsia="宋体" w:cs="Times New Roman"/>
                <w:color w:val="auto"/>
              </w:rPr>
              <w:t>综合考虑河道现状及存在的问题和河道治理工程建设必要性，确定合理的河道行洪宽度，科学地布置堤线，通过新建堤防及对防护区的排涝规划设计，大幅提高</w:t>
            </w:r>
            <w:r>
              <w:rPr>
                <w:rFonts w:hint="eastAsia" w:ascii="Times New Roman" w:hAnsi="Times New Roman" w:eastAsia="宋体" w:cs="Times New Roman"/>
                <w:color w:val="auto"/>
                <w:lang w:eastAsia="zh-CN"/>
              </w:rPr>
              <w:t>勐戛段、勐稳段、干沟坪段、芒里段</w:t>
            </w:r>
            <w:r>
              <w:rPr>
                <w:rFonts w:hint="eastAsia" w:ascii="Times New Roman" w:hAnsi="Times New Roman" w:eastAsia="宋体" w:cs="Times New Roman"/>
                <w:color w:val="auto"/>
              </w:rPr>
              <w:t>的行洪能力，提高河岸的抗冲刷能力，稳定河势，保证河道行洪畅通，提高河道泄洪能力，保障河道两岸重要基础设施、农田和人民群众生命财产安全。建设人与自然和谐的生态环境，促进社会经济可持续发展。</w:t>
            </w:r>
          </w:p>
          <w:p w14:paraId="44D1D361">
            <w:pPr>
              <w:pStyle w:val="36"/>
              <w:keepNext w:val="0"/>
              <w:keepLines w:val="0"/>
              <w:pageBreakBefore w:val="0"/>
              <w:widowControl w:val="0"/>
              <w:kinsoku/>
              <w:wordWrap/>
              <w:overflowPunct/>
              <w:topLinePunct w:val="0"/>
              <w:autoSpaceDE/>
              <w:autoSpaceDN/>
              <w:bidi w:val="0"/>
              <w:snapToGrid/>
              <w:spacing w:line="360" w:lineRule="auto"/>
              <w:ind w:left="0" w:right="0"/>
              <w:rPr>
                <w:rFonts w:hint="eastAsia" w:eastAsia="宋体"/>
                <w:color w:val="auto"/>
                <w:lang w:eastAsia="zh-CN"/>
              </w:rPr>
            </w:pPr>
            <w:r>
              <w:rPr>
                <w:rFonts w:hint="eastAsia"/>
                <w:color w:val="auto"/>
              </w:rPr>
              <w:t>通过现场踏勘，结合治理段河岸地形、水流特性及两岸保护对象的分布情况，</w:t>
            </w:r>
            <w:r>
              <w:rPr>
                <w:rFonts w:hint="eastAsia"/>
                <w:color w:val="auto"/>
                <w:lang w:val="en-US" w:eastAsia="zh-CN"/>
              </w:rPr>
              <w:t>再</w:t>
            </w:r>
            <w:r>
              <w:rPr>
                <w:rFonts w:hint="eastAsia"/>
                <w:color w:val="auto"/>
              </w:rPr>
              <w:t>结合常年水位布置治导线，治导线基本沿现状河道走向布置。河岸两侧大部分为耕地且地势较平坦，在不侵占河道的前提下，治导线尽量贴近河心布置，减少征占地面积</w:t>
            </w:r>
            <w:r>
              <w:rPr>
                <w:rFonts w:hint="eastAsia"/>
                <w:color w:val="auto"/>
                <w:lang w:eastAsia="zh-CN"/>
              </w:rPr>
              <w:t>。</w:t>
            </w:r>
          </w:p>
          <w:p w14:paraId="54FC0E79">
            <w:pPr>
              <w:pStyle w:val="36"/>
              <w:bidi w:val="0"/>
              <w:rPr>
                <w:b/>
                <w:bCs/>
                <w:color w:val="auto"/>
              </w:rPr>
            </w:pPr>
            <w:r>
              <w:rPr>
                <w:b/>
                <w:bCs/>
                <w:color w:val="auto"/>
              </w:rPr>
              <w:t>二、工程等级和标准</w:t>
            </w:r>
          </w:p>
          <w:p w14:paraId="0F776DCD">
            <w:pPr>
              <w:pStyle w:val="36"/>
              <w:bidi w:val="0"/>
              <w:rPr>
                <w:color w:val="auto"/>
              </w:rPr>
            </w:pPr>
            <w:r>
              <w:rPr>
                <w:rFonts w:hint="eastAsia"/>
                <w:color w:val="auto"/>
                <w:lang w:eastAsia="zh-CN"/>
              </w:rPr>
              <w:t>芒市果朗河大新寨至芒里大桥段治理工程主要涉及勐戛镇勐戛村、勐稳村、勐旺村及风平镇芒里村等4个村委，保护人口1.72万人，保护耕地面积6.60万亩。</w:t>
            </w:r>
          </w:p>
          <w:p w14:paraId="3D9DDF0F">
            <w:pPr>
              <w:pStyle w:val="36"/>
              <w:bidi w:val="0"/>
              <w:rPr>
                <w:b/>
                <w:bCs/>
                <w:color w:val="auto"/>
              </w:rPr>
            </w:pPr>
            <w:r>
              <w:rPr>
                <w:b/>
                <w:bCs/>
                <w:color w:val="auto"/>
              </w:rPr>
              <w:t>（1）防洪标准</w:t>
            </w:r>
          </w:p>
          <w:p w14:paraId="24538CB8">
            <w:pPr>
              <w:pStyle w:val="36"/>
              <w:bidi w:val="0"/>
              <w:rPr>
                <w:rFonts w:hint="eastAsia"/>
                <w:color w:val="auto"/>
              </w:rPr>
            </w:pPr>
            <w:r>
              <w:rPr>
                <w:rFonts w:hint="eastAsia"/>
                <w:color w:val="auto"/>
              </w:rPr>
              <w:t>根据国家《防洪标准》（GB50201-2014）规定：城市防护区，重要性一般，常住人口＜20万，防护标准为50～20年；乡村防护区，保护人口＜20万，耕地面积＜30万亩，防护标准为20～10年，防护等级为Ⅳ级。</w:t>
            </w:r>
          </w:p>
          <w:p w14:paraId="1D92414B">
            <w:pPr>
              <w:pStyle w:val="36"/>
              <w:bidi w:val="0"/>
              <w:rPr>
                <w:rFonts w:hint="eastAsia"/>
                <w:color w:val="auto"/>
              </w:rPr>
            </w:pPr>
            <w:r>
              <w:rPr>
                <w:rFonts w:hint="eastAsia"/>
                <w:color w:val="auto"/>
              </w:rPr>
              <w:t>果朗河治理河段防护区属乡村防护区，保护人口为1.72万人，保护耕地面积6.60万亩，则工程防护区的防护等级为Ⅳ级，防洪标准为20～10年一遇，综合考虑果朗河沿岸涉及村镇的社会、经济、征占地等多方面因素，确定果朗河防洪标准为10年一遇（P= 10%），主要建筑物级别为5级。</w:t>
            </w:r>
          </w:p>
          <w:p w14:paraId="5AFBF869">
            <w:pPr>
              <w:pStyle w:val="36"/>
              <w:bidi w:val="0"/>
              <w:rPr>
                <w:rFonts w:hint="eastAsia"/>
                <w:color w:val="auto"/>
              </w:rPr>
            </w:pPr>
            <w:r>
              <w:rPr>
                <w:rFonts w:hint="eastAsia"/>
                <w:color w:val="auto"/>
              </w:rPr>
              <w:t>1</w:t>
            </w:r>
            <w:r>
              <w:rPr>
                <w:rFonts w:hint="eastAsia"/>
                <w:color w:val="auto"/>
                <w:lang w:eastAsia="zh-CN"/>
              </w:rPr>
              <w:t>）</w:t>
            </w:r>
            <w:r>
              <w:rPr>
                <w:rFonts w:hint="eastAsia"/>
                <w:color w:val="auto"/>
              </w:rPr>
              <w:t>果朗河勐戛段K5+000~K12+350、勐稳段K14+275~K20+200、干沟坪段K24+250~K29+460 及芒里上游段K31+870~K32+970，两岸耕地为台阶状，10年一遇洪水标准保护耕地面积较小，且两岸均为基本农田，不具备新建堤防的条件，故本次治理以现状河岸为基准，按“防冲不防淹”治理原则，治理措施以钢筋石笼护岸为主。</w:t>
            </w:r>
          </w:p>
          <w:p w14:paraId="0B3B85DF">
            <w:pPr>
              <w:pStyle w:val="36"/>
              <w:bidi w:val="0"/>
              <w:rPr>
                <w:rFonts w:hint="eastAsia"/>
                <w:color w:val="auto"/>
              </w:rPr>
            </w:pPr>
            <w:r>
              <w:rPr>
                <w:rFonts w:hint="eastAsia"/>
                <w:color w:val="auto"/>
              </w:rPr>
              <w:t>2</w:t>
            </w:r>
            <w:r>
              <w:rPr>
                <w:rFonts w:hint="eastAsia"/>
                <w:color w:val="auto"/>
                <w:lang w:eastAsia="zh-CN"/>
              </w:rPr>
              <w:t>）</w:t>
            </w:r>
            <w:r>
              <w:rPr>
                <w:rFonts w:hint="eastAsia"/>
                <w:color w:val="auto"/>
              </w:rPr>
              <w:t>果朗河芒里下游段K32+970~K34+435，河道两岸地势平坦，耕地分布较广，其下游已治理河段防洪标准为10年一遇。为保护河道两岸居民、耕地安全，并与下游已治理河段形成完整防洪体系，该段治理措施以堤防为主，防洪标准为10年一遇（P=10%）。</w:t>
            </w:r>
          </w:p>
          <w:p w14:paraId="5E9951D4">
            <w:pPr>
              <w:pStyle w:val="36"/>
              <w:bidi w:val="0"/>
              <w:rPr>
                <w:b/>
                <w:bCs/>
                <w:color w:val="auto"/>
              </w:rPr>
            </w:pPr>
            <w:r>
              <w:rPr>
                <w:b/>
                <w:bCs/>
                <w:color w:val="auto"/>
              </w:rPr>
              <w:t>（2）排涝标准</w:t>
            </w:r>
          </w:p>
          <w:p w14:paraId="31894F34">
            <w:pPr>
              <w:pStyle w:val="36"/>
              <w:bidi w:val="0"/>
              <w:rPr>
                <w:color w:val="auto"/>
              </w:rPr>
            </w:pPr>
            <w:r>
              <w:rPr>
                <w:color w:val="auto"/>
              </w:rPr>
              <w:t>排涝规划是防洪工程规划的重要组成部分，天然情况下，河段的水灾主要是洪水造成的，涝灾不明显。但实施堤防工程后，防护区的涝水无法自然排出，将导致涝灾。因此，在进行防洪整治工程设计时，应进行相应的治涝规划，提出合理的工程措施，解决内涝问题。</w:t>
            </w:r>
          </w:p>
          <w:p w14:paraId="630868CC">
            <w:pPr>
              <w:pStyle w:val="36"/>
              <w:bidi w:val="0"/>
              <w:rPr>
                <w:rFonts w:hint="eastAsia"/>
                <w:color w:val="auto"/>
              </w:rPr>
            </w:pPr>
            <w:r>
              <w:rPr>
                <w:rFonts w:hint="eastAsia"/>
                <w:color w:val="auto"/>
              </w:rPr>
              <w:t>治理河段有多条支流汇入，因此，本次排涝规划设计按支流设计洪水及涝区排涝模数进行计算。</w:t>
            </w:r>
          </w:p>
          <w:p w14:paraId="5E292F79">
            <w:pPr>
              <w:pStyle w:val="36"/>
              <w:bidi w:val="0"/>
              <w:rPr>
                <w:rFonts w:hint="eastAsia"/>
                <w:color w:val="auto"/>
              </w:rPr>
            </w:pPr>
            <w:r>
              <w:rPr>
                <w:rFonts w:hint="eastAsia"/>
                <w:color w:val="auto"/>
              </w:rPr>
              <w:t>1</w:t>
            </w:r>
            <w:r>
              <w:rPr>
                <w:rFonts w:hint="eastAsia"/>
                <w:color w:val="auto"/>
                <w:lang w:eastAsia="zh-CN"/>
              </w:rPr>
              <w:t>）</w:t>
            </w:r>
            <w:r>
              <w:rPr>
                <w:rFonts w:hint="eastAsia"/>
                <w:color w:val="auto"/>
              </w:rPr>
              <w:t>支流设计洪水</w:t>
            </w:r>
          </w:p>
          <w:p w14:paraId="34B357CD">
            <w:pPr>
              <w:pStyle w:val="36"/>
              <w:bidi w:val="0"/>
              <w:rPr>
                <w:rFonts w:hint="eastAsia"/>
                <w:color w:val="auto"/>
              </w:rPr>
            </w:pPr>
            <w:r>
              <w:rPr>
                <w:rFonts w:hint="eastAsia"/>
                <w:color w:val="auto"/>
              </w:rPr>
              <w:t>本次治理河段有团箐河、朗碧河、南公河及南马河等支流汇入，根据径流面积和暴雨分区采用暴雨洪水修正法计算支流设计洪水。</w:t>
            </w:r>
          </w:p>
          <w:p w14:paraId="6224B6B5">
            <w:pPr>
              <w:pStyle w:val="36"/>
              <w:bidi w:val="0"/>
              <w:rPr>
                <w:rFonts w:hint="eastAsia"/>
                <w:color w:val="auto"/>
              </w:rPr>
            </w:pPr>
            <w:r>
              <w:rPr>
                <w:rFonts w:hint="eastAsia"/>
                <w:color w:val="auto"/>
              </w:rPr>
              <w:t>2</w:t>
            </w:r>
            <w:r>
              <w:rPr>
                <w:rFonts w:hint="eastAsia"/>
                <w:color w:val="auto"/>
                <w:lang w:eastAsia="zh-CN"/>
              </w:rPr>
              <w:t>）</w:t>
            </w:r>
            <w:r>
              <w:rPr>
                <w:rFonts w:hint="eastAsia"/>
                <w:color w:val="auto"/>
              </w:rPr>
              <w:t>涝区排涝模数</w:t>
            </w:r>
          </w:p>
          <w:p w14:paraId="2BFFD4BC">
            <w:pPr>
              <w:pStyle w:val="36"/>
              <w:bidi w:val="0"/>
              <w:rPr>
                <w:b/>
                <w:bCs/>
                <w:color w:val="auto"/>
              </w:rPr>
            </w:pPr>
            <w:r>
              <w:rPr>
                <w:rFonts w:hint="eastAsia"/>
                <w:color w:val="auto"/>
              </w:rPr>
              <w:t>本工程两岸均为基本农田，种植水稻，因此仅需计算水田排涝模数。根据《农田排水工程技术规范》（SL/T4-2020）水田排涝模数公式计算，5年一遇水田排涝模数M水田=0.27m</w:t>
            </w:r>
            <w:r>
              <w:rPr>
                <w:rFonts w:hint="eastAsia"/>
                <w:color w:val="auto"/>
                <w:vertAlign w:val="superscript"/>
              </w:rPr>
              <w:t>3</w:t>
            </w:r>
            <w:r>
              <w:rPr>
                <w:rFonts w:hint="eastAsia"/>
                <w:color w:val="auto"/>
              </w:rPr>
              <w:t>/s·km</w:t>
            </w:r>
            <w:r>
              <w:rPr>
                <w:rFonts w:hint="eastAsia"/>
                <w:color w:val="auto"/>
                <w:vertAlign w:val="superscript"/>
              </w:rPr>
              <w:t>2</w:t>
            </w:r>
            <w:r>
              <w:rPr>
                <w:rFonts w:hint="eastAsia"/>
                <w:color w:val="auto"/>
              </w:rPr>
              <w:t>。本工程建成后，共形成8个排涝区，排涝区面积在0.14km</w:t>
            </w:r>
            <w:r>
              <w:rPr>
                <w:rFonts w:hint="eastAsia"/>
                <w:color w:val="auto"/>
                <w:vertAlign w:val="superscript"/>
              </w:rPr>
              <w:t>2</w:t>
            </w:r>
            <w:r>
              <w:rPr>
                <w:rFonts w:hint="eastAsia"/>
                <w:color w:val="auto"/>
              </w:rPr>
              <w:t xml:space="preserve"> ~0.43km</w:t>
            </w:r>
            <w:r>
              <w:rPr>
                <w:rFonts w:hint="eastAsia"/>
                <w:color w:val="auto"/>
                <w:vertAlign w:val="superscript"/>
              </w:rPr>
              <w:t>2</w:t>
            </w:r>
            <w:r>
              <w:rPr>
                <w:rFonts w:hint="eastAsia"/>
                <w:color w:val="auto"/>
              </w:rPr>
              <w:t>之间。</w:t>
            </w:r>
          </w:p>
          <w:p w14:paraId="1218FB35">
            <w:pPr>
              <w:pStyle w:val="36"/>
              <w:bidi w:val="0"/>
              <w:rPr>
                <w:b/>
                <w:bCs/>
                <w:color w:val="auto"/>
              </w:rPr>
            </w:pPr>
            <w:r>
              <w:rPr>
                <w:b/>
                <w:bCs/>
                <w:color w:val="auto"/>
                <w:lang w:val="en-US" w:eastAsia="zh-CN"/>
              </w:rPr>
              <w:t>（3）</w:t>
            </w:r>
            <w:r>
              <w:rPr>
                <w:b/>
                <w:bCs/>
                <w:color w:val="auto"/>
              </w:rPr>
              <w:t>建筑物级别</w:t>
            </w:r>
          </w:p>
          <w:p w14:paraId="3CC43F2F">
            <w:pPr>
              <w:pStyle w:val="36"/>
              <w:bidi w:val="0"/>
              <w:rPr>
                <w:color w:val="auto"/>
              </w:rPr>
            </w:pPr>
            <w:r>
              <w:rPr>
                <w:rFonts w:hint="eastAsia"/>
                <w:color w:val="auto"/>
              </w:rPr>
              <w:t>芒市果朗河大新寨至芒里大桥段治理工程级别为5级，主要建筑物级别为5级，次要建筑物级别为5级。。</w:t>
            </w:r>
          </w:p>
          <w:p w14:paraId="1F413B2C">
            <w:pPr>
              <w:pStyle w:val="36"/>
              <w:bidi w:val="0"/>
              <w:rPr>
                <w:b/>
                <w:bCs/>
                <w:color w:val="auto"/>
              </w:rPr>
            </w:pPr>
            <w:r>
              <w:rPr>
                <w:rFonts w:hint="eastAsia"/>
                <w:b/>
                <w:bCs/>
                <w:color w:val="auto"/>
                <w:lang w:eastAsia="zh-CN"/>
              </w:rPr>
              <w:t>三</w:t>
            </w:r>
            <w:r>
              <w:rPr>
                <w:b/>
                <w:bCs/>
                <w:color w:val="auto"/>
              </w:rPr>
              <w:t>、工程内容和规模</w:t>
            </w:r>
          </w:p>
          <w:p w14:paraId="5AF221B8">
            <w:pPr>
              <w:pStyle w:val="36"/>
              <w:bidi w:val="0"/>
              <w:rPr>
                <w:rFonts w:hint="default" w:eastAsia="宋体"/>
                <w:b/>
                <w:bCs/>
                <w:color w:val="auto"/>
                <w:lang w:val="en-US" w:eastAsia="zh-CN"/>
              </w:rPr>
            </w:pPr>
            <w:r>
              <w:rPr>
                <w:rFonts w:hint="eastAsia"/>
                <w:color w:val="auto"/>
              </w:rPr>
              <w:t>芒市果朗河大新寨至芒里大桥段治理工程位于云南省</w:t>
            </w:r>
            <w:r>
              <w:rPr>
                <w:rFonts w:hint="eastAsia"/>
                <w:color w:val="auto"/>
                <w:lang w:eastAsia="zh-CN"/>
              </w:rPr>
              <w:t>德宏傣族景颇族自治州芒市境内，工程</w:t>
            </w:r>
            <w:r>
              <w:rPr>
                <w:color w:val="auto"/>
              </w:rPr>
              <w:t>治理河道总长</w:t>
            </w:r>
            <w:r>
              <w:rPr>
                <w:rFonts w:hint="eastAsia"/>
                <w:color w:val="auto"/>
                <w:lang w:val="en-US" w:eastAsia="zh-CN"/>
              </w:rPr>
              <w:t>20.23</w:t>
            </w:r>
            <w:r>
              <w:rPr>
                <w:color w:val="auto"/>
              </w:rPr>
              <w:t>km。</w:t>
            </w:r>
            <w:r>
              <w:rPr>
                <w:rFonts w:hint="eastAsia"/>
                <w:b/>
                <w:bCs/>
                <w:color w:val="auto"/>
                <w:lang w:val="en-US" w:eastAsia="zh-CN"/>
              </w:rPr>
              <w:t>项目治理内容仅为河堤的建设，不涉及河道疏浚工程。</w:t>
            </w:r>
          </w:p>
          <w:p w14:paraId="2C12514D">
            <w:pPr>
              <w:spacing w:before="78" w:line="359" w:lineRule="auto"/>
              <w:ind w:left="15" w:firstLine="488"/>
              <w:rPr>
                <w:color w:val="auto"/>
              </w:rPr>
            </w:pPr>
            <w:r>
              <w:rPr>
                <w:rFonts w:ascii="宋体" w:hAnsi="宋体" w:eastAsia="宋体" w:cs="宋体"/>
                <w:sz w:val="24"/>
                <w:szCs w:val="24"/>
              </w:rPr>
              <w:t>芒市果朗河大新寨至芒里大桥段治理工程治理起点为勐戛镇大新寨村，治理终</w:t>
            </w:r>
            <w:r>
              <w:rPr>
                <w:rFonts w:ascii="宋体" w:hAnsi="宋体" w:eastAsia="宋体" w:cs="宋体"/>
                <w:spacing w:val="7"/>
                <w:sz w:val="24"/>
                <w:szCs w:val="24"/>
              </w:rPr>
              <w:t>点为风平镇芒里村芒里大桥，河长</w:t>
            </w:r>
            <w:r>
              <w:rPr>
                <w:rFonts w:ascii="宋体" w:hAnsi="宋体" w:eastAsia="宋体" w:cs="宋体"/>
                <w:spacing w:val="-40"/>
                <w:sz w:val="24"/>
                <w:szCs w:val="24"/>
              </w:rPr>
              <w:t xml:space="preserve"> </w:t>
            </w:r>
            <w:r>
              <w:rPr>
                <w:rFonts w:ascii="Times New Roman" w:hAnsi="Times New Roman" w:eastAsia="Times New Roman" w:cs="Times New Roman"/>
                <w:spacing w:val="7"/>
                <w:sz w:val="24"/>
                <w:szCs w:val="24"/>
              </w:rPr>
              <w:t>34.44</w:t>
            </w:r>
            <w:r>
              <w:rPr>
                <w:rFonts w:ascii="Times New Roman" w:hAnsi="Times New Roman" w:eastAsia="Times New Roman" w:cs="Times New Roman"/>
                <w:sz w:val="24"/>
                <w:szCs w:val="24"/>
              </w:rPr>
              <w:t>km</w:t>
            </w:r>
            <w:r>
              <w:rPr>
                <w:rFonts w:ascii="宋体" w:hAnsi="宋体" w:eastAsia="宋体" w:cs="宋体"/>
                <w:spacing w:val="7"/>
                <w:sz w:val="24"/>
                <w:szCs w:val="24"/>
              </w:rPr>
              <w:t>，</w:t>
            </w:r>
            <w:r>
              <w:rPr>
                <w:rFonts w:ascii="宋体" w:hAnsi="宋体" w:eastAsia="宋体" w:cs="宋体"/>
                <w:spacing w:val="6"/>
                <w:sz w:val="24"/>
                <w:szCs w:val="24"/>
              </w:rPr>
              <w:t>河道治理长度为</w:t>
            </w:r>
            <w:r>
              <w:rPr>
                <w:rFonts w:ascii="Times New Roman" w:hAnsi="Times New Roman" w:eastAsia="Times New Roman" w:cs="Times New Roman"/>
                <w:spacing w:val="6"/>
                <w:sz w:val="24"/>
                <w:szCs w:val="24"/>
              </w:rPr>
              <w:t>20.23</w:t>
            </w:r>
            <w:r>
              <w:rPr>
                <w:rFonts w:ascii="Times New Roman" w:hAnsi="Times New Roman" w:eastAsia="Times New Roman" w:cs="Times New Roman"/>
                <w:sz w:val="24"/>
                <w:szCs w:val="24"/>
              </w:rPr>
              <w:t>km</w:t>
            </w:r>
            <w:r>
              <w:rPr>
                <w:rFonts w:ascii="宋体" w:hAnsi="宋体" w:eastAsia="宋体" w:cs="宋体"/>
                <w:spacing w:val="6"/>
                <w:sz w:val="24"/>
                <w:szCs w:val="24"/>
              </w:rPr>
              <w:t>。勐戛段</w:t>
            </w:r>
            <w:r>
              <w:rPr>
                <w:rFonts w:ascii="Times New Roman" w:hAnsi="Times New Roman" w:eastAsia="Times New Roman" w:cs="Times New Roman"/>
                <w:spacing w:val="-2"/>
                <w:sz w:val="24"/>
                <w:szCs w:val="24"/>
              </w:rPr>
              <w:t>K5+000~K12+350</w:t>
            </w:r>
            <w:r>
              <w:rPr>
                <w:rFonts w:ascii="宋体" w:hAnsi="宋体" w:eastAsia="宋体" w:cs="宋体"/>
                <w:spacing w:val="-2"/>
                <w:sz w:val="24"/>
                <w:szCs w:val="24"/>
              </w:rPr>
              <w:t>河长</w:t>
            </w:r>
            <w:r>
              <w:rPr>
                <w:rFonts w:ascii="Times New Roman" w:hAnsi="Times New Roman" w:eastAsia="Times New Roman" w:cs="Times New Roman"/>
                <w:spacing w:val="-2"/>
                <w:sz w:val="24"/>
                <w:szCs w:val="24"/>
              </w:rPr>
              <w:t>7.35km</w:t>
            </w:r>
            <w:r>
              <w:rPr>
                <w:rFonts w:ascii="宋体" w:hAnsi="宋体" w:eastAsia="宋体" w:cs="宋体"/>
                <w:spacing w:val="-2"/>
                <w:sz w:val="24"/>
                <w:szCs w:val="24"/>
              </w:rPr>
              <w:t>，治理河道长</w:t>
            </w:r>
            <w:r>
              <w:rPr>
                <w:rFonts w:ascii="Times New Roman" w:hAnsi="Times New Roman" w:eastAsia="Times New Roman" w:cs="Times New Roman"/>
                <w:spacing w:val="-2"/>
                <w:sz w:val="24"/>
                <w:szCs w:val="24"/>
              </w:rPr>
              <w:t>7.35km</w:t>
            </w:r>
            <w:r>
              <w:rPr>
                <w:rFonts w:ascii="宋体" w:hAnsi="宋体" w:eastAsia="宋体" w:cs="宋体"/>
                <w:spacing w:val="-2"/>
                <w:sz w:val="24"/>
                <w:szCs w:val="24"/>
              </w:rPr>
              <w:t>，新建钢筋石笼护岸</w:t>
            </w:r>
            <w:r>
              <w:rPr>
                <w:rFonts w:ascii="Times New Roman" w:hAnsi="Times New Roman" w:eastAsia="Times New Roman" w:cs="Times New Roman"/>
                <w:spacing w:val="-2"/>
                <w:sz w:val="24"/>
                <w:szCs w:val="24"/>
              </w:rPr>
              <w:t>10.0</w:t>
            </w:r>
            <w:r>
              <w:rPr>
                <w:rFonts w:ascii="Times New Roman" w:hAnsi="Times New Roman" w:eastAsia="Times New Roman" w:cs="Times New Roman"/>
                <w:spacing w:val="-3"/>
                <w:sz w:val="24"/>
                <w:szCs w:val="24"/>
              </w:rPr>
              <w:t>7km</w:t>
            </w:r>
            <w:r>
              <w:rPr>
                <w:rFonts w:ascii="宋体" w:hAnsi="宋体" w:eastAsia="宋体" w:cs="宋体"/>
                <w:spacing w:val="-3"/>
                <w:sz w:val="24"/>
                <w:szCs w:val="24"/>
              </w:rPr>
              <w:t>；</w:t>
            </w:r>
            <w:r>
              <w:rPr>
                <w:rFonts w:ascii="宋体" w:hAnsi="宋体" w:eastAsia="宋体" w:cs="宋体"/>
                <w:spacing w:val="2"/>
                <w:sz w:val="24"/>
                <w:szCs w:val="24"/>
              </w:rPr>
              <w:t>勐稳段</w:t>
            </w:r>
            <w:r>
              <w:rPr>
                <w:rFonts w:ascii="宋体" w:hAnsi="宋体" w:eastAsia="宋体" w:cs="宋体"/>
                <w:spacing w:val="-46"/>
                <w:sz w:val="24"/>
                <w:szCs w:val="24"/>
              </w:rPr>
              <w:t xml:space="preserve"> </w:t>
            </w:r>
            <w:r>
              <w:rPr>
                <w:rFonts w:ascii="Times New Roman" w:hAnsi="Times New Roman" w:eastAsia="Times New Roman" w:cs="Times New Roman"/>
                <w:spacing w:val="2"/>
                <w:sz w:val="24"/>
                <w:szCs w:val="24"/>
              </w:rPr>
              <w:t>K14+275~K20+200</w:t>
            </w:r>
            <w:r>
              <w:rPr>
                <w:rFonts w:ascii="宋体" w:hAnsi="宋体" w:eastAsia="宋体" w:cs="宋体"/>
                <w:spacing w:val="2"/>
                <w:sz w:val="24"/>
                <w:szCs w:val="24"/>
              </w:rPr>
              <w:t>河长</w:t>
            </w:r>
            <w:r>
              <w:rPr>
                <w:rFonts w:ascii="宋体" w:hAnsi="宋体" w:eastAsia="宋体" w:cs="宋体"/>
                <w:spacing w:val="-37"/>
                <w:sz w:val="24"/>
                <w:szCs w:val="24"/>
              </w:rPr>
              <w:t xml:space="preserve"> </w:t>
            </w:r>
            <w:r>
              <w:rPr>
                <w:rFonts w:ascii="Times New Roman" w:hAnsi="Times New Roman" w:eastAsia="Times New Roman" w:cs="Times New Roman"/>
                <w:spacing w:val="2"/>
                <w:sz w:val="24"/>
                <w:szCs w:val="24"/>
              </w:rPr>
              <w:t>5.</w:t>
            </w:r>
            <w:r>
              <w:rPr>
                <w:rFonts w:ascii="Times New Roman" w:hAnsi="Times New Roman" w:eastAsia="Times New Roman" w:cs="Times New Roman"/>
                <w:spacing w:val="1"/>
                <w:sz w:val="24"/>
                <w:szCs w:val="24"/>
              </w:rPr>
              <w:t>92</w:t>
            </w:r>
            <w:r>
              <w:rPr>
                <w:rFonts w:ascii="Times New Roman" w:hAnsi="Times New Roman" w:eastAsia="Times New Roman" w:cs="Times New Roman"/>
                <w:sz w:val="24"/>
                <w:szCs w:val="24"/>
              </w:rPr>
              <w:t>km</w:t>
            </w:r>
            <w:r>
              <w:rPr>
                <w:rFonts w:ascii="宋体" w:hAnsi="宋体" w:eastAsia="宋体" w:cs="宋体"/>
                <w:spacing w:val="1"/>
                <w:sz w:val="24"/>
                <w:szCs w:val="24"/>
              </w:rPr>
              <w:t>，治理道河长</w:t>
            </w:r>
            <w:r>
              <w:rPr>
                <w:rFonts w:ascii="Times New Roman" w:hAnsi="Times New Roman" w:eastAsia="Times New Roman" w:cs="Times New Roman"/>
                <w:spacing w:val="1"/>
                <w:sz w:val="24"/>
                <w:szCs w:val="24"/>
              </w:rPr>
              <w:t>5.92</w:t>
            </w:r>
            <w:r>
              <w:rPr>
                <w:rFonts w:ascii="Times New Roman" w:hAnsi="Times New Roman" w:eastAsia="Times New Roman" w:cs="Times New Roman"/>
                <w:sz w:val="24"/>
                <w:szCs w:val="24"/>
              </w:rPr>
              <w:t>km</w:t>
            </w:r>
            <w:r>
              <w:rPr>
                <w:rFonts w:ascii="宋体" w:hAnsi="宋体" w:eastAsia="宋体" w:cs="宋体"/>
                <w:spacing w:val="1"/>
                <w:sz w:val="24"/>
                <w:szCs w:val="24"/>
              </w:rPr>
              <w:t>，新建钢筋石笼护岸</w:t>
            </w:r>
            <w:r>
              <w:rPr>
                <w:rFonts w:ascii="Times New Roman" w:hAnsi="Times New Roman" w:eastAsia="Times New Roman" w:cs="Times New Roman"/>
                <w:spacing w:val="-2"/>
                <w:sz w:val="24"/>
                <w:szCs w:val="24"/>
              </w:rPr>
              <w:t>7.44km</w:t>
            </w:r>
            <w:r>
              <w:rPr>
                <w:rFonts w:ascii="宋体" w:hAnsi="宋体" w:eastAsia="宋体" w:cs="宋体"/>
                <w:spacing w:val="-2"/>
                <w:sz w:val="24"/>
                <w:szCs w:val="24"/>
              </w:rPr>
              <w:t>；干沟坪段</w:t>
            </w:r>
            <w:r>
              <w:rPr>
                <w:rFonts w:ascii="宋体" w:hAnsi="宋体" w:eastAsia="宋体" w:cs="宋体"/>
                <w:spacing w:val="-48"/>
                <w:sz w:val="24"/>
                <w:szCs w:val="24"/>
              </w:rPr>
              <w:t xml:space="preserve"> </w:t>
            </w:r>
            <w:r>
              <w:rPr>
                <w:rFonts w:ascii="Times New Roman" w:hAnsi="Times New Roman" w:eastAsia="Times New Roman" w:cs="Times New Roman"/>
                <w:spacing w:val="-2"/>
                <w:sz w:val="24"/>
                <w:szCs w:val="24"/>
              </w:rPr>
              <w:t>K24+250~K29+460</w:t>
            </w:r>
            <w:r>
              <w:rPr>
                <w:rFonts w:ascii="宋体" w:hAnsi="宋体" w:eastAsia="宋体" w:cs="宋体"/>
                <w:spacing w:val="-2"/>
                <w:sz w:val="24"/>
                <w:szCs w:val="24"/>
              </w:rPr>
              <w:t>河长</w:t>
            </w:r>
            <w:r>
              <w:rPr>
                <w:rFonts w:ascii="Times New Roman" w:hAnsi="Times New Roman" w:eastAsia="Times New Roman" w:cs="Times New Roman"/>
                <w:spacing w:val="-2"/>
                <w:sz w:val="24"/>
                <w:szCs w:val="24"/>
              </w:rPr>
              <w:t>5.21km</w:t>
            </w:r>
            <w:r>
              <w:rPr>
                <w:rFonts w:ascii="宋体" w:hAnsi="宋体" w:eastAsia="宋体" w:cs="宋体"/>
                <w:spacing w:val="-2"/>
                <w:sz w:val="24"/>
                <w:szCs w:val="24"/>
              </w:rPr>
              <w:t>，治理河道长</w:t>
            </w:r>
            <w:r>
              <w:rPr>
                <w:rFonts w:ascii="Times New Roman" w:hAnsi="Times New Roman" w:eastAsia="Times New Roman" w:cs="Times New Roman"/>
                <w:spacing w:val="-2"/>
                <w:sz w:val="24"/>
                <w:szCs w:val="24"/>
              </w:rPr>
              <w:t>4.39km</w:t>
            </w:r>
            <w:r>
              <w:rPr>
                <w:rFonts w:ascii="Times New Roman" w:hAnsi="Times New Roman" w:eastAsia="Times New Roman" w:cs="Times New Roman"/>
                <w:spacing w:val="-30"/>
                <w:sz w:val="24"/>
                <w:szCs w:val="24"/>
              </w:rPr>
              <w:t xml:space="preserve"> </w:t>
            </w:r>
            <w:r>
              <w:rPr>
                <w:rFonts w:ascii="宋体" w:hAnsi="宋体" w:eastAsia="宋体" w:cs="宋体"/>
                <w:spacing w:val="-2"/>
                <w:sz w:val="24"/>
                <w:szCs w:val="24"/>
              </w:rPr>
              <w:t>，新建钢筋石笼护岸</w:t>
            </w:r>
            <w:r>
              <w:rPr>
                <w:rFonts w:ascii="Times New Roman" w:hAnsi="Times New Roman" w:eastAsia="Times New Roman" w:cs="Times New Roman"/>
                <w:spacing w:val="-2"/>
                <w:sz w:val="24"/>
                <w:szCs w:val="24"/>
              </w:rPr>
              <w:t>6.14km</w:t>
            </w:r>
            <w:r>
              <w:rPr>
                <w:rFonts w:ascii="宋体" w:hAnsi="宋体" w:eastAsia="宋体" w:cs="宋体"/>
                <w:spacing w:val="-2"/>
                <w:sz w:val="24"/>
                <w:szCs w:val="24"/>
              </w:rPr>
              <w:t>；芒里段</w:t>
            </w:r>
            <w:r>
              <w:rPr>
                <w:rFonts w:ascii="Times New Roman" w:hAnsi="Times New Roman" w:eastAsia="Times New Roman" w:cs="Times New Roman"/>
                <w:spacing w:val="-2"/>
                <w:sz w:val="24"/>
                <w:szCs w:val="24"/>
              </w:rPr>
              <w:t>K31+870~K3</w:t>
            </w:r>
            <w:r>
              <w:rPr>
                <w:rFonts w:ascii="Times New Roman" w:hAnsi="Times New Roman" w:eastAsia="Times New Roman" w:cs="Times New Roman"/>
                <w:spacing w:val="-3"/>
                <w:sz w:val="24"/>
                <w:szCs w:val="24"/>
              </w:rPr>
              <w:t>4+435</w:t>
            </w:r>
            <w:r>
              <w:rPr>
                <w:rFonts w:ascii="宋体" w:hAnsi="宋体" w:eastAsia="宋体" w:cs="宋体"/>
                <w:spacing w:val="-3"/>
                <w:sz w:val="24"/>
                <w:szCs w:val="24"/>
              </w:rPr>
              <w:t>河长</w:t>
            </w:r>
            <w:r>
              <w:rPr>
                <w:rFonts w:ascii="Times New Roman" w:hAnsi="Times New Roman" w:eastAsia="Times New Roman" w:cs="Times New Roman"/>
                <w:spacing w:val="-3"/>
                <w:sz w:val="24"/>
                <w:szCs w:val="24"/>
              </w:rPr>
              <w:t>2.57km</w:t>
            </w:r>
            <w:r>
              <w:rPr>
                <w:rFonts w:ascii="宋体" w:hAnsi="宋体" w:eastAsia="宋体" w:cs="宋体"/>
                <w:spacing w:val="-3"/>
                <w:sz w:val="24"/>
                <w:szCs w:val="24"/>
              </w:rPr>
              <w:t>，治理河道长</w:t>
            </w:r>
            <w:r>
              <w:rPr>
                <w:rFonts w:ascii="Times New Roman" w:hAnsi="Times New Roman" w:eastAsia="Times New Roman" w:cs="Times New Roman"/>
                <w:spacing w:val="-3"/>
                <w:sz w:val="24"/>
                <w:szCs w:val="24"/>
              </w:rPr>
              <w:t>2.57km</w:t>
            </w:r>
            <w:r>
              <w:rPr>
                <w:rFonts w:ascii="宋体" w:hAnsi="宋体" w:eastAsia="宋体" w:cs="宋体"/>
                <w:spacing w:val="-3"/>
                <w:sz w:val="24"/>
                <w:szCs w:val="24"/>
              </w:rPr>
              <w:t>，新</w:t>
            </w:r>
            <w:r>
              <w:rPr>
                <w:rFonts w:ascii="宋体" w:hAnsi="宋体" w:eastAsia="宋体" w:cs="宋体"/>
                <w:spacing w:val="-4"/>
                <w:sz w:val="24"/>
                <w:szCs w:val="24"/>
              </w:rPr>
              <w:t>建钢筋石笼护岸</w:t>
            </w:r>
            <w:r>
              <w:rPr>
                <w:rFonts w:ascii="Times New Roman" w:hAnsi="Times New Roman" w:eastAsia="Times New Roman" w:cs="Times New Roman"/>
                <w:spacing w:val="-4"/>
                <w:sz w:val="24"/>
                <w:szCs w:val="24"/>
              </w:rPr>
              <w:t>2.08km</w:t>
            </w:r>
            <w:r>
              <w:rPr>
                <w:rFonts w:ascii="宋体" w:hAnsi="宋体" w:eastAsia="宋体" w:cs="宋体"/>
                <w:spacing w:val="-4"/>
                <w:sz w:val="24"/>
                <w:szCs w:val="24"/>
              </w:rPr>
              <w:t>，新建钢筋石笼护脚</w:t>
            </w:r>
            <w:r>
              <w:rPr>
                <w:rFonts w:ascii="Times New Roman" w:hAnsi="Times New Roman" w:eastAsia="Times New Roman" w:cs="Times New Roman"/>
                <w:spacing w:val="-4"/>
                <w:sz w:val="24"/>
                <w:szCs w:val="24"/>
              </w:rPr>
              <w:t>+</w:t>
            </w:r>
            <w:r>
              <w:rPr>
                <w:rFonts w:ascii="宋体" w:hAnsi="宋体" w:eastAsia="宋体" w:cs="宋体"/>
                <w:spacing w:val="-4"/>
                <w:sz w:val="24"/>
                <w:szCs w:val="24"/>
              </w:rPr>
              <w:t>堤防</w:t>
            </w:r>
            <w:r>
              <w:rPr>
                <w:rFonts w:ascii="Times New Roman" w:hAnsi="Times New Roman" w:eastAsia="Times New Roman" w:cs="Times New Roman"/>
                <w:spacing w:val="-4"/>
                <w:sz w:val="24"/>
                <w:szCs w:val="24"/>
              </w:rPr>
              <w:t>2.70km</w:t>
            </w:r>
            <w:r>
              <w:rPr>
                <w:rFonts w:ascii="宋体" w:hAnsi="宋体" w:eastAsia="宋体" w:cs="宋体"/>
                <w:spacing w:val="-4"/>
                <w:sz w:val="24"/>
                <w:szCs w:val="24"/>
              </w:rPr>
              <w:t>。合计治理河道长</w:t>
            </w:r>
            <w:r>
              <w:rPr>
                <w:rFonts w:ascii="Times New Roman" w:hAnsi="Times New Roman" w:eastAsia="Times New Roman" w:cs="Times New Roman"/>
                <w:spacing w:val="-4"/>
                <w:sz w:val="24"/>
                <w:szCs w:val="24"/>
              </w:rPr>
              <w:t>20.23km</w:t>
            </w:r>
            <w:r>
              <w:rPr>
                <w:rFonts w:ascii="宋体" w:hAnsi="宋体" w:eastAsia="宋体" w:cs="宋体"/>
                <w:spacing w:val="-4"/>
                <w:sz w:val="24"/>
                <w:szCs w:val="24"/>
              </w:rPr>
              <w:t>，</w:t>
            </w:r>
            <w:r>
              <w:rPr>
                <w:rFonts w:ascii="宋体" w:hAnsi="宋体" w:eastAsia="宋体" w:cs="宋体"/>
                <w:spacing w:val="-2"/>
                <w:sz w:val="24"/>
                <w:szCs w:val="24"/>
              </w:rPr>
              <w:t>新建钢筋石笼护岸</w:t>
            </w:r>
            <w:r>
              <w:rPr>
                <w:rFonts w:ascii="Times New Roman" w:hAnsi="Times New Roman" w:eastAsia="Times New Roman" w:cs="Times New Roman"/>
                <w:spacing w:val="-2"/>
                <w:sz w:val="24"/>
                <w:szCs w:val="24"/>
              </w:rPr>
              <w:t>25.73km</w:t>
            </w:r>
            <w:r>
              <w:rPr>
                <w:rFonts w:ascii="宋体" w:hAnsi="宋体" w:eastAsia="宋体" w:cs="宋体"/>
                <w:spacing w:val="-2"/>
                <w:sz w:val="24"/>
                <w:szCs w:val="24"/>
              </w:rPr>
              <w:t>，新建钢筋石笼护脚</w:t>
            </w:r>
            <w:r>
              <w:rPr>
                <w:rFonts w:ascii="Times New Roman" w:hAnsi="Times New Roman" w:eastAsia="Times New Roman" w:cs="Times New Roman"/>
                <w:spacing w:val="-2"/>
                <w:sz w:val="24"/>
                <w:szCs w:val="24"/>
              </w:rPr>
              <w:t>+</w:t>
            </w:r>
            <w:r>
              <w:rPr>
                <w:rFonts w:ascii="宋体" w:hAnsi="宋体" w:eastAsia="宋体" w:cs="宋体"/>
                <w:spacing w:val="-2"/>
                <w:sz w:val="24"/>
                <w:szCs w:val="24"/>
              </w:rPr>
              <w:t>堤防</w:t>
            </w:r>
            <w:r>
              <w:rPr>
                <w:rFonts w:ascii="Times New Roman" w:hAnsi="Times New Roman" w:eastAsia="Times New Roman" w:cs="Times New Roman"/>
                <w:spacing w:val="-2"/>
                <w:sz w:val="24"/>
                <w:szCs w:val="24"/>
              </w:rPr>
              <w:t>2.70km</w:t>
            </w:r>
            <w:r>
              <w:rPr>
                <w:rFonts w:ascii="Times New Roman" w:hAnsi="Times New Roman" w:eastAsia="Times New Roman" w:cs="Times New Roman"/>
                <w:spacing w:val="-30"/>
                <w:sz w:val="24"/>
                <w:szCs w:val="24"/>
              </w:rPr>
              <w:t xml:space="preserve"> </w:t>
            </w:r>
            <w:r>
              <w:rPr>
                <w:rFonts w:ascii="宋体" w:hAnsi="宋体" w:eastAsia="宋体" w:cs="宋体"/>
                <w:spacing w:val="-2"/>
                <w:sz w:val="24"/>
                <w:szCs w:val="24"/>
              </w:rPr>
              <w:t>，排涝涵管</w:t>
            </w:r>
            <w:r>
              <w:rPr>
                <w:rFonts w:hint="default" w:ascii="Times New Roman" w:hAnsi="Times New Roman" w:eastAsia="宋体" w:cs="Times New Roman"/>
                <w:spacing w:val="-2"/>
                <w:sz w:val="24"/>
                <w:szCs w:val="24"/>
                <w:lang w:val="en-US" w:eastAsia="zh-CN"/>
              </w:rPr>
              <w:t>7</w:t>
            </w:r>
            <w:r>
              <w:rPr>
                <w:rFonts w:hint="default" w:ascii="Times New Roman" w:hAnsi="Times New Roman" w:eastAsia="Times New Roman" w:cs="Times New Roman"/>
                <w:spacing w:val="-2"/>
                <w:sz w:val="24"/>
                <w:szCs w:val="24"/>
              </w:rPr>
              <w:t>5</w:t>
            </w:r>
            <w:r>
              <w:rPr>
                <w:rFonts w:ascii="宋体" w:hAnsi="宋体" w:eastAsia="宋体" w:cs="宋体"/>
                <w:spacing w:val="-2"/>
                <w:sz w:val="24"/>
                <w:szCs w:val="24"/>
              </w:rPr>
              <w:t>处，种植橘子树</w:t>
            </w:r>
            <w:r>
              <w:rPr>
                <w:rFonts w:ascii="Times New Roman" w:hAnsi="Times New Roman" w:eastAsia="Times New Roman" w:cs="Times New Roman"/>
                <w:spacing w:val="-2"/>
                <w:sz w:val="24"/>
                <w:szCs w:val="24"/>
              </w:rPr>
              <w:t>5395</w:t>
            </w:r>
            <w:r>
              <w:rPr>
                <w:rFonts w:ascii="宋体" w:hAnsi="宋体" w:eastAsia="宋体" w:cs="宋体"/>
                <w:spacing w:val="-2"/>
                <w:sz w:val="24"/>
                <w:szCs w:val="24"/>
              </w:rPr>
              <w:t>棵，种植草皮护坡</w:t>
            </w:r>
            <w:r>
              <w:rPr>
                <w:rFonts w:ascii="Times New Roman" w:hAnsi="Times New Roman" w:eastAsia="Times New Roman" w:cs="Times New Roman"/>
                <w:spacing w:val="-2"/>
                <w:sz w:val="24"/>
                <w:szCs w:val="24"/>
              </w:rPr>
              <w:t>7057m</w:t>
            </w:r>
            <w:r>
              <w:rPr>
                <w:rFonts w:ascii="Times New Roman" w:hAnsi="Times New Roman" w:eastAsia="Times New Roman" w:cs="Times New Roman"/>
                <w:spacing w:val="-2"/>
                <w:position w:val="7"/>
                <w:sz w:val="15"/>
                <w:szCs w:val="15"/>
              </w:rPr>
              <w:t>2</w:t>
            </w:r>
            <w:r>
              <w:rPr>
                <w:rFonts w:ascii="宋体" w:hAnsi="宋体" w:eastAsia="宋体" w:cs="宋体"/>
                <w:spacing w:val="-2"/>
                <w:sz w:val="24"/>
                <w:szCs w:val="24"/>
              </w:rPr>
              <w:t>。</w:t>
            </w:r>
          </w:p>
          <w:p w14:paraId="0A3B8D4C">
            <w:pPr>
              <w:pStyle w:val="36"/>
              <w:bidi w:val="0"/>
              <w:rPr>
                <w:rFonts w:hint="default"/>
                <w:color w:val="auto"/>
              </w:rPr>
            </w:pPr>
            <w:r>
              <w:rPr>
                <w:color w:val="auto"/>
              </w:rPr>
              <w:t>工程治理主要建设内容组成详见表2-1。</w:t>
            </w:r>
          </w:p>
          <w:p w14:paraId="50D8099B">
            <w:pPr>
              <w:pStyle w:val="31"/>
              <w:bidi w:val="0"/>
              <w:rPr>
                <w:rFonts w:hint="default"/>
                <w:color w:val="auto"/>
              </w:rPr>
            </w:pPr>
            <w:r>
              <w:rPr>
                <w:rFonts w:hint="default"/>
                <w:color w:val="auto"/>
              </w:rPr>
              <w:t>表2-</w:t>
            </w:r>
            <w:r>
              <w:rPr>
                <w:rFonts w:hint="eastAsia"/>
                <w:color w:val="auto"/>
                <w:lang w:val="en-US" w:eastAsia="zh-CN"/>
              </w:rPr>
              <w:t xml:space="preserve">1 </w:t>
            </w:r>
            <w:r>
              <w:rPr>
                <w:rFonts w:hint="default"/>
                <w:color w:val="auto"/>
              </w:rPr>
              <w:t>工程项目组成一览表</w:t>
            </w:r>
          </w:p>
          <w:tbl>
            <w:tblPr>
              <w:tblStyle w:val="46"/>
              <w:tblW w:w="7865"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42"/>
              <w:gridCol w:w="514"/>
              <w:gridCol w:w="686"/>
              <w:gridCol w:w="6223"/>
            </w:tblGrid>
            <w:tr w14:paraId="739D73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0" w:hRule="atLeast"/>
                <w:tblHeader/>
                <w:jc w:val="center"/>
              </w:trPr>
              <w:tc>
                <w:tcPr>
                  <w:tcW w:w="442" w:type="dxa"/>
                  <w:tcBorders>
                    <w:bottom w:val="nil"/>
                  </w:tcBorders>
                  <w:vAlign w:val="center"/>
                </w:tcPr>
                <w:p w14:paraId="5EF22F57">
                  <w:pPr>
                    <w:pStyle w:val="34"/>
                    <w:keepNext/>
                    <w:keepLines w:val="0"/>
                    <w:pageBreakBefore w:val="0"/>
                    <w:widowControl w:val="0"/>
                    <w:kinsoku/>
                    <w:wordWrap/>
                    <w:overflowPunct/>
                    <w:topLinePunct w:val="0"/>
                    <w:autoSpaceDE/>
                    <w:autoSpaceDN/>
                    <w:bidi w:val="0"/>
                    <w:adjustRightInd/>
                    <w:snapToGrid/>
                    <w:textAlignment w:val="auto"/>
                    <w:rPr>
                      <w:rFonts w:hint="eastAsia"/>
                      <w:b/>
                      <w:bCs/>
                      <w:color w:val="auto"/>
                      <w:lang w:eastAsia="zh-CN"/>
                    </w:rPr>
                  </w:pPr>
                  <w:r>
                    <w:rPr>
                      <w:rFonts w:hint="eastAsia"/>
                      <w:b/>
                      <w:bCs/>
                      <w:color w:val="auto"/>
                      <w:lang w:eastAsia="zh-CN"/>
                    </w:rPr>
                    <w:t>工程类别</w:t>
                  </w:r>
                </w:p>
              </w:tc>
              <w:tc>
                <w:tcPr>
                  <w:tcW w:w="1200" w:type="dxa"/>
                  <w:gridSpan w:val="2"/>
                  <w:tcBorders>
                    <w:bottom w:val="nil"/>
                  </w:tcBorders>
                  <w:vAlign w:val="center"/>
                </w:tcPr>
                <w:p w14:paraId="43A22BDE">
                  <w:pPr>
                    <w:pStyle w:val="34"/>
                    <w:keepNext/>
                    <w:keepLines w:val="0"/>
                    <w:pageBreakBefore w:val="0"/>
                    <w:widowControl w:val="0"/>
                    <w:kinsoku/>
                    <w:wordWrap/>
                    <w:overflowPunct/>
                    <w:topLinePunct w:val="0"/>
                    <w:autoSpaceDE/>
                    <w:autoSpaceDN/>
                    <w:bidi w:val="0"/>
                    <w:adjustRightInd/>
                    <w:snapToGrid/>
                    <w:jc w:val="center"/>
                    <w:textAlignment w:val="auto"/>
                    <w:rPr>
                      <w:b/>
                      <w:bCs/>
                      <w:color w:val="auto"/>
                    </w:rPr>
                  </w:pPr>
                  <w:r>
                    <w:rPr>
                      <w:b/>
                      <w:bCs/>
                      <w:color w:val="auto"/>
                    </w:rPr>
                    <w:t>工程名称</w:t>
                  </w:r>
                </w:p>
              </w:tc>
              <w:tc>
                <w:tcPr>
                  <w:tcW w:w="6223" w:type="dxa"/>
                  <w:tcBorders>
                    <w:bottom w:val="single" w:color="auto" w:sz="4" w:space="0"/>
                  </w:tcBorders>
                  <w:vAlign w:val="center"/>
                </w:tcPr>
                <w:p w14:paraId="710F76F6">
                  <w:pPr>
                    <w:pStyle w:val="34"/>
                    <w:keepNext/>
                    <w:keepLines w:val="0"/>
                    <w:pageBreakBefore w:val="0"/>
                    <w:widowControl w:val="0"/>
                    <w:kinsoku/>
                    <w:wordWrap/>
                    <w:overflowPunct/>
                    <w:topLinePunct w:val="0"/>
                    <w:autoSpaceDE/>
                    <w:autoSpaceDN/>
                    <w:bidi w:val="0"/>
                    <w:adjustRightInd/>
                    <w:snapToGrid/>
                    <w:jc w:val="center"/>
                    <w:textAlignment w:val="auto"/>
                    <w:rPr>
                      <w:b/>
                      <w:bCs/>
                      <w:color w:val="auto"/>
                    </w:rPr>
                  </w:pPr>
                  <w:r>
                    <w:rPr>
                      <w:b/>
                      <w:bCs/>
                      <w:color w:val="auto"/>
                    </w:rPr>
                    <w:t>建设内容及规模</w:t>
                  </w:r>
                </w:p>
              </w:tc>
            </w:tr>
            <w:tr w14:paraId="6A61F5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10" w:hRule="atLeast"/>
                <w:tblHeader/>
                <w:jc w:val="center"/>
              </w:trPr>
              <w:tc>
                <w:tcPr>
                  <w:tcW w:w="442" w:type="dxa"/>
                  <w:vMerge w:val="restart"/>
                  <w:tcBorders>
                    <w:top w:val="single" w:color="auto" w:sz="4" w:space="0"/>
                    <w:left w:val="single" w:color="auto" w:sz="4" w:space="0"/>
                  </w:tcBorders>
                  <w:vAlign w:val="center"/>
                </w:tcPr>
                <w:p w14:paraId="3B2D3627">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r>
                    <w:rPr>
                      <w:rFonts w:hint="eastAsia"/>
                      <w:color w:val="auto"/>
                      <w:lang w:eastAsia="zh-CN"/>
                    </w:rPr>
                    <w:t>主体工程</w:t>
                  </w:r>
                </w:p>
              </w:tc>
              <w:tc>
                <w:tcPr>
                  <w:tcW w:w="1200" w:type="dxa"/>
                  <w:gridSpan w:val="2"/>
                  <w:tcBorders>
                    <w:top w:val="single" w:color="auto" w:sz="4" w:space="0"/>
                    <w:bottom w:val="single" w:color="auto" w:sz="4" w:space="0"/>
                  </w:tcBorders>
                  <w:vAlign w:val="center"/>
                </w:tcPr>
                <w:p w14:paraId="589E7D81">
                  <w:pPr>
                    <w:pStyle w:val="34"/>
                    <w:keepNext/>
                    <w:keepLines w:val="0"/>
                    <w:pageBreakBefore w:val="0"/>
                    <w:widowControl w:val="0"/>
                    <w:kinsoku/>
                    <w:wordWrap/>
                    <w:overflowPunct/>
                    <w:topLinePunct w:val="0"/>
                    <w:autoSpaceDE/>
                    <w:autoSpaceDN/>
                    <w:bidi w:val="0"/>
                    <w:adjustRightInd/>
                    <w:snapToGrid/>
                    <w:textAlignment w:val="auto"/>
                    <w:rPr>
                      <w:rFonts w:hint="eastAsia" w:eastAsia="宋体"/>
                      <w:color w:val="auto"/>
                      <w:lang w:eastAsia="zh-CN"/>
                    </w:rPr>
                  </w:pPr>
                  <w:r>
                    <w:rPr>
                      <w:rFonts w:hint="eastAsia"/>
                      <w:color w:val="auto"/>
                      <w:lang w:eastAsia="zh-CN"/>
                    </w:rPr>
                    <w:t>护岸工程</w:t>
                  </w:r>
                </w:p>
              </w:tc>
              <w:tc>
                <w:tcPr>
                  <w:tcW w:w="6223" w:type="dxa"/>
                  <w:tcBorders>
                    <w:top w:val="single" w:color="auto" w:sz="4" w:space="0"/>
                    <w:right w:val="single" w:color="auto" w:sz="4" w:space="0"/>
                  </w:tcBorders>
                  <w:vAlign w:val="center"/>
                </w:tcPr>
                <w:p w14:paraId="7A79D464">
                  <w:pPr>
                    <w:pStyle w:val="34"/>
                    <w:keepNext/>
                    <w:keepLines w:val="0"/>
                    <w:pageBreakBefore w:val="0"/>
                    <w:widowControl w:val="0"/>
                    <w:kinsoku/>
                    <w:wordWrap/>
                    <w:overflowPunct/>
                    <w:topLinePunct w:val="0"/>
                    <w:autoSpaceDE/>
                    <w:autoSpaceDN/>
                    <w:bidi w:val="0"/>
                    <w:adjustRightInd/>
                    <w:snapToGrid/>
                    <w:ind w:firstLine="420" w:firstLineChars="200"/>
                    <w:jc w:val="both"/>
                    <w:textAlignment w:val="auto"/>
                    <w:rPr>
                      <w:color w:val="auto"/>
                    </w:rPr>
                  </w:pPr>
                  <w:r>
                    <w:rPr>
                      <w:rFonts w:hint="default" w:ascii="Times New Roman" w:hAnsi="Times New Roman" w:eastAsia="宋体" w:cs="Times New Roman"/>
                      <w:color w:val="auto"/>
                      <w:sz w:val="21"/>
                      <w:szCs w:val="21"/>
                      <w:lang w:eastAsia="zh-CN"/>
                    </w:rPr>
                    <w:t>芒市果朗河大新寨至芒里大桥段治理工程</w:t>
                  </w:r>
                  <w:r>
                    <w:rPr>
                      <w:rFonts w:hint="default" w:ascii="Times New Roman" w:hAnsi="Times New Roman" w:eastAsia="宋体" w:cs="Times New Roman"/>
                      <w:color w:val="auto"/>
                      <w:spacing w:val="-1"/>
                      <w:sz w:val="21"/>
                      <w:szCs w:val="21"/>
                    </w:rPr>
                    <w:t>选取钢筋石笼护岸为主要护岸结构</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pacing w:val="-1"/>
                      <w:sz w:val="21"/>
                      <w:szCs w:val="21"/>
                    </w:rPr>
                    <w:t>合计新建钢筋石笼护岸</w:t>
                  </w:r>
                  <w:r>
                    <w:rPr>
                      <w:rFonts w:hint="default" w:ascii="Times New Roman" w:hAnsi="Times New Roman" w:eastAsia="宋体" w:cs="Times New Roman"/>
                      <w:color w:val="auto"/>
                      <w:spacing w:val="-55"/>
                      <w:sz w:val="21"/>
                      <w:szCs w:val="21"/>
                    </w:rPr>
                    <w:t xml:space="preserve"> </w:t>
                  </w:r>
                  <w:r>
                    <w:rPr>
                      <w:rFonts w:hint="default" w:ascii="Times New Roman" w:hAnsi="Times New Roman" w:eastAsia="宋体" w:cs="Times New Roman"/>
                      <w:color w:val="auto"/>
                      <w:spacing w:val="-1"/>
                      <w:sz w:val="21"/>
                      <w:szCs w:val="21"/>
                    </w:rPr>
                    <w:t>25.73km。</w:t>
                  </w:r>
                  <w:r>
                    <w:rPr>
                      <w:rFonts w:hint="default" w:ascii="Times New Roman" w:hAnsi="Times New Roman" w:eastAsia="宋体" w:cs="Times New Roman"/>
                      <w:color w:val="auto"/>
                      <w:sz w:val="21"/>
                      <w:szCs w:val="21"/>
                    </w:rPr>
                    <w:t>钢筋石笼护岸采用Φ6@200×200 钢筋双向铰结，基础埋置于河道深泓以下 0.5m，钢筋石笼护岸施工方便、使用寿命长、防冲能力强。断面型式为上部梯形，下部矩 形，梯形顶宽 1.0m ，高 1.5m ，迎水坡及背水坡坡比均为 1:0.2 ，下部矩形迎水面错台 0.5m ，背水面错台0.5m。</w:t>
                  </w:r>
                  <w:r>
                    <w:rPr>
                      <w:rFonts w:hint="default" w:ascii="Times New Roman" w:hAnsi="Times New Roman" w:eastAsia="宋体" w:cs="Times New Roman"/>
                      <w:color w:val="auto"/>
                      <w:sz w:val="21"/>
                      <w:szCs w:val="21"/>
                      <w:lang w:eastAsia="zh-CN"/>
                    </w:rPr>
                    <w:t>勐戛段新建钢筋石笼护岸10.07km；勐稳段新建钢筋石笼护岸7.44km；干沟坪段新建钢筋石笼护岸6.14km；芒里段新建钢筋石笼护岸2.08km；</w:t>
                  </w:r>
                  <w:r>
                    <w:rPr>
                      <w:rFonts w:hint="default" w:ascii="Times New Roman" w:hAnsi="Times New Roman" w:eastAsia="宋体" w:cs="Times New Roman"/>
                      <w:b w:val="0"/>
                      <w:bCs/>
                      <w:color w:val="auto"/>
                      <w:spacing w:val="0"/>
                      <w:position w:val="0"/>
                      <w:sz w:val="21"/>
                      <w:szCs w:val="21"/>
                      <w:vertAlign w:val="baseline"/>
                      <w:lang w:val="en-US" w:eastAsia="zh-CN"/>
                    </w:rPr>
                    <w:t>详细堤型分段见表2-3~2-4。</w:t>
                  </w:r>
                </w:p>
              </w:tc>
            </w:tr>
            <w:tr w14:paraId="1660F3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10" w:hRule="atLeast"/>
                <w:tblHeader/>
                <w:jc w:val="center"/>
              </w:trPr>
              <w:tc>
                <w:tcPr>
                  <w:tcW w:w="442" w:type="dxa"/>
                  <w:vMerge w:val="continue"/>
                  <w:tcBorders>
                    <w:left w:val="single" w:color="auto" w:sz="4" w:space="0"/>
                  </w:tcBorders>
                  <w:vAlign w:val="center"/>
                </w:tcPr>
                <w:p w14:paraId="71F15A68">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1200" w:type="dxa"/>
                  <w:gridSpan w:val="2"/>
                  <w:tcBorders>
                    <w:top w:val="single" w:color="auto" w:sz="4" w:space="0"/>
                    <w:bottom w:val="single" w:color="auto" w:sz="4" w:space="0"/>
                  </w:tcBorders>
                  <w:vAlign w:val="center"/>
                </w:tcPr>
                <w:p w14:paraId="0D314344">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r>
                    <w:rPr>
                      <w:rFonts w:hint="eastAsia"/>
                      <w:color w:val="auto"/>
                      <w:lang w:eastAsia="zh-CN"/>
                    </w:rPr>
                    <w:t>堤防工程</w:t>
                  </w:r>
                </w:p>
              </w:tc>
              <w:tc>
                <w:tcPr>
                  <w:tcW w:w="6223" w:type="dxa"/>
                  <w:tcBorders>
                    <w:top w:val="single" w:color="auto" w:sz="4" w:space="0"/>
                    <w:right w:val="single" w:color="auto" w:sz="4" w:space="0"/>
                  </w:tcBorders>
                  <w:vAlign w:val="center"/>
                </w:tcPr>
                <w:p w14:paraId="7E68E5EF">
                  <w:pPr>
                    <w:spacing w:before="78" w:line="240" w:lineRule="auto"/>
                    <w:ind w:left="15" w:right="59" w:firstLine="488"/>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芒里段K31+870~K34+435河长2.57km，治理河道长2.57km，新建钢筋石笼护脚+堤防2.70km。</w:t>
                  </w:r>
                </w:p>
                <w:p w14:paraId="1FB3EBFF">
                  <w:pPr>
                    <w:pStyle w:val="34"/>
                    <w:keepNext/>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kern w:val="2"/>
                      <w:sz w:val="21"/>
                      <w:szCs w:val="21"/>
                      <w:lang w:val="en-US" w:eastAsia="zh-CN" w:bidi="ar-SA"/>
                    </w:rPr>
                    <w:t>根据防汛、管理、施工、交通等构造要求及堤防建筑物级别，土堤堤顶宽度为3.0m，采用开挖料填筑，堤防的内、外边坡均为1:1.5。根据</w:t>
                  </w:r>
                  <w:r>
                    <w:rPr>
                      <w:rFonts w:hint="default" w:ascii="Times New Roman" w:hAnsi="Times New Roman" w:eastAsia="宋体" w:cs="Times New Roman"/>
                      <w:color w:val="auto"/>
                      <w:sz w:val="21"/>
                      <w:szCs w:val="21"/>
                      <w:lang w:eastAsia="zh-CN"/>
                    </w:rPr>
                    <w:t>《堤防工程设计规范》（GB50286—2013）规定，土堤的填筑标准为：粘土料按压实度确定，压实度不应小于0.91，最优含水率为25.48%，最大干密度为1.45g/m</w:t>
                  </w:r>
                  <w:r>
                    <w:rPr>
                      <w:rFonts w:hint="default" w:ascii="Times New Roman" w:hAnsi="Times New Roman" w:eastAsia="宋体" w:cs="Times New Roman"/>
                      <w:color w:val="auto"/>
                      <w:sz w:val="21"/>
                      <w:szCs w:val="21"/>
                      <w:vertAlign w:val="superscript"/>
                      <w:lang w:eastAsia="zh-CN"/>
                    </w:rPr>
                    <w:t>3</w:t>
                  </w:r>
                  <w:r>
                    <w:rPr>
                      <w:rFonts w:hint="default" w:ascii="Times New Roman" w:hAnsi="Times New Roman" w:eastAsia="宋体" w:cs="Times New Roman"/>
                      <w:color w:val="auto"/>
                      <w:sz w:val="21"/>
                      <w:szCs w:val="21"/>
                      <w:lang w:eastAsia="zh-CN"/>
                    </w:rPr>
                    <w:t>；无黏性土按相对密度确定，相对密度不应小于 0.60。</w:t>
                  </w:r>
                </w:p>
              </w:tc>
            </w:tr>
            <w:tr w14:paraId="307D75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10" w:hRule="atLeast"/>
                <w:tblHeader/>
                <w:jc w:val="center"/>
              </w:trPr>
              <w:tc>
                <w:tcPr>
                  <w:tcW w:w="442" w:type="dxa"/>
                  <w:vMerge w:val="continue"/>
                  <w:tcBorders>
                    <w:left w:val="single" w:color="auto" w:sz="4" w:space="0"/>
                    <w:bottom w:val="single" w:color="auto" w:sz="4" w:space="0"/>
                  </w:tcBorders>
                  <w:vAlign w:val="center"/>
                </w:tcPr>
                <w:p w14:paraId="7EB93115">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1200" w:type="dxa"/>
                  <w:gridSpan w:val="2"/>
                  <w:tcBorders>
                    <w:top w:val="single" w:color="auto" w:sz="4" w:space="0"/>
                    <w:bottom w:val="single" w:color="auto" w:sz="4" w:space="0"/>
                  </w:tcBorders>
                  <w:vAlign w:val="center"/>
                </w:tcPr>
                <w:p w14:paraId="78C0DA6C">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r>
                    <w:rPr>
                      <w:rFonts w:hint="eastAsia"/>
                      <w:color w:val="auto"/>
                      <w:lang w:eastAsia="zh-CN"/>
                    </w:rPr>
                    <w:t>排涝工程</w:t>
                  </w:r>
                </w:p>
              </w:tc>
              <w:tc>
                <w:tcPr>
                  <w:tcW w:w="6223" w:type="dxa"/>
                  <w:tcBorders>
                    <w:top w:val="single" w:color="auto" w:sz="4" w:space="0"/>
                    <w:right w:val="single" w:color="auto" w:sz="4" w:space="0"/>
                  </w:tcBorders>
                  <w:vAlign w:val="center"/>
                </w:tcPr>
                <w:p w14:paraId="1DCBF9E4">
                  <w:pPr>
                    <w:keepNext w:val="0"/>
                    <w:keepLines w:val="0"/>
                    <w:pageBreakBefore w:val="0"/>
                    <w:widowControl w:val="0"/>
                    <w:kinsoku/>
                    <w:wordWrap/>
                    <w:overflowPunct/>
                    <w:topLinePunct w:val="0"/>
                    <w:autoSpaceDE/>
                    <w:autoSpaceDN/>
                    <w:bidi w:val="0"/>
                    <w:adjustRightInd/>
                    <w:snapToGrid/>
                    <w:spacing w:line="240" w:lineRule="auto"/>
                    <w:ind w:left="0" w:right="0" w:firstLine="480"/>
                    <w:textAlignment w:val="auto"/>
                    <w:rPr>
                      <w:rFonts w:hint="default" w:ascii="Times New Roman" w:hAnsi="Times New Roman" w:eastAsia="宋体" w:cs="Times New Roman"/>
                      <w:color w:val="auto"/>
                      <w:spacing w:val="-1"/>
                      <w:kern w:val="2"/>
                      <w:sz w:val="21"/>
                      <w:szCs w:val="21"/>
                      <w:lang w:val="en-US" w:eastAsia="zh-CN" w:bidi="ar-SA"/>
                    </w:rPr>
                  </w:pPr>
                  <w:r>
                    <w:rPr>
                      <w:rFonts w:hint="default" w:ascii="Times New Roman" w:hAnsi="Times New Roman" w:eastAsia="宋体" w:cs="Times New Roman"/>
                      <w:color w:val="auto"/>
                      <w:spacing w:val="-1"/>
                      <w:kern w:val="2"/>
                      <w:sz w:val="21"/>
                      <w:szCs w:val="21"/>
                      <w:lang w:val="en-US" w:eastAsia="zh-CN" w:bidi="ar-SA"/>
                    </w:rPr>
                    <w:t>根据计算的排涝流量，结合地形及分区的具体情况，排涝工程规划布置75个排涝口，根据排涝流量计算，由于分区后排涝面积小，排涝流量小，为方便工程施工，排涝设施尺寸统一采用φ60cm 预应力混凝土管涵管。涝水汇入田间排涝沟，通过排涝涵管（管）进而汇入果朗河。</w:t>
                  </w:r>
                </w:p>
                <w:p w14:paraId="76BDAF88">
                  <w:pPr>
                    <w:keepNext w:val="0"/>
                    <w:keepLines w:val="0"/>
                    <w:pageBreakBefore w:val="0"/>
                    <w:widowControl w:val="0"/>
                    <w:kinsoku/>
                    <w:wordWrap/>
                    <w:overflowPunct/>
                    <w:topLinePunct w:val="0"/>
                    <w:autoSpaceDE/>
                    <w:autoSpaceDN/>
                    <w:bidi w:val="0"/>
                    <w:adjustRightInd/>
                    <w:snapToGrid/>
                    <w:spacing w:line="240" w:lineRule="auto"/>
                    <w:ind w:left="0" w:right="0" w:firstLine="480"/>
                    <w:jc w:val="both"/>
                    <w:textAlignment w:val="auto"/>
                    <w:rPr>
                      <w:rFonts w:hint="default" w:ascii="宋体" w:hAnsi="宋体" w:eastAsia="宋体" w:cs="宋体"/>
                      <w:color w:val="auto"/>
                      <w:spacing w:val="-2"/>
                      <w:sz w:val="24"/>
                      <w:szCs w:val="24"/>
                      <w:lang w:eastAsia="zh-CN"/>
                    </w:rPr>
                  </w:pPr>
                  <w:r>
                    <w:rPr>
                      <w:rFonts w:hint="default" w:ascii="Times New Roman" w:hAnsi="Times New Roman" w:eastAsia="宋体" w:cs="Times New Roman"/>
                      <w:color w:val="auto"/>
                      <w:spacing w:val="-1"/>
                      <w:kern w:val="2"/>
                      <w:sz w:val="21"/>
                      <w:szCs w:val="21"/>
                      <w:lang w:val="en-US" w:eastAsia="zh-CN" w:bidi="ar-SA"/>
                    </w:rPr>
                    <w:t>将整个治理段分为8个排涝片区，左岸、右岸各4个片区，共布置75个排涝口，其中，左岸布置31个，右岸布置44个，排涝面积为0.14km</w:t>
                  </w:r>
                  <w:r>
                    <w:rPr>
                      <w:rFonts w:hint="default" w:ascii="Times New Roman" w:hAnsi="Times New Roman" w:eastAsia="宋体" w:cs="Times New Roman"/>
                      <w:color w:val="auto"/>
                      <w:spacing w:val="-1"/>
                      <w:kern w:val="2"/>
                      <w:sz w:val="21"/>
                      <w:szCs w:val="21"/>
                      <w:vertAlign w:val="superscript"/>
                      <w:lang w:val="en-US" w:eastAsia="zh-CN" w:bidi="ar-SA"/>
                    </w:rPr>
                    <w:t>2</w:t>
                  </w:r>
                  <w:r>
                    <w:rPr>
                      <w:rFonts w:hint="default" w:ascii="Times New Roman" w:hAnsi="Times New Roman" w:eastAsia="宋体" w:cs="Times New Roman"/>
                      <w:color w:val="auto"/>
                      <w:spacing w:val="-1"/>
                      <w:kern w:val="2"/>
                      <w:sz w:val="21"/>
                      <w:szCs w:val="21"/>
                      <w:lang w:val="en-US" w:eastAsia="zh-CN" w:bidi="ar-SA"/>
                    </w:rPr>
                    <w:t>～0.43km</w:t>
                  </w:r>
                  <w:r>
                    <w:rPr>
                      <w:rFonts w:hint="default" w:ascii="Times New Roman" w:hAnsi="Times New Roman" w:eastAsia="宋体" w:cs="Times New Roman"/>
                      <w:color w:val="auto"/>
                      <w:spacing w:val="-1"/>
                      <w:kern w:val="2"/>
                      <w:sz w:val="21"/>
                      <w:szCs w:val="21"/>
                      <w:vertAlign w:val="superscript"/>
                      <w:lang w:val="en-US" w:eastAsia="zh-CN" w:bidi="ar-SA"/>
                    </w:rPr>
                    <w:t>2</w:t>
                  </w:r>
                  <w:r>
                    <w:rPr>
                      <w:rFonts w:hint="default" w:ascii="Times New Roman" w:hAnsi="Times New Roman" w:eastAsia="宋体" w:cs="Times New Roman"/>
                      <w:color w:val="auto"/>
                      <w:spacing w:val="-1"/>
                      <w:kern w:val="2"/>
                      <w:sz w:val="21"/>
                      <w:szCs w:val="21"/>
                      <w:lang w:val="en-US" w:eastAsia="zh-CN" w:bidi="ar-SA"/>
                    </w:rPr>
                    <w:t>，排涝总面积 21.59km</w:t>
                  </w:r>
                  <w:r>
                    <w:rPr>
                      <w:rFonts w:hint="default" w:ascii="Times New Roman" w:hAnsi="Times New Roman" w:eastAsia="宋体" w:cs="Times New Roman"/>
                      <w:color w:val="auto"/>
                      <w:spacing w:val="-1"/>
                      <w:kern w:val="2"/>
                      <w:sz w:val="21"/>
                      <w:szCs w:val="21"/>
                      <w:vertAlign w:val="superscript"/>
                      <w:lang w:val="en-US" w:eastAsia="zh-CN" w:bidi="ar-SA"/>
                    </w:rPr>
                    <w:t>2</w:t>
                  </w:r>
                  <w:r>
                    <w:rPr>
                      <w:rFonts w:hint="default" w:ascii="Times New Roman" w:hAnsi="Times New Roman" w:eastAsia="宋体" w:cs="Times New Roman"/>
                      <w:color w:val="auto"/>
                      <w:spacing w:val="-1"/>
                      <w:kern w:val="2"/>
                      <w:sz w:val="21"/>
                      <w:szCs w:val="21"/>
                      <w:lang w:val="en-US" w:eastAsia="zh-CN" w:bidi="ar-SA"/>
                    </w:rPr>
                    <w:t>；水田排涝模数M水田=0.27m</w:t>
                  </w:r>
                  <w:r>
                    <w:rPr>
                      <w:rFonts w:hint="default" w:ascii="Times New Roman" w:hAnsi="Times New Roman" w:eastAsia="宋体" w:cs="Times New Roman"/>
                      <w:color w:val="auto"/>
                      <w:spacing w:val="-1"/>
                      <w:kern w:val="2"/>
                      <w:sz w:val="21"/>
                      <w:szCs w:val="21"/>
                      <w:vertAlign w:val="superscript"/>
                      <w:lang w:val="en-US" w:eastAsia="zh-CN" w:bidi="ar-SA"/>
                    </w:rPr>
                    <w:t>3</w:t>
                  </w:r>
                  <w:r>
                    <w:rPr>
                      <w:rFonts w:hint="default" w:ascii="Times New Roman" w:hAnsi="Times New Roman" w:eastAsia="宋体" w:cs="Times New Roman"/>
                      <w:color w:val="auto"/>
                      <w:spacing w:val="-1"/>
                      <w:kern w:val="2"/>
                      <w:sz w:val="21"/>
                      <w:szCs w:val="21"/>
                      <w:lang w:val="en-US" w:eastAsia="zh-CN" w:bidi="ar-SA"/>
                    </w:rPr>
                    <w:t>/s ·km</w:t>
                  </w:r>
                  <w:r>
                    <w:rPr>
                      <w:rFonts w:hint="default" w:ascii="Times New Roman" w:hAnsi="Times New Roman" w:eastAsia="宋体" w:cs="Times New Roman"/>
                      <w:color w:val="auto"/>
                      <w:spacing w:val="-1"/>
                      <w:kern w:val="2"/>
                      <w:sz w:val="21"/>
                      <w:szCs w:val="21"/>
                      <w:vertAlign w:val="superscript"/>
                      <w:lang w:val="en-US" w:eastAsia="zh-CN" w:bidi="ar-SA"/>
                    </w:rPr>
                    <w:t>2</w:t>
                  </w:r>
                  <w:r>
                    <w:rPr>
                      <w:rFonts w:hint="default" w:ascii="Times New Roman" w:hAnsi="Times New Roman" w:eastAsia="宋体" w:cs="Times New Roman"/>
                      <w:color w:val="auto"/>
                      <w:spacing w:val="-1"/>
                      <w:kern w:val="2"/>
                      <w:sz w:val="21"/>
                      <w:szCs w:val="21"/>
                      <w:lang w:val="en-US" w:eastAsia="zh-CN" w:bidi="ar-SA"/>
                    </w:rPr>
                    <w:t>，设计排涝流量 0.034m</w:t>
                  </w:r>
                  <w:r>
                    <w:rPr>
                      <w:rFonts w:hint="default" w:ascii="Times New Roman" w:hAnsi="Times New Roman" w:eastAsia="宋体" w:cs="Times New Roman"/>
                      <w:color w:val="auto"/>
                      <w:spacing w:val="-1"/>
                      <w:kern w:val="2"/>
                      <w:sz w:val="21"/>
                      <w:szCs w:val="21"/>
                      <w:vertAlign w:val="superscript"/>
                      <w:lang w:val="en-US" w:eastAsia="zh-CN" w:bidi="ar-SA"/>
                    </w:rPr>
                    <w:t>3</w:t>
                  </w:r>
                  <w:r>
                    <w:rPr>
                      <w:rFonts w:hint="default" w:ascii="Times New Roman" w:hAnsi="Times New Roman" w:eastAsia="宋体" w:cs="Times New Roman"/>
                      <w:color w:val="auto"/>
                      <w:spacing w:val="-1"/>
                      <w:kern w:val="2"/>
                      <w:sz w:val="21"/>
                      <w:szCs w:val="21"/>
                      <w:lang w:val="en-US" w:eastAsia="zh-CN" w:bidi="ar-SA"/>
                    </w:rPr>
                    <w:t>/s~0. 117m</w:t>
                  </w:r>
                  <w:r>
                    <w:rPr>
                      <w:rFonts w:hint="default" w:ascii="Times New Roman" w:hAnsi="Times New Roman" w:eastAsia="宋体" w:cs="Times New Roman"/>
                      <w:color w:val="auto"/>
                      <w:spacing w:val="-1"/>
                      <w:kern w:val="2"/>
                      <w:sz w:val="21"/>
                      <w:szCs w:val="21"/>
                      <w:vertAlign w:val="superscript"/>
                      <w:lang w:val="en-US" w:eastAsia="zh-CN" w:bidi="ar-SA"/>
                    </w:rPr>
                    <w:t>3</w:t>
                  </w:r>
                  <w:r>
                    <w:rPr>
                      <w:rFonts w:hint="default" w:ascii="Times New Roman" w:hAnsi="Times New Roman" w:eastAsia="宋体" w:cs="Times New Roman"/>
                      <w:color w:val="auto"/>
                      <w:spacing w:val="-1"/>
                      <w:kern w:val="2"/>
                      <w:sz w:val="21"/>
                      <w:szCs w:val="21"/>
                      <w:lang w:val="en-US" w:eastAsia="zh-CN" w:bidi="ar-SA"/>
                    </w:rPr>
                    <w:t>/s。</w:t>
                  </w:r>
                </w:p>
              </w:tc>
            </w:tr>
            <w:tr w14:paraId="6D20B5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tblHeader/>
                <w:jc w:val="center"/>
              </w:trPr>
              <w:tc>
                <w:tcPr>
                  <w:tcW w:w="442" w:type="dxa"/>
                  <w:vMerge w:val="continue"/>
                  <w:tcBorders>
                    <w:left w:val="single" w:color="auto" w:sz="4" w:space="0"/>
                  </w:tcBorders>
                  <w:vAlign w:val="center"/>
                </w:tcPr>
                <w:p w14:paraId="21D4FA91">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1200" w:type="dxa"/>
                  <w:gridSpan w:val="2"/>
                  <w:tcBorders>
                    <w:bottom w:val="single" w:color="auto" w:sz="4" w:space="0"/>
                  </w:tcBorders>
                  <w:vAlign w:val="center"/>
                </w:tcPr>
                <w:p w14:paraId="75023658">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r>
                    <w:rPr>
                      <w:rFonts w:hint="eastAsia"/>
                      <w:color w:val="auto"/>
                      <w:lang w:eastAsia="zh-CN"/>
                    </w:rPr>
                    <w:t>施工导流</w:t>
                  </w:r>
                </w:p>
              </w:tc>
              <w:tc>
                <w:tcPr>
                  <w:tcW w:w="6223" w:type="dxa"/>
                  <w:tcBorders>
                    <w:right w:val="single" w:color="auto" w:sz="4" w:space="0"/>
                  </w:tcBorders>
                  <w:vAlign w:val="center"/>
                </w:tcPr>
                <w:p w14:paraId="6E74264C">
                  <w:pPr>
                    <w:keepNext w:val="0"/>
                    <w:keepLines w:val="0"/>
                    <w:pageBreakBefore w:val="0"/>
                    <w:widowControl w:val="0"/>
                    <w:kinsoku/>
                    <w:wordWrap/>
                    <w:overflowPunct/>
                    <w:topLinePunct w:val="0"/>
                    <w:autoSpaceDE/>
                    <w:autoSpaceDN/>
                    <w:bidi w:val="0"/>
                    <w:adjustRightInd/>
                    <w:snapToGrid/>
                    <w:spacing w:line="240" w:lineRule="auto"/>
                    <w:ind w:left="0" w:right="0" w:firstLine="480"/>
                    <w:textAlignment w:val="auto"/>
                    <w:rPr>
                      <w:rFonts w:hint="default" w:ascii="Times New Roman" w:hAnsi="Times New Roman" w:eastAsia="宋体" w:cs="Times New Roman"/>
                      <w:color w:val="auto"/>
                      <w:spacing w:val="-1"/>
                      <w:kern w:val="2"/>
                      <w:sz w:val="21"/>
                      <w:szCs w:val="21"/>
                      <w:lang w:val="en-US" w:eastAsia="zh-CN" w:bidi="ar-SA"/>
                    </w:rPr>
                  </w:pPr>
                  <w:r>
                    <w:rPr>
                      <w:rFonts w:hint="default" w:ascii="Times New Roman" w:hAnsi="Times New Roman" w:eastAsia="宋体" w:cs="Times New Roman"/>
                      <w:color w:val="auto"/>
                      <w:spacing w:val="-1"/>
                      <w:kern w:val="2"/>
                      <w:sz w:val="21"/>
                      <w:szCs w:val="21"/>
                      <w:lang w:val="en-US" w:eastAsia="zh-CN" w:bidi="ar-SA"/>
                    </w:rPr>
                    <w:t>钢筋石笼护岸施工可在水下作业完成，</w:t>
                  </w:r>
                  <w:r>
                    <w:rPr>
                      <w:rFonts w:hint="eastAsia" w:cs="Times New Roman"/>
                      <w:color w:val="auto"/>
                      <w:spacing w:val="-1"/>
                      <w:kern w:val="2"/>
                      <w:sz w:val="21"/>
                      <w:szCs w:val="21"/>
                      <w:lang w:val="en-US" w:eastAsia="zh-CN" w:bidi="ar-SA"/>
                    </w:rPr>
                    <w:t>且</w:t>
                  </w:r>
                  <w:r>
                    <w:rPr>
                      <w:rFonts w:hint="default" w:ascii="Times New Roman" w:hAnsi="Times New Roman" w:eastAsia="宋体" w:cs="Times New Roman"/>
                      <w:color w:val="auto"/>
                      <w:spacing w:val="-1"/>
                      <w:kern w:val="2"/>
                      <w:sz w:val="21"/>
                      <w:szCs w:val="21"/>
                      <w:lang w:val="en-US" w:eastAsia="zh-CN" w:bidi="ar-SA"/>
                    </w:rPr>
                    <w:t>施工期为枯水期，无需施工导流。</w:t>
                  </w:r>
                </w:p>
                <w:p w14:paraId="5A5C98F5">
                  <w:pPr>
                    <w:keepNext w:val="0"/>
                    <w:keepLines w:val="0"/>
                    <w:pageBreakBefore w:val="0"/>
                    <w:widowControl w:val="0"/>
                    <w:kinsoku/>
                    <w:wordWrap/>
                    <w:overflowPunct/>
                    <w:topLinePunct w:val="0"/>
                    <w:autoSpaceDE/>
                    <w:autoSpaceDN/>
                    <w:bidi w:val="0"/>
                    <w:adjustRightInd/>
                    <w:snapToGrid/>
                    <w:spacing w:line="240" w:lineRule="auto"/>
                    <w:ind w:left="0" w:right="0" w:firstLine="480"/>
                    <w:textAlignment w:val="auto"/>
                    <w:rPr>
                      <w:rFonts w:hint="default" w:ascii="Times New Roman" w:hAnsi="Times New Roman" w:eastAsia="宋体" w:cs="Times New Roman"/>
                      <w:color w:val="auto"/>
                      <w:spacing w:val="-1"/>
                      <w:kern w:val="2"/>
                      <w:sz w:val="21"/>
                      <w:szCs w:val="21"/>
                      <w:lang w:val="en-US" w:eastAsia="zh-CN" w:bidi="ar-SA"/>
                    </w:rPr>
                  </w:pPr>
                  <w:r>
                    <w:rPr>
                      <w:rFonts w:hint="default" w:ascii="Times New Roman" w:hAnsi="Times New Roman" w:eastAsia="宋体" w:cs="Times New Roman"/>
                      <w:color w:val="auto"/>
                      <w:spacing w:val="-1"/>
                      <w:kern w:val="2"/>
                      <w:sz w:val="21"/>
                      <w:szCs w:val="21"/>
                      <w:lang w:val="en-US" w:eastAsia="zh-CN" w:bidi="ar-SA"/>
                    </w:rPr>
                    <w:t>交叉建筑物涵管基础为M7.5浆砌石，无法水下施工，需施工导流。因其工程规模较小，短时间内便能完成施工，施工期为枯水期，只需开挖回填临时土埂挡水，其临水面铺设复合土工膜防渗。临时挡水土埂断面型式为梯形，顶宽 1.5m ，两侧边坡均为1:1.5</w:t>
                  </w:r>
                </w:p>
              </w:tc>
            </w:tr>
            <w:tr w14:paraId="23D5C2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tblHeader/>
                <w:jc w:val="center"/>
              </w:trPr>
              <w:tc>
                <w:tcPr>
                  <w:tcW w:w="442" w:type="dxa"/>
                  <w:vMerge w:val="continue"/>
                  <w:tcBorders>
                    <w:left w:val="single" w:color="auto" w:sz="4" w:space="0"/>
                  </w:tcBorders>
                  <w:vAlign w:val="center"/>
                </w:tcPr>
                <w:p w14:paraId="3BDA939B">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1200" w:type="dxa"/>
                  <w:gridSpan w:val="2"/>
                  <w:tcBorders>
                    <w:top w:val="single" w:color="auto" w:sz="4" w:space="0"/>
                    <w:bottom w:val="single" w:color="auto" w:sz="4" w:space="0"/>
                  </w:tcBorders>
                  <w:vAlign w:val="center"/>
                </w:tcPr>
                <w:p w14:paraId="24E813B5">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r>
                    <w:rPr>
                      <w:rFonts w:hint="eastAsia"/>
                      <w:color w:val="auto"/>
                      <w:lang w:eastAsia="zh-CN"/>
                    </w:rPr>
                    <w:t>弃渣场</w:t>
                  </w:r>
                </w:p>
              </w:tc>
              <w:tc>
                <w:tcPr>
                  <w:tcW w:w="6223" w:type="dxa"/>
                  <w:tcBorders>
                    <w:right w:val="single" w:color="auto" w:sz="4" w:space="0"/>
                  </w:tcBorders>
                  <w:vAlign w:val="center"/>
                </w:tcPr>
                <w:p w14:paraId="54B5000A">
                  <w:pPr>
                    <w:pStyle w:val="34"/>
                    <w:keepNext/>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color w:val="auto"/>
                      <w:lang w:eastAsia="zh-CN"/>
                    </w:rPr>
                  </w:pPr>
                  <w:r>
                    <w:rPr>
                      <w:rFonts w:hint="eastAsia"/>
                      <w:color w:val="auto"/>
                      <w:lang w:eastAsia="zh-CN"/>
                    </w:rPr>
                    <w:t>本项目土石方平衡，不设置弃渣场。</w:t>
                  </w:r>
                </w:p>
              </w:tc>
            </w:tr>
            <w:tr w14:paraId="4405C8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tblHeader/>
                <w:jc w:val="center"/>
              </w:trPr>
              <w:tc>
                <w:tcPr>
                  <w:tcW w:w="442" w:type="dxa"/>
                  <w:vMerge w:val="continue"/>
                  <w:tcBorders>
                    <w:left w:val="single" w:color="auto" w:sz="4" w:space="0"/>
                  </w:tcBorders>
                  <w:vAlign w:val="center"/>
                </w:tcPr>
                <w:p w14:paraId="4DA56D67">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1200" w:type="dxa"/>
                  <w:gridSpan w:val="2"/>
                  <w:tcBorders>
                    <w:top w:val="single" w:color="auto" w:sz="4" w:space="0"/>
                    <w:bottom w:val="single" w:color="auto" w:sz="4" w:space="0"/>
                  </w:tcBorders>
                  <w:vAlign w:val="center"/>
                </w:tcPr>
                <w:p w14:paraId="574046F3">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r>
                    <w:rPr>
                      <w:rFonts w:hint="eastAsia"/>
                      <w:color w:val="auto"/>
                      <w:lang w:eastAsia="zh-CN"/>
                    </w:rPr>
                    <w:t>施工营地</w:t>
                  </w:r>
                </w:p>
              </w:tc>
              <w:tc>
                <w:tcPr>
                  <w:tcW w:w="6223" w:type="dxa"/>
                  <w:tcBorders>
                    <w:right w:val="single" w:color="auto" w:sz="4" w:space="0"/>
                  </w:tcBorders>
                  <w:vAlign w:val="center"/>
                </w:tcPr>
                <w:p w14:paraId="6F4A3E45">
                  <w:pPr>
                    <w:pStyle w:val="34"/>
                    <w:keepNext/>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eastAsia="宋体"/>
                      <w:color w:val="auto"/>
                      <w:lang w:eastAsia="zh-CN"/>
                    </w:rPr>
                  </w:pPr>
                  <w:r>
                    <w:rPr>
                      <w:rFonts w:hint="eastAsia"/>
                      <w:color w:val="auto"/>
                      <w:lang w:eastAsia="zh-CN"/>
                    </w:rPr>
                    <w:t>沿治理河段布置材料堆存场及施工生产生活营地4个，生产生 活营地内设置办公生活区、综合仓库、机械停放场，总占地面积 600m</w:t>
                  </w:r>
                  <w:r>
                    <w:rPr>
                      <w:rFonts w:hint="eastAsia"/>
                      <w:color w:val="auto"/>
                      <w:vertAlign w:val="superscript"/>
                      <w:lang w:eastAsia="zh-CN"/>
                    </w:rPr>
                    <w:t>2</w:t>
                  </w:r>
                  <w:r>
                    <w:rPr>
                      <w:rFonts w:hint="eastAsia"/>
                      <w:color w:val="auto"/>
                      <w:lang w:eastAsia="zh-CN"/>
                    </w:rPr>
                    <w:t>，其中材料堆放场占地300m</w:t>
                  </w:r>
                  <w:r>
                    <w:rPr>
                      <w:rFonts w:hint="eastAsia"/>
                      <w:color w:val="auto"/>
                      <w:vertAlign w:val="superscript"/>
                      <w:lang w:eastAsia="zh-CN"/>
                    </w:rPr>
                    <w:t>2</w:t>
                  </w:r>
                  <w:r>
                    <w:rPr>
                      <w:rFonts w:hint="eastAsia"/>
                      <w:color w:val="auto"/>
                      <w:lang w:eastAsia="zh-CN"/>
                    </w:rPr>
                    <w:t>，机械停放场占地130m</w:t>
                  </w:r>
                  <w:r>
                    <w:rPr>
                      <w:rFonts w:hint="eastAsia"/>
                      <w:color w:val="auto"/>
                      <w:vertAlign w:val="superscript"/>
                      <w:lang w:eastAsia="zh-CN"/>
                    </w:rPr>
                    <w:t>2</w:t>
                  </w:r>
                  <w:r>
                    <w:rPr>
                      <w:rFonts w:hint="eastAsia"/>
                      <w:color w:val="auto"/>
                      <w:lang w:eastAsia="zh-CN"/>
                    </w:rPr>
                    <w:t>，综合仓库占地80m</w:t>
                  </w:r>
                  <w:r>
                    <w:rPr>
                      <w:rFonts w:hint="eastAsia"/>
                      <w:color w:val="auto"/>
                      <w:vertAlign w:val="superscript"/>
                      <w:lang w:eastAsia="zh-CN"/>
                    </w:rPr>
                    <w:t>2</w:t>
                  </w:r>
                  <w:r>
                    <w:rPr>
                      <w:rFonts w:hint="eastAsia"/>
                      <w:color w:val="auto"/>
                      <w:lang w:eastAsia="zh-CN"/>
                    </w:rPr>
                    <w:t>，办公生活区占地90m</w:t>
                  </w:r>
                  <w:r>
                    <w:rPr>
                      <w:rFonts w:hint="eastAsia"/>
                      <w:color w:val="auto"/>
                      <w:vertAlign w:val="superscript"/>
                      <w:lang w:eastAsia="zh-CN"/>
                    </w:rPr>
                    <w:t>2</w:t>
                  </w:r>
                  <w:r>
                    <w:rPr>
                      <w:rFonts w:hint="eastAsia"/>
                      <w:color w:val="auto"/>
                      <w:lang w:eastAsia="zh-CN"/>
                    </w:rPr>
                    <w:t>。。</w:t>
                  </w:r>
                </w:p>
              </w:tc>
            </w:tr>
            <w:tr w14:paraId="2820CE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tblHeader/>
                <w:jc w:val="center"/>
              </w:trPr>
              <w:tc>
                <w:tcPr>
                  <w:tcW w:w="442" w:type="dxa"/>
                  <w:vMerge w:val="continue"/>
                  <w:tcBorders>
                    <w:left w:val="single" w:color="auto" w:sz="4" w:space="0"/>
                  </w:tcBorders>
                  <w:vAlign w:val="center"/>
                </w:tcPr>
                <w:p w14:paraId="68934E05">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1200" w:type="dxa"/>
                  <w:gridSpan w:val="2"/>
                  <w:tcBorders>
                    <w:top w:val="single" w:color="auto" w:sz="4" w:space="0"/>
                    <w:bottom w:val="single" w:color="auto" w:sz="4" w:space="0"/>
                  </w:tcBorders>
                  <w:vAlign w:val="center"/>
                </w:tcPr>
                <w:p w14:paraId="47C2878E">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r>
                    <w:rPr>
                      <w:rFonts w:hint="eastAsia"/>
                      <w:color w:val="auto"/>
                      <w:lang w:eastAsia="zh-CN"/>
                    </w:rPr>
                    <w:t>料场</w:t>
                  </w:r>
                </w:p>
              </w:tc>
              <w:tc>
                <w:tcPr>
                  <w:tcW w:w="6223" w:type="dxa"/>
                  <w:tcBorders>
                    <w:right w:val="single" w:color="auto" w:sz="4" w:space="0"/>
                  </w:tcBorders>
                  <w:vAlign w:val="center"/>
                </w:tcPr>
                <w:p w14:paraId="0B8B54A3">
                  <w:pPr>
                    <w:pStyle w:val="34"/>
                    <w:keepNext/>
                    <w:keepLines w:val="0"/>
                    <w:pageBreakBefore w:val="0"/>
                    <w:widowControl w:val="0"/>
                    <w:kinsoku/>
                    <w:wordWrap/>
                    <w:overflowPunct/>
                    <w:topLinePunct w:val="0"/>
                    <w:autoSpaceDE/>
                    <w:autoSpaceDN/>
                    <w:bidi w:val="0"/>
                    <w:adjustRightInd/>
                    <w:snapToGrid/>
                    <w:ind w:firstLine="420" w:firstLineChars="200"/>
                    <w:jc w:val="both"/>
                    <w:textAlignment w:val="auto"/>
                    <w:rPr>
                      <w:color w:val="auto"/>
                    </w:rPr>
                  </w:pPr>
                  <w:r>
                    <w:rPr>
                      <w:rFonts w:hint="eastAsia"/>
                      <w:color w:val="auto"/>
                    </w:rPr>
                    <w:t>本项目所用砂石料均外购，不再设置砂石料加工系统，砂石料及水泥等外购后运至施工</w:t>
                  </w:r>
                  <w:r>
                    <w:rPr>
                      <w:rFonts w:hint="eastAsia"/>
                      <w:color w:val="auto"/>
                      <w:lang w:eastAsia="zh-CN"/>
                    </w:rPr>
                    <w:t>营地内</w:t>
                  </w:r>
                  <w:r>
                    <w:rPr>
                      <w:rFonts w:hint="eastAsia"/>
                      <w:color w:val="auto"/>
                    </w:rPr>
                    <w:t>临时堆存</w:t>
                  </w:r>
                  <w:r>
                    <w:rPr>
                      <w:rFonts w:hint="eastAsia"/>
                      <w:color w:val="auto"/>
                      <w:lang w:eastAsia="zh-CN"/>
                    </w:rPr>
                    <w:t>，占地300m</w:t>
                  </w:r>
                  <w:r>
                    <w:rPr>
                      <w:rFonts w:hint="eastAsia"/>
                      <w:color w:val="auto"/>
                      <w:vertAlign w:val="superscript"/>
                      <w:lang w:eastAsia="zh-CN"/>
                    </w:rPr>
                    <w:t>2</w:t>
                  </w:r>
                  <w:r>
                    <w:rPr>
                      <w:rFonts w:hint="eastAsia"/>
                      <w:color w:val="auto"/>
                    </w:rPr>
                    <w:t>。</w:t>
                  </w:r>
                </w:p>
              </w:tc>
            </w:tr>
            <w:tr w14:paraId="50BDB1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tblHeader/>
                <w:jc w:val="center"/>
              </w:trPr>
              <w:tc>
                <w:tcPr>
                  <w:tcW w:w="442" w:type="dxa"/>
                  <w:vMerge w:val="continue"/>
                  <w:tcBorders>
                    <w:left w:val="single" w:color="auto" w:sz="4" w:space="0"/>
                  </w:tcBorders>
                  <w:vAlign w:val="center"/>
                </w:tcPr>
                <w:p w14:paraId="0FD92988">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1200" w:type="dxa"/>
                  <w:gridSpan w:val="2"/>
                  <w:tcBorders>
                    <w:top w:val="single" w:color="auto" w:sz="4" w:space="0"/>
                    <w:bottom w:val="single" w:color="auto" w:sz="4" w:space="0"/>
                  </w:tcBorders>
                  <w:vAlign w:val="center"/>
                </w:tcPr>
                <w:p w14:paraId="54521FF1">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r>
                    <w:rPr>
                      <w:rFonts w:hint="eastAsia"/>
                      <w:color w:val="auto"/>
                      <w:lang w:eastAsia="zh-CN"/>
                    </w:rPr>
                    <w:t>混凝土拌合站</w:t>
                  </w:r>
                </w:p>
              </w:tc>
              <w:tc>
                <w:tcPr>
                  <w:tcW w:w="6223" w:type="dxa"/>
                  <w:tcBorders>
                    <w:right w:val="single" w:color="auto" w:sz="4" w:space="0"/>
                  </w:tcBorders>
                  <w:vAlign w:val="center"/>
                </w:tcPr>
                <w:p w14:paraId="2900D927">
                  <w:pPr>
                    <w:pStyle w:val="34"/>
                    <w:keepNext/>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color w:val="auto"/>
                      <w:lang w:eastAsia="zh-CN"/>
                    </w:rPr>
                  </w:pPr>
                  <w:r>
                    <w:rPr>
                      <w:rFonts w:hint="eastAsia"/>
                      <w:color w:val="auto"/>
                    </w:rPr>
                    <w:t>混凝土拌和站及相应的骨料堆放场均布置在河岸公路边，根据堤线长度，均衡布置，采用移动式混凝土</w:t>
                  </w:r>
                  <w:r>
                    <w:rPr>
                      <w:rFonts w:hint="eastAsia"/>
                      <w:color w:val="auto"/>
                      <w:lang w:eastAsia="zh-CN"/>
                    </w:rPr>
                    <w:t>拌和站</w:t>
                  </w:r>
                  <w:r>
                    <w:rPr>
                      <w:rFonts w:hint="eastAsia"/>
                      <w:color w:val="auto"/>
                    </w:rPr>
                    <w:t>，每个</w:t>
                  </w:r>
                  <w:r>
                    <w:rPr>
                      <w:rFonts w:hint="eastAsia"/>
                      <w:color w:val="auto"/>
                      <w:lang w:eastAsia="zh-CN"/>
                    </w:rPr>
                    <w:t>拌和站</w:t>
                  </w:r>
                  <w:r>
                    <w:rPr>
                      <w:rFonts w:hint="eastAsia"/>
                      <w:color w:val="auto"/>
                    </w:rPr>
                    <w:t>设1台0.4m</w:t>
                  </w:r>
                  <w:r>
                    <w:rPr>
                      <w:rFonts w:hint="eastAsia"/>
                      <w:color w:val="auto"/>
                      <w:vertAlign w:val="superscript"/>
                    </w:rPr>
                    <w:t>3</w:t>
                  </w:r>
                  <w:r>
                    <w:rPr>
                      <w:rFonts w:hint="eastAsia"/>
                      <w:color w:val="auto"/>
                    </w:rPr>
                    <w:t>混凝土搅拌机</w:t>
                  </w:r>
                  <w:r>
                    <w:rPr>
                      <w:rFonts w:hint="eastAsia"/>
                      <w:color w:val="auto"/>
                      <w:lang w:eastAsia="zh-CN"/>
                    </w:rPr>
                    <w:t>。</w:t>
                  </w:r>
                </w:p>
              </w:tc>
            </w:tr>
            <w:tr w14:paraId="4D07E8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blHeader/>
                <w:jc w:val="center"/>
              </w:trPr>
              <w:tc>
                <w:tcPr>
                  <w:tcW w:w="442" w:type="dxa"/>
                  <w:vMerge w:val="continue"/>
                  <w:tcBorders>
                    <w:left w:val="single" w:color="auto" w:sz="4" w:space="0"/>
                    <w:bottom w:val="single" w:color="auto" w:sz="4" w:space="0"/>
                  </w:tcBorders>
                  <w:vAlign w:val="center"/>
                </w:tcPr>
                <w:p w14:paraId="2514637C">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1200" w:type="dxa"/>
                  <w:gridSpan w:val="2"/>
                  <w:tcBorders>
                    <w:top w:val="single" w:color="auto" w:sz="4" w:space="0"/>
                    <w:bottom w:val="single" w:color="auto" w:sz="4" w:space="0"/>
                  </w:tcBorders>
                  <w:vAlign w:val="center"/>
                </w:tcPr>
                <w:p w14:paraId="6BB4680E">
                  <w:pPr>
                    <w:pStyle w:val="34"/>
                    <w:keepNext/>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lang w:eastAsia="zh-CN"/>
                    </w:rPr>
                  </w:pPr>
                  <w:r>
                    <w:rPr>
                      <w:rFonts w:hint="eastAsia"/>
                      <w:color w:val="auto"/>
                      <w:lang w:eastAsia="zh-CN"/>
                    </w:rPr>
                    <w:t>施工便道</w:t>
                  </w:r>
                </w:p>
              </w:tc>
              <w:tc>
                <w:tcPr>
                  <w:tcW w:w="6223" w:type="dxa"/>
                  <w:tcBorders>
                    <w:right w:val="single" w:color="auto" w:sz="4" w:space="0"/>
                  </w:tcBorders>
                  <w:vAlign w:val="center"/>
                </w:tcPr>
                <w:p w14:paraId="732B7BAA">
                  <w:pPr>
                    <w:pStyle w:val="34"/>
                    <w:keepNext/>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color w:val="auto"/>
                    </w:rPr>
                  </w:pPr>
                  <w:r>
                    <w:rPr>
                      <w:rFonts w:hint="eastAsia"/>
                      <w:color w:val="auto"/>
                    </w:rPr>
                    <w:t>工程区现有乡村公路及机耕路通达，工程施工期需新建16.36km 临时施工道路，组成施工道路网，以保证工程建设物资运输和施工的顺利进行。新建临时施工道路宽4.0m，根据现场实际情况沿河道沿岸布设。待工程结束后，全面进行复耕。</w:t>
                  </w:r>
                </w:p>
              </w:tc>
            </w:tr>
            <w:tr w14:paraId="0B6683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tblHeader/>
                <w:jc w:val="center"/>
              </w:trPr>
              <w:tc>
                <w:tcPr>
                  <w:tcW w:w="442" w:type="dxa"/>
                  <w:vMerge w:val="restart"/>
                  <w:tcBorders>
                    <w:top w:val="single" w:color="auto" w:sz="4" w:space="0"/>
                    <w:left w:val="single" w:color="auto" w:sz="4" w:space="0"/>
                  </w:tcBorders>
                  <w:vAlign w:val="center"/>
                </w:tcPr>
                <w:p w14:paraId="59CBBD88">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r>
                    <w:rPr>
                      <w:rFonts w:hint="eastAsia"/>
                      <w:color w:val="auto"/>
                      <w:lang w:eastAsia="zh-CN"/>
                    </w:rPr>
                    <w:t>公用工程</w:t>
                  </w:r>
                </w:p>
              </w:tc>
              <w:tc>
                <w:tcPr>
                  <w:tcW w:w="1200" w:type="dxa"/>
                  <w:gridSpan w:val="2"/>
                  <w:tcBorders>
                    <w:top w:val="single" w:color="auto" w:sz="4" w:space="0"/>
                    <w:bottom w:val="single" w:color="auto" w:sz="4" w:space="0"/>
                  </w:tcBorders>
                  <w:vAlign w:val="center"/>
                </w:tcPr>
                <w:p w14:paraId="682354E3">
                  <w:pPr>
                    <w:pStyle w:val="34"/>
                    <w:keepNext/>
                    <w:keepLines w:val="0"/>
                    <w:pageBreakBefore w:val="0"/>
                    <w:widowControl w:val="0"/>
                    <w:kinsoku/>
                    <w:wordWrap/>
                    <w:overflowPunct/>
                    <w:topLinePunct w:val="0"/>
                    <w:autoSpaceDE/>
                    <w:autoSpaceDN/>
                    <w:bidi w:val="0"/>
                    <w:adjustRightInd/>
                    <w:snapToGrid/>
                    <w:ind w:firstLine="0" w:firstLineChars="0"/>
                    <w:textAlignment w:val="auto"/>
                    <w:rPr>
                      <w:rFonts w:hint="eastAsia"/>
                      <w:color w:val="auto"/>
                      <w:lang w:eastAsia="zh-CN"/>
                    </w:rPr>
                  </w:pPr>
                  <w:r>
                    <w:rPr>
                      <w:rFonts w:hint="eastAsia"/>
                      <w:color w:val="auto"/>
                      <w:lang w:eastAsia="zh-CN"/>
                    </w:rPr>
                    <w:t>供水</w:t>
                  </w:r>
                </w:p>
              </w:tc>
              <w:tc>
                <w:tcPr>
                  <w:tcW w:w="6223" w:type="dxa"/>
                  <w:tcBorders>
                    <w:right w:val="single" w:color="auto" w:sz="4" w:space="0"/>
                  </w:tcBorders>
                  <w:vAlign w:val="center"/>
                </w:tcPr>
                <w:p w14:paraId="67A5F0E1">
                  <w:pPr>
                    <w:pStyle w:val="34"/>
                    <w:keepNext/>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color w:val="auto"/>
                      <w:lang w:eastAsia="zh-CN"/>
                    </w:rPr>
                  </w:pPr>
                  <w:r>
                    <w:rPr>
                      <w:rFonts w:hint="eastAsia"/>
                      <w:color w:val="auto"/>
                    </w:rPr>
                    <w:t>施工用水可沿河取用，水质良好，符合施工生产用水质量要求，生活用水利用附近村寨的水管供给，满足生活用水质量要求。</w:t>
                  </w:r>
                </w:p>
              </w:tc>
            </w:tr>
            <w:tr w14:paraId="7A5CAA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tblHeader/>
                <w:jc w:val="center"/>
              </w:trPr>
              <w:tc>
                <w:tcPr>
                  <w:tcW w:w="442" w:type="dxa"/>
                  <w:vMerge w:val="continue"/>
                  <w:tcBorders>
                    <w:left w:val="single" w:color="auto" w:sz="4" w:space="0"/>
                  </w:tcBorders>
                  <w:vAlign w:val="center"/>
                </w:tcPr>
                <w:p w14:paraId="3EC3A64F">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1200" w:type="dxa"/>
                  <w:gridSpan w:val="2"/>
                  <w:tcBorders>
                    <w:top w:val="single" w:color="auto" w:sz="4" w:space="0"/>
                    <w:bottom w:val="single" w:color="auto" w:sz="4" w:space="0"/>
                  </w:tcBorders>
                  <w:vAlign w:val="center"/>
                </w:tcPr>
                <w:p w14:paraId="55B7DE49">
                  <w:pPr>
                    <w:pStyle w:val="34"/>
                    <w:keepNext/>
                    <w:keepLines w:val="0"/>
                    <w:pageBreakBefore w:val="0"/>
                    <w:widowControl w:val="0"/>
                    <w:kinsoku/>
                    <w:wordWrap/>
                    <w:overflowPunct/>
                    <w:topLinePunct w:val="0"/>
                    <w:autoSpaceDE/>
                    <w:autoSpaceDN/>
                    <w:bidi w:val="0"/>
                    <w:adjustRightInd/>
                    <w:snapToGrid/>
                    <w:ind w:firstLine="0" w:firstLineChars="0"/>
                    <w:textAlignment w:val="auto"/>
                    <w:rPr>
                      <w:rFonts w:hint="eastAsia"/>
                      <w:color w:val="auto"/>
                      <w:lang w:eastAsia="zh-CN"/>
                    </w:rPr>
                  </w:pPr>
                  <w:r>
                    <w:rPr>
                      <w:rFonts w:hint="eastAsia"/>
                      <w:color w:val="auto"/>
                      <w:lang w:eastAsia="zh-CN"/>
                    </w:rPr>
                    <w:t>供电</w:t>
                  </w:r>
                </w:p>
              </w:tc>
              <w:tc>
                <w:tcPr>
                  <w:tcW w:w="6223" w:type="dxa"/>
                  <w:tcBorders>
                    <w:right w:val="single" w:color="auto" w:sz="4" w:space="0"/>
                  </w:tcBorders>
                  <w:vAlign w:val="center"/>
                </w:tcPr>
                <w:p w14:paraId="14DBB693">
                  <w:pPr>
                    <w:pStyle w:val="34"/>
                    <w:keepNext/>
                    <w:keepLines w:val="0"/>
                    <w:pageBreakBefore w:val="0"/>
                    <w:widowControl w:val="0"/>
                    <w:kinsoku/>
                    <w:wordWrap/>
                    <w:overflowPunct/>
                    <w:topLinePunct w:val="0"/>
                    <w:autoSpaceDE/>
                    <w:autoSpaceDN/>
                    <w:bidi w:val="0"/>
                    <w:adjustRightInd/>
                    <w:snapToGrid/>
                    <w:ind w:firstLine="412" w:firstLineChars="200"/>
                    <w:jc w:val="both"/>
                    <w:textAlignment w:val="auto"/>
                    <w:rPr>
                      <w:rFonts w:hint="eastAsia"/>
                      <w:color w:val="auto"/>
                      <w:lang w:eastAsia="zh-CN"/>
                    </w:rPr>
                  </w:pPr>
                  <w:r>
                    <w:rPr>
                      <w:rFonts w:hint="eastAsia" w:ascii="宋体" w:hAnsi="宋体" w:eastAsia="宋体" w:cs="宋体"/>
                      <w:color w:val="auto"/>
                      <w:spacing w:val="-2"/>
                      <w:sz w:val="21"/>
                      <w:szCs w:val="21"/>
                    </w:rPr>
                    <w:t>施工现场距村寨输电线路较近的工程区施工用电可就近从村落农网引接。条件不便利的工程区施工用电采用100%的柴油发电机供电。</w:t>
                  </w:r>
                </w:p>
              </w:tc>
            </w:tr>
            <w:tr w14:paraId="3052C0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tblHeader/>
                <w:jc w:val="center"/>
              </w:trPr>
              <w:tc>
                <w:tcPr>
                  <w:tcW w:w="442" w:type="dxa"/>
                  <w:vMerge w:val="continue"/>
                  <w:tcBorders>
                    <w:left w:val="single" w:color="auto" w:sz="4" w:space="0"/>
                    <w:bottom w:val="single" w:color="auto" w:sz="4" w:space="0"/>
                  </w:tcBorders>
                  <w:vAlign w:val="center"/>
                </w:tcPr>
                <w:p w14:paraId="7037619B">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1200" w:type="dxa"/>
                  <w:gridSpan w:val="2"/>
                  <w:tcBorders>
                    <w:top w:val="single" w:color="auto" w:sz="4" w:space="0"/>
                    <w:bottom w:val="single" w:color="auto" w:sz="4" w:space="0"/>
                  </w:tcBorders>
                  <w:vAlign w:val="center"/>
                </w:tcPr>
                <w:p w14:paraId="0329E1AB">
                  <w:pPr>
                    <w:pStyle w:val="34"/>
                    <w:keepNext/>
                    <w:keepLines w:val="0"/>
                    <w:pageBreakBefore w:val="0"/>
                    <w:widowControl w:val="0"/>
                    <w:kinsoku/>
                    <w:wordWrap/>
                    <w:overflowPunct/>
                    <w:topLinePunct w:val="0"/>
                    <w:autoSpaceDE/>
                    <w:autoSpaceDN/>
                    <w:bidi w:val="0"/>
                    <w:adjustRightInd/>
                    <w:snapToGrid/>
                    <w:ind w:firstLine="0" w:firstLineChars="0"/>
                    <w:textAlignment w:val="auto"/>
                    <w:rPr>
                      <w:rFonts w:hint="eastAsia"/>
                      <w:color w:val="auto"/>
                      <w:lang w:eastAsia="zh-CN"/>
                    </w:rPr>
                  </w:pPr>
                  <w:r>
                    <w:rPr>
                      <w:rFonts w:hint="eastAsia"/>
                      <w:color w:val="auto"/>
                      <w:lang w:eastAsia="zh-CN"/>
                    </w:rPr>
                    <w:t>排水</w:t>
                  </w:r>
                </w:p>
              </w:tc>
              <w:tc>
                <w:tcPr>
                  <w:tcW w:w="6223" w:type="dxa"/>
                  <w:tcBorders>
                    <w:right w:val="single" w:color="auto" w:sz="4" w:space="0"/>
                  </w:tcBorders>
                  <w:vAlign w:val="center"/>
                </w:tcPr>
                <w:p w14:paraId="489AA490">
                  <w:pPr>
                    <w:pStyle w:val="34"/>
                    <w:keepNext/>
                    <w:keepLines w:val="0"/>
                    <w:pageBreakBefore w:val="0"/>
                    <w:widowControl w:val="0"/>
                    <w:kinsoku/>
                    <w:wordWrap/>
                    <w:overflowPunct/>
                    <w:topLinePunct w:val="0"/>
                    <w:autoSpaceDE/>
                    <w:autoSpaceDN/>
                    <w:bidi w:val="0"/>
                    <w:adjustRightInd/>
                    <w:snapToGrid/>
                    <w:ind w:firstLine="420" w:firstLineChars="200"/>
                    <w:jc w:val="both"/>
                    <w:textAlignment w:val="auto"/>
                    <w:rPr>
                      <w:color w:val="auto"/>
                    </w:rPr>
                  </w:pPr>
                  <w:r>
                    <w:rPr>
                      <w:rFonts w:hint="eastAsia"/>
                      <w:color w:val="auto"/>
                    </w:rPr>
                    <w:t>项目施工期有少量施工废水产生，经沉淀后回用于施工</w:t>
                  </w:r>
                  <w:r>
                    <w:rPr>
                      <w:rFonts w:hint="eastAsia"/>
                      <w:color w:val="auto"/>
                      <w:lang w:eastAsia="zh-CN"/>
                    </w:rPr>
                    <w:t>和施工区降尘</w:t>
                  </w:r>
                  <w:r>
                    <w:rPr>
                      <w:rFonts w:hint="eastAsia"/>
                      <w:color w:val="auto"/>
                    </w:rPr>
                    <w:t>，运营期不产生废水。</w:t>
                  </w:r>
                </w:p>
              </w:tc>
            </w:tr>
            <w:tr w14:paraId="440358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tblHeader/>
                <w:jc w:val="center"/>
              </w:trPr>
              <w:tc>
                <w:tcPr>
                  <w:tcW w:w="442" w:type="dxa"/>
                  <w:vMerge w:val="restart"/>
                  <w:tcBorders>
                    <w:top w:val="single" w:color="auto" w:sz="4" w:space="0"/>
                    <w:left w:val="single" w:color="auto" w:sz="4" w:space="0"/>
                  </w:tcBorders>
                  <w:vAlign w:val="center"/>
                </w:tcPr>
                <w:p w14:paraId="7AF5B265">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r>
                    <w:rPr>
                      <w:rFonts w:hint="eastAsia"/>
                      <w:color w:val="auto"/>
                      <w:lang w:eastAsia="zh-CN"/>
                    </w:rPr>
                    <w:t>环保工程</w:t>
                  </w:r>
                </w:p>
              </w:tc>
              <w:tc>
                <w:tcPr>
                  <w:tcW w:w="1200" w:type="dxa"/>
                  <w:gridSpan w:val="2"/>
                  <w:vMerge w:val="restart"/>
                  <w:tcBorders>
                    <w:top w:val="single" w:color="auto" w:sz="4" w:space="0"/>
                  </w:tcBorders>
                  <w:vAlign w:val="center"/>
                </w:tcPr>
                <w:p w14:paraId="1936201C">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r>
                    <w:rPr>
                      <w:rFonts w:hint="eastAsia"/>
                      <w:color w:val="auto"/>
                      <w:lang w:eastAsia="zh-CN"/>
                    </w:rPr>
                    <w:t>施工期废气</w:t>
                  </w:r>
                </w:p>
              </w:tc>
              <w:tc>
                <w:tcPr>
                  <w:tcW w:w="6223" w:type="dxa"/>
                  <w:tcBorders>
                    <w:right w:val="single" w:color="auto" w:sz="4" w:space="0"/>
                  </w:tcBorders>
                  <w:vAlign w:val="center"/>
                </w:tcPr>
                <w:p w14:paraId="7E503586">
                  <w:pPr>
                    <w:pStyle w:val="34"/>
                    <w:keepNext/>
                    <w:keepLines w:val="0"/>
                    <w:pageBreakBefore w:val="0"/>
                    <w:widowControl w:val="0"/>
                    <w:kinsoku/>
                    <w:wordWrap/>
                    <w:overflowPunct/>
                    <w:topLinePunct w:val="0"/>
                    <w:autoSpaceDE/>
                    <w:autoSpaceDN/>
                    <w:bidi w:val="0"/>
                    <w:adjustRightInd/>
                    <w:snapToGrid/>
                    <w:ind w:firstLine="420" w:firstLineChars="200"/>
                    <w:jc w:val="both"/>
                    <w:textAlignment w:val="auto"/>
                    <w:rPr>
                      <w:color w:val="auto"/>
                    </w:rPr>
                  </w:pPr>
                  <w:r>
                    <w:rPr>
                      <w:color w:val="auto"/>
                    </w:rPr>
                    <w:t>施工过程中产生的粉尘，采取洒水降尘措施降低粉尘的逸散。</w:t>
                  </w:r>
                </w:p>
              </w:tc>
            </w:tr>
            <w:tr w14:paraId="6A5905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tblHeader/>
                <w:jc w:val="center"/>
              </w:trPr>
              <w:tc>
                <w:tcPr>
                  <w:tcW w:w="442" w:type="dxa"/>
                  <w:vMerge w:val="continue"/>
                  <w:tcBorders>
                    <w:left w:val="single" w:color="auto" w:sz="4" w:space="0"/>
                  </w:tcBorders>
                  <w:vAlign w:val="center"/>
                </w:tcPr>
                <w:p w14:paraId="5EC29A0F">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1200" w:type="dxa"/>
                  <w:gridSpan w:val="2"/>
                  <w:vMerge w:val="continue"/>
                  <w:vAlign w:val="center"/>
                </w:tcPr>
                <w:p w14:paraId="52BF1A4C">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6223" w:type="dxa"/>
                  <w:tcBorders>
                    <w:right w:val="single" w:color="auto" w:sz="4" w:space="0"/>
                  </w:tcBorders>
                  <w:vAlign w:val="center"/>
                </w:tcPr>
                <w:p w14:paraId="33F4B5D6">
                  <w:pPr>
                    <w:pStyle w:val="34"/>
                    <w:keepNext/>
                    <w:keepLines w:val="0"/>
                    <w:pageBreakBefore w:val="0"/>
                    <w:widowControl w:val="0"/>
                    <w:kinsoku/>
                    <w:wordWrap/>
                    <w:overflowPunct/>
                    <w:topLinePunct w:val="0"/>
                    <w:autoSpaceDE/>
                    <w:autoSpaceDN/>
                    <w:bidi w:val="0"/>
                    <w:adjustRightInd/>
                    <w:snapToGrid/>
                    <w:ind w:firstLine="420" w:firstLineChars="200"/>
                    <w:jc w:val="both"/>
                    <w:textAlignment w:val="auto"/>
                    <w:rPr>
                      <w:color w:val="auto"/>
                    </w:rPr>
                  </w:pPr>
                  <w:r>
                    <w:rPr>
                      <w:color w:val="auto"/>
                    </w:rPr>
                    <w:t>项目建筑砂石料在运输过程中产生的粉尘，采用防尘布遮盖，防止运输过程中施工材料的洒落。</w:t>
                  </w:r>
                </w:p>
              </w:tc>
            </w:tr>
            <w:tr w14:paraId="278FC4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tblHeader/>
                <w:jc w:val="center"/>
              </w:trPr>
              <w:tc>
                <w:tcPr>
                  <w:tcW w:w="442" w:type="dxa"/>
                  <w:vMerge w:val="continue"/>
                  <w:tcBorders>
                    <w:left w:val="single" w:color="auto" w:sz="4" w:space="0"/>
                  </w:tcBorders>
                  <w:vAlign w:val="center"/>
                </w:tcPr>
                <w:p w14:paraId="6B87A3E1">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1200" w:type="dxa"/>
                  <w:gridSpan w:val="2"/>
                  <w:vMerge w:val="continue"/>
                  <w:vAlign w:val="center"/>
                </w:tcPr>
                <w:p w14:paraId="3EDACB9F">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6223" w:type="dxa"/>
                  <w:tcBorders>
                    <w:right w:val="single" w:color="auto" w:sz="4" w:space="0"/>
                  </w:tcBorders>
                  <w:vAlign w:val="center"/>
                </w:tcPr>
                <w:p w14:paraId="1ACE6D94">
                  <w:pPr>
                    <w:pStyle w:val="34"/>
                    <w:keepNext/>
                    <w:keepLines w:val="0"/>
                    <w:pageBreakBefore w:val="0"/>
                    <w:widowControl w:val="0"/>
                    <w:kinsoku/>
                    <w:wordWrap/>
                    <w:overflowPunct/>
                    <w:topLinePunct w:val="0"/>
                    <w:autoSpaceDE/>
                    <w:autoSpaceDN/>
                    <w:bidi w:val="0"/>
                    <w:adjustRightInd/>
                    <w:snapToGrid/>
                    <w:ind w:firstLine="420" w:firstLineChars="200"/>
                    <w:jc w:val="both"/>
                    <w:textAlignment w:val="auto"/>
                    <w:rPr>
                      <w:color w:val="auto"/>
                    </w:rPr>
                  </w:pPr>
                  <w:r>
                    <w:rPr>
                      <w:color w:val="auto"/>
                    </w:rPr>
                    <w:t>项目施工营地堆存的砂石料、水泥等建筑材料会产生一定的粉尘，砂石料、水泥应采用防尘布遮盖、并采取洒水降尘等措施以减缓区域粉尘影响。</w:t>
                  </w:r>
                </w:p>
              </w:tc>
            </w:tr>
            <w:tr w14:paraId="781AAB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tblHeader/>
                <w:jc w:val="center"/>
              </w:trPr>
              <w:tc>
                <w:tcPr>
                  <w:tcW w:w="442" w:type="dxa"/>
                  <w:vMerge w:val="continue"/>
                  <w:tcBorders>
                    <w:left w:val="single" w:color="auto" w:sz="4" w:space="0"/>
                  </w:tcBorders>
                  <w:vAlign w:val="center"/>
                </w:tcPr>
                <w:p w14:paraId="59452AFF">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1200" w:type="dxa"/>
                  <w:gridSpan w:val="2"/>
                  <w:vMerge w:val="continue"/>
                  <w:tcBorders>
                    <w:bottom w:val="single" w:color="auto" w:sz="4" w:space="0"/>
                  </w:tcBorders>
                  <w:vAlign w:val="center"/>
                </w:tcPr>
                <w:p w14:paraId="53FEB837">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6223" w:type="dxa"/>
                  <w:tcBorders>
                    <w:right w:val="single" w:color="auto" w:sz="4" w:space="0"/>
                  </w:tcBorders>
                  <w:vAlign w:val="center"/>
                </w:tcPr>
                <w:p w14:paraId="61601938">
                  <w:pPr>
                    <w:pStyle w:val="34"/>
                    <w:keepNext/>
                    <w:keepLines w:val="0"/>
                    <w:pageBreakBefore w:val="0"/>
                    <w:widowControl w:val="0"/>
                    <w:kinsoku/>
                    <w:wordWrap/>
                    <w:overflowPunct/>
                    <w:topLinePunct w:val="0"/>
                    <w:autoSpaceDE/>
                    <w:autoSpaceDN/>
                    <w:bidi w:val="0"/>
                    <w:adjustRightInd/>
                    <w:snapToGrid/>
                    <w:ind w:firstLine="420" w:firstLineChars="200"/>
                    <w:jc w:val="both"/>
                    <w:textAlignment w:val="auto"/>
                    <w:rPr>
                      <w:color w:val="auto"/>
                    </w:rPr>
                  </w:pPr>
                  <w:r>
                    <w:rPr>
                      <w:color w:val="auto"/>
                    </w:rPr>
                    <w:t>工程施工机械应加强设备养护，施工机械产生的废气经大气稀释扩散后影响较小。</w:t>
                  </w:r>
                </w:p>
              </w:tc>
            </w:tr>
            <w:tr w14:paraId="372F3B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tblHeader/>
                <w:jc w:val="center"/>
              </w:trPr>
              <w:tc>
                <w:tcPr>
                  <w:tcW w:w="442" w:type="dxa"/>
                  <w:vMerge w:val="continue"/>
                  <w:tcBorders>
                    <w:left w:val="single" w:color="auto" w:sz="4" w:space="0"/>
                  </w:tcBorders>
                  <w:vAlign w:val="center"/>
                </w:tcPr>
                <w:p w14:paraId="12DF9F8C">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514" w:type="dxa"/>
                  <w:vMerge w:val="restart"/>
                  <w:tcBorders>
                    <w:top w:val="single" w:color="auto" w:sz="4" w:space="0"/>
                    <w:right w:val="single" w:color="auto" w:sz="4" w:space="0"/>
                  </w:tcBorders>
                  <w:vAlign w:val="center"/>
                </w:tcPr>
                <w:p w14:paraId="33B88E80">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r>
                    <w:rPr>
                      <w:rFonts w:hint="eastAsia"/>
                      <w:color w:val="auto"/>
                      <w:lang w:eastAsia="zh-CN"/>
                    </w:rPr>
                    <w:t>施工期废水</w:t>
                  </w:r>
                </w:p>
              </w:tc>
              <w:tc>
                <w:tcPr>
                  <w:tcW w:w="686" w:type="dxa"/>
                  <w:vMerge w:val="restart"/>
                  <w:tcBorders>
                    <w:top w:val="single" w:color="auto" w:sz="4" w:space="0"/>
                    <w:left w:val="single" w:color="auto" w:sz="4" w:space="0"/>
                  </w:tcBorders>
                  <w:vAlign w:val="center"/>
                </w:tcPr>
                <w:p w14:paraId="2CB1D37F">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r>
                    <w:rPr>
                      <w:rFonts w:hint="eastAsia"/>
                      <w:color w:val="auto"/>
                      <w:lang w:eastAsia="zh-CN"/>
                    </w:rPr>
                    <w:t>生产废水</w:t>
                  </w:r>
                </w:p>
              </w:tc>
              <w:tc>
                <w:tcPr>
                  <w:tcW w:w="6223" w:type="dxa"/>
                  <w:tcBorders>
                    <w:right w:val="single" w:color="auto" w:sz="4" w:space="0"/>
                  </w:tcBorders>
                  <w:vAlign w:val="center"/>
                </w:tcPr>
                <w:p w14:paraId="6D2E4DF5">
                  <w:pPr>
                    <w:pStyle w:val="34"/>
                    <w:keepNext/>
                    <w:keepLines w:val="0"/>
                    <w:pageBreakBefore w:val="0"/>
                    <w:widowControl w:val="0"/>
                    <w:kinsoku/>
                    <w:wordWrap/>
                    <w:overflowPunct/>
                    <w:topLinePunct w:val="0"/>
                    <w:autoSpaceDE/>
                    <w:autoSpaceDN/>
                    <w:bidi w:val="0"/>
                    <w:adjustRightInd/>
                    <w:snapToGrid/>
                    <w:ind w:firstLine="420" w:firstLineChars="200"/>
                    <w:jc w:val="both"/>
                    <w:textAlignment w:val="auto"/>
                    <w:rPr>
                      <w:color w:val="auto"/>
                    </w:rPr>
                  </w:pPr>
                  <w:r>
                    <w:rPr>
                      <w:rFonts w:hint="eastAsia"/>
                      <w:color w:val="auto"/>
                    </w:rPr>
                    <w:t>混凝土拌和系统废水</w:t>
                  </w:r>
                  <w:r>
                    <w:rPr>
                      <w:rFonts w:hint="eastAsia"/>
                      <w:color w:val="auto"/>
                      <w:lang w:eastAsia="zh-CN"/>
                    </w:rPr>
                    <w:t>：</w:t>
                  </w:r>
                  <w:r>
                    <w:rPr>
                      <w:rFonts w:hint="eastAsia"/>
                      <w:color w:val="auto"/>
                    </w:rPr>
                    <w:t>在每个混凝土搅拌机旁边设置一个废水收集桶，</w:t>
                  </w:r>
                  <w:r>
                    <w:rPr>
                      <w:rFonts w:hint="eastAsia"/>
                      <w:color w:val="auto"/>
                      <w:lang w:eastAsia="zh-CN"/>
                    </w:rPr>
                    <w:t>废水</w:t>
                  </w:r>
                  <w:r>
                    <w:rPr>
                      <w:rFonts w:hint="eastAsia"/>
                      <w:color w:val="auto"/>
                    </w:rPr>
                    <w:t>沉淀处理后排入二次沉淀桶收集上清液，上清液回用于生产，沉砂回用于施工</w:t>
                  </w:r>
                  <w:r>
                    <w:rPr>
                      <w:rFonts w:hint="eastAsia"/>
                      <w:color w:val="auto"/>
                      <w:lang w:eastAsia="zh-CN"/>
                    </w:rPr>
                    <w:t>。</w:t>
                  </w:r>
                </w:p>
              </w:tc>
            </w:tr>
            <w:tr w14:paraId="62BE24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tblHeader/>
                <w:jc w:val="center"/>
              </w:trPr>
              <w:tc>
                <w:tcPr>
                  <w:tcW w:w="442" w:type="dxa"/>
                  <w:vMerge w:val="continue"/>
                  <w:tcBorders>
                    <w:left w:val="single" w:color="auto" w:sz="4" w:space="0"/>
                  </w:tcBorders>
                  <w:vAlign w:val="center"/>
                </w:tcPr>
                <w:p w14:paraId="7AFECF8C">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514" w:type="dxa"/>
                  <w:vMerge w:val="continue"/>
                  <w:tcBorders>
                    <w:bottom w:val="single" w:color="auto" w:sz="4" w:space="0"/>
                    <w:right w:val="single" w:color="auto" w:sz="4" w:space="0"/>
                  </w:tcBorders>
                  <w:vAlign w:val="center"/>
                </w:tcPr>
                <w:p w14:paraId="2DC4F864">
                  <w:pPr>
                    <w:pStyle w:val="34"/>
                    <w:keepNext/>
                    <w:keepLines w:val="0"/>
                    <w:pageBreakBefore w:val="0"/>
                    <w:widowControl w:val="0"/>
                    <w:kinsoku/>
                    <w:wordWrap/>
                    <w:overflowPunct/>
                    <w:topLinePunct w:val="0"/>
                    <w:autoSpaceDE/>
                    <w:autoSpaceDN/>
                    <w:bidi w:val="0"/>
                    <w:adjustRightInd/>
                    <w:snapToGrid/>
                    <w:textAlignment w:val="auto"/>
                    <w:rPr>
                      <w:color w:val="auto"/>
                    </w:rPr>
                  </w:pPr>
                </w:p>
              </w:tc>
              <w:tc>
                <w:tcPr>
                  <w:tcW w:w="686" w:type="dxa"/>
                  <w:vMerge w:val="continue"/>
                  <w:tcBorders>
                    <w:left w:val="single" w:color="auto" w:sz="4" w:space="0"/>
                  </w:tcBorders>
                  <w:vAlign w:val="center"/>
                </w:tcPr>
                <w:p w14:paraId="5EC5347D">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6223" w:type="dxa"/>
                  <w:tcBorders>
                    <w:right w:val="single" w:color="auto" w:sz="4" w:space="0"/>
                  </w:tcBorders>
                  <w:vAlign w:val="center"/>
                </w:tcPr>
                <w:p w14:paraId="15C1E29D">
                  <w:pPr>
                    <w:pStyle w:val="34"/>
                    <w:keepNext/>
                    <w:keepLines w:val="0"/>
                    <w:pageBreakBefore w:val="0"/>
                    <w:widowControl w:val="0"/>
                    <w:kinsoku/>
                    <w:wordWrap/>
                    <w:overflowPunct/>
                    <w:topLinePunct w:val="0"/>
                    <w:autoSpaceDE/>
                    <w:autoSpaceDN/>
                    <w:bidi w:val="0"/>
                    <w:adjustRightInd/>
                    <w:snapToGrid/>
                    <w:ind w:firstLine="420" w:firstLineChars="200"/>
                    <w:jc w:val="both"/>
                    <w:textAlignment w:val="auto"/>
                    <w:rPr>
                      <w:color w:val="auto"/>
                    </w:rPr>
                  </w:pPr>
                  <w:r>
                    <w:rPr>
                      <w:rFonts w:hint="eastAsia"/>
                      <w:color w:val="auto"/>
                      <w:lang w:eastAsia="zh-CN"/>
                    </w:rPr>
                    <w:t>基坑废水：在围堰内基坑下游设置集水坑，浑浊地表水通过集水坑澄清后，再抽上清液回用于施工，</w:t>
                  </w:r>
                  <w:r>
                    <w:rPr>
                      <w:rFonts w:hint="eastAsia"/>
                      <w:color w:val="auto"/>
                      <w:lang w:val="en-US" w:eastAsia="zh-CN"/>
                    </w:rPr>
                    <w:t>回用不完的部分排入下游河道</w:t>
                  </w:r>
                  <w:r>
                    <w:rPr>
                      <w:rFonts w:hint="eastAsia"/>
                      <w:color w:val="auto"/>
                      <w:lang w:eastAsia="zh-CN"/>
                    </w:rPr>
                    <w:t>。</w:t>
                  </w:r>
                </w:p>
              </w:tc>
            </w:tr>
            <w:tr w14:paraId="2E4652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tblHeader/>
                <w:jc w:val="center"/>
              </w:trPr>
              <w:tc>
                <w:tcPr>
                  <w:tcW w:w="442" w:type="dxa"/>
                  <w:vMerge w:val="continue"/>
                  <w:tcBorders>
                    <w:left w:val="single" w:color="auto" w:sz="4" w:space="0"/>
                  </w:tcBorders>
                  <w:vAlign w:val="center"/>
                </w:tcPr>
                <w:p w14:paraId="7C23520F">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514" w:type="dxa"/>
                  <w:vMerge w:val="continue"/>
                  <w:tcBorders>
                    <w:bottom w:val="single" w:color="auto" w:sz="4" w:space="0"/>
                    <w:right w:val="single" w:color="auto" w:sz="4" w:space="0"/>
                  </w:tcBorders>
                  <w:vAlign w:val="center"/>
                </w:tcPr>
                <w:p w14:paraId="6F79CC2F">
                  <w:pPr>
                    <w:pStyle w:val="34"/>
                    <w:keepNext/>
                    <w:keepLines w:val="0"/>
                    <w:pageBreakBefore w:val="0"/>
                    <w:widowControl w:val="0"/>
                    <w:kinsoku/>
                    <w:wordWrap/>
                    <w:overflowPunct/>
                    <w:topLinePunct w:val="0"/>
                    <w:autoSpaceDE/>
                    <w:autoSpaceDN/>
                    <w:bidi w:val="0"/>
                    <w:adjustRightInd/>
                    <w:snapToGrid/>
                    <w:textAlignment w:val="auto"/>
                    <w:rPr>
                      <w:color w:val="auto"/>
                    </w:rPr>
                  </w:pPr>
                </w:p>
              </w:tc>
              <w:tc>
                <w:tcPr>
                  <w:tcW w:w="686" w:type="dxa"/>
                  <w:tcBorders>
                    <w:top w:val="single" w:color="auto" w:sz="4" w:space="0"/>
                    <w:left w:val="single" w:color="auto" w:sz="4" w:space="0"/>
                    <w:bottom w:val="single" w:color="auto" w:sz="4" w:space="0"/>
                  </w:tcBorders>
                  <w:vAlign w:val="center"/>
                </w:tcPr>
                <w:p w14:paraId="6E3F4CBD">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r>
                    <w:rPr>
                      <w:rFonts w:hint="eastAsia"/>
                      <w:color w:val="auto"/>
                      <w:lang w:eastAsia="zh-CN"/>
                    </w:rPr>
                    <w:t>生活废水</w:t>
                  </w:r>
                </w:p>
              </w:tc>
              <w:tc>
                <w:tcPr>
                  <w:tcW w:w="6223" w:type="dxa"/>
                  <w:tcBorders>
                    <w:right w:val="single" w:color="auto" w:sz="4" w:space="0"/>
                  </w:tcBorders>
                  <w:vAlign w:val="center"/>
                </w:tcPr>
                <w:p w14:paraId="264801B5">
                  <w:pPr>
                    <w:pStyle w:val="34"/>
                    <w:keepNext/>
                    <w:keepLines w:val="0"/>
                    <w:pageBreakBefore w:val="0"/>
                    <w:widowControl w:val="0"/>
                    <w:kinsoku/>
                    <w:wordWrap/>
                    <w:overflowPunct/>
                    <w:topLinePunct w:val="0"/>
                    <w:autoSpaceDE/>
                    <w:autoSpaceDN/>
                    <w:bidi w:val="0"/>
                    <w:adjustRightInd/>
                    <w:snapToGrid/>
                    <w:ind w:firstLine="420" w:firstLineChars="200"/>
                    <w:jc w:val="both"/>
                    <w:textAlignment w:val="auto"/>
                    <w:rPr>
                      <w:color w:val="auto"/>
                    </w:rPr>
                  </w:pPr>
                  <w:r>
                    <w:rPr>
                      <w:rFonts w:hint="eastAsia"/>
                      <w:color w:val="auto"/>
                    </w:rPr>
                    <w:t>项目在每个生产生活区附近分别设置1座旱厕，旱厕委托当地农户定期清理用作农肥</w:t>
                  </w:r>
                  <w:r>
                    <w:rPr>
                      <w:rFonts w:hint="eastAsia"/>
                      <w:color w:val="auto"/>
                      <w:lang w:eastAsia="zh-CN"/>
                    </w:rPr>
                    <w:t>；食堂含油废水用泔水桶</w:t>
                  </w:r>
                  <w:r>
                    <w:rPr>
                      <w:rFonts w:hint="eastAsia"/>
                      <w:color w:val="auto"/>
                    </w:rPr>
                    <w:t>收集</w:t>
                  </w:r>
                  <w:r>
                    <w:rPr>
                      <w:rFonts w:hint="eastAsia"/>
                      <w:color w:val="auto"/>
                      <w:lang w:eastAsia="zh-CN"/>
                    </w:rPr>
                    <w:t>后</w:t>
                  </w:r>
                  <w:r>
                    <w:rPr>
                      <w:rFonts w:hint="eastAsia"/>
                      <w:color w:val="auto"/>
                    </w:rPr>
                    <w:t>联系当地农户定期挑走用于饲养禽畜</w:t>
                  </w:r>
                  <w:r>
                    <w:rPr>
                      <w:rFonts w:hint="eastAsia"/>
                      <w:color w:val="auto"/>
                      <w:lang w:eastAsia="zh-CN"/>
                    </w:rPr>
                    <w:t>，其他</w:t>
                  </w:r>
                  <w:r>
                    <w:rPr>
                      <w:rFonts w:hint="eastAsia" w:ascii="Times New Roman" w:hAnsi="Times New Roman" w:eastAsia="宋体" w:cs="Times New Roman"/>
                      <w:color w:val="auto"/>
                      <w:sz w:val="21"/>
                      <w:szCs w:val="21"/>
                    </w:rPr>
                    <w:t>生活废水经沉淀处理后，用于项目区洒水降尘，不外排。</w:t>
                  </w:r>
                </w:p>
              </w:tc>
            </w:tr>
            <w:tr w14:paraId="1F0AA7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tblHeader/>
                <w:jc w:val="center"/>
              </w:trPr>
              <w:tc>
                <w:tcPr>
                  <w:tcW w:w="442" w:type="dxa"/>
                  <w:vMerge w:val="continue"/>
                  <w:tcBorders>
                    <w:left w:val="single" w:color="auto" w:sz="4" w:space="0"/>
                  </w:tcBorders>
                  <w:vAlign w:val="center"/>
                </w:tcPr>
                <w:p w14:paraId="1AEAD2DE">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1200" w:type="dxa"/>
                  <w:gridSpan w:val="2"/>
                  <w:tcBorders>
                    <w:top w:val="single" w:color="auto" w:sz="4" w:space="0"/>
                    <w:bottom w:val="single" w:color="auto" w:sz="4" w:space="0"/>
                  </w:tcBorders>
                  <w:vAlign w:val="center"/>
                </w:tcPr>
                <w:p w14:paraId="0E44A92D">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r>
                    <w:rPr>
                      <w:rFonts w:hint="eastAsia"/>
                      <w:color w:val="auto"/>
                      <w:lang w:eastAsia="zh-CN"/>
                    </w:rPr>
                    <w:t>施工期噪声</w:t>
                  </w:r>
                </w:p>
              </w:tc>
              <w:tc>
                <w:tcPr>
                  <w:tcW w:w="6223" w:type="dxa"/>
                  <w:tcBorders>
                    <w:right w:val="single" w:color="auto" w:sz="4" w:space="0"/>
                  </w:tcBorders>
                  <w:vAlign w:val="center"/>
                </w:tcPr>
                <w:p w14:paraId="5274E826">
                  <w:pPr>
                    <w:pStyle w:val="34"/>
                    <w:keepNext/>
                    <w:keepLines w:val="0"/>
                    <w:pageBreakBefore w:val="0"/>
                    <w:widowControl w:val="0"/>
                    <w:kinsoku/>
                    <w:wordWrap/>
                    <w:overflowPunct/>
                    <w:topLinePunct w:val="0"/>
                    <w:autoSpaceDE/>
                    <w:autoSpaceDN/>
                    <w:bidi w:val="0"/>
                    <w:adjustRightInd/>
                    <w:snapToGrid/>
                    <w:ind w:firstLine="420" w:firstLineChars="200"/>
                    <w:jc w:val="both"/>
                    <w:textAlignment w:val="auto"/>
                    <w:rPr>
                      <w:color w:val="auto"/>
                    </w:rPr>
                  </w:pPr>
                  <w:r>
                    <w:rPr>
                      <w:rFonts w:hint="eastAsia"/>
                      <w:color w:val="auto"/>
                    </w:rPr>
                    <w:t>施工过程中，</w:t>
                  </w:r>
                  <w:r>
                    <w:rPr>
                      <w:rFonts w:hint="eastAsia"/>
                      <w:color w:val="auto"/>
                      <w:lang w:eastAsia="zh-CN"/>
                    </w:rPr>
                    <w:t>合理布设施工器械，</w:t>
                  </w:r>
                  <w:r>
                    <w:rPr>
                      <w:rFonts w:hint="eastAsia"/>
                      <w:color w:val="auto"/>
                    </w:rPr>
                    <w:t>在有居民点工程段设置临时围挡，夜间禁止施工。</w:t>
                  </w:r>
                </w:p>
              </w:tc>
            </w:tr>
            <w:tr w14:paraId="751D2E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tblHeader/>
                <w:jc w:val="center"/>
              </w:trPr>
              <w:tc>
                <w:tcPr>
                  <w:tcW w:w="442" w:type="dxa"/>
                  <w:vMerge w:val="continue"/>
                  <w:tcBorders>
                    <w:left w:val="single" w:color="auto" w:sz="4" w:space="0"/>
                  </w:tcBorders>
                  <w:vAlign w:val="center"/>
                </w:tcPr>
                <w:p w14:paraId="2F61B7EF">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514" w:type="dxa"/>
                  <w:vMerge w:val="restart"/>
                  <w:tcBorders>
                    <w:top w:val="single" w:color="auto" w:sz="4" w:space="0"/>
                    <w:right w:val="single" w:color="auto" w:sz="4" w:space="0"/>
                  </w:tcBorders>
                  <w:vAlign w:val="center"/>
                </w:tcPr>
                <w:p w14:paraId="420575B9">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r>
                    <w:rPr>
                      <w:rFonts w:hint="eastAsia"/>
                      <w:color w:val="auto"/>
                      <w:lang w:eastAsia="zh-CN"/>
                    </w:rPr>
                    <w:t>施工期固废</w:t>
                  </w:r>
                </w:p>
              </w:tc>
              <w:tc>
                <w:tcPr>
                  <w:tcW w:w="686" w:type="dxa"/>
                  <w:tcBorders>
                    <w:top w:val="single" w:color="auto" w:sz="4" w:space="0"/>
                    <w:left w:val="single" w:color="auto" w:sz="4" w:space="0"/>
                    <w:bottom w:val="single" w:color="auto" w:sz="4" w:space="0"/>
                  </w:tcBorders>
                  <w:vAlign w:val="center"/>
                </w:tcPr>
                <w:p w14:paraId="2C565F06">
                  <w:pPr>
                    <w:pStyle w:val="34"/>
                    <w:keepNext/>
                    <w:keepLines w:val="0"/>
                    <w:pageBreakBefore w:val="0"/>
                    <w:widowControl w:val="0"/>
                    <w:kinsoku/>
                    <w:wordWrap/>
                    <w:overflowPunct/>
                    <w:topLinePunct w:val="0"/>
                    <w:autoSpaceDE/>
                    <w:autoSpaceDN/>
                    <w:bidi w:val="0"/>
                    <w:adjustRightInd/>
                    <w:snapToGrid/>
                    <w:ind w:firstLine="0" w:firstLineChars="0"/>
                    <w:textAlignment w:val="auto"/>
                    <w:rPr>
                      <w:rFonts w:hint="eastAsia"/>
                      <w:color w:val="auto"/>
                      <w:lang w:eastAsia="zh-CN"/>
                    </w:rPr>
                  </w:pPr>
                  <w:r>
                    <w:rPr>
                      <w:rFonts w:hint="eastAsia"/>
                      <w:color w:val="auto"/>
                      <w:lang w:eastAsia="zh-CN"/>
                    </w:rPr>
                    <w:t>生活垃圾</w:t>
                  </w:r>
                </w:p>
              </w:tc>
              <w:tc>
                <w:tcPr>
                  <w:tcW w:w="6223" w:type="dxa"/>
                  <w:tcBorders>
                    <w:right w:val="single" w:color="auto" w:sz="4" w:space="0"/>
                  </w:tcBorders>
                  <w:vAlign w:val="center"/>
                </w:tcPr>
                <w:p w14:paraId="20859072">
                  <w:pPr>
                    <w:pStyle w:val="34"/>
                    <w:keepNext/>
                    <w:keepLines w:val="0"/>
                    <w:pageBreakBefore w:val="0"/>
                    <w:widowControl w:val="0"/>
                    <w:kinsoku/>
                    <w:wordWrap/>
                    <w:overflowPunct/>
                    <w:topLinePunct w:val="0"/>
                    <w:autoSpaceDE/>
                    <w:autoSpaceDN/>
                    <w:bidi w:val="0"/>
                    <w:adjustRightInd/>
                    <w:snapToGrid/>
                    <w:ind w:firstLine="420" w:firstLineChars="200"/>
                    <w:jc w:val="both"/>
                    <w:textAlignment w:val="auto"/>
                    <w:rPr>
                      <w:color w:val="auto"/>
                    </w:rPr>
                  </w:pPr>
                  <w:r>
                    <w:rPr>
                      <w:rFonts w:hint="eastAsia"/>
                      <w:color w:val="auto"/>
                    </w:rPr>
                    <w:t>施工人员生活垃圾集中收集后清运至最近的垃圾收集点，由环卫部门清运处置</w:t>
                  </w:r>
                  <w:r>
                    <w:rPr>
                      <w:rFonts w:hint="eastAsia"/>
                      <w:color w:val="auto"/>
                      <w:lang w:eastAsia="zh-CN"/>
                    </w:rPr>
                    <w:t>。</w:t>
                  </w:r>
                </w:p>
              </w:tc>
            </w:tr>
            <w:tr w14:paraId="7EAB8D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tblHeader/>
                <w:jc w:val="center"/>
              </w:trPr>
              <w:tc>
                <w:tcPr>
                  <w:tcW w:w="442" w:type="dxa"/>
                  <w:vMerge w:val="continue"/>
                  <w:tcBorders>
                    <w:left w:val="single" w:color="auto" w:sz="4" w:space="0"/>
                  </w:tcBorders>
                  <w:vAlign w:val="center"/>
                </w:tcPr>
                <w:p w14:paraId="595E0F0F">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514" w:type="dxa"/>
                  <w:vMerge w:val="continue"/>
                  <w:tcBorders>
                    <w:right w:val="single" w:color="auto" w:sz="4" w:space="0"/>
                  </w:tcBorders>
                  <w:vAlign w:val="center"/>
                </w:tcPr>
                <w:p w14:paraId="7B8F37F4">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686" w:type="dxa"/>
                  <w:tcBorders>
                    <w:top w:val="single" w:color="auto" w:sz="4" w:space="0"/>
                    <w:left w:val="single" w:color="auto" w:sz="4" w:space="0"/>
                    <w:bottom w:val="single" w:color="auto" w:sz="4" w:space="0"/>
                  </w:tcBorders>
                  <w:vAlign w:val="center"/>
                </w:tcPr>
                <w:p w14:paraId="44E4869E">
                  <w:pPr>
                    <w:pStyle w:val="34"/>
                    <w:keepNext/>
                    <w:keepLines w:val="0"/>
                    <w:pageBreakBefore w:val="0"/>
                    <w:widowControl w:val="0"/>
                    <w:kinsoku/>
                    <w:wordWrap/>
                    <w:overflowPunct/>
                    <w:topLinePunct w:val="0"/>
                    <w:autoSpaceDE/>
                    <w:autoSpaceDN/>
                    <w:bidi w:val="0"/>
                    <w:adjustRightInd/>
                    <w:snapToGrid/>
                    <w:ind w:firstLine="0" w:firstLineChars="0"/>
                    <w:textAlignment w:val="auto"/>
                    <w:rPr>
                      <w:rFonts w:hint="default"/>
                      <w:color w:val="auto"/>
                      <w:lang w:val="en-US" w:eastAsia="zh-CN"/>
                    </w:rPr>
                  </w:pPr>
                  <w:r>
                    <w:rPr>
                      <w:rFonts w:hint="eastAsia"/>
                      <w:color w:val="auto"/>
                      <w:lang w:eastAsia="zh-CN"/>
                    </w:rPr>
                    <w:t>表土</w:t>
                  </w:r>
                </w:p>
              </w:tc>
              <w:tc>
                <w:tcPr>
                  <w:tcW w:w="6223" w:type="dxa"/>
                  <w:tcBorders>
                    <w:right w:val="single" w:color="auto" w:sz="4" w:space="0"/>
                  </w:tcBorders>
                  <w:vAlign w:val="center"/>
                </w:tcPr>
                <w:p w14:paraId="3F0016CA">
                  <w:pPr>
                    <w:pStyle w:val="34"/>
                    <w:keepNext/>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color w:val="auto"/>
                    </w:rPr>
                  </w:pPr>
                  <w:r>
                    <w:rPr>
                      <w:rFonts w:hint="eastAsia"/>
                      <w:color w:val="auto"/>
                    </w:rPr>
                    <w:t>临时表土堆存过程中，堆放的四周采用编织袋挡墙，采用土工布覆盖；临时表土用于后期回填。</w:t>
                  </w:r>
                </w:p>
              </w:tc>
            </w:tr>
            <w:tr w14:paraId="69CECD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tblHeader/>
                <w:jc w:val="center"/>
              </w:trPr>
              <w:tc>
                <w:tcPr>
                  <w:tcW w:w="442" w:type="dxa"/>
                  <w:vMerge w:val="continue"/>
                  <w:tcBorders>
                    <w:left w:val="single" w:color="auto" w:sz="4" w:space="0"/>
                  </w:tcBorders>
                  <w:vAlign w:val="center"/>
                </w:tcPr>
                <w:p w14:paraId="079C2E71">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514" w:type="dxa"/>
                  <w:vMerge w:val="continue"/>
                  <w:tcBorders>
                    <w:right w:val="single" w:color="auto" w:sz="4" w:space="0"/>
                  </w:tcBorders>
                  <w:vAlign w:val="center"/>
                </w:tcPr>
                <w:p w14:paraId="0653F870">
                  <w:pPr>
                    <w:pStyle w:val="34"/>
                    <w:keepNext/>
                    <w:keepLines w:val="0"/>
                    <w:pageBreakBefore w:val="0"/>
                    <w:widowControl w:val="0"/>
                    <w:kinsoku/>
                    <w:wordWrap/>
                    <w:overflowPunct/>
                    <w:topLinePunct w:val="0"/>
                    <w:autoSpaceDE/>
                    <w:autoSpaceDN/>
                    <w:bidi w:val="0"/>
                    <w:adjustRightInd/>
                    <w:snapToGrid/>
                    <w:textAlignment w:val="auto"/>
                    <w:rPr>
                      <w:color w:val="auto"/>
                    </w:rPr>
                  </w:pPr>
                </w:p>
              </w:tc>
              <w:tc>
                <w:tcPr>
                  <w:tcW w:w="686" w:type="dxa"/>
                  <w:tcBorders>
                    <w:top w:val="single" w:color="auto" w:sz="4" w:space="0"/>
                    <w:left w:val="single" w:color="auto" w:sz="4" w:space="0"/>
                    <w:bottom w:val="single" w:color="auto" w:sz="4" w:space="0"/>
                  </w:tcBorders>
                  <w:vAlign w:val="center"/>
                </w:tcPr>
                <w:p w14:paraId="2FABC1BF">
                  <w:pPr>
                    <w:pStyle w:val="34"/>
                    <w:keepNext/>
                    <w:keepLines w:val="0"/>
                    <w:pageBreakBefore w:val="0"/>
                    <w:widowControl w:val="0"/>
                    <w:kinsoku/>
                    <w:wordWrap/>
                    <w:overflowPunct/>
                    <w:topLinePunct w:val="0"/>
                    <w:autoSpaceDE/>
                    <w:autoSpaceDN/>
                    <w:bidi w:val="0"/>
                    <w:adjustRightInd/>
                    <w:snapToGrid/>
                    <w:ind w:firstLine="0" w:firstLineChars="0"/>
                    <w:textAlignment w:val="auto"/>
                    <w:rPr>
                      <w:rFonts w:hint="eastAsia"/>
                      <w:color w:val="auto"/>
                      <w:lang w:eastAsia="zh-CN"/>
                    </w:rPr>
                  </w:pPr>
                  <w:r>
                    <w:rPr>
                      <w:rFonts w:hint="eastAsia"/>
                      <w:color w:val="auto"/>
                      <w:lang w:eastAsia="zh-CN"/>
                    </w:rPr>
                    <w:t>可回收利用垃圾</w:t>
                  </w:r>
                </w:p>
              </w:tc>
              <w:tc>
                <w:tcPr>
                  <w:tcW w:w="6223" w:type="dxa"/>
                  <w:tcBorders>
                    <w:right w:val="single" w:color="auto" w:sz="4" w:space="0"/>
                  </w:tcBorders>
                  <w:vAlign w:val="center"/>
                </w:tcPr>
                <w:p w14:paraId="2B2FADA2">
                  <w:pPr>
                    <w:pStyle w:val="34"/>
                    <w:keepNext/>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eastAsia="宋体"/>
                      <w:color w:val="auto"/>
                      <w:lang w:eastAsia="zh-CN"/>
                    </w:rPr>
                  </w:pPr>
                  <w:r>
                    <w:rPr>
                      <w:rFonts w:hint="eastAsia"/>
                      <w:color w:val="auto"/>
                    </w:rPr>
                    <w:t>废弃水泥袋等可回收利用的垃圾，分类收集后清运</w:t>
                  </w:r>
                  <w:r>
                    <w:rPr>
                      <w:rFonts w:hint="eastAsia"/>
                      <w:color w:val="auto"/>
                      <w:lang w:eastAsia="zh-CN"/>
                    </w:rPr>
                    <w:t>由</w:t>
                  </w:r>
                  <w:r>
                    <w:rPr>
                      <w:rFonts w:hint="eastAsia"/>
                      <w:color w:val="auto"/>
                    </w:rPr>
                    <w:t>废旧品回收单位回收</w:t>
                  </w:r>
                  <w:r>
                    <w:rPr>
                      <w:rFonts w:hint="eastAsia"/>
                      <w:color w:val="auto"/>
                      <w:lang w:eastAsia="zh-CN"/>
                    </w:rPr>
                    <w:t>。</w:t>
                  </w:r>
                </w:p>
              </w:tc>
            </w:tr>
            <w:tr w14:paraId="2F803B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tblHeader/>
                <w:jc w:val="center"/>
              </w:trPr>
              <w:tc>
                <w:tcPr>
                  <w:tcW w:w="442" w:type="dxa"/>
                  <w:vMerge w:val="continue"/>
                  <w:tcBorders>
                    <w:left w:val="single" w:color="auto" w:sz="4" w:space="0"/>
                  </w:tcBorders>
                  <w:vAlign w:val="center"/>
                </w:tcPr>
                <w:p w14:paraId="12DE4030">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514" w:type="dxa"/>
                  <w:vMerge w:val="continue"/>
                  <w:tcBorders>
                    <w:right w:val="single" w:color="auto" w:sz="4" w:space="0"/>
                  </w:tcBorders>
                  <w:vAlign w:val="center"/>
                </w:tcPr>
                <w:p w14:paraId="16A1EB3B">
                  <w:pPr>
                    <w:pStyle w:val="34"/>
                    <w:keepNext/>
                    <w:keepLines w:val="0"/>
                    <w:pageBreakBefore w:val="0"/>
                    <w:widowControl w:val="0"/>
                    <w:kinsoku/>
                    <w:wordWrap/>
                    <w:overflowPunct/>
                    <w:topLinePunct w:val="0"/>
                    <w:autoSpaceDE/>
                    <w:autoSpaceDN/>
                    <w:bidi w:val="0"/>
                    <w:adjustRightInd/>
                    <w:snapToGrid/>
                    <w:textAlignment w:val="auto"/>
                    <w:rPr>
                      <w:color w:val="auto"/>
                    </w:rPr>
                  </w:pPr>
                </w:p>
              </w:tc>
              <w:tc>
                <w:tcPr>
                  <w:tcW w:w="686" w:type="dxa"/>
                  <w:tcBorders>
                    <w:top w:val="single" w:color="auto" w:sz="4" w:space="0"/>
                    <w:left w:val="single" w:color="auto" w:sz="4" w:space="0"/>
                    <w:bottom w:val="single" w:color="auto" w:sz="4" w:space="0"/>
                  </w:tcBorders>
                  <w:vAlign w:val="center"/>
                </w:tcPr>
                <w:p w14:paraId="04FEDC4A">
                  <w:pPr>
                    <w:pStyle w:val="34"/>
                    <w:keepNext/>
                    <w:keepLines w:val="0"/>
                    <w:pageBreakBefore w:val="0"/>
                    <w:widowControl w:val="0"/>
                    <w:kinsoku/>
                    <w:wordWrap/>
                    <w:overflowPunct/>
                    <w:topLinePunct w:val="0"/>
                    <w:autoSpaceDE/>
                    <w:autoSpaceDN/>
                    <w:bidi w:val="0"/>
                    <w:adjustRightInd/>
                    <w:snapToGrid/>
                    <w:ind w:firstLine="0" w:firstLineChars="0"/>
                    <w:textAlignment w:val="auto"/>
                    <w:rPr>
                      <w:rFonts w:hint="eastAsia"/>
                      <w:color w:val="auto"/>
                      <w:lang w:eastAsia="zh-CN"/>
                    </w:rPr>
                  </w:pPr>
                  <w:r>
                    <w:rPr>
                      <w:rFonts w:hint="eastAsia"/>
                      <w:color w:val="auto"/>
                      <w:lang w:eastAsia="zh-CN"/>
                    </w:rPr>
                    <w:t>危险废物</w:t>
                  </w:r>
                </w:p>
              </w:tc>
              <w:tc>
                <w:tcPr>
                  <w:tcW w:w="6223" w:type="dxa"/>
                  <w:tcBorders>
                    <w:right w:val="single" w:color="auto" w:sz="4" w:space="0"/>
                  </w:tcBorders>
                  <w:vAlign w:val="center"/>
                </w:tcPr>
                <w:p w14:paraId="66FD5227">
                  <w:pPr>
                    <w:pStyle w:val="34"/>
                    <w:keepNext/>
                    <w:keepLines w:val="0"/>
                    <w:pageBreakBefore w:val="0"/>
                    <w:widowControl w:val="0"/>
                    <w:kinsoku/>
                    <w:wordWrap/>
                    <w:overflowPunct/>
                    <w:topLinePunct w:val="0"/>
                    <w:autoSpaceDE/>
                    <w:autoSpaceDN/>
                    <w:bidi w:val="0"/>
                    <w:adjustRightInd/>
                    <w:snapToGrid/>
                    <w:ind w:firstLine="420" w:firstLineChars="200"/>
                    <w:jc w:val="both"/>
                    <w:textAlignment w:val="auto"/>
                    <w:rPr>
                      <w:color w:val="auto"/>
                    </w:rPr>
                  </w:pPr>
                  <w:r>
                    <w:rPr>
                      <w:rFonts w:hint="eastAsia"/>
                      <w:color w:val="auto"/>
                      <w:lang w:eastAsia="zh-CN"/>
                    </w:rPr>
                    <w:t>施工机械不在施工场地维修，车辆维修，施工机械设备开往附近修理厂维修，维修过程产生的废矿物油处置责任由修理厂承担，施工场地不涉及废矿物油的产生及储存。</w:t>
                  </w:r>
                </w:p>
              </w:tc>
            </w:tr>
            <w:tr w14:paraId="5B5224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tblHeader/>
                <w:jc w:val="center"/>
              </w:trPr>
              <w:tc>
                <w:tcPr>
                  <w:tcW w:w="442" w:type="dxa"/>
                  <w:vMerge w:val="continue"/>
                  <w:tcBorders>
                    <w:left w:val="single" w:color="auto" w:sz="4" w:space="0"/>
                  </w:tcBorders>
                  <w:vAlign w:val="center"/>
                </w:tcPr>
                <w:p w14:paraId="50E69AF2">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514" w:type="dxa"/>
                  <w:vMerge w:val="continue"/>
                  <w:tcBorders>
                    <w:bottom w:val="single" w:color="auto" w:sz="4" w:space="0"/>
                    <w:right w:val="single" w:color="auto" w:sz="4" w:space="0"/>
                  </w:tcBorders>
                  <w:vAlign w:val="center"/>
                </w:tcPr>
                <w:p w14:paraId="0E1BEF84">
                  <w:pPr>
                    <w:pStyle w:val="34"/>
                    <w:keepNext/>
                    <w:keepLines w:val="0"/>
                    <w:pageBreakBefore w:val="0"/>
                    <w:widowControl w:val="0"/>
                    <w:kinsoku/>
                    <w:wordWrap/>
                    <w:overflowPunct/>
                    <w:topLinePunct w:val="0"/>
                    <w:autoSpaceDE/>
                    <w:autoSpaceDN/>
                    <w:bidi w:val="0"/>
                    <w:adjustRightInd/>
                    <w:snapToGrid/>
                    <w:textAlignment w:val="auto"/>
                    <w:rPr>
                      <w:color w:val="auto"/>
                    </w:rPr>
                  </w:pPr>
                </w:p>
              </w:tc>
              <w:tc>
                <w:tcPr>
                  <w:tcW w:w="686" w:type="dxa"/>
                  <w:tcBorders>
                    <w:top w:val="single" w:color="auto" w:sz="4" w:space="0"/>
                    <w:left w:val="single" w:color="auto" w:sz="4" w:space="0"/>
                    <w:bottom w:val="single" w:color="auto" w:sz="4" w:space="0"/>
                  </w:tcBorders>
                  <w:vAlign w:val="center"/>
                </w:tcPr>
                <w:p w14:paraId="172A93E7">
                  <w:pPr>
                    <w:pStyle w:val="34"/>
                    <w:keepNext/>
                    <w:keepLines w:val="0"/>
                    <w:pageBreakBefore w:val="0"/>
                    <w:widowControl w:val="0"/>
                    <w:kinsoku/>
                    <w:wordWrap/>
                    <w:overflowPunct/>
                    <w:topLinePunct w:val="0"/>
                    <w:autoSpaceDE/>
                    <w:autoSpaceDN/>
                    <w:bidi w:val="0"/>
                    <w:adjustRightInd/>
                    <w:snapToGrid/>
                    <w:ind w:firstLine="0" w:firstLineChars="0"/>
                    <w:textAlignment w:val="auto"/>
                    <w:rPr>
                      <w:rFonts w:hint="eastAsia"/>
                      <w:color w:val="auto"/>
                      <w:lang w:eastAsia="zh-CN"/>
                    </w:rPr>
                  </w:pPr>
                  <w:r>
                    <w:rPr>
                      <w:rFonts w:hint="eastAsia"/>
                      <w:color w:val="auto"/>
                      <w:lang w:eastAsia="zh-CN"/>
                    </w:rPr>
                    <w:t>生活垃圾</w:t>
                  </w:r>
                </w:p>
              </w:tc>
              <w:tc>
                <w:tcPr>
                  <w:tcW w:w="6223" w:type="dxa"/>
                  <w:tcBorders>
                    <w:right w:val="single" w:color="auto" w:sz="4" w:space="0"/>
                  </w:tcBorders>
                  <w:vAlign w:val="center"/>
                </w:tcPr>
                <w:p w14:paraId="4965785E">
                  <w:pPr>
                    <w:pStyle w:val="34"/>
                    <w:keepNext/>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color w:val="auto"/>
                      <w:lang w:eastAsia="zh-CN"/>
                    </w:rPr>
                  </w:pPr>
                  <w:r>
                    <w:rPr>
                      <w:rFonts w:hint="eastAsia"/>
                      <w:color w:val="auto"/>
                    </w:rPr>
                    <w:t>施工人员生活垃圾集中收集后清运至最近的垃圾收集点，由环卫部门清运处置</w:t>
                  </w:r>
                  <w:r>
                    <w:rPr>
                      <w:rFonts w:hint="eastAsia"/>
                      <w:color w:val="auto"/>
                      <w:lang w:eastAsia="zh-CN"/>
                    </w:rPr>
                    <w:t>。</w:t>
                  </w:r>
                </w:p>
              </w:tc>
            </w:tr>
            <w:tr w14:paraId="144B4D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tblHeader/>
                <w:jc w:val="center"/>
              </w:trPr>
              <w:tc>
                <w:tcPr>
                  <w:tcW w:w="442" w:type="dxa"/>
                  <w:vMerge w:val="continue"/>
                  <w:tcBorders>
                    <w:left w:val="single" w:color="auto" w:sz="4" w:space="0"/>
                  </w:tcBorders>
                  <w:vAlign w:val="center"/>
                </w:tcPr>
                <w:p w14:paraId="209391DD">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1200" w:type="dxa"/>
                  <w:gridSpan w:val="2"/>
                  <w:tcBorders>
                    <w:top w:val="single" w:color="auto" w:sz="4" w:space="0"/>
                    <w:bottom w:val="single" w:color="auto" w:sz="4" w:space="0"/>
                  </w:tcBorders>
                  <w:vAlign w:val="center"/>
                </w:tcPr>
                <w:p w14:paraId="45D000CD">
                  <w:pPr>
                    <w:pStyle w:val="34"/>
                    <w:keepNext/>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lang w:eastAsia="zh-CN"/>
                    </w:rPr>
                  </w:pPr>
                  <w:r>
                    <w:rPr>
                      <w:rFonts w:hint="eastAsia"/>
                      <w:color w:val="auto"/>
                      <w:lang w:eastAsia="zh-CN"/>
                    </w:rPr>
                    <w:t>生态环境</w:t>
                  </w:r>
                </w:p>
              </w:tc>
              <w:tc>
                <w:tcPr>
                  <w:tcW w:w="6223" w:type="dxa"/>
                  <w:tcBorders>
                    <w:right w:val="single" w:color="auto" w:sz="4" w:space="0"/>
                  </w:tcBorders>
                  <w:vAlign w:val="center"/>
                </w:tcPr>
                <w:p w14:paraId="0DFFEB53">
                  <w:pPr>
                    <w:pStyle w:val="34"/>
                    <w:keepNext/>
                    <w:keepLines w:val="0"/>
                    <w:pageBreakBefore w:val="0"/>
                    <w:widowControl w:val="0"/>
                    <w:kinsoku/>
                    <w:wordWrap/>
                    <w:overflowPunct/>
                    <w:topLinePunct w:val="0"/>
                    <w:autoSpaceDE/>
                    <w:autoSpaceDN/>
                    <w:bidi w:val="0"/>
                    <w:adjustRightInd/>
                    <w:snapToGrid/>
                    <w:jc w:val="both"/>
                    <w:textAlignment w:val="auto"/>
                    <w:rPr>
                      <w:rFonts w:hint="eastAsia"/>
                      <w:color w:val="auto"/>
                      <w:lang w:eastAsia="zh-CN"/>
                    </w:rPr>
                  </w:pPr>
                  <w:r>
                    <w:rPr>
                      <w:rFonts w:hint="eastAsia"/>
                      <w:color w:val="auto"/>
                      <w:lang w:eastAsia="zh-CN"/>
                    </w:rPr>
                    <w:t>（1）结合水土保持工程，加强植被保护和景观维持。避免雨天施工，减少水土流失。渣土及时清运，按水保设计路线堆放，保持施工场地清洁。</w:t>
                  </w:r>
                </w:p>
                <w:p w14:paraId="4F4C0DEA">
                  <w:pPr>
                    <w:pStyle w:val="34"/>
                    <w:keepNext/>
                    <w:keepLines w:val="0"/>
                    <w:pageBreakBefore w:val="0"/>
                    <w:widowControl w:val="0"/>
                    <w:kinsoku/>
                    <w:wordWrap/>
                    <w:overflowPunct/>
                    <w:topLinePunct w:val="0"/>
                    <w:autoSpaceDE/>
                    <w:autoSpaceDN/>
                    <w:bidi w:val="0"/>
                    <w:adjustRightInd/>
                    <w:snapToGrid/>
                    <w:jc w:val="both"/>
                    <w:textAlignment w:val="auto"/>
                    <w:rPr>
                      <w:rFonts w:hint="eastAsia"/>
                      <w:color w:val="auto"/>
                      <w:lang w:eastAsia="zh-CN"/>
                    </w:rPr>
                  </w:pPr>
                  <w:r>
                    <w:rPr>
                      <w:rFonts w:hint="eastAsia"/>
                      <w:color w:val="auto"/>
                      <w:lang w:eastAsia="zh-CN"/>
                    </w:rPr>
                    <w:t>（2）工程施工期间加强施工人员管理，确保施工人员在规定的施工占地区域范围内施工，严禁擅自扩大施工场地，减少不必要的植被破坏。对施工人员和附近居民加强施工区生态环境保护的宣传教育，以公告、发放宣传册等形式，教育施工人员，通过制度严禁施工人员非法捕杀野生动物，严禁施工人员捕鱼、毒鱼，以减轻施工对当地陆生动物的影响。</w:t>
                  </w:r>
                </w:p>
                <w:p w14:paraId="7C77BAEB">
                  <w:pPr>
                    <w:pStyle w:val="34"/>
                    <w:keepNext/>
                    <w:keepLines w:val="0"/>
                    <w:pageBreakBefore w:val="0"/>
                    <w:widowControl w:val="0"/>
                    <w:kinsoku/>
                    <w:wordWrap/>
                    <w:overflowPunct/>
                    <w:topLinePunct w:val="0"/>
                    <w:autoSpaceDE/>
                    <w:autoSpaceDN/>
                    <w:bidi w:val="0"/>
                    <w:adjustRightInd/>
                    <w:snapToGrid/>
                    <w:jc w:val="both"/>
                    <w:textAlignment w:val="auto"/>
                    <w:rPr>
                      <w:rFonts w:hint="eastAsia" w:ascii="Times New Roman" w:hAnsi="Times New Roman" w:eastAsia="宋体" w:cs="Times New Roman"/>
                      <w:color w:val="auto"/>
                      <w:lang w:eastAsia="zh-CN"/>
                    </w:rPr>
                  </w:pPr>
                  <w:r>
                    <w:rPr>
                      <w:rFonts w:hint="eastAsia"/>
                      <w:color w:val="auto"/>
                      <w:lang w:eastAsia="zh-CN"/>
                    </w:rPr>
                    <w:t>（</w:t>
                  </w:r>
                  <w:r>
                    <w:rPr>
                      <w:rFonts w:hint="eastAsia" w:ascii="Times New Roman" w:hAnsi="Times New Roman" w:eastAsia="宋体" w:cs="Times New Roman"/>
                      <w:color w:val="auto"/>
                      <w:lang w:eastAsia="zh-CN"/>
                    </w:rPr>
                    <w:t>3）对施工区内的高大乔木，应尽量避让，能不砍伐的尽量不砍伐，以减少工程建设对植物的影响。</w:t>
                  </w:r>
                </w:p>
                <w:p w14:paraId="7A285BAF">
                  <w:pPr>
                    <w:pStyle w:val="34"/>
                    <w:keepNext/>
                    <w:keepLines w:val="0"/>
                    <w:pageBreakBefore w:val="0"/>
                    <w:widowControl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4</w:t>
                  </w:r>
                  <w:r>
                    <w:rPr>
                      <w:rFonts w:hint="eastAsia" w:ascii="Times New Roman" w:hAnsi="Times New Roman" w:eastAsia="宋体" w:cs="Times New Roman"/>
                      <w:color w:val="auto"/>
                      <w:lang w:eastAsia="zh-CN"/>
                    </w:rPr>
                    <w:t>）在施工过程发现珍稀野生动植物、珍稀水生生物 或者疑似鱼类产卵场、索饵场等，应及时上报相关部 门，及时进行保护，提出优化可行的补救措施。</w:t>
                  </w:r>
                </w:p>
              </w:tc>
            </w:tr>
            <w:tr w14:paraId="5E3552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tblHeader/>
                <w:jc w:val="center"/>
              </w:trPr>
              <w:tc>
                <w:tcPr>
                  <w:tcW w:w="442" w:type="dxa"/>
                  <w:vMerge w:val="continue"/>
                  <w:tcBorders>
                    <w:left w:val="single" w:color="auto" w:sz="4" w:space="0"/>
                  </w:tcBorders>
                  <w:vAlign w:val="center"/>
                </w:tcPr>
                <w:p w14:paraId="3C432F9C">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p>
              </w:tc>
              <w:tc>
                <w:tcPr>
                  <w:tcW w:w="1200" w:type="dxa"/>
                  <w:gridSpan w:val="2"/>
                  <w:tcBorders>
                    <w:top w:val="single" w:color="auto" w:sz="4" w:space="0"/>
                    <w:bottom w:val="single" w:color="auto" w:sz="4" w:space="0"/>
                  </w:tcBorders>
                  <w:vAlign w:val="center"/>
                </w:tcPr>
                <w:p w14:paraId="217A0915">
                  <w:pPr>
                    <w:pStyle w:val="34"/>
                    <w:keepNext/>
                    <w:keepLines w:val="0"/>
                    <w:pageBreakBefore w:val="0"/>
                    <w:widowControl w:val="0"/>
                    <w:kinsoku/>
                    <w:wordWrap/>
                    <w:overflowPunct/>
                    <w:topLinePunct w:val="0"/>
                    <w:autoSpaceDE/>
                    <w:autoSpaceDN/>
                    <w:bidi w:val="0"/>
                    <w:adjustRightInd/>
                    <w:snapToGrid/>
                    <w:textAlignment w:val="auto"/>
                    <w:rPr>
                      <w:rFonts w:hint="eastAsia"/>
                      <w:color w:val="auto"/>
                      <w:lang w:eastAsia="zh-CN"/>
                    </w:rPr>
                  </w:pPr>
                  <w:r>
                    <w:rPr>
                      <w:rFonts w:hint="eastAsia"/>
                      <w:color w:val="auto"/>
                      <w:lang w:eastAsia="zh-CN"/>
                    </w:rPr>
                    <w:t>运营期</w:t>
                  </w:r>
                </w:p>
              </w:tc>
              <w:tc>
                <w:tcPr>
                  <w:tcW w:w="6223" w:type="dxa"/>
                  <w:tcBorders>
                    <w:right w:val="single" w:color="auto" w:sz="4" w:space="0"/>
                  </w:tcBorders>
                  <w:vAlign w:val="center"/>
                </w:tcPr>
                <w:p w14:paraId="0D16DA22">
                  <w:pPr>
                    <w:pStyle w:val="34"/>
                    <w:keepNext/>
                    <w:keepLines w:val="0"/>
                    <w:pageBreakBefore w:val="0"/>
                    <w:widowControl w:val="0"/>
                    <w:kinsoku/>
                    <w:wordWrap/>
                    <w:overflowPunct/>
                    <w:topLinePunct w:val="0"/>
                    <w:autoSpaceDE/>
                    <w:autoSpaceDN/>
                    <w:bidi w:val="0"/>
                    <w:adjustRightInd/>
                    <w:snapToGrid/>
                    <w:ind w:firstLine="420" w:firstLineChars="200"/>
                    <w:jc w:val="both"/>
                    <w:textAlignment w:val="auto"/>
                    <w:rPr>
                      <w:color w:val="auto"/>
                    </w:rPr>
                  </w:pPr>
                  <w:r>
                    <w:rPr>
                      <w:rFonts w:hint="eastAsia"/>
                      <w:color w:val="auto"/>
                      <w:lang w:eastAsia="zh-CN"/>
                    </w:rPr>
                    <w:t>本工程施工完成后，运营期不产生污染物，不需做运营期环境管理保护设计。</w:t>
                  </w:r>
                </w:p>
              </w:tc>
            </w:tr>
          </w:tbl>
          <w:p w14:paraId="0E8D31BE">
            <w:pPr>
              <w:pStyle w:val="36"/>
              <w:bidi w:val="0"/>
              <w:rPr>
                <w:b/>
                <w:bCs/>
                <w:color w:val="auto"/>
              </w:rPr>
            </w:pPr>
            <w:r>
              <w:rPr>
                <w:b/>
                <w:bCs/>
                <w:color w:val="auto"/>
              </w:rPr>
              <w:t>四</w:t>
            </w:r>
            <w:r>
              <w:rPr>
                <w:rFonts w:hint="eastAsia"/>
                <w:b/>
                <w:bCs/>
                <w:color w:val="auto"/>
                <w:lang w:eastAsia="zh-CN"/>
              </w:rPr>
              <w:t>、治</w:t>
            </w:r>
            <w:r>
              <w:rPr>
                <w:b/>
                <w:bCs/>
                <w:color w:val="auto"/>
              </w:rPr>
              <w:t>导线布置</w:t>
            </w:r>
          </w:p>
          <w:p w14:paraId="2C10715C">
            <w:pPr>
              <w:pStyle w:val="36"/>
              <w:bidi w:val="0"/>
              <w:rPr>
                <w:rFonts w:hint="eastAsia"/>
                <w:color w:val="auto"/>
              </w:rPr>
            </w:pPr>
            <w:r>
              <w:rPr>
                <w:rFonts w:hint="eastAsia"/>
                <w:color w:val="auto"/>
              </w:rPr>
              <w:t>治理河段现状河道处于一个相对稳定的状态，治导线确定从河流的河势、水流、演变规律、地形、地质条件、结合现有建筑物的位置、施工条件进行综合考虑分析，以现状河道走向为依据，并充分考虑老河道演变历史，本着占地容易协调，群众工作相对好做的原则，对部分较窄河段进行适当扩宽、调整。</w:t>
            </w:r>
          </w:p>
          <w:p w14:paraId="02AF3B0D">
            <w:pPr>
              <w:pStyle w:val="36"/>
              <w:bidi w:val="0"/>
              <w:rPr>
                <w:rFonts w:hint="eastAsia"/>
                <w:color w:val="auto"/>
              </w:rPr>
            </w:pPr>
            <w:r>
              <w:rPr>
                <w:rFonts w:hint="eastAsia"/>
                <w:color w:val="auto"/>
              </w:rPr>
              <w:t>河道的走向（治导线）以现状河道为基础，并按理论要求做适当调整，即对于个别弯曲过急，河道过宽或过窄的地段作局部调整，调整的基本准则是应使河弯形态特征大体符合以下两个关系式：R=（4～9）B、Lm=（12～14）B ，式中B为直段河床的宽度。</w:t>
            </w:r>
          </w:p>
          <w:p w14:paraId="65A44D35">
            <w:pPr>
              <w:pStyle w:val="36"/>
              <w:bidi w:val="0"/>
              <w:rPr>
                <w:rFonts w:hint="eastAsia"/>
                <w:color w:val="auto"/>
              </w:rPr>
            </w:pPr>
            <w:r>
              <w:rPr>
                <w:rFonts w:hint="eastAsia"/>
                <w:color w:val="auto"/>
              </w:rPr>
              <w:t>根据以上分析，结合治理段的河道特性，治理段的治导线从果朗河治理起点大龙洞开始，自上而下，依照现在河道的基本流势及河势控制的两个基本准则，绘出整治河床的中心线，即为中水期的治导线，采用单一性河床断面，果朗河治理段主河槽宽控制在3.0m~35.0m之间。</w:t>
            </w:r>
          </w:p>
          <w:p w14:paraId="54328A9D">
            <w:pPr>
              <w:pStyle w:val="36"/>
              <w:bidi w:val="0"/>
              <w:rPr>
                <w:rFonts w:hint="eastAsia" w:eastAsia="宋体"/>
                <w:b/>
                <w:bCs/>
                <w:color w:val="auto"/>
                <w:lang w:eastAsia="zh-CN"/>
              </w:rPr>
            </w:pPr>
            <w:r>
              <w:rPr>
                <w:b/>
                <w:bCs/>
                <w:color w:val="auto"/>
              </w:rPr>
              <w:t>五、</w:t>
            </w:r>
            <w:r>
              <w:rPr>
                <w:rFonts w:hint="eastAsia"/>
                <w:b/>
                <w:bCs/>
                <w:color w:val="auto"/>
                <w:lang w:eastAsia="zh-CN"/>
              </w:rPr>
              <w:t>控制河宽</w:t>
            </w:r>
          </w:p>
          <w:p w14:paraId="5050E202">
            <w:pPr>
              <w:pStyle w:val="36"/>
              <w:numPr>
                <w:ilvl w:val="0"/>
                <w:numId w:val="0"/>
              </w:numPr>
              <w:bidi w:val="0"/>
              <w:ind w:left="0" w:leftChars="0" w:right="0" w:rightChars="0" w:firstLine="480" w:firstLineChars="200"/>
              <w:rPr>
                <w:rFonts w:hint="eastAsia"/>
                <w:color w:val="auto"/>
              </w:rPr>
            </w:pPr>
            <w:r>
              <w:rPr>
                <w:rFonts w:hint="eastAsia"/>
                <w:color w:val="auto"/>
              </w:rPr>
              <w:t>综合考虑河道现状，并结合生态治河理念，在尽量满足河道自身水流、行洪要 求及护岸安全的前提下，节省工程量，并少占耕地。本次控制河宽的确定，尽量维持原有断面不变，对河流过窄部分横断面进行局部调整，基本保持原有河道的蜿蜒、曲折。</w:t>
            </w:r>
          </w:p>
          <w:p w14:paraId="2FDE0CB2">
            <w:pPr>
              <w:pStyle w:val="36"/>
              <w:numPr>
                <w:ilvl w:val="0"/>
                <w:numId w:val="0"/>
              </w:numPr>
              <w:bidi w:val="0"/>
              <w:ind w:left="0" w:leftChars="0" w:right="0" w:rightChars="0" w:firstLine="480" w:firstLineChars="200"/>
              <w:rPr>
                <w:rFonts w:hint="eastAsia"/>
                <w:color w:val="auto"/>
              </w:rPr>
            </w:pPr>
            <w:r>
              <w:rPr>
                <w:rFonts w:hint="eastAsia"/>
                <w:color w:val="auto"/>
              </w:rPr>
              <w:t>果朗河治理段现状河宽为3.0m～35.0mm，两岸均为农田，在保证护岸安全的前提下，尽可能多的考虑节省工程量增加保护耕地面积，根据实测的控制断面，及河道现状，沿线综合考虑，护岸轴线基本沿原河岸布置，控制河宽分段确定如下：</w:t>
            </w:r>
          </w:p>
          <w:p w14:paraId="5AB880CE">
            <w:pPr>
              <w:pStyle w:val="36"/>
              <w:numPr>
                <w:ilvl w:val="0"/>
                <w:numId w:val="0"/>
              </w:numPr>
              <w:bidi w:val="0"/>
              <w:ind w:left="0" w:leftChars="0" w:right="0" w:rightChars="0" w:firstLine="480" w:firstLineChars="200"/>
              <w:rPr>
                <w:rFonts w:hint="eastAsia"/>
                <w:color w:val="auto"/>
              </w:rPr>
            </w:pPr>
            <w:r>
              <w:rPr>
                <w:rFonts w:hint="eastAsia"/>
                <w:color w:val="auto"/>
              </w:rPr>
              <w:t>1、果朗河K0+000~K5+000段</w:t>
            </w:r>
          </w:p>
          <w:p w14:paraId="58848B24">
            <w:pPr>
              <w:pStyle w:val="36"/>
              <w:numPr>
                <w:ilvl w:val="0"/>
                <w:numId w:val="0"/>
              </w:numPr>
              <w:bidi w:val="0"/>
              <w:ind w:left="0" w:leftChars="0" w:right="0" w:rightChars="0" w:firstLine="480" w:firstLineChars="200"/>
              <w:rPr>
                <w:rFonts w:hint="eastAsia"/>
                <w:color w:val="auto"/>
              </w:rPr>
            </w:pPr>
            <w:r>
              <w:rPr>
                <w:rFonts w:hint="eastAsia"/>
                <w:color w:val="auto"/>
              </w:rPr>
              <w:t>该段长5.0km，河道两岸耕地狭窄，左、右岸大部分直接与山体相连，河道弯曲，现状宽3.0m~5.0m，因保护耕地面积较少，为节省投资，本次治理该段维持现状不变。</w:t>
            </w:r>
          </w:p>
          <w:p w14:paraId="5FD61AAB">
            <w:pPr>
              <w:pStyle w:val="36"/>
              <w:numPr>
                <w:ilvl w:val="0"/>
                <w:numId w:val="0"/>
              </w:numPr>
              <w:bidi w:val="0"/>
              <w:ind w:left="0" w:leftChars="0" w:right="0" w:rightChars="0" w:firstLine="480" w:firstLineChars="200"/>
              <w:rPr>
                <w:rFonts w:hint="eastAsia"/>
                <w:color w:val="auto"/>
              </w:rPr>
            </w:pPr>
            <w:r>
              <w:rPr>
                <w:rFonts w:hint="eastAsia"/>
                <w:color w:val="auto"/>
              </w:rPr>
              <w:t>2、果朗河勐戛段K5+000～K12+350</w:t>
            </w:r>
          </w:p>
          <w:p w14:paraId="4946BAA1">
            <w:pPr>
              <w:pStyle w:val="36"/>
              <w:numPr>
                <w:ilvl w:val="0"/>
                <w:numId w:val="0"/>
              </w:numPr>
              <w:bidi w:val="0"/>
              <w:ind w:left="0" w:leftChars="0" w:right="0" w:rightChars="0" w:firstLine="480" w:firstLineChars="200"/>
              <w:rPr>
                <w:rFonts w:hint="eastAsia"/>
                <w:color w:val="auto"/>
              </w:rPr>
            </w:pPr>
            <w:r>
              <w:rPr>
                <w:rFonts w:hint="eastAsia"/>
                <w:color w:val="auto"/>
              </w:rPr>
              <w:t>该段长7.35km，河道两岸均为耕地，耕地与河道直接相连，地势相对平坦，河道弯曲，现状河宽3.0m~ 10.0m，根据实测的控制断面，及河道现状，沿线综合考虑，护岸轴线基本沿原河岸布置，控制河宽为4.0m~ 10.0m。</w:t>
            </w:r>
          </w:p>
          <w:p w14:paraId="44DB15ED">
            <w:pPr>
              <w:pStyle w:val="36"/>
              <w:numPr>
                <w:ilvl w:val="0"/>
                <w:numId w:val="0"/>
              </w:numPr>
              <w:bidi w:val="0"/>
              <w:ind w:left="0" w:leftChars="0" w:right="0" w:rightChars="0" w:firstLine="480" w:firstLineChars="200"/>
              <w:rPr>
                <w:rFonts w:hint="eastAsia"/>
                <w:color w:val="auto"/>
              </w:rPr>
            </w:pPr>
            <w:r>
              <w:rPr>
                <w:rFonts w:hint="eastAsia"/>
                <w:color w:val="auto"/>
              </w:rPr>
              <w:t>3、果朗河K12+350～K14+275段</w:t>
            </w:r>
          </w:p>
          <w:p w14:paraId="04C49193">
            <w:pPr>
              <w:pStyle w:val="36"/>
              <w:numPr>
                <w:ilvl w:val="0"/>
                <w:numId w:val="0"/>
              </w:numPr>
              <w:bidi w:val="0"/>
              <w:ind w:left="0" w:leftChars="0" w:right="0" w:rightChars="0" w:firstLine="480" w:firstLineChars="200"/>
              <w:rPr>
                <w:rFonts w:hint="eastAsia"/>
                <w:color w:val="auto"/>
              </w:rPr>
            </w:pPr>
            <w:r>
              <w:rPr>
                <w:rFonts w:hint="eastAsia"/>
                <w:color w:val="auto"/>
              </w:rPr>
              <w:t>该段长1.93km，河道两岸耕地狭窄，地势相对较陡，部分河段与山体直接相连，河岸植被发育，河道弯曲，现状河宽5.0m~ 12.0m，因保护耕地面积较少，为节省投资，本次治理该段维持现状不变。</w:t>
            </w:r>
          </w:p>
          <w:p w14:paraId="39C96DBB">
            <w:pPr>
              <w:pStyle w:val="36"/>
              <w:numPr>
                <w:ilvl w:val="0"/>
                <w:numId w:val="0"/>
              </w:numPr>
              <w:bidi w:val="0"/>
              <w:ind w:left="0" w:leftChars="0" w:right="0" w:rightChars="0" w:firstLine="480" w:firstLineChars="200"/>
              <w:rPr>
                <w:rFonts w:hint="eastAsia"/>
                <w:color w:val="auto"/>
              </w:rPr>
            </w:pPr>
            <w:r>
              <w:rPr>
                <w:rFonts w:hint="eastAsia"/>
                <w:color w:val="auto"/>
              </w:rPr>
              <w:t>4、果朗河勐稳段K14+275～K20+200</w:t>
            </w:r>
          </w:p>
          <w:p w14:paraId="2BCF63ED">
            <w:pPr>
              <w:pStyle w:val="36"/>
              <w:numPr>
                <w:ilvl w:val="0"/>
                <w:numId w:val="0"/>
              </w:numPr>
              <w:bidi w:val="0"/>
              <w:ind w:left="0" w:leftChars="0" w:right="0" w:rightChars="0" w:firstLine="480" w:firstLineChars="200"/>
              <w:rPr>
                <w:rFonts w:hint="eastAsia"/>
                <w:color w:val="auto"/>
              </w:rPr>
            </w:pPr>
            <w:r>
              <w:rPr>
                <w:rFonts w:hint="eastAsia"/>
                <w:color w:val="auto"/>
              </w:rPr>
              <w:t>该段长5.92km，河道两岸均为耕地，耕地与河道直接相连，地势相对平坦，河道弯曲，现状河宽5.0m~ 18.0m，根据实测的控制断面，及河道现状，沿线综合考虑，护岸轴线基本沿原河岸布置，控制河宽为5.0m~ 18.0m。</w:t>
            </w:r>
          </w:p>
          <w:p w14:paraId="1373AA60">
            <w:pPr>
              <w:pStyle w:val="36"/>
              <w:numPr>
                <w:ilvl w:val="0"/>
                <w:numId w:val="0"/>
              </w:numPr>
              <w:bidi w:val="0"/>
              <w:ind w:left="0" w:leftChars="0" w:right="0" w:rightChars="0" w:firstLine="480" w:firstLineChars="200"/>
              <w:rPr>
                <w:rFonts w:hint="eastAsia"/>
                <w:color w:val="auto"/>
              </w:rPr>
            </w:pPr>
            <w:r>
              <w:rPr>
                <w:rFonts w:hint="eastAsia"/>
                <w:color w:val="auto"/>
              </w:rPr>
              <w:t>5、果朗河K20+200～K24+250段</w:t>
            </w:r>
          </w:p>
          <w:p w14:paraId="60934294">
            <w:pPr>
              <w:pStyle w:val="36"/>
              <w:numPr>
                <w:ilvl w:val="0"/>
                <w:numId w:val="0"/>
              </w:numPr>
              <w:bidi w:val="0"/>
              <w:ind w:left="0" w:leftChars="0" w:right="0" w:rightChars="0" w:firstLine="480" w:firstLineChars="200"/>
              <w:rPr>
                <w:rFonts w:hint="eastAsia"/>
                <w:color w:val="auto"/>
              </w:rPr>
            </w:pPr>
            <w:r>
              <w:rPr>
                <w:rFonts w:hint="eastAsia"/>
                <w:color w:val="auto"/>
              </w:rPr>
              <w:t>该段长3.95km，河道两岸耕地相对狭窄，地势相对较陡，部分河段与山体直接相连，河岸植被发育，河道弯曲，河床比降大，河势较陡，河床基岩出露，现状河宽5.0m~ 12.0m，因保护耕地面积较少，为节省投资，本次治理该段维持现状不变。</w:t>
            </w:r>
          </w:p>
          <w:p w14:paraId="4D0A481E">
            <w:pPr>
              <w:pStyle w:val="36"/>
              <w:numPr>
                <w:ilvl w:val="0"/>
                <w:numId w:val="0"/>
              </w:numPr>
              <w:bidi w:val="0"/>
              <w:ind w:left="0" w:leftChars="0" w:right="0" w:rightChars="0" w:firstLine="480" w:firstLineChars="200"/>
              <w:rPr>
                <w:rFonts w:hint="eastAsia"/>
                <w:color w:val="auto"/>
              </w:rPr>
            </w:pPr>
            <w:r>
              <w:rPr>
                <w:rFonts w:hint="eastAsia"/>
                <w:color w:val="auto"/>
              </w:rPr>
              <w:t>6、果朗河干沟坪段K24+250～K29+460</w:t>
            </w:r>
          </w:p>
          <w:p w14:paraId="7EABEC18">
            <w:pPr>
              <w:pStyle w:val="36"/>
              <w:numPr>
                <w:ilvl w:val="0"/>
                <w:numId w:val="0"/>
              </w:numPr>
              <w:bidi w:val="0"/>
              <w:ind w:left="0" w:leftChars="0" w:right="0" w:rightChars="0" w:firstLine="480" w:firstLineChars="200"/>
              <w:rPr>
                <w:rFonts w:hint="eastAsia"/>
                <w:color w:val="auto"/>
              </w:rPr>
            </w:pPr>
            <w:r>
              <w:rPr>
                <w:rFonts w:hint="eastAsia"/>
                <w:color w:val="auto"/>
              </w:rPr>
              <w:t>该段长5.21km，河道两岸均为耕地，耕地与河道直接相连，地势相对平坦，河道弯曲，河床比降相对较大，河势较陡，部分河段河床基岩出露，现状河宽10.0m~25.0m，根据实测的控制断面，及河道现状，沿线综合考虑，护岸轴线基本沿原河岸布置，控制河宽为 10.0m~25.0m。</w:t>
            </w:r>
          </w:p>
          <w:p w14:paraId="45ACEB08">
            <w:pPr>
              <w:pStyle w:val="36"/>
              <w:numPr>
                <w:ilvl w:val="0"/>
                <w:numId w:val="0"/>
              </w:numPr>
              <w:bidi w:val="0"/>
              <w:ind w:left="0" w:leftChars="0" w:right="0" w:rightChars="0" w:firstLine="480" w:firstLineChars="200"/>
              <w:rPr>
                <w:rFonts w:hint="eastAsia"/>
                <w:color w:val="auto"/>
              </w:rPr>
            </w:pPr>
            <w:r>
              <w:rPr>
                <w:rFonts w:hint="eastAsia"/>
                <w:color w:val="auto"/>
              </w:rPr>
              <w:t>7、果朗河K29+460～K31+870段</w:t>
            </w:r>
          </w:p>
          <w:p w14:paraId="5982ECF4">
            <w:pPr>
              <w:pStyle w:val="36"/>
              <w:numPr>
                <w:ilvl w:val="0"/>
                <w:numId w:val="0"/>
              </w:numPr>
              <w:bidi w:val="0"/>
              <w:ind w:left="0" w:leftChars="0" w:right="0" w:rightChars="0" w:firstLine="480" w:firstLineChars="200"/>
              <w:rPr>
                <w:rFonts w:hint="eastAsia"/>
                <w:color w:val="auto"/>
              </w:rPr>
            </w:pPr>
            <w:r>
              <w:rPr>
                <w:rFonts w:hint="eastAsia"/>
                <w:color w:val="auto"/>
              </w:rPr>
              <w:t>该段长2.41km，河道两岸耕地相对狭窄，地势相对较陡，部分河段与山体直接相连，河岸植被发育，河道弯曲，河床比降大，河势较陡，河床基岩出露，现状河宽10.0m~25.0m，因保护耕地面积较少，为节省投资，本次治理该段维持现状不变。</w:t>
            </w:r>
          </w:p>
          <w:p w14:paraId="75C571C4">
            <w:pPr>
              <w:pStyle w:val="36"/>
              <w:numPr>
                <w:ilvl w:val="0"/>
                <w:numId w:val="0"/>
              </w:numPr>
              <w:bidi w:val="0"/>
              <w:ind w:left="0" w:leftChars="0" w:right="0" w:rightChars="0" w:firstLine="480" w:firstLineChars="200"/>
              <w:rPr>
                <w:rFonts w:hint="eastAsia"/>
                <w:color w:val="auto"/>
              </w:rPr>
            </w:pPr>
            <w:r>
              <w:rPr>
                <w:rFonts w:hint="eastAsia"/>
                <w:color w:val="auto"/>
              </w:rPr>
              <w:t>8、果朗河芒里上游段K31+870～K32+970</w:t>
            </w:r>
          </w:p>
          <w:p w14:paraId="097650A9">
            <w:pPr>
              <w:pStyle w:val="36"/>
              <w:numPr>
                <w:ilvl w:val="0"/>
                <w:numId w:val="0"/>
              </w:numPr>
              <w:bidi w:val="0"/>
              <w:ind w:left="0" w:leftChars="0" w:right="0" w:rightChars="0" w:firstLine="480" w:firstLineChars="200"/>
              <w:rPr>
                <w:rFonts w:hint="eastAsia"/>
                <w:color w:val="auto"/>
              </w:rPr>
            </w:pPr>
            <w:r>
              <w:rPr>
                <w:rFonts w:hint="eastAsia"/>
                <w:color w:val="auto"/>
              </w:rPr>
              <w:t>该段长1.10km，该段属山区与坝区结合部，河道两岸耕地逐渐变宽，耕地与河道直接相连，呈台阶状分布。河道弯曲，现状河宽10.0m~20.0m，根据实测的控制断面，及河道现状，沿线综合考虑，护岸轴线基本沿原河岸布置，控制河宽为10.0m~20.0m。</w:t>
            </w:r>
          </w:p>
          <w:p w14:paraId="08AA21BC">
            <w:pPr>
              <w:pStyle w:val="36"/>
              <w:numPr>
                <w:ilvl w:val="0"/>
                <w:numId w:val="0"/>
              </w:numPr>
              <w:bidi w:val="0"/>
              <w:ind w:left="0" w:leftChars="0" w:right="0" w:rightChars="0" w:firstLine="480" w:firstLineChars="200"/>
              <w:rPr>
                <w:rFonts w:hint="eastAsia"/>
                <w:color w:val="auto"/>
              </w:rPr>
            </w:pPr>
            <w:r>
              <w:rPr>
                <w:rFonts w:hint="eastAsia"/>
                <w:color w:val="auto"/>
              </w:rPr>
              <w:t>9、果朗河芒里下游段K32+970～K34+435</w:t>
            </w:r>
          </w:p>
          <w:p w14:paraId="2EBAD2EF">
            <w:pPr>
              <w:pStyle w:val="36"/>
              <w:numPr>
                <w:ilvl w:val="0"/>
                <w:numId w:val="0"/>
              </w:numPr>
              <w:bidi w:val="0"/>
              <w:ind w:left="0" w:leftChars="0" w:right="0" w:rightChars="0" w:firstLine="480" w:firstLineChars="200"/>
              <w:rPr>
                <w:rFonts w:hint="eastAsia"/>
                <w:color w:val="auto"/>
              </w:rPr>
            </w:pPr>
            <w:r>
              <w:rPr>
                <w:rFonts w:hint="eastAsia"/>
                <w:color w:val="auto"/>
              </w:rPr>
              <w:t>该段长1.47km，河道两岸均为耕地且地势平坦，耕地与河道直接相连，河道弯曲，现状河宽12.0～35.0m，根据实测的控制断面，及河道现状，沿线综合考虑，护岸轴线基本沿原河岸布置，控制河宽为12.0m~35.0m。</w:t>
            </w:r>
          </w:p>
          <w:p w14:paraId="0CDFAB0F">
            <w:pPr>
              <w:pStyle w:val="36"/>
              <w:numPr>
                <w:ilvl w:val="0"/>
                <w:numId w:val="0"/>
              </w:numPr>
              <w:bidi w:val="0"/>
              <w:ind w:left="0" w:leftChars="0" w:right="0" w:rightChars="0" w:firstLine="482" w:firstLineChars="200"/>
              <w:rPr>
                <w:rFonts w:hint="eastAsia" w:eastAsia="宋体"/>
                <w:b/>
                <w:bCs/>
                <w:color w:val="auto"/>
                <w:lang w:eastAsia="zh-CN"/>
              </w:rPr>
            </w:pPr>
            <w:r>
              <w:rPr>
                <w:rFonts w:hint="eastAsia" w:ascii="Times New Roman" w:hAnsi="Times New Roman" w:eastAsia="宋体" w:cs="Times New Roman"/>
                <w:b/>
                <w:bCs/>
                <w:color w:val="auto"/>
                <w:kern w:val="0"/>
                <w:sz w:val="24"/>
                <w:szCs w:val="24"/>
                <w:lang w:val="en-US" w:eastAsia="zh-CN" w:bidi="ar-SA"/>
              </w:rPr>
              <w:t>六、</w:t>
            </w:r>
            <w:r>
              <w:rPr>
                <w:rFonts w:hint="eastAsia"/>
                <w:b/>
                <w:bCs/>
                <w:color w:val="auto"/>
                <w:lang w:eastAsia="zh-CN"/>
              </w:rPr>
              <w:t>护岸工程形式选择</w:t>
            </w:r>
          </w:p>
          <w:p w14:paraId="25DD187B">
            <w:pPr>
              <w:pStyle w:val="36"/>
              <w:bidi w:val="0"/>
              <w:rPr>
                <w:rFonts w:hint="eastAsia" w:cs="Times New Roman"/>
                <w:b w:val="0"/>
                <w:bCs/>
                <w:color w:val="auto"/>
                <w:spacing w:val="0"/>
                <w:position w:val="0"/>
                <w:sz w:val="24"/>
                <w:lang w:val="en-US" w:eastAsia="zh-CN"/>
              </w:rPr>
            </w:pPr>
            <w:r>
              <w:rPr>
                <w:rFonts w:hint="eastAsia" w:cs="Times New Roman"/>
                <w:b w:val="0"/>
                <w:bCs/>
                <w:color w:val="auto"/>
                <w:spacing w:val="0"/>
                <w:position w:val="0"/>
                <w:sz w:val="24"/>
                <w:lang w:val="en-US" w:eastAsia="zh-CN"/>
              </w:rPr>
              <w:t>护岸工程结构型式应按因地制宜、节约投资、合理利用土地的原则，同时从经济效益和社会效益等角度出发选择，结合河道的纵、横断面按“利用现状，综合考虑，分段确定”的原则因地制宜设计。在需治理的河道两岸分布有较多的耕地，为保护有限的耕地及沿岸居民的正常生活和生命财产安全，护岸工程的建设以尽量少占耕地为前提。</w:t>
            </w:r>
          </w:p>
          <w:p w14:paraId="4BC11856">
            <w:pPr>
              <w:pStyle w:val="36"/>
              <w:keepNext w:val="0"/>
              <w:keepLines w:val="0"/>
              <w:pageBreakBefore w:val="0"/>
              <w:widowControl w:val="0"/>
              <w:kinsoku/>
              <w:wordWrap/>
              <w:overflowPunct/>
              <w:topLinePunct w:val="0"/>
              <w:autoSpaceDE/>
              <w:autoSpaceDN/>
              <w:bidi w:val="0"/>
              <w:snapToGrid/>
              <w:spacing w:line="360" w:lineRule="auto"/>
              <w:ind w:left="0" w:right="0"/>
              <w:jc w:val="both"/>
              <w:rPr>
                <w:rFonts w:hint="eastAsia" w:cs="Times New Roman"/>
                <w:b w:val="0"/>
                <w:bCs/>
                <w:color w:val="auto"/>
                <w:spacing w:val="0"/>
                <w:position w:val="0"/>
                <w:sz w:val="24"/>
                <w:lang w:val="en-US" w:eastAsia="zh-CN"/>
              </w:rPr>
            </w:pPr>
            <w:r>
              <w:rPr>
                <w:rFonts w:ascii="宋体" w:hAnsi="宋体" w:eastAsia="宋体" w:cs="宋体"/>
                <w:spacing w:val="-6"/>
                <w:sz w:val="24"/>
                <w:szCs w:val="24"/>
              </w:rPr>
              <w:t>本次治理河道大部分为山区河道工程，洪水汇流速度快，</w:t>
            </w:r>
            <w:r>
              <w:rPr>
                <w:rFonts w:ascii="宋体" w:hAnsi="宋体" w:eastAsia="宋体" w:cs="宋体"/>
                <w:sz w:val="24"/>
                <w:szCs w:val="24"/>
              </w:rPr>
              <w:t>暴涨暴落，其流速快，抗冲刷要求高，结合州内河道治理经验，钢筋石笼的耐久性</w:t>
            </w:r>
            <w:r>
              <w:rPr>
                <w:rFonts w:ascii="宋体" w:hAnsi="宋体" w:eastAsia="宋体" w:cs="宋体"/>
                <w:spacing w:val="-1"/>
                <w:sz w:val="24"/>
                <w:szCs w:val="24"/>
              </w:rPr>
              <w:t>及抗冲刷性强，</w:t>
            </w:r>
            <w:r>
              <w:rPr>
                <w:rFonts w:hint="eastAsia" w:cs="Times New Roman"/>
                <w:b w:val="0"/>
                <w:bCs/>
                <w:color w:val="auto"/>
                <w:spacing w:val="0"/>
                <w:position w:val="0"/>
                <w:sz w:val="24"/>
                <w:lang w:val="en-US" w:eastAsia="zh-CN"/>
              </w:rPr>
              <w:t>钢筋石笼为柔性结构，可以承受大范围的变形，而仍不坍塌。笼子石头缝隙间的淤泥有利于植物生长，河道内外水体可自然交换，水生动植物及两栖动物均有生存空间，可与周围自然环境融为一体。</w:t>
            </w:r>
            <w:r>
              <w:rPr>
                <w:rFonts w:ascii="宋体" w:hAnsi="宋体" w:eastAsia="宋体" w:cs="宋体"/>
                <w:spacing w:val="-1"/>
                <w:sz w:val="24"/>
                <w:szCs w:val="24"/>
              </w:rPr>
              <w:t>推荐采用钢筋石笼护岸型式</w:t>
            </w:r>
            <w:r>
              <w:rPr>
                <w:rFonts w:hint="eastAsia" w:ascii="宋体" w:hAnsi="宋体" w:eastAsia="宋体" w:cs="宋体"/>
                <w:spacing w:val="-1"/>
                <w:sz w:val="24"/>
                <w:szCs w:val="24"/>
                <w:lang w:eastAsia="zh-CN"/>
              </w:rPr>
              <w:t>。按《堤防工程设计规范》（GB50286-2013）进行分段设计。</w:t>
            </w:r>
          </w:p>
          <w:p w14:paraId="5A69A6F1">
            <w:pPr>
              <w:keepNext w:val="0"/>
              <w:keepLines w:val="0"/>
              <w:pageBreakBefore w:val="0"/>
              <w:widowControl w:val="0"/>
              <w:kinsoku/>
              <w:wordWrap/>
              <w:overflowPunct/>
              <w:topLinePunct w:val="0"/>
              <w:autoSpaceDE/>
              <w:autoSpaceDN/>
              <w:bidi w:val="0"/>
              <w:snapToGrid/>
              <w:spacing w:line="360" w:lineRule="auto"/>
              <w:ind w:left="0" w:right="0" w:firstLine="499"/>
              <w:jc w:val="both"/>
              <w:rPr>
                <w:rFonts w:hint="eastAsia"/>
                <w:color w:val="auto"/>
                <w:lang w:eastAsia="zh-CN"/>
              </w:rPr>
            </w:pPr>
            <w:r>
              <w:rPr>
                <w:rFonts w:hint="eastAsia" w:eastAsia="宋体"/>
                <w:color w:val="auto"/>
                <w:lang w:val="en-US" w:eastAsia="zh-CN"/>
              </w:rPr>
              <w:t>1、</w:t>
            </w:r>
            <w:r>
              <w:rPr>
                <w:rFonts w:ascii="宋体" w:hAnsi="宋体" w:eastAsia="宋体" w:cs="宋体"/>
                <w:spacing w:val="-3"/>
                <w:sz w:val="24"/>
                <w:szCs w:val="24"/>
              </w:rPr>
              <w:t>果朗河</w:t>
            </w:r>
            <w:r>
              <w:rPr>
                <w:rFonts w:hint="eastAsia" w:ascii="宋体" w:hAnsi="宋体" w:cs="宋体"/>
                <w:spacing w:val="0"/>
                <w:sz w:val="24"/>
                <w:szCs w:val="24"/>
                <w:lang w:eastAsia="zh-CN"/>
              </w:rPr>
              <w:t>勐戛段</w:t>
            </w:r>
            <w:r>
              <w:rPr>
                <w:rFonts w:ascii="Times New Roman" w:hAnsi="Times New Roman" w:eastAsia="Times New Roman" w:cs="Times New Roman"/>
                <w:spacing w:val="0"/>
                <w:sz w:val="24"/>
                <w:szCs w:val="24"/>
              </w:rPr>
              <w:t>K</w:t>
            </w:r>
            <w:r>
              <w:rPr>
                <w:rFonts w:ascii="Times New Roman" w:hAnsi="Times New Roman" w:eastAsia="Times New Roman" w:cs="Times New Roman"/>
                <w:spacing w:val="-3"/>
                <w:sz w:val="24"/>
                <w:szCs w:val="24"/>
              </w:rPr>
              <w:t>5+000</w:t>
            </w:r>
            <w:r>
              <w:rPr>
                <w:rFonts w:ascii="宋体" w:hAnsi="宋体" w:eastAsia="宋体" w:cs="宋体"/>
                <w:spacing w:val="-3"/>
                <w:sz w:val="24"/>
                <w:szCs w:val="24"/>
              </w:rPr>
              <w:t>～</w:t>
            </w:r>
            <w:r>
              <w:rPr>
                <w:rFonts w:ascii="Times New Roman" w:hAnsi="Times New Roman" w:eastAsia="Times New Roman" w:cs="Times New Roman"/>
                <w:spacing w:val="-3"/>
                <w:sz w:val="24"/>
                <w:szCs w:val="24"/>
              </w:rPr>
              <w:t>K12+350</w:t>
            </w:r>
            <w:r>
              <w:rPr>
                <w:rFonts w:ascii="宋体" w:hAnsi="宋体" w:eastAsia="宋体" w:cs="宋体"/>
                <w:spacing w:val="-3"/>
                <w:sz w:val="24"/>
                <w:szCs w:val="24"/>
              </w:rPr>
              <w:t>长</w:t>
            </w:r>
            <w:r>
              <w:rPr>
                <w:rFonts w:ascii="Times New Roman" w:hAnsi="Times New Roman" w:eastAsia="Times New Roman" w:cs="Times New Roman"/>
                <w:spacing w:val="-3"/>
                <w:sz w:val="24"/>
                <w:szCs w:val="24"/>
              </w:rPr>
              <w:t>7.35km</w:t>
            </w:r>
            <w:r>
              <w:rPr>
                <w:rFonts w:ascii="宋体" w:hAnsi="宋体" w:eastAsia="宋体" w:cs="宋体"/>
                <w:spacing w:val="-3"/>
                <w:sz w:val="24"/>
                <w:szCs w:val="24"/>
              </w:rPr>
              <w:t>，河道两岸均为耕地，耕地与河道直接相连，地势相对平坦，河道弯曲，现状河宽</w:t>
            </w:r>
            <w:r>
              <w:rPr>
                <w:rFonts w:ascii="Times New Roman" w:hAnsi="Times New Roman" w:eastAsia="Times New Roman" w:cs="Times New Roman"/>
                <w:spacing w:val="-3"/>
                <w:sz w:val="24"/>
                <w:szCs w:val="24"/>
              </w:rPr>
              <w:t>3.0m~10.0m</w:t>
            </w:r>
            <w:r>
              <w:rPr>
                <w:rFonts w:ascii="宋体" w:hAnsi="宋体" w:eastAsia="宋体" w:cs="宋体"/>
                <w:spacing w:val="-3"/>
                <w:sz w:val="24"/>
                <w:szCs w:val="24"/>
              </w:rPr>
              <w:t>。</w:t>
            </w:r>
            <w:r>
              <w:rPr>
                <w:rFonts w:ascii="宋体" w:hAnsi="宋体" w:eastAsia="宋体" w:cs="宋体"/>
                <w:spacing w:val="-4"/>
                <w:sz w:val="24"/>
                <w:szCs w:val="24"/>
              </w:rPr>
              <w:t>由于该治理段现状河宽</w:t>
            </w:r>
            <w:r>
              <w:rPr>
                <w:rFonts w:ascii="宋体" w:hAnsi="宋体" w:eastAsia="宋体" w:cs="宋体"/>
                <w:spacing w:val="1"/>
                <w:sz w:val="24"/>
                <w:szCs w:val="24"/>
              </w:rPr>
              <w:t>狭窄，护岸工程断面拟定根据不侵占河道行</w:t>
            </w:r>
            <w:r>
              <w:rPr>
                <w:rFonts w:ascii="宋体" w:hAnsi="宋体" w:eastAsia="宋体" w:cs="宋体"/>
                <w:sz w:val="24"/>
                <w:szCs w:val="24"/>
              </w:rPr>
              <w:t>洪断面及少占耕地的原则，钢筋石笼断</w:t>
            </w:r>
            <w:r>
              <w:rPr>
                <w:rFonts w:ascii="宋体" w:hAnsi="宋体" w:eastAsia="宋体" w:cs="宋体"/>
                <w:spacing w:val="-3"/>
                <w:sz w:val="24"/>
                <w:szCs w:val="24"/>
              </w:rPr>
              <w:t>面型式为重力式结构，高</w:t>
            </w:r>
            <w:r>
              <w:rPr>
                <w:rFonts w:ascii="Times New Roman" w:hAnsi="Times New Roman" w:eastAsia="Times New Roman" w:cs="Times New Roman"/>
                <w:spacing w:val="-3"/>
                <w:sz w:val="24"/>
                <w:szCs w:val="24"/>
              </w:rPr>
              <w:t>2.5m</w:t>
            </w:r>
            <w:r>
              <w:rPr>
                <w:rFonts w:ascii="宋体" w:hAnsi="宋体" w:eastAsia="宋体" w:cs="宋体"/>
                <w:spacing w:val="-3"/>
                <w:sz w:val="24"/>
                <w:szCs w:val="24"/>
              </w:rPr>
              <w:t>，分上、下两部分，上部分为梯形断面，顶宽</w:t>
            </w:r>
            <w:r>
              <w:rPr>
                <w:rFonts w:ascii="Times New Roman" w:hAnsi="Times New Roman" w:eastAsia="Times New Roman" w:cs="Times New Roman"/>
                <w:spacing w:val="-3"/>
                <w:sz w:val="24"/>
                <w:szCs w:val="24"/>
              </w:rPr>
              <w:t>1.0m</w:t>
            </w:r>
            <w:r>
              <w:rPr>
                <w:rFonts w:ascii="宋体" w:hAnsi="宋体" w:eastAsia="宋体" w:cs="宋体"/>
                <w:spacing w:val="-3"/>
                <w:sz w:val="24"/>
                <w:szCs w:val="24"/>
              </w:rPr>
              <w:t>，</w:t>
            </w:r>
            <w:r>
              <w:rPr>
                <w:rFonts w:ascii="宋体" w:hAnsi="宋体" w:eastAsia="宋体" w:cs="宋体"/>
                <w:spacing w:val="-11"/>
                <w:sz w:val="24"/>
                <w:szCs w:val="24"/>
              </w:rPr>
              <w:t>高</w:t>
            </w:r>
            <w:r>
              <w:rPr>
                <w:rFonts w:ascii="Times New Roman" w:hAnsi="Times New Roman" w:eastAsia="Times New Roman" w:cs="Times New Roman"/>
                <w:spacing w:val="-11"/>
                <w:sz w:val="24"/>
                <w:szCs w:val="24"/>
              </w:rPr>
              <w:t>1.5m</w:t>
            </w:r>
            <w:r>
              <w:rPr>
                <w:rFonts w:ascii="宋体" w:hAnsi="宋体" w:eastAsia="宋体" w:cs="宋体"/>
                <w:spacing w:val="-11"/>
                <w:sz w:val="24"/>
                <w:szCs w:val="24"/>
              </w:rPr>
              <w:t>，迎水坡铅直，背水坡</w:t>
            </w:r>
            <w:r>
              <w:rPr>
                <w:rFonts w:ascii="Times New Roman" w:hAnsi="Times New Roman" w:eastAsia="Times New Roman" w:cs="Times New Roman"/>
                <w:spacing w:val="-11"/>
                <w:sz w:val="24"/>
                <w:szCs w:val="24"/>
              </w:rPr>
              <w:t>1:0.3</w:t>
            </w:r>
            <w:r>
              <w:rPr>
                <w:rFonts w:ascii="宋体" w:hAnsi="宋体" w:eastAsia="宋体" w:cs="宋体"/>
                <w:spacing w:val="-11"/>
                <w:sz w:val="24"/>
                <w:szCs w:val="24"/>
              </w:rPr>
              <w:t>；下部为矩形断面，高</w:t>
            </w:r>
            <w:r>
              <w:rPr>
                <w:rFonts w:ascii="Times New Roman" w:hAnsi="Times New Roman" w:eastAsia="Times New Roman" w:cs="Times New Roman"/>
                <w:spacing w:val="-11"/>
                <w:sz w:val="24"/>
                <w:szCs w:val="24"/>
              </w:rPr>
              <w:t>1.0m</w:t>
            </w:r>
            <w:r>
              <w:rPr>
                <w:rFonts w:ascii="宋体" w:hAnsi="宋体" w:eastAsia="宋体" w:cs="宋体"/>
                <w:spacing w:val="-11"/>
                <w:sz w:val="24"/>
                <w:szCs w:val="24"/>
              </w:rPr>
              <w:t>，</w:t>
            </w:r>
            <w:r>
              <w:rPr>
                <w:rFonts w:ascii="宋体" w:hAnsi="宋体" w:eastAsia="宋体" w:cs="宋体"/>
                <w:spacing w:val="-12"/>
                <w:sz w:val="24"/>
                <w:szCs w:val="24"/>
              </w:rPr>
              <w:t>迎水面台阶宽</w:t>
            </w:r>
            <w:r>
              <w:rPr>
                <w:rFonts w:ascii="Times New Roman" w:hAnsi="Times New Roman" w:eastAsia="Times New Roman" w:cs="Times New Roman"/>
                <w:spacing w:val="-12"/>
                <w:sz w:val="24"/>
                <w:szCs w:val="24"/>
              </w:rPr>
              <w:t>0.3m</w:t>
            </w:r>
            <w:r>
              <w:rPr>
                <w:rFonts w:ascii="宋体" w:hAnsi="宋体" w:eastAsia="宋体" w:cs="宋体"/>
                <w:spacing w:val="-12"/>
                <w:sz w:val="24"/>
                <w:szCs w:val="24"/>
              </w:rPr>
              <w:t>，</w:t>
            </w:r>
            <w:r>
              <w:rPr>
                <w:rFonts w:ascii="宋体" w:hAnsi="宋体" w:eastAsia="宋体" w:cs="宋体"/>
                <w:spacing w:val="11"/>
                <w:sz w:val="24"/>
                <w:szCs w:val="24"/>
              </w:rPr>
              <w:t>背水面台阶宽</w:t>
            </w:r>
            <w:r>
              <w:rPr>
                <w:rFonts w:ascii="Times New Roman" w:hAnsi="Times New Roman" w:eastAsia="Times New Roman" w:cs="Times New Roman"/>
                <w:spacing w:val="11"/>
                <w:sz w:val="24"/>
                <w:szCs w:val="24"/>
              </w:rPr>
              <w:t>0.5m</w:t>
            </w:r>
            <w:r>
              <w:rPr>
                <w:rFonts w:ascii="宋体" w:hAnsi="宋体" w:eastAsia="宋体" w:cs="宋体"/>
                <w:spacing w:val="11"/>
                <w:sz w:val="24"/>
                <w:szCs w:val="24"/>
              </w:rPr>
              <w:t>。基础底部埋深至河道深泓以下</w:t>
            </w:r>
            <w:r>
              <w:rPr>
                <w:rFonts w:ascii="Times New Roman" w:hAnsi="Times New Roman" w:eastAsia="Times New Roman" w:cs="Times New Roman"/>
                <w:spacing w:val="11"/>
                <w:sz w:val="24"/>
                <w:szCs w:val="24"/>
              </w:rPr>
              <w:t>0.5m</w:t>
            </w:r>
            <w:r>
              <w:rPr>
                <w:rFonts w:ascii="宋体" w:hAnsi="宋体" w:eastAsia="宋体" w:cs="宋体"/>
                <w:spacing w:val="11"/>
                <w:sz w:val="24"/>
                <w:szCs w:val="24"/>
              </w:rPr>
              <w:t>。钢筋石笼护岸采用</w:t>
            </w:r>
            <w:r>
              <w:rPr>
                <w:rFonts w:ascii="Times New Roman" w:hAnsi="Times New Roman" w:eastAsia="Times New Roman" w:cs="Times New Roman"/>
                <w:sz w:val="24"/>
                <w:szCs w:val="24"/>
              </w:rPr>
              <w:t xml:space="preserve">Φ6@200×200 </w:t>
            </w:r>
            <w:r>
              <w:rPr>
                <w:rFonts w:ascii="宋体" w:hAnsi="宋体" w:eastAsia="宋体" w:cs="宋体"/>
                <w:sz w:val="24"/>
                <w:szCs w:val="24"/>
              </w:rPr>
              <w:t>钢筋双向铰结，上部梯形与下部矩形采用</w:t>
            </w:r>
            <w:r>
              <w:rPr>
                <w:rFonts w:ascii="Times New Roman" w:hAnsi="Times New Roman" w:eastAsia="Times New Roman" w:cs="Times New Roman"/>
                <w:sz w:val="24"/>
                <w:szCs w:val="24"/>
              </w:rPr>
              <w:t>Φ6</w:t>
            </w:r>
            <w:r>
              <w:rPr>
                <w:rFonts w:ascii="宋体" w:hAnsi="宋体" w:eastAsia="宋体" w:cs="宋体"/>
                <w:sz w:val="24"/>
                <w:szCs w:val="24"/>
              </w:rPr>
              <w:t>钢筋每间隔</w:t>
            </w:r>
            <w:r>
              <w:rPr>
                <w:rFonts w:ascii="Times New Roman" w:hAnsi="Times New Roman" w:eastAsia="Times New Roman" w:cs="Times New Roman"/>
                <w:sz w:val="24"/>
                <w:szCs w:val="24"/>
              </w:rPr>
              <w:t>0.5m</w:t>
            </w:r>
            <w:r>
              <w:rPr>
                <w:rFonts w:ascii="宋体" w:hAnsi="宋体" w:eastAsia="宋体" w:cs="宋体"/>
                <w:sz w:val="24"/>
                <w:szCs w:val="24"/>
              </w:rPr>
              <w:t>绑扎成</w:t>
            </w:r>
            <w:r>
              <w:rPr>
                <w:rFonts w:ascii="宋体" w:hAnsi="宋体" w:eastAsia="宋体" w:cs="宋体"/>
                <w:spacing w:val="-4"/>
                <w:sz w:val="24"/>
                <w:szCs w:val="24"/>
              </w:rPr>
              <w:t>一整体。</w:t>
            </w:r>
            <w:r>
              <w:rPr>
                <w:rFonts w:hint="eastAsia" w:eastAsia="宋体"/>
                <w:color w:val="auto"/>
                <w:lang w:eastAsia="zh-CN"/>
              </w:rPr>
              <w:t>横断面</w:t>
            </w:r>
            <w:r>
              <w:rPr>
                <w:rFonts w:hint="eastAsia"/>
                <w:color w:val="auto"/>
              </w:rPr>
              <w:t>见图</w:t>
            </w:r>
            <w:r>
              <w:rPr>
                <w:rFonts w:hint="eastAsia"/>
                <w:color w:val="auto"/>
                <w:lang w:val="en-US" w:eastAsia="zh-CN"/>
              </w:rPr>
              <w:t>2-1</w:t>
            </w:r>
            <w:r>
              <w:rPr>
                <w:rFonts w:hint="eastAsia"/>
                <w:color w:val="auto"/>
                <w:lang w:eastAsia="zh-CN"/>
              </w:rPr>
              <w:t>。</w:t>
            </w:r>
          </w:p>
          <w:p w14:paraId="6D2721B5">
            <w:pPr>
              <w:spacing w:before="79" w:line="359" w:lineRule="auto"/>
              <w:ind w:left="0" w:leftChars="0" w:firstLine="0" w:firstLineChars="0"/>
              <w:jc w:val="both"/>
              <w:rPr>
                <w:rFonts w:ascii="宋体" w:hAnsi="宋体" w:eastAsia="宋体" w:cs="宋体"/>
                <w:sz w:val="24"/>
                <w:szCs w:val="24"/>
              </w:rPr>
            </w:pPr>
            <w:r>
              <w:drawing>
                <wp:inline distT="0" distB="0" distL="114300" distR="114300">
                  <wp:extent cx="4895215" cy="1283335"/>
                  <wp:effectExtent l="0" t="0" r="12065" b="12065"/>
                  <wp:docPr id="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
                          <pic:cNvPicPr>
                            <a:picLocks noChangeAspect="1"/>
                          </pic:cNvPicPr>
                        </pic:nvPicPr>
                        <pic:blipFill>
                          <a:blip r:embed="rId39"/>
                          <a:stretch>
                            <a:fillRect/>
                          </a:stretch>
                        </pic:blipFill>
                        <pic:spPr>
                          <a:xfrm>
                            <a:off x="0" y="0"/>
                            <a:ext cx="4895215" cy="1283335"/>
                          </a:xfrm>
                          <a:prstGeom prst="rect">
                            <a:avLst/>
                          </a:prstGeom>
                          <a:noFill/>
                          <a:ln>
                            <a:noFill/>
                          </a:ln>
                        </pic:spPr>
                      </pic:pic>
                    </a:graphicData>
                  </a:graphic>
                </wp:inline>
              </w:drawing>
            </w:r>
          </w:p>
          <w:p w14:paraId="4686B6E8">
            <w:pPr>
              <w:pStyle w:val="36"/>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eastAsia="zh-CN"/>
              </w:rPr>
              <w:t>图</w:t>
            </w:r>
            <w:r>
              <w:rPr>
                <w:rFonts w:hint="default" w:ascii="Times New Roman" w:hAnsi="Times New Roman" w:eastAsia="宋体" w:cs="Times New Roman"/>
                <w:b/>
                <w:bCs/>
                <w:sz w:val="21"/>
                <w:szCs w:val="21"/>
                <w:lang w:val="en-US" w:eastAsia="zh-CN"/>
              </w:rPr>
              <w:t>2-1 果朗河 K7+900 横断面图</w:t>
            </w:r>
          </w:p>
          <w:p w14:paraId="10580687">
            <w:pPr>
              <w:spacing w:before="181" w:line="359" w:lineRule="auto"/>
              <w:ind w:left="121" w:right="48" w:firstLine="499"/>
              <w:jc w:val="both"/>
              <w:rPr>
                <w:rFonts w:hint="default" w:ascii="Times New Roman" w:hAnsi="Times New Roman" w:eastAsia="宋体" w:cs="Times New Roman"/>
                <w:spacing w:val="-3"/>
                <w:sz w:val="24"/>
                <w:szCs w:val="24"/>
              </w:rPr>
            </w:pPr>
            <w:r>
              <w:rPr>
                <w:rFonts w:hint="default" w:ascii="Times New Roman" w:hAnsi="Times New Roman" w:eastAsia="宋体" w:cs="Times New Roman"/>
                <w:spacing w:val="-3"/>
                <w:sz w:val="24"/>
                <w:szCs w:val="24"/>
              </w:rPr>
              <w:t>2、果朗河</w:t>
            </w:r>
            <w:r>
              <w:rPr>
                <w:rFonts w:hint="eastAsia" w:cs="Times New Roman"/>
                <w:spacing w:val="-3"/>
                <w:sz w:val="24"/>
                <w:szCs w:val="24"/>
                <w:lang w:eastAsia="zh-CN"/>
              </w:rPr>
              <w:t>勐稳段</w:t>
            </w:r>
            <w:r>
              <w:rPr>
                <w:rFonts w:hint="default" w:ascii="Times New Roman" w:hAnsi="Times New Roman" w:eastAsia="宋体" w:cs="Times New Roman"/>
                <w:spacing w:val="-3"/>
                <w:sz w:val="24"/>
                <w:szCs w:val="24"/>
              </w:rPr>
              <w:t>K14+275～K20+200长5.92km，河道两岸均为耕地，耕地与河道直接相连，地势相对平坦，河道弯曲，现状河宽5.0m~</w:t>
            </w:r>
            <w:r>
              <w:rPr>
                <w:rFonts w:hint="default" w:ascii="Times New Roman" w:hAnsi="Times New Roman" w:eastAsia="宋体" w:cs="Times New Roman"/>
                <w:spacing w:val="-3"/>
                <w:sz w:val="24"/>
                <w:szCs w:val="24"/>
                <w:lang w:val="en-US" w:eastAsia="zh-CN"/>
              </w:rPr>
              <w:t>1</w:t>
            </w:r>
            <w:r>
              <w:rPr>
                <w:rFonts w:hint="default" w:ascii="Times New Roman" w:hAnsi="Times New Roman" w:eastAsia="宋体" w:cs="Times New Roman"/>
                <w:spacing w:val="-3"/>
                <w:sz w:val="24"/>
                <w:szCs w:val="24"/>
              </w:rPr>
              <w:t>8.0m 。护岸工程断面拟定根据不侵占河道行洪断面及少占耕地的原则，钢筋石笼断面型式为重力式结构，高2.5m，分上、下两部分，上部分为梯形断面，顶宽1.0m，高1.5m，迎水坡及背水坡均为1:0.2；下部为矩形断面，高1.0m，迎水面台阶宽0.5m，背水面台阶宽0.5m。基础底部埋深至河道深泓以下0.5m。钢筋石笼护岸采用Φ6@200×200钢筋双向铰结，上部梯形与下部矩形采用Φ6钢筋每间隔0.5m绑扎成一整体。</w:t>
            </w:r>
          </w:p>
          <w:p w14:paraId="1DB76BDC">
            <w:pPr>
              <w:spacing w:before="148" w:line="240" w:lineRule="auto"/>
              <w:ind w:left="0" w:leftChars="0" w:firstLine="0" w:firstLineChars="0"/>
              <w:jc w:val="center"/>
            </w:pPr>
            <w:r>
              <w:drawing>
                <wp:inline distT="0" distB="0" distL="114300" distR="114300">
                  <wp:extent cx="4894580" cy="1595120"/>
                  <wp:effectExtent l="0" t="0" r="12700" b="5080"/>
                  <wp:docPr id="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pic:cNvPicPr>
                            <a:picLocks noChangeAspect="1"/>
                          </pic:cNvPicPr>
                        </pic:nvPicPr>
                        <pic:blipFill>
                          <a:blip r:embed="rId40"/>
                          <a:stretch>
                            <a:fillRect/>
                          </a:stretch>
                        </pic:blipFill>
                        <pic:spPr>
                          <a:xfrm>
                            <a:off x="0" y="0"/>
                            <a:ext cx="4894580" cy="1595120"/>
                          </a:xfrm>
                          <a:prstGeom prst="rect">
                            <a:avLst/>
                          </a:prstGeom>
                          <a:noFill/>
                          <a:ln>
                            <a:noFill/>
                          </a:ln>
                        </pic:spPr>
                      </pic:pic>
                    </a:graphicData>
                  </a:graphic>
                </wp:inline>
              </w:drawing>
            </w:r>
          </w:p>
          <w:p w14:paraId="70EE924D">
            <w:pPr>
              <w:keepNext w:val="0"/>
              <w:keepLines w:val="0"/>
              <w:pageBreakBefore w:val="0"/>
              <w:widowControl w:val="0"/>
              <w:kinsoku/>
              <w:wordWrap/>
              <w:overflowPunct/>
              <w:topLinePunct w:val="0"/>
              <w:autoSpaceDE/>
              <w:autoSpaceDN/>
              <w:bidi w:val="0"/>
              <w:adjustRightInd/>
              <w:snapToGrid w:val="0"/>
              <w:spacing w:before="183" w:line="240" w:lineRule="auto"/>
              <w:ind w:left="0" w:firstLine="0" w:firstLineChars="0"/>
              <w:jc w:val="center"/>
              <w:textAlignment w:val="auto"/>
              <w:rPr>
                <w:rFonts w:hint="default" w:ascii="Times New Roman" w:hAnsi="Times New Roman" w:eastAsia="宋体" w:cs="Times New Roman"/>
                <w:b/>
                <w:bCs/>
                <w:spacing w:val="0"/>
                <w:sz w:val="21"/>
                <w:szCs w:val="21"/>
              </w:rPr>
            </w:pPr>
            <w:r>
              <w:rPr>
                <w:rFonts w:hint="default" w:ascii="Times New Roman" w:hAnsi="Times New Roman" w:eastAsia="宋体" w:cs="Times New Roman"/>
                <w:b/>
                <w:bCs/>
                <w:spacing w:val="0"/>
                <w:sz w:val="21"/>
                <w:szCs w:val="21"/>
              </w:rPr>
              <w:t>图</w:t>
            </w:r>
            <w:r>
              <w:rPr>
                <w:rFonts w:hint="default" w:ascii="Times New Roman" w:hAnsi="Times New Roman" w:eastAsia="宋体" w:cs="Times New Roman"/>
                <w:b/>
                <w:bCs/>
                <w:spacing w:val="0"/>
                <w:sz w:val="21"/>
                <w:szCs w:val="21"/>
                <w:lang w:val="en-US" w:eastAsia="zh-CN"/>
              </w:rPr>
              <w:t xml:space="preserve">2-2  </w:t>
            </w:r>
            <w:r>
              <w:rPr>
                <w:rFonts w:hint="default" w:ascii="Times New Roman" w:hAnsi="Times New Roman" w:eastAsia="宋体" w:cs="Times New Roman"/>
                <w:b/>
                <w:bCs/>
                <w:spacing w:val="0"/>
                <w:sz w:val="21"/>
                <w:szCs w:val="21"/>
              </w:rPr>
              <w:t>果朗河 17+800 横断面图</w:t>
            </w:r>
          </w:p>
          <w:p w14:paraId="3FAA841E">
            <w:pPr>
              <w:spacing w:before="183" w:line="359" w:lineRule="auto"/>
              <w:ind w:left="16" w:firstLine="484"/>
              <w:rPr>
                <w:rFonts w:ascii="宋体" w:hAnsi="宋体" w:eastAsia="宋体" w:cs="宋体"/>
                <w:sz w:val="24"/>
                <w:szCs w:val="24"/>
              </w:rPr>
            </w:pPr>
            <w:r>
              <w:rPr>
                <w:rFonts w:ascii="Times New Roman" w:hAnsi="Times New Roman" w:eastAsia="Times New Roman" w:cs="Times New Roman"/>
                <w:spacing w:val="-1"/>
                <w:sz w:val="24"/>
                <w:szCs w:val="24"/>
              </w:rPr>
              <w:t>3</w:t>
            </w:r>
            <w:r>
              <w:rPr>
                <w:rFonts w:ascii="宋体" w:hAnsi="宋体" w:eastAsia="宋体" w:cs="宋体"/>
                <w:spacing w:val="-1"/>
                <w:sz w:val="24"/>
                <w:szCs w:val="24"/>
              </w:rPr>
              <w:t>、果朗河</w:t>
            </w:r>
            <w:r>
              <w:rPr>
                <w:rFonts w:hint="eastAsia" w:ascii="宋体" w:hAnsi="宋体" w:cs="宋体"/>
                <w:spacing w:val="-1"/>
                <w:sz w:val="24"/>
                <w:szCs w:val="24"/>
                <w:lang w:eastAsia="zh-CN"/>
              </w:rPr>
              <w:t>干沟坪段</w:t>
            </w:r>
            <w:r>
              <w:rPr>
                <w:rFonts w:ascii="宋体" w:hAnsi="宋体" w:eastAsia="宋体" w:cs="宋体"/>
                <w:spacing w:val="-53"/>
                <w:sz w:val="24"/>
                <w:szCs w:val="24"/>
              </w:rPr>
              <w:t xml:space="preserve"> </w:t>
            </w:r>
            <w:r>
              <w:rPr>
                <w:rFonts w:ascii="Times New Roman" w:hAnsi="Times New Roman" w:eastAsia="Times New Roman" w:cs="Times New Roman"/>
                <w:spacing w:val="-1"/>
                <w:sz w:val="24"/>
                <w:szCs w:val="24"/>
              </w:rPr>
              <w:t>K24+250</w:t>
            </w:r>
            <w:r>
              <w:rPr>
                <w:rFonts w:ascii="宋体" w:hAnsi="宋体" w:eastAsia="宋体" w:cs="宋体"/>
                <w:spacing w:val="-1"/>
                <w:sz w:val="24"/>
                <w:szCs w:val="24"/>
              </w:rPr>
              <w:t>～</w:t>
            </w:r>
            <w:r>
              <w:rPr>
                <w:rFonts w:ascii="Times New Roman" w:hAnsi="Times New Roman" w:eastAsia="Times New Roman" w:cs="Times New Roman"/>
                <w:spacing w:val="-1"/>
                <w:sz w:val="24"/>
                <w:szCs w:val="24"/>
              </w:rPr>
              <w:t>K29+460</w:t>
            </w:r>
            <w:r>
              <w:rPr>
                <w:rFonts w:ascii="宋体" w:hAnsi="宋体" w:eastAsia="宋体" w:cs="宋体"/>
                <w:spacing w:val="-1"/>
                <w:sz w:val="24"/>
                <w:szCs w:val="24"/>
              </w:rPr>
              <w:t>长</w:t>
            </w:r>
            <w:r>
              <w:rPr>
                <w:rFonts w:ascii="宋体" w:hAnsi="宋体" w:eastAsia="宋体" w:cs="宋体"/>
                <w:spacing w:val="-46"/>
                <w:sz w:val="24"/>
                <w:szCs w:val="24"/>
              </w:rPr>
              <w:t xml:space="preserve"> </w:t>
            </w:r>
            <w:r>
              <w:rPr>
                <w:rFonts w:ascii="Times New Roman" w:hAnsi="Times New Roman" w:eastAsia="Times New Roman" w:cs="Times New Roman"/>
                <w:spacing w:val="-1"/>
                <w:sz w:val="24"/>
                <w:szCs w:val="24"/>
              </w:rPr>
              <w:t>5.21km</w:t>
            </w:r>
            <w:r>
              <w:rPr>
                <w:rFonts w:ascii="宋体" w:hAnsi="宋体" w:eastAsia="宋体" w:cs="宋体"/>
                <w:spacing w:val="-1"/>
                <w:sz w:val="24"/>
                <w:szCs w:val="24"/>
              </w:rPr>
              <w:t>，河道两岸均为耕地，耕地与河道</w:t>
            </w:r>
            <w:r>
              <w:rPr>
                <w:rFonts w:ascii="宋体" w:hAnsi="宋体" w:eastAsia="宋体" w:cs="宋体"/>
                <w:sz w:val="24"/>
                <w:szCs w:val="24"/>
              </w:rPr>
              <w:t>直接相连，地势相对平坦，河道弯曲，现状河宽</w:t>
            </w:r>
            <w:r>
              <w:rPr>
                <w:rFonts w:ascii="宋体" w:hAnsi="宋体" w:eastAsia="宋体" w:cs="宋体"/>
                <w:spacing w:val="-32"/>
                <w:sz w:val="24"/>
                <w:szCs w:val="24"/>
              </w:rPr>
              <w:t xml:space="preserve"> </w:t>
            </w:r>
            <w:r>
              <w:rPr>
                <w:rFonts w:ascii="Times New Roman" w:hAnsi="Times New Roman" w:eastAsia="Times New Roman" w:cs="Times New Roman"/>
                <w:sz w:val="24"/>
                <w:szCs w:val="24"/>
              </w:rPr>
              <w:t>10.0m~25.0m</w:t>
            </w:r>
            <w:r>
              <w:rPr>
                <w:rFonts w:ascii="宋体" w:hAnsi="宋体" w:eastAsia="宋体" w:cs="宋体"/>
                <w:sz w:val="24"/>
                <w:szCs w:val="24"/>
              </w:rPr>
              <w:t>。护岸工程断</w:t>
            </w:r>
            <w:r>
              <w:rPr>
                <w:rFonts w:ascii="宋体" w:hAnsi="宋体" w:eastAsia="宋体" w:cs="宋体"/>
                <w:spacing w:val="-1"/>
                <w:sz w:val="24"/>
                <w:szCs w:val="24"/>
              </w:rPr>
              <w:t>面拟定</w:t>
            </w:r>
            <w:r>
              <w:rPr>
                <w:rFonts w:ascii="宋体" w:hAnsi="宋体" w:eastAsia="宋体" w:cs="宋体"/>
                <w:sz w:val="24"/>
                <w:szCs w:val="24"/>
              </w:rPr>
              <w:t>根据不侵占河道行洪断面及少占耕地的原则，钢筋石</w:t>
            </w:r>
            <w:r>
              <w:rPr>
                <w:rFonts w:ascii="宋体" w:hAnsi="宋体" w:eastAsia="宋体" w:cs="宋体"/>
                <w:spacing w:val="-1"/>
                <w:sz w:val="24"/>
                <w:szCs w:val="24"/>
              </w:rPr>
              <w:t>笼断面型式为重力式结构，高</w:t>
            </w:r>
            <w:r>
              <w:rPr>
                <w:rFonts w:ascii="Times New Roman" w:hAnsi="Times New Roman" w:eastAsia="Times New Roman" w:cs="Times New Roman"/>
                <w:spacing w:val="-5"/>
                <w:sz w:val="24"/>
                <w:szCs w:val="24"/>
              </w:rPr>
              <w:t>2.5m</w:t>
            </w:r>
            <w:r>
              <w:rPr>
                <w:rFonts w:ascii="宋体" w:hAnsi="宋体" w:eastAsia="宋体" w:cs="宋体"/>
                <w:spacing w:val="-5"/>
                <w:sz w:val="24"/>
                <w:szCs w:val="24"/>
              </w:rPr>
              <w:t>，分上、下两部分，上部分为梯形断面，顶</w:t>
            </w:r>
            <w:r>
              <w:rPr>
                <w:rFonts w:ascii="宋体" w:hAnsi="宋体" w:eastAsia="宋体" w:cs="宋体"/>
                <w:spacing w:val="-6"/>
                <w:sz w:val="24"/>
                <w:szCs w:val="24"/>
              </w:rPr>
              <w:t>宽</w:t>
            </w:r>
            <w:r>
              <w:rPr>
                <w:rFonts w:ascii="Times New Roman" w:hAnsi="Times New Roman" w:eastAsia="Times New Roman" w:cs="Times New Roman"/>
                <w:spacing w:val="-6"/>
                <w:sz w:val="24"/>
                <w:szCs w:val="24"/>
              </w:rPr>
              <w:t>1.0m</w:t>
            </w:r>
            <w:r>
              <w:rPr>
                <w:rFonts w:ascii="宋体" w:hAnsi="宋体" w:eastAsia="宋体" w:cs="宋体"/>
                <w:spacing w:val="-6"/>
                <w:sz w:val="24"/>
                <w:szCs w:val="24"/>
              </w:rPr>
              <w:t>，高</w:t>
            </w:r>
            <w:r>
              <w:rPr>
                <w:rFonts w:ascii="Times New Roman" w:hAnsi="Times New Roman" w:eastAsia="Times New Roman" w:cs="Times New Roman"/>
                <w:spacing w:val="-6"/>
                <w:sz w:val="24"/>
                <w:szCs w:val="24"/>
              </w:rPr>
              <w:t>1.5m</w:t>
            </w:r>
            <w:r>
              <w:rPr>
                <w:rFonts w:ascii="宋体" w:hAnsi="宋体" w:eastAsia="宋体" w:cs="宋体"/>
                <w:spacing w:val="-6"/>
                <w:sz w:val="24"/>
                <w:szCs w:val="24"/>
              </w:rPr>
              <w:t>，迎水坡及背水坡</w:t>
            </w:r>
            <w:r>
              <w:rPr>
                <w:rFonts w:ascii="宋体" w:hAnsi="宋体" w:eastAsia="宋体" w:cs="宋体"/>
                <w:spacing w:val="-3"/>
                <w:sz w:val="24"/>
                <w:szCs w:val="24"/>
              </w:rPr>
              <w:t>均为</w:t>
            </w:r>
            <w:r>
              <w:rPr>
                <w:rFonts w:ascii="Times New Roman" w:hAnsi="Times New Roman" w:eastAsia="Times New Roman" w:cs="Times New Roman"/>
                <w:spacing w:val="-3"/>
                <w:sz w:val="24"/>
                <w:szCs w:val="24"/>
              </w:rPr>
              <w:t>1:0.2</w:t>
            </w:r>
            <w:r>
              <w:rPr>
                <w:rFonts w:ascii="宋体" w:hAnsi="宋体" w:eastAsia="宋体" w:cs="宋体"/>
                <w:spacing w:val="-3"/>
                <w:sz w:val="24"/>
                <w:szCs w:val="24"/>
              </w:rPr>
              <w:t>；下部为矩形断面，高</w:t>
            </w:r>
            <w:r>
              <w:rPr>
                <w:rFonts w:ascii="Times New Roman" w:hAnsi="Times New Roman" w:eastAsia="Times New Roman" w:cs="Times New Roman"/>
                <w:spacing w:val="-3"/>
                <w:sz w:val="24"/>
                <w:szCs w:val="24"/>
              </w:rPr>
              <w:t>1.0m</w:t>
            </w:r>
            <w:r>
              <w:rPr>
                <w:rFonts w:ascii="宋体" w:hAnsi="宋体" w:eastAsia="宋体" w:cs="宋体"/>
                <w:spacing w:val="-3"/>
                <w:sz w:val="24"/>
                <w:szCs w:val="24"/>
              </w:rPr>
              <w:t>，迎水面台阶</w:t>
            </w:r>
            <w:r>
              <w:rPr>
                <w:rFonts w:hint="eastAsia" w:ascii="宋体" w:hAnsi="宋体" w:eastAsia="宋体" w:cs="宋体"/>
                <w:spacing w:val="-3"/>
                <w:sz w:val="24"/>
                <w:szCs w:val="24"/>
                <w:lang w:val="en-US" w:eastAsia="zh-CN"/>
              </w:rPr>
              <w:t>0</w:t>
            </w:r>
            <w:r>
              <w:rPr>
                <w:rFonts w:ascii="Times New Roman" w:hAnsi="Times New Roman" w:eastAsia="Times New Roman" w:cs="Times New Roman"/>
                <w:spacing w:val="-3"/>
                <w:sz w:val="24"/>
                <w:szCs w:val="24"/>
              </w:rPr>
              <w:t>.5m</w:t>
            </w:r>
            <w:r>
              <w:rPr>
                <w:rFonts w:ascii="宋体" w:hAnsi="宋体" w:eastAsia="宋体" w:cs="宋体"/>
                <w:spacing w:val="-3"/>
                <w:sz w:val="24"/>
                <w:szCs w:val="24"/>
              </w:rPr>
              <w:t>，背水面台阶宽</w:t>
            </w:r>
            <w:r>
              <w:rPr>
                <w:rFonts w:ascii="宋体" w:hAnsi="宋体" w:eastAsia="宋体" w:cs="宋体"/>
                <w:spacing w:val="-49"/>
                <w:sz w:val="24"/>
                <w:szCs w:val="24"/>
              </w:rPr>
              <w:t xml:space="preserve"> </w:t>
            </w:r>
            <w:r>
              <w:rPr>
                <w:rFonts w:ascii="Times New Roman" w:hAnsi="Times New Roman" w:eastAsia="Times New Roman" w:cs="Times New Roman"/>
                <w:spacing w:val="-3"/>
                <w:sz w:val="24"/>
                <w:szCs w:val="24"/>
              </w:rPr>
              <w:t>0</w:t>
            </w:r>
            <w:r>
              <w:rPr>
                <w:rFonts w:ascii="Times New Roman" w:hAnsi="Times New Roman" w:eastAsia="Times New Roman" w:cs="Times New Roman"/>
                <w:spacing w:val="-4"/>
                <w:sz w:val="24"/>
                <w:szCs w:val="24"/>
              </w:rPr>
              <w:t>.5m</w:t>
            </w:r>
            <w:r>
              <w:rPr>
                <w:rFonts w:ascii="宋体" w:hAnsi="宋体" w:eastAsia="宋体" w:cs="宋体"/>
                <w:spacing w:val="-4"/>
                <w:sz w:val="24"/>
                <w:szCs w:val="24"/>
              </w:rPr>
              <w:t>。</w:t>
            </w:r>
            <w:r>
              <w:rPr>
                <w:rFonts w:ascii="宋体" w:hAnsi="宋体" w:eastAsia="宋体" w:cs="宋体"/>
                <w:spacing w:val="-5"/>
                <w:sz w:val="24"/>
                <w:szCs w:val="24"/>
              </w:rPr>
              <w:t>基础底部埋深至河道深泓以下</w:t>
            </w:r>
            <w:r>
              <w:rPr>
                <w:rFonts w:ascii="宋体" w:hAnsi="宋体" w:eastAsia="宋体" w:cs="宋体"/>
                <w:spacing w:val="-52"/>
                <w:sz w:val="24"/>
                <w:szCs w:val="24"/>
              </w:rPr>
              <w:t xml:space="preserve"> </w:t>
            </w:r>
            <w:r>
              <w:rPr>
                <w:rFonts w:ascii="Times New Roman" w:hAnsi="Times New Roman" w:eastAsia="Times New Roman" w:cs="Times New Roman"/>
                <w:spacing w:val="-5"/>
                <w:sz w:val="24"/>
                <w:szCs w:val="24"/>
              </w:rPr>
              <w:t>0.5m</w:t>
            </w:r>
            <w:r>
              <w:rPr>
                <w:rFonts w:ascii="宋体" w:hAnsi="宋体" w:eastAsia="宋体" w:cs="宋体"/>
                <w:spacing w:val="-5"/>
                <w:sz w:val="24"/>
                <w:szCs w:val="24"/>
              </w:rPr>
              <w:t>。钢筋石笼护岸采用</w:t>
            </w:r>
            <w:r>
              <w:rPr>
                <w:rFonts w:ascii="Times New Roman" w:hAnsi="Times New Roman" w:eastAsia="Times New Roman" w:cs="Times New Roman"/>
                <w:spacing w:val="-5"/>
                <w:sz w:val="24"/>
                <w:szCs w:val="24"/>
              </w:rPr>
              <w:t>Φ6@200×200</w:t>
            </w:r>
            <w:r>
              <w:rPr>
                <w:rFonts w:ascii="宋体" w:hAnsi="宋体" w:eastAsia="宋体" w:cs="宋体"/>
                <w:spacing w:val="-5"/>
                <w:sz w:val="24"/>
                <w:szCs w:val="24"/>
              </w:rPr>
              <w:t>钢筋双向铰结，</w:t>
            </w:r>
            <w:r>
              <w:rPr>
                <w:rFonts w:ascii="宋体" w:hAnsi="宋体" w:eastAsia="宋体" w:cs="宋体"/>
                <w:spacing w:val="-1"/>
                <w:sz w:val="24"/>
                <w:szCs w:val="24"/>
              </w:rPr>
              <w:t>上部梯形与下部矩形采用</w:t>
            </w:r>
            <w:r>
              <w:rPr>
                <w:rFonts w:ascii="Times New Roman" w:hAnsi="Times New Roman" w:eastAsia="Times New Roman" w:cs="Times New Roman"/>
                <w:spacing w:val="-1"/>
                <w:sz w:val="24"/>
                <w:szCs w:val="24"/>
              </w:rPr>
              <w:t>Φ6</w:t>
            </w:r>
            <w:r>
              <w:rPr>
                <w:rFonts w:ascii="宋体" w:hAnsi="宋体" w:eastAsia="宋体" w:cs="宋体"/>
                <w:spacing w:val="-1"/>
                <w:sz w:val="24"/>
                <w:szCs w:val="24"/>
              </w:rPr>
              <w:t>钢筋每间隔</w:t>
            </w:r>
            <w:r>
              <w:rPr>
                <w:rFonts w:ascii="宋体" w:hAnsi="宋体" w:eastAsia="宋体" w:cs="宋体"/>
                <w:spacing w:val="-41"/>
                <w:sz w:val="24"/>
                <w:szCs w:val="24"/>
              </w:rPr>
              <w:t xml:space="preserve"> </w:t>
            </w:r>
            <w:r>
              <w:rPr>
                <w:rFonts w:ascii="Times New Roman" w:hAnsi="Times New Roman" w:eastAsia="Times New Roman" w:cs="Times New Roman"/>
                <w:spacing w:val="-1"/>
                <w:sz w:val="24"/>
                <w:szCs w:val="24"/>
              </w:rPr>
              <w:t>0.5m</w:t>
            </w:r>
            <w:r>
              <w:rPr>
                <w:rFonts w:ascii="宋体" w:hAnsi="宋体" w:eastAsia="宋体" w:cs="宋体"/>
                <w:spacing w:val="-1"/>
                <w:sz w:val="24"/>
                <w:szCs w:val="24"/>
              </w:rPr>
              <w:t>绑扎成一整体。</w:t>
            </w:r>
          </w:p>
          <w:p w14:paraId="281E47E1">
            <w:pPr>
              <w:spacing w:before="146" w:line="2064" w:lineRule="exact"/>
              <w:ind w:left="0" w:leftChars="0" w:firstLine="0" w:firstLineChars="0"/>
            </w:pPr>
            <w:r>
              <w:drawing>
                <wp:inline distT="0" distB="0" distL="114300" distR="114300">
                  <wp:extent cx="4897120" cy="1166495"/>
                  <wp:effectExtent l="0" t="0" r="10160" b="6985"/>
                  <wp:docPr id="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
                          <pic:cNvPicPr>
                            <a:picLocks noChangeAspect="1"/>
                          </pic:cNvPicPr>
                        </pic:nvPicPr>
                        <pic:blipFill>
                          <a:blip r:embed="rId41"/>
                          <a:stretch>
                            <a:fillRect/>
                          </a:stretch>
                        </pic:blipFill>
                        <pic:spPr>
                          <a:xfrm>
                            <a:off x="0" y="0"/>
                            <a:ext cx="4897120" cy="1166495"/>
                          </a:xfrm>
                          <a:prstGeom prst="rect">
                            <a:avLst/>
                          </a:prstGeom>
                          <a:noFill/>
                          <a:ln>
                            <a:noFill/>
                          </a:ln>
                        </pic:spPr>
                      </pic:pic>
                    </a:graphicData>
                  </a:graphic>
                </wp:inline>
              </w:drawing>
            </w:r>
          </w:p>
          <w:p w14:paraId="42B295A5">
            <w:pPr>
              <w:keepNext w:val="0"/>
              <w:keepLines w:val="0"/>
              <w:pageBreakBefore w:val="0"/>
              <w:widowControl w:val="0"/>
              <w:kinsoku/>
              <w:wordWrap/>
              <w:overflowPunct/>
              <w:topLinePunct w:val="0"/>
              <w:autoSpaceDE/>
              <w:autoSpaceDN/>
              <w:bidi w:val="0"/>
              <w:adjustRightInd/>
              <w:snapToGrid w:val="0"/>
              <w:spacing w:before="183" w:line="240" w:lineRule="auto"/>
              <w:ind w:left="0" w:firstLine="0" w:firstLineChars="0"/>
              <w:jc w:val="center"/>
              <w:textAlignment w:val="auto"/>
              <w:rPr>
                <w:rFonts w:hint="default" w:ascii="Times New Roman" w:hAnsi="Times New Roman" w:eastAsia="宋体" w:cs="Times New Roman"/>
                <w:b/>
                <w:bCs/>
                <w:spacing w:val="0"/>
                <w:sz w:val="21"/>
                <w:szCs w:val="21"/>
              </w:rPr>
            </w:pPr>
            <w:r>
              <w:rPr>
                <w:rFonts w:hint="default" w:ascii="Times New Roman" w:hAnsi="Times New Roman" w:eastAsia="宋体" w:cs="Times New Roman"/>
                <w:b/>
                <w:bCs/>
                <w:spacing w:val="0"/>
                <w:sz w:val="21"/>
                <w:szCs w:val="21"/>
              </w:rPr>
              <w:t xml:space="preserve">图 </w:t>
            </w:r>
            <w:r>
              <w:rPr>
                <w:rFonts w:hint="eastAsia" w:ascii="Times New Roman" w:hAnsi="Times New Roman" w:eastAsia="宋体" w:cs="Times New Roman"/>
                <w:b/>
                <w:bCs/>
                <w:spacing w:val="0"/>
                <w:sz w:val="21"/>
                <w:szCs w:val="21"/>
                <w:lang w:val="en-US" w:eastAsia="zh-CN"/>
              </w:rPr>
              <w:t>2-3</w:t>
            </w:r>
            <w:r>
              <w:rPr>
                <w:rFonts w:hint="default" w:ascii="Times New Roman" w:hAnsi="Times New Roman" w:eastAsia="宋体" w:cs="Times New Roman"/>
                <w:b/>
                <w:bCs/>
                <w:spacing w:val="0"/>
                <w:sz w:val="21"/>
                <w:szCs w:val="21"/>
              </w:rPr>
              <w:t xml:space="preserve">   果朗河 K26+400 横断面图</w:t>
            </w:r>
          </w:p>
          <w:p w14:paraId="314C2CE0">
            <w:pPr>
              <w:numPr>
                <w:ilvl w:val="0"/>
                <w:numId w:val="2"/>
              </w:numPr>
              <w:spacing w:before="182" w:line="359" w:lineRule="auto"/>
              <w:ind w:left="6" w:leftChars="0" w:right="61" w:firstLine="474" w:firstLineChars="0"/>
              <w:rPr>
                <w:rFonts w:ascii="宋体" w:hAnsi="宋体" w:eastAsia="宋体" w:cs="宋体"/>
                <w:spacing w:val="-1"/>
                <w:sz w:val="24"/>
                <w:szCs w:val="24"/>
              </w:rPr>
            </w:pPr>
            <w:r>
              <w:rPr>
                <w:rFonts w:ascii="宋体" w:hAnsi="宋体" w:eastAsia="宋体" w:cs="宋体"/>
                <w:spacing w:val="0"/>
                <w:sz w:val="24"/>
                <w:szCs w:val="24"/>
              </w:rPr>
              <w:t>果朗河</w:t>
            </w:r>
            <w:r>
              <w:rPr>
                <w:rFonts w:hint="eastAsia" w:ascii="宋体" w:hAnsi="宋体" w:cs="宋体"/>
                <w:spacing w:val="0"/>
                <w:sz w:val="24"/>
                <w:szCs w:val="24"/>
                <w:lang w:eastAsia="zh-CN"/>
              </w:rPr>
              <w:t>芒里上游段</w:t>
            </w:r>
            <w:r>
              <w:rPr>
                <w:rFonts w:ascii="Times New Roman" w:hAnsi="Times New Roman" w:eastAsia="Times New Roman" w:cs="Times New Roman"/>
                <w:spacing w:val="0"/>
                <w:sz w:val="24"/>
                <w:szCs w:val="24"/>
              </w:rPr>
              <w:t>K</w:t>
            </w:r>
            <w:r>
              <w:rPr>
                <w:rFonts w:ascii="Times New Roman" w:hAnsi="Times New Roman" w:eastAsia="Times New Roman" w:cs="Times New Roman"/>
                <w:spacing w:val="-2"/>
                <w:sz w:val="24"/>
                <w:szCs w:val="24"/>
              </w:rPr>
              <w:t>31+870</w:t>
            </w:r>
            <w:r>
              <w:rPr>
                <w:rFonts w:ascii="宋体" w:hAnsi="宋体" w:eastAsia="宋体" w:cs="宋体"/>
                <w:spacing w:val="-2"/>
                <w:sz w:val="24"/>
                <w:szCs w:val="24"/>
              </w:rPr>
              <w:t>～</w:t>
            </w:r>
            <w:r>
              <w:rPr>
                <w:rFonts w:ascii="Times New Roman" w:hAnsi="Times New Roman" w:eastAsia="Times New Roman" w:cs="Times New Roman"/>
                <w:spacing w:val="-2"/>
                <w:sz w:val="24"/>
                <w:szCs w:val="24"/>
              </w:rPr>
              <w:t>K32+9701.10km</w:t>
            </w:r>
            <w:r>
              <w:rPr>
                <w:rFonts w:ascii="Times New Roman" w:hAnsi="Times New Roman" w:eastAsia="Times New Roman" w:cs="Times New Roman"/>
                <w:spacing w:val="-28"/>
                <w:sz w:val="24"/>
                <w:szCs w:val="24"/>
              </w:rPr>
              <w:t xml:space="preserve"> </w:t>
            </w:r>
            <w:r>
              <w:rPr>
                <w:rFonts w:ascii="宋体" w:hAnsi="宋体" w:eastAsia="宋体" w:cs="宋体"/>
                <w:spacing w:val="-2"/>
                <w:sz w:val="24"/>
                <w:szCs w:val="24"/>
              </w:rPr>
              <w:t>，河道两岸均为耕地且地势平坦，</w:t>
            </w:r>
            <w:r>
              <w:rPr>
                <w:rFonts w:ascii="宋体" w:hAnsi="宋体" w:eastAsia="宋体" w:cs="宋体"/>
                <w:spacing w:val="-3"/>
                <w:sz w:val="24"/>
                <w:szCs w:val="24"/>
              </w:rPr>
              <w:t>耕地与河道直接相连，河道弯曲，现状河宽</w:t>
            </w:r>
            <w:r>
              <w:rPr>
                <w:rFonts w:ascii="Times New Roman" w:hAnsi="Times New Roman" w:eastAsia="Times New Roman" w:cs="Times New Roman"/>
                <w:spacing w:val="-3"/>
                <w:sz w:val="24"/>
                <w:szCs w:val="24"/>
              </w:rPr>
              <w:t>12.0</w:t>
            </w:r>
            <w:r>
              <w:rPr>
                <w:rFonts w:ascii="宋体" w:hAnsi="宋体" w:eastAsia="宋体" w:cs="宋体"/>
                <w:spacing w:val="-3"/>
                <w:sz w:val="24"/>
                <w:szCs w:val="24"/>
              </w:rPr>
              <w:t>～</w:t>
            </w:r>
            <w:r>
              <w:rPr>
                <w:rFonts w:ascii="Times New Roman" w:hAnsi="Times New Roman" w:eastAsia="Times New Roman" w:cs="Times New Roman"/>
                <w:spacing w:val="-3"/>
                <w:sz w:val="24"/>
                <w:szCs w:val="24"/>
              </w:rPr>
              <w:t>35.</w:t>
            </w:r>
            <w:r>
              <w:rPr>
                <w:rFonts w:ascii="Times New Roman" w:hAnsi="Times New Roman" w:eastAsia="Times New Roman" w:cs="Times New Roman"/>
                <w:spacing w:val="-4"/>
                <w:sz w:val="24"/>
                <w:szCs w:val="24"/>
              </w:rPr>
              <w:t>0m</w:t>
            </w:r>
            <w:r>
              <w:rPr>
                <w:rFonts w:ascii="宋体" w:hAnsi="宋体" w:eastAsia="宋体" w:cs="宋体"/>
                <w:spacing w:val="-4"/>
                <w:sz w:val="24"/>
                <w:szCs w:val="24"/>
              </w:rPr>
              <w:t>。护岸工程断面拟定根据不</w:t>
            </w:r>
            <w:r>
              <w:rPr>
                <w:rFonts w:ascii="宋体" w:hAnsi="宋体" w:eastAsia="宋体" w:cs="宋体"/>
                <w:spacing w:val="-1"/>
                <w:sz w:val="24"/>
                <w:szCs w:val="24"/>
              </w:rPr>
              <w:t>侵占河道行洪断面及少占耕地的原则，钢筋石</w:t>
            </w:r>
            <w:r>
              <w:rPr>
                <w:rFonts w:ascii="宋体" w:hAnsi="宋体" w:eastAsia="宋体" w:cs="宋体"/>
                <w:spacing w:val="-2"/>
                <w:sz w:val="24"/>
                <w:szCs w:val="24"/>
              </w:rPr>
              <w:t>笼断</w:t>
            </w:r>
            <w:r>
              <w:rPr>
                <w:rFonts w:ascii="宋体" w:hAnsi="宋体" w:eastAsia="宋体" w:cs="宋体"/>
                <w:strike w:val="0"/>
                <w:dstrike w:val="0"/>
                <w:spacing w:val="-2"/>
                <w:sz w:val="24"/>
                <w:szCs w:val="24"/>
              </w:rPr>
              <w:t>面型式为重力式结构，高</w:t>
            </w:r>
            <w:r>
              <w:rPr>
                <w:rFonts w:ascii="Times New Roman" w:hAnsi="Times New Roman" w:eastAsia="Times New Roman" w:cs="Times New Roman"/>
                <w:strike w:val="0"/>
                <w:dstrike w:val="0"/>
                <w:spacing w:val="-2"/>
                <w:sz w:val="24"/>
                <w:szCs w:val="24"/>
              </w:rPr>
              <w:t>3.0m</w:t>
            </w:r>
            <w:r>
              <w:rPr>
                <w:rFonts w:ascii="宋体" w:hAnsi="宋体" w:eastAsia="宋体" w:cs="宋体"/>
                <w:strike w:val="0"/>
                <w:dstrike w:val="0"/>
                <w:spacing w:val="-2"/>
                <w:sz w:val="24"/>
                <w:szCs w:val="24"/>
              </w:rPr>
              <w:t>，</w:t>
            </w:r>
            <w:r>
              <w:rPr>
                <w:rFonts w:ascii="宋体" w:hAnsi="宋体" w:eastAsia="宋体" w:cs="宋体"/>
                <w:strike w:val="0"/>
                <w:dstrike w:val="0"/>
                <w:sz w:val="24"/>
                <w:szCs w:val="24"/>
              </w:rPr>
              <w:t>分上、下两部分，</w:t>
            </w:r>
            <w:r>
              <w:rPr>
                <w:rFonts w:ascii="宋体" w:hAnsi="宋体" w:eastAsia="宋体" w:cs="宋体"/>
                <w:sz w:val="24"/>
                <w:szCs w:val="24"/>
              </w:rPr>
              <w:t>上部分为梯形断面，顶宽</w:t>
            </w:r>
            <w:r>
              <w:rPr>
                <w:rFonts w:ascii="Times New Roman" w:hAnsi="Times New Roman" w:eastAsia="Times New Roman" w:cs="Times New Roman"/>
                <w:sz w:val="24"/>
                <w:szCs w:val="24"/>
              </w:rPr>
              <w:t>1.0m</w:t>
            </w:r>
            <w:r>
              <w:rPr>
                <w:rFonts w:ascii="宋体" w:hAnsi="宋体" w:eastAsia="宋体" w:cs="宋体"/>
                <w:sz w:val="24"/>
                <w:szCs w:val="24"/>
              </w:rPr>
              <w:t>，高</w:t>
            </w:r>
            <w:r>
              <w:rPr>
                <w:rFonts w:ascii="Times New Roman" w:hAnsi="Times New Roman" w:eastAsia="Times New Roman" w:cs="Times New Roman"/>
                <w:sz w:val="24"/>
                <w:szCs w:val="24"/>
              </w:rPr>
              <w:t>1.5m</w:t>
            </w:r>
            <w:r>
              <w:rPr>
                <w:rFonts w:ascii="宋体" w:hAnsi="宋体" w:eastAsia="宋体" w:cs="宋体"/>
                <w:sz w:val="24"/>
                <w:szCs w:val="24"/>
              </w:rPr>
              <w:t>，迎水坡</w:t>
            </w:r>
            <w:r>
              <w:rPr>
                <w:rFonts w:ascii="宋体" w:hAnsi="宋体" w:eastAsia="宋体" w:cs="宋体"/>
                <w:spacing w:val="-1"/>
                <w:sz w:val="24"/>
                <w:szCs w:val="24"/>
              </w:rPr>
              <w:t>及背水坡均为</w:t>
            </w:r>
            <w:r>
              <w:rPr>
                <w:rFonts w:ascii="Times New Roman" w:hAnsi="Times New Roman" w:eastAsia="Times New Roman" w:cs="Times New Roman"/>
                <w:spacing w:val="-2"/>
                <w:sz w:val="24"/>
                <w:szCs w:val="24"/>
              </w:rPr>
              <w:t>1:0.2</w:t>
            </w:r>
            <w:r>
              <w:rPr>
                <w:rFonts w:ascii="宋体" w:hAnsi="宋体" w:eastAsia="宋体" w:cs="宋体"/>
                <w:spacing w:val="-2"/>
                <w:sz w:val="24"/>
                <w:szCs w:val="24"/>
              </w:rPr>
              <w:t>；下部为矩形断面，高</w:t>
            </w:r>
            <w:r>
              <w:rPr>
                <w:rFonts w:ascii="Times New Roman" w:hAnsi="Times New Roman" w:eastAsia="Times New Roman" w:cs="Times New Roman"/>
                <w:spacing w:val="-2"/>
                <w:sz w:val="24"/>
                <w:szCs w:val="24"/>
              </w:rPr>
              <w:t>1.5m</w:t>
            </w:r>
            <w:r>
              <w:rPr>
                <w:rFonts w:ascii="宋体" w:hAnsi="宋体" w:eastAsia="宋体" w:cs="宋体"/>
                <w:spacing w:val="-2"/>
                <w:sz w:val="24"/>
                <w:szCs w:val="24"/>
              </w:rPr>
              <w:t>，迎水面台阶宽</w:t>
            </w:r>
            <w:r>
              <w:rPr>
                <w:rFonts w:ascii="Times New Roman" w:hAnsi="Times New Roman" w:eastAsia="Times New Roman" w:cs="Times New Roman"/>
                <w:spacing w:val="-2"/>
                <w:sz w:val="24"/>
                <w:szCs w:val="24"/>
              </w:rPr>
              <w:t>0.5m</w:t>
            </w:r>
            <w:r>
              <w:rPr>
                <w:rFonts w:ascii="宋体" w:hAnsi="宋体" w:eastAsia="宋体" w:cs="宋体"/>
                <w:spacing w:val="-2"/>
                <w:sz w:val="24"/>
                <w:szCs w:val="24"/>
              </w:rPr>
              <w:t>，背水</w:t>
            </w:r>
            <w:r>
              <w:rPr>
                <w:rFonts w:ascii="宋体" w:hAnsi="宋体" w:eastAsia="宋体" w:cs="宋体"/>
                <w:spacing w:val="-3"/>
                <w:sz w:val="24"/>
                <w:szCs w:val="24"/>
              </w:rPr>
              <w:t>面台阶宽</w:t>
            </w:r>
            <w:r>
              <w:rPr>
                <w:rFonts w:ascii="宋体" w:hAnsi="宋体" w:eastAsia="宋体" w:cs="宋体"/>
                <w:spacing w:val="-49"/>
                <w:sz w:val="24"/>
                <w:szCs w:val="24"/>
              </w:rPr>
              <w:t xml:space="preserve"> </w:t>
            </w:r>
            <w:r>
              <w:rPr>
                <w:rFonts w:ascii="Times New Roman" w:hAnsi="Times New Roman" w:eastAsia="Times New Roman" w:cs="Times New Roman"/>
                <w:spacing w:val="-3"/>
                <w:sz w:val="24"/>
                <w:szCs w:val="24"/>
              </w:rPr>
              <w:t>0.5m</w:t>
            </w:r>
            <w:r>
              <w:rPr>
                <w:rFonts w:hint="eastAsia" w:ascii="Times New Roman" w:hAnsi="Times New Roman" w:eastAsia="宋体" w:cs="Times New Roman"/>
                <w:spacing w:val="-3"/>
                <w:sz w:val="24"/>
                <w:szCs w:val="24"/>
                <w:lang w:eastAsia="zh-CN"/>
              </w:rPr>
              <w:t>。</w:t>
            </w:r>
            <w:r>
              <w:rPr>
                <w:rFonts w:ascii="宋体" w:hAnsi="宋体" w:eastAsia="宋体" w:cs="宋体"/>
                <w:spacing w:val="-3"/>
                <w:sz w:val="24"/>
                <w:szCs w:val="24"/>
              </w:rPr>
              <w:t>基础</w:t>
            </w:r>
            <w:r>
              <w:rPr>
                <w:rFonts w:ascii="宋体" w:hAnsi="宋体" w:eastAsia="宋体" w:cs="宋体"/>
                <w:spacing w:val="-1"/>
                <w:sz w:val="24"/>
                <w:szCs w:val="24"/>
              </w:rPr>
              <w:t>底部埋深至河道深泓以下</w:t>
            </w:r>
            <w:r>
              <w:rPr>
                <w:rStyle w:val="80"/>
              </w:rPr>
              <w:fldChar w:fldCharType="begin"/>
            </w:r>
            <w:r>
              <w:rPr>
                <w:rStyle w:val="80"/>
              </w:rPr>
              <w:instrText xml:space="preserve"> HYPERLINK "mailto:0.5m。钢筋石笼护岸采用Φ6@200×200钢筋双向铰结，上部梯形与下部矩形采用Φ6钢筋每间隔0.5m绑扎成一整体。" </w:instrText>
            </w:r>
            <w:r>
              <w:rPr>
                <w:rStyle w:val="80"/>
              </w:rPr>
              <w:fldChar w:fldCharType="separate"/>
            </w:r>
            <w:r>
              <w:rPr>
                <w:rStyle w:val="80"/>
              </w:rPr>
              <w:t>0.5m。钢筋石笼护岸采用Φ6@200×200钢筋双向铰结，上部梯形与下部矩形采用Φ6钢筋每间隔0.5m绑扎成一整体。</w:t>
            </w:r>
            <w:r>
              <w:rPr>
                <w:rStyle w:val="80"/>
              </w:rPr>
              <w:fldChar w:fldCharType="end"/>
            </w:r>
          </w:p>
          <w:p w14:paraId="200C8965">
            <w:pPr>
              <w:numPr>
                <w:ilvl w:val="0"/>
                <w:numId w:val="0"/>
              </w:numPr>
              <w:spacing w:before="182" w:line="359" w:lineRule="auto"/>
              <w:ind w:right="61" w:rightChars="0"/>
              <w:rPr>
                <w:rFonts w:ascii="宋体" w:hAnsi="宋体" w:eastAsia="宋体" w:cs="宋体"/>
                <w:spacing w:val="-1"/>
                <w:sz w:val="24"/>
                <w:szCs w:val="24"/>
              </w:rPr>
            </w:pPr>
            <w:r>
              <w:drawing>
                <wp:inline distT="0" distB="0" distL="114300" distR="114300">
                  <wp:extent cx="4899025" cy="1258570"/>
                  <wp:effectExtent l="0" t="0" r="8255" b="6350"/>
                  <wp:docPr id="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
                          <pic:cNvPicPr>
                            <a:picLocks noChangeAspect="1"/>
                          </pic:cNvPicPr>
                        </pic:nvPicPr>
                        <pic:blipFill>
                          <a:blip r:embed="rId42"/>
                          <a:stretch>
                            <a:fillRect/>
                          </a:stretch>
                        </pic:blipFill>
                        <pic:spPr>
                          <a:xfrm>
                            <a:off x="0" y="0"/>
                            <a:ext cx="4899025" cy="1258570"/>
                          </a:xfrm>
                          <a:prstGeom prst="rect">
                            <a:avLst/>
                          </a:prstGeom>
                          <a:noFill/>
                          <a:ln>
                            <a:noFill/>
                          </a:ln>
                        </pic:spPr>
                      </pic:pic>
                    </a:graphicData>
                  </a:graphic>
                </wp:inline>
              </w:drawing>
            </w:r>
          </w:p>
          <w:p w14:paraId="3DE727F4">
            <w:pPr>
              <w:keepNext w:val="0"/>
              <w:keepLines w:val="0"/>
              <w:pageBreakBefore w:val="0"/>
              <w:widowControl w:val="0"/>
              <w:kinsoku/>
              <w:wordWrap/>
              <w:overflowPunct/>
              <w:topLinePunct w:val="0"/>
              <w:autoSpaceDE/>
              <w:autoSpaceDN/>
              <w:bidi w:val="0"/>
              <w:adjustRightInd/>
              <w:snapToGrid w:val="0"/>
              <w:spacing w:before="183" w:line="240" w:lineRule="auto"/>
              <w:ind w:left="0" w:firstLine="0" w:firstLineChars="0"/>
              <w:jc w:val="center"/>
              <w:textAlignment w:val="auto"/>
              <w:rPr>
                <w:rFonts w:hint="default" w:ascii="Times New Roman" w:hAnsi="Times New Roman" w:eastAsia="宋体" w:cs="Times New Roman"/>
                <w:b/>
                <w:bCs/>
                <w:spacing w:val="0"/>
                <w:sz w:val="21"/>
                <w:szCs w:val="21"/>
              </w:rPr>
            </w:pPr>
            <w:r>
              <w:rPr>
                <w:rFonts w:hint="default" w:ascii="Times New Roman" w:hAnsi="Times New Roman" w:eastAsia="宋体" w:cs="Times New Roman"/>
                <w:b/>
                <w:bCs/>
                <w:spacing w:val="0"/>
                <w:sz w:val="21"/>
                <w:szCs w:val="21"/>
              </w:rPr>
              <w:t xml:space="preserve">图 </w:t>
            </w:r>
            <w:r>
              <w:rPr>
                <w:rFonts w:hint="eastAsia" w:ascii="Times New Roman" w:hAnsi="Times New Roman" w:eastAsia="宋体" w:cs="Times New Roman"/>
                <w:b/>
                <w:bCs/>
                <w:spacing w:val="0"/>
                <w:sz w:val="21"/>
                <w:szCs w:val="21"/>
                <w:lang w:val="en-US" w:eastAsia="zh-CN"/>
              </w:rPr>
              <w:t>2-4</w:t>
            </w:r>
            <w:r>
              <w:rPr>
                <w:rFonts w:hint="default" w:ascii="Times New Roman" w:hAnsi="Times New Roman" w:eastAsia="宋体" w:cs="Times New Roman"/>
                <w:b/>
                <w:bCs/>
                <w:spacing w:val="0"/>
                <w:sz w:val="21"/>
                <w:szCs w:val="21"/>
              </w:rPr>
              <w:t xml:space="preserve">  果朗河 K31+900 横断面图</w:t>
            </w:r>
          </w:p>
          <w:p w14:paraId="2213D32E">
            <w:pPr>
              <w:pStyle w:val="36"/>
              <w:bidi w:val="0"/>
              <w:rPr>
                <w:rFonts w:hint="eastAsia" w:cs="Times New Roman"/>
                <w:b/>
                <w:bCs w:val="0"/>
                <w:color w:val="auto"/>
                <w:spacing w:val="0"/>
                <w:position w:val="0"/>
                <w:sz w:val="24"/>
                <w:lang w:val="en-US" w:eastAsia="zh-CN"/>
              </w:rPr>
            </w:pPr>
            <w:r>
              <w:rPr>
                <w:rFonts w:hint="eastAsia" w:cs="Times New Roman"/>
                <w:b/>
                <w:bCs w:val="0"/>
                <w:color w:val="auto"/>
                <w:spacing w:val="0"/>
                <w:position w:val="0"/>
                <w:sz w:val="24"/>
                <w:lang w:val="en-US" w:eastAsia="zh-CN"/>
              </w:rPr>
              <w:t>七、堤防工程堤型选择</w:t>
            </w:r>
          </w:p>
          <w:p w14:paraId="00C5A950">
            <w:pPr>
              <w:pStyle w:val="36"/>
              <w:bidi w:val="0"/>
              <w:rPr>
                <w:rFonts w:hint="eastAsia" w:cs="Times New Roman"/>
                <w:b w:val="0"/>
                <w:bCs/>
                <w:color w:val="auto"/>
                <w:spacing w:val="0"/>
                <w:position w:val="0"/>
                <w:sz w:val="24"/>
                <w:lang w:val="en-US" w:eastAsia="zh-CN"/>
              </w:rPr>
            </w:pPr>
            <w:r>
              <w:rPr>
                <w:rFonts w:hint="eastAsia" w:cs="Times New Roman"/>
                <w:b w:val="0"/>
                <w:bCs/>
                <w:color w:val="auto"/>
                <w:spacing w:val="0"/>
                <w:position w:val="0"/>
                <w:sz w:val="24"/>
                <w:lang w:val="en-US" w:eastAsia="zh-CN"/>
              </w:rPr>
              <w:t>新建堤防工程布置在果朗河芒里下游段K32+970~K34+435河道两岸。该段位于坝区，防洪体系不完善，沿河两岸的农田易受洪涝灾害威胁，通过建设堤防，形成防洪闭合圈，与正在施工的果朗河芒里大桥至汇口段工程（一期工程）形成完整的防洪体系。</w:t>
            </w:r>
          </w:p>
          <w:p w14:paraId="1B693825">
            <w:pPr>
              <w:pStyle w:val="36"/>
              <w:bidi w:val="0"/>
              <w:rPr>
                <w:rFonts w:hint="default" w:cs="Times New Roman"/>
                <w:b w:val="0"/>
                <w:bCs/>
                <w:color w:val="auto"/>
                <w:spacing w:val="0"/>
                <w:position w:val="0"/>
                <w:sz w:val="24"/>
                <w:lang w:val="en-US" w:eastAsia="zh-CN"/>
              </w:rPr>
            </w:pPr>
            <w:r>
              <w:rPr>
                <w:rFonts w:hint="default" w:cs="Times New Roman"/>
                <w:b w:val="0"/>
                <w:bCs/>
                <w:color w:val="auto"/>
                <w:spacing w:val="0"/>
                <w:position w:val="0"/>
                <w:sz w:val="24"/>
                <w:lang w:val="en-US" w:eastAsia="zh-CN"/>
              </w:rPr>
              <w:t>本工程堤型为钢筋石笼土堤组合堤型方案，2年一遇常水位以下采用钢筋石笼挡墙防护，钢筋石笼共设置2层。上层钢筋石笼顶宽1.0m，迎水面与背水面坡比为1:0.2。下层为基础层，矩形断面，深入河床以下1～1.2m 。与上层居中对齐，错台宽0.2m， 钢筋石笼纵向10m设置一道结构缝，钢筋石笼后采用开挖料回填。钢筋石笼以上采 用开挖料填筑至设计堤顶高程，迎水面坡比为1:1.5，石笼以上采用草皮护坡。堤顶 设置厚0.2m宽3.0m的泥结石路面。背水坡坡比为1:1.5，草皮护坡，坡线放坡至地面。石笼钢筋采用φ6.5钢筋双向铰接成四边形网孔，孔径不大于20cm。</w:t>
            </w:r>
          </w:p>
          <w:p w14:paraId="621A9E28">
            <w:pPr>
              <w:pStyle w:val="36"/>
              <w:bidi w:val="0"/>
              <w:rPr>
                <w:rFonts w:hint="default" w:cs="Times New Roman"/>
                <w:b w:val="0"/>
                <w:bCs/>
                <w:color w:val="auto"/>
                <w:spacing w:val="0"/>
                <w:position w:val="0"/>
                <w:sz w:val="24"/>
                <w:lang w:val="en-US" w:eastAsia="zh-CN"/>
              </w:rPr>
            </w:pPr>
            <w:r>
              <w:rPr>
                <w:rFonts w:hint="default" w:cs="Times New Roman"/>
                <w:b w:val="0"/>
                <w:bCs/>
                <w:color w:val="auto"/>
                <w:spacing w:val="0"/>
                <w:position w:val="0"/>
                <w:sz w:val="24"/>
                <w:lang w:val="en-US" w:eastAsia="zh-CN"/>
              </w:rPr>
              <w:t>本次新建堤防为5级堤防，根据《堤防工程设计规范》（GB50286—2013）第7.2.4条规定，土堤的填筑采用河道开挖的含碎石粘土、砂卵砾石填筑，砂卵砾石填筑相对密度≥0.65。断面见图</w:t>
            </w:r>
            <w:r>
              <w:rPr>
                <w:rFonts w:hint="eastAsia" w:cs="Times New Roman"/>
                <w:b w:val="0"/>
                <w:bCs/>
                <w:color w:val="auto"/>
                <w:spacing w:val="0"/>
                <w:position w:val="0"/>
                <w:sz w:val="24"/>
                <w:lang w:val="en-US" w:eastAsia="zh-CN"/>
              </w:rPr>
              <w:t>2</w:t>
            </w:r>
            <w:r>
              <w:rPr>
                <w:rFonts w:hint="default" w:cs="Times New Roman"/>
                <w:b w:val="0"/>
                <w:bCs/>
                <w:color w:val="auto"/>
                <w:spacing w:val="0"/>
                <w:position w:val="0"/>
                <w:sz w:val="24"/>
                <w:lang w:val="en-US" w:eastAsia="zh-CN"/>
              </w:rPr>
              <w:t>-</w:t>
            </w:r>
            <w:r>
              <w:rPr>
                <w:rFonts w:hint="eastAsia" w:cs="Times New Roman"/>
                <w:b w:val="0"/>
                <w:bCs/>
                <w:color w:val="auto"/>
                <w:spacing w:val="0"/>
                <w:position w:val="0"/>
                <w:sz w:val="24"/>
                <w:lang w:val="en-US" w:eastAsia="zh-CN"/>
              </w:rPr>
              <w:t>5</w:t>
            </w:r>
            <w:r>
              <w:rPr>
                <w:rFonts w:hint="default" w:cs="Times New Roman"/>
                <w:b w:val="0"/>
                <w:bCs/>
                <w:color w:val="auto"/>
                <w:spacing w:val="0"/>
                <w:position w:val="0"/>
                <w:sz w:val="24"/>
                <w:lang w:val="en-US" w:eastAsia="zh-CN"/>
              </w:rPr>
              <w:t>。</w:t>
            </w:r>
          </w:p>
          <w:p w14:paraId="298A6EF5">
            <w:pPr>
              <w:pStyle w:val="31"/>
              <w:bidi w:val="0"/>
              <w:ind w:left="0" w:leftChars="0" w:firstLine="0" w:firstLineChars="0"/>
              <w:jc w:val="center"/>
              <w:rPr>
                <w:rFonts w:hint="eastAsia"/>
                <w:color w:val="auto"/>
                <w:lang w:eastAsia="zh-CN"/>
              </w:rPr>
            </w:pPr>
            <w:r>
              <w:drawing>
                <wp:inline distT="0" distB="0" distL="114300" distR="114300">
                  <wp:extent cx="4893945" cy="1728470"/>
                  <wp:effectExtent l="0" t="0" r="13335" b="8890"/>
                  <wp:docPr id="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pic:cNvPicPr>
                            <a:picLocks noChangeAspect="1"/>
                          </pic:cNvPicPr>
                        </pic:nvPicPr>
                        <pic:blipFill>
                          <a:blip r:embed="rId43"/>
                          <a:stretch>
                            <a:fillRect/>
                          </a:stretch>
                        </pic:blipFill>
                        <pic:spPr>
                          <a:xfrm>
                            <a:off x="0" y="0"/>
                            <a:ext cx="4893945" cy="1728470"/>
                          </a:xfrm>
                          <a:prstGeom prst="rect">
                            <a:avLst/>
                          </a:prstGeom>
                          <a:noFill/>
                          <a:ln>
                            <a:noFill/>
                          </a:ln>
                        </pic:spPr>
                      </pic:pic>
                    </a:graphicData>
                  </a:graphic>
                </wp:inline>
              </w:drawing>
            </w:r>
          </w:p>
          <w:p w14:paraId="2DD6DD16">
            <w:pPr>
              <w:pStyle w:val="31"/>
              <w:keepNext w:val="0"/>
              <w:keepLines w:val="0"/>
              <w:pageBreakBefore w:val="0"/>
              <w:widowControl w:val="0"/>
              <w:kinsoku/>
              <w:wordWrap/>
              <w:overflowPunct/>
              <w:topLinePunct w:val="0"/>
              <w:autoSpaceDE/>
              <w:autoSpaceDN/>
              <w:bidi w:val="0"/>
              <w:adjustRightInd w:val="0"/>
              <w:snapToGrid w:val="0"/>
              <w:spacing w:before="0" w:beforeLines="0"/>
              <w:ind w:firstLine="0" w:firstLineChars="0"/>
              <w:textAlignment w:val="baseline"/>
              <w:rPr>
                <w:rFonts w:hint="eastAsia"/>
                <w:color w:val="auto"/>
                <w:lang w:val="en-US" w:eastAsia="zh-CN"/>
              </w:rPr>
            </w:pPr>
            <w:r>
              <w:rPr>
                <w:rFonts w:hint="eastAsia"/>
                <w:color w:val="auto"/>
                <w:lang w:eastAsia="zh-CN"/>
              </w:rPr>
              <w:t>图</w:t>
            </w:r>
            <w:r>
              <w:rPr>
                <w:rFonts w:hint="eastAsia"/>
                <w:color w:val="auto"/>
                <w:lang w:val="en-US" w:eastAsia="zh-CN"/>
              </w:rPr>
              <w:t>2-5 果朗河K34+200横断面图</w:t>
            </w:r>
          </w:p>
          <w:p w14:paraId="23E9CE53">
            <w:pPr>
              <w:pStyle w:val="31"/>
              <w:keepNext w:val="0"/>
              <w:keepLines w:val="0"/>
              <w:pageBreakBefore w:val="0"/>
              <w:widowControl w:val="0"/>
              <w:numPr>
                <w:ilvl w:val="0"/>
                <w:numId w:val="3"/>
              </w:numPr>
              <w:kinsoku/>
              <w:wordWrap/>
              <w:overflowPunct/>
              <w:topLinePunct w:val="0"/>
              <w:autoSpaceDE/>
              <w:autoSpaceDN/>
              <w:bidi w:val="0"/>
              <w:adjustRightInd w:val="0"/>
              <w:snapToGrid w:val="0"/>
              <w:spacing w:before="0" w:beforeLines="0"/>
              <w:ind w:firstLine="482" w:firstLineChars="200"/>
              <w:jc w:val="both"/>
              <w:textAlignment w:val="baseline"/>
              <w:rPr>
                <w:rFonts w:hint="eastAsia"/>
                <w:color w:val="auto"/>
                <w:sz w:val="24"/>
                <w:szCs w:val="24"/>
                <w:lang w:val="en-US" w:eastAsia="zh-CN"/>
              </w:rPr>
            </w:pPr>
            <w:r>
              <w:rPr>
                <w:rFonts w:hint="eastAsia"/>
                <w:color w:val="auto"/>
                <w:sz w:val="24"/>
                <w:szCs w:val="24"/>
                <w:lang w:val="en-US" w:eastAsia="zh-CN"/>
              </w:rPr>
              <w:t>护坡护脚形式选择</w:t>
            </w:r>
          </w:p>
          <w:p w14:paraId="7854726B">
            <w:pPr>
              <w:pStyle w:val="31"/>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ind w:firstLine="480" w:firstLineChars="200"/>
              <w:jc w:val="both"/>
              <w:textAlignment w:val="baseline"/>
              <w:rPr>
                <w:rFonts w:hint="eastAsia" w:eastAsia="宋体"/>
                <w:b w:val="0"/>
                <w:bCs/>
                <w:color w:val="auto"/>
                <w:sz w:val="24"/>
                <w:szCs w:val="24"/>
                <w:lang w:val="en-US" w:eastAsia="zh-CN"/>
              </w:rPr>
            </w:pPr>
            <w:r>
              <w:rPr>
                <w:rFonts w:ascii="宋体" w:hAnsi="宋体" w:eastAsia="宋体" w:cs="宋体"/>
                <w:b w:val="0"/>
                <w:bCs/>
                <w:sz w:val="24"/>
                <w:szCs w:val="24"/>
              </w:rPr>
              <w:t>本工程护脚推荐</w:t>
            </w:r>
            <w:r>
              <w:rPr>
                <w:rFonts w:hint="eastAsia" w:ascii="宋体" w:hAnsi="宋体" w:eastAsia="宋体" w:cs="宋体"/>
                <w:b w:val="0"/>
                <w:bCs/>
                <w:sz w:val="24"/>
                <w:szCs w:val="24"/>
                <w:lang w:eastAsia="zh-CN"/>
              </w:rPr>
              <w:t>使用</w:t>
            </w:r>
            <w:r>
              <w:rPr>
                <w:rFonts w:ascii="宋体" w:hAnsi="宋体" w:eastAsia="宋体" w:cs="宋体"/>
                <w:b w:val="0"/>
                <w:bCs/>
                <w:sz w:val="24"/>
                <w:szCs w:val="24"/>
              </w:rPr>
              <w:t>钢筋</w:t>
            </w:r>
            <w:r>
              <w:rPr>
                <w:rFonts w:ascii="宋体" w:hAnsi="宋体" w:eastAsia="宋体" w:cs="宋体"/>
                <w:b w:val="0"/>
                <w:bCs/>
                <w:spacing w:val="-1"/>
                <w:sz w:val="24"/>
                <w:szCs w:val="24"/>
              </w:rPr>
              <w:t>石笼护脚</w:t>
            </w:r>
            <w:r>
              <w:rPr>
                <w:rFonts w:hint="eastAsia" w:ascii="宋体" w:hAnsi="宋体" w:eastAsia="宋体" w:cs="宋体"/>
                <w:b w:val="0"/>
                <w:bCs/>
                <w:spacing w:val="-1"/>
                <w:sz w:val="24"/>
                <w:szCs w:val="24"/>
                <w:lang w:eastAsia="zh-CN"/>
              </w:rPr>
              <w:t>，护坡采用草皮护坡。</w:t>
            </w:r>
          </w:p>
          <w:p w14:paraId="001FD93D">
            <w:pPr>
              <w:pStyle w:val="36"/>
              <w:numPr>
                <w:ilvl w:val="0"/>
                <w:numId w:val="3"/>
              </w:numPr>
              <w:bidi w:val="0"/>
              <w:ind w:left="0" w:leftChars="0" w:right="0" w:rightChars="0" w:firstLine="482" w:firstLineChars="200"/>
              <w:rPr>
                <w:rFonts w:hint="eastAsia"/>
                <w:b/>
                <w:bCs/>
                <w:color w:val="auto"/>
                <w:lang w:val="en-US" w:eastAsia="zh-CN"/>
              </w:rPr>
            </w:pPr>
            <w:r>
              <w:rPr>
                <w:rFonts w:hint="eastAsia" w:cs="Times New Roman"/>
                <w:b/>
                <w:bCs/>
                <w:color w:val="auto"/>
                <w:kern w:val="0"/>
                <w:sz w:val="24"/>
                <w:szCs w:val="24"/>
                <w:lang w:val="en-US" w:eastAsia="zh-CN" w:bidi="ar-SA"/>
              </w:rPr>
              <w:t>排涝工程</w:t>
            </w:r>
          </w:p>
          <w:p w14:paraId="2FB82100">
            <w:pPr>
              <w:pStyle w:val="36"/>
              <w:keepNext w:val="0"/>
              <w:keepLines w:val="0"/>
              <w:pageBreakBefore w:val="0"/>
              <w:widowControl w:val="0"/>
              <w:numPr>
                <w:ilvl w:val="0"/>
                <w:numId w:val="0"/>
              </w:numPr>
              <w:kinsoku/>
              <w:wordWrap/>
              <w:overflowPunct/>
              <w:topLinePunct w:val="0"/>
              <w:autoSpaceDE/>
              <w:autoSpaceDN/>
              <w:bidi w:val="0"/>
              <w:adjustRightInd w:val="0"/>
              <w:snapToGrid/>
              <w:ind w:leftChars="0" w:right="0" w:rightChars="0" w:firstLine="464" w:firstLineChars="200"/>
              <w:textAlignment w:val="baseline"/>
              <w:rPr>
                <w:rFonts w:hint="eastAsia"/>
                <w:b w:val="0"/>
                <w:bCs w:val="0"/>
                <w:color w:val="auto"/>
                <w:lang w:val="en-US" w:eastAsia="zh-CN"/>
              </w:rPr>
            </w:pPr>
            <w:r>
              <w:rPr>
                <w:rFonts w:ascii="宋体" w:hAnsi="宋体" w:eastAsia="宋体" w:cs="宋体"/>
                <w:spacing w:val="-4"/>
                <w:sz w:val="24"/>
                <w:szCs w:val="24"/>
              </w:rPr>
              <w:t>根据排涝模数，结合治理段河道现状</w:t>
            </w:r>
            <w:r>
              <w:rPr>
                <w:rFonts w:hint="eastAsia" w:ascii="宋体" w:hAnsi="宋体" w:eastAsia="宋体" w:cs="宋体"/>
                <w:spacing w:val="-4"/>
                <w:sz w:val="24"/>
                <w:szCs w:val="24"/>
                <w:lang w:eastAsia="zh-CN"/>
              </w:rPr>
              <w:t>，</w:t>
            </w:r>
            <w:r>
              <w:rPr>
                <w:rFonts w:hint="eastAsia"/>
                <w:b w:val="0"/>
                <w:bCs w:val="0"/>
                <w:color w:val="auto"/>
                <w:lang w:val="en-US" w:eastAsia="zh-CN"/>
              </w:rPr>
              <w:t>将整个治理段分为8个排涝片区，左岸、右岸各4个片区，共布置75个排涝口，其中，左岸布置31个，右岸布置44个，排涝面积为0.14km</w:t>
            </w:r>
            <w:r>
              <w:rPr>
                <w:rFonts w:hint="eastAsia"/>
                <w:b w:val="0"/>
                <w:bCs w:val="0"/>
                <w:color w:val="auto"/>
                <w:vertAlign w:val="superscript"/>
                <w:lang w:val="en-US" w:eastAsia="zh-CN"/>
              </w:rPr>
              <w:t>2</w:t>
            </w:r>
            <w:r>
              <w:rPr>
                <w:rFonts w:hint="eastAsia"/>
                <w:b w:val="0"/>
                <w:bCs w:val="0"/>
                <w:color w:val="auto"/>
                <w:lang w:val="en-US" w:eastAsia="zh-CN"/>
              </w:rPr>
              <w:t>～0.43km</w:t>
            </w:r>
            <w:r>
              <w:rPr>
                <w:rFonts w:hint="eastAsia"/>
                <w:b w:val="0"/>
                <w:bCs w:val="0"/>
                <w:color w:val="auto"/>
                <w:vertAlign w:val="superscript"/>
                <w:lang w:val="en-US" w:eastAsia="zh-CN"/>
              </w:rPr>
              <w:t>2</w:t>
            </w:r>
            <w:r>
              <w:rPr>
                <w:rFonts w:hint="eastAsia"/>
                <w:b w:val="0"/>
                <w:bCs w:val="0"/>
                <w:color w:val="auto"/>
                <w:lang w:val="en-US" w:eastAsia="zh-CN"/>
              </w:rPr>
              <w:t>，排涝总面积21.59km</w:t>
            </w:r>
            <w:r>
              <w:rPr>
                <w:rFonts w:hint="eastAsia"/>
                <w:b w:val="0"/>
                <w:bCs w:val="0"/>
                <w:color w:val="auto"/>
                <w:vertAlign w:val="superscript"/>
                <w:lang w:val="en-US" w:eastAsia="zh-CN"/>
              </w:rPr>
              <w:t>2</w:t>
            </w:r>
            <w:r>
              <w:rPr>
                <w:rFonts w:hint="eastAsia"/>
                <w:b w:val="0"/>
                <w:bCs w:val="0"/>
                <w:color w:val="auto"/>
                <w:lang w:val="en-US" w:eastAsia="zh-CN"/>
              </w:rPr>
              <w:t>；由于分区后各排涝口排涝面积较小，排涝流量均不大，为方便工程施工，排涝设施尺寸统一采用φ60cm预应力混凝土管涵管，涝水汇入田间排涝沟，通过排涝涵管进而排入果朗河。</w:t>
            </w:r>
          </w:p>
          <w:p w14:paraId="69B4D514">
            <w:pPr>
              <w:pStyle w:val="36"/>
              <w:numPr>
                <w:ilvl w:val="0"/>
                <w:numId w:val="0"/>
              </w:numPr>
              <w:bidi w:val="0"/>
              <w:ind w:right="0" w:rightChars="0"/>
              <w:jc w:val="center"/>
              <w:rPr>
                <w:rFonts w:hint="eastAsia"/>
                <w:b/>
                <w:bCs/>
                <w:color w:val="auto"/>
                <w:sz w:val="21"/>
                <w:szCs w:val="21"/>
                <w:lang w:val="en-US" w:eastAsia="zh-CN"/>
              </w:rPr>
            </w:pPr>
            <w:r>
              <w:rPr>
                <w:rFonts w:hint="eastAsia"/>
                <w:b/>
                <w:bCs/>
                <w:color w:val="auto"/>
                <w:sz w:val="21"/>
                <w:szCs w:val="21"/>
                <w:lang w:val="en-US" w:eastAsia="zh-CN"/>
              </w:rPr>
              <w:t>表2-2  治理段排涝涵管布置统计表</w:t>
            </w:r>
          </w:p>
          <w:tbl>
            <w:tblPr>
              <w:tblStyle w:val="46"/>
              <w:tblW w:w="7659"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33"/>
              <w:gridCol w:w="1267"/>
              <w:gridCol w:w="977"/>
              <w:gridCol w:w="1157"/>
              <w:gridCol w:w="427"/>
              <w:gridCol w:w="1468"/>
              <w:gridCol w:w="925"/>
              <w:gridCol w:w="1005"/>
            </w:tblGrid>
            <w:tr w14:paraId="45548C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1" w:hRule="atLeast"/>
              </w:trPr>
              <w:tc>
                <w:tcPr>
                  <w:tcW w:w="3834" w:type="dxa"/>
                  <w:gridSpan w:val="4"/>
                  <w:vAlign w:val="center"/>
                </w:tcPr>
                <w:p w14:paraId="634DEEC0">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5"/>
                      <w:sz w:val="21"/>
                      <w:szCs w:val="21"/>
                    </w:rPr>
                    <w:t>左岸</w:t>
                  </w:r>
                </w:p>
              </w:tc>
              <w:tc>
                <w:tcPr>
                  <w:tcW w:w="3825" w:type="dxa"/>
                  <w:gridSpan w:val="4"/>
                  <w:vAlign w:val="center"/>
                </w:tcPr>
                <w:p w14:paraId="56E3A189">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5"/>
                      <w:sz w:val="21"/>
                      <w:szCs w:val="21"/>
                    </w:rPr>
                    <w:t>右岸</w:t>
                  </w:r>
                </w:p>
              </w:tc>
            </w:tr>
            <w:tr w14:paraId="5D70D6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5" w:hRule="atLeast"/>
              </w:trPr>
              <w:tc>
                <w:tcPr>
                  <w:tcW w:w="433" w:type="dxa"/>
                  <w:textDirection w:val="tbRlV"/>
                  <w:vAlign w:val="center"/>
                </w:tcPr>
                <w:p w14:paraId="0923ABCA">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26"/>
                      <w:sz w:val="21"/>
                      <w:szCs w:val="21"/>
                    </w:rPr>
                    <w:t>序号</w:t>
                  </w:r>
                </w:p>
              </w:tc>
              <w:tc>
                <w:tcPr>
                  <w:tcW w:w="1267" w:type="dxa"/>
                  <w:vAlign w:val="center"/>
                </w:tcPr>
                <w:p w14:paraId="2472FEAB">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2"/>
                      <w:sz w:val="21"/>
                      <w:szCs w:val="21"/>
                    </w:rPr>
                    <w:t>排涝口位置</w:t>
                  </w:r>
                </w:p>
              </w:tc>
              <w:tc>
                <w:tcPr>
                  <w:tcW w:w="977" w:type="dxa"/>
                  <w:vAlign w:val="center"/>
                </w:tcPr>
                <w:p w14:paraId="5033389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2"/>
                      <w:sz w:val="21"/>
                      <w:szCs w:val="21"/>
                    </w:rPr>
                    <w:t>设计排涝流量</w:t>
                  </w:r>
                </w:p>
                <w:p w14:paraId="63453D8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3"/>
                      <w:sz w:val="21"/>
                      <w:szCs w:val="21"/>
                    </w:rPr>
                    <w:t>（</w:t>
                  </w:r>
                  <w:r>
                    <w:rPr>
                      <w:rFonts w:hint="default" w:ascii="Times New Roman" w:hAnsi="Times New Roman" w:eastAsia="Times New Roman" w:cs="Times New Roman"/>
                      <w:b/>
                      <w:bCs/>
                      <w:spacing w:val="-3"/>
                      <w:sz w:val="21"/>
                      <w:szCs w:val="21"/>
                    </w:rPr>
                    <w:t>m</w:t>
                  </w:r>
                  <w:r>
                    <w:rPr>
                      <w:rFonts w:hint="default" w:ascii="Times New Roman" w:hAnsi="Times New Roman" w:eastAsia="Times New Roman" w:cs="Times New Roman"/>
                      <w:b/>
                      <w:bCs/>
                      <w:spacing w:val="-3"/>
                      <w:sz w:val="21"/>
                      <w:szCs w:val="21"/>
                      <w:vertAlign w:val="superscript"/>
                    </w:rPr>
                    <w:t>3</w:t>
                  </w:r>
                  <w:r>
                    <w:rPr>
                      <w:rFonts w:hint="default" w:ascii="Times New Roman" w:hAnsi="Times New Roman" w:eastAsia="Times New Roman" w:cs="Times New Roman"/>
                      <w:b/>
                      <w:bCs/>
                      <w:spacing w:val="-3"/>
                      <w:sz w:val="21"/>
                      <w:szCs w:val="21"/>
                    </w:rPr>
                    <w:t>/s</w:t>
                  </w:r>
                  <w:r>
                    <w:rPr>
                      <w:rFonts w:hint="default" w:ascii="Times New Roman" w:hAnsi="Times New Roman" w:cs="Times New Roman"/>
                      <w:b/>
                      <w:bCs/>
                      <w:spacing w:val="-3"/>
                      <w:sz w:val="21"/>
                      <w:szCs w:val="21"/>
                    </w:rPr>
                    <w:t>）</w:t>
                  </w:r>
                </w:p>
              </w:tc>
              <w:tc>
                <w:tcPr>
                  <w:tcW w:w="1157" w:type="dxa"/>
                  <w:vAlign w:val="center"/>
                </w:tcPr>
                <w:p w14:paraId="734D6ACB">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2"/>
                      <w:sz w:val="21"/>
                      <w:szCs w:val="21"/>
                    </w:rPr>
                    <w:t>涵管尺寸</w:t>
                  </w:r>
                  <w:r>
                    <w:rPr>
                      <w:rFonts w:hint="default" w:ascii="Times New Roman" w:hAnsi="Times New Roman" w:eastAsia="Times New Roman" w:cs="Times New Roman"/>
                      <w:b/>
                      <w:bCs/>
                      <w:spacing w:val="-2"/>
                      <w:sz w:val="21"/>
                      <w:szCs w:val="21"/>
                    </w:rPr>
                    <w:t>φ</w:t>
                  </w:r>
                  <w:r>
                    <w:rPr>
                      <w:rFonts w:hint="default" w:ascii="Times New Roman" w:hAnsi="Times New Roman" w:eastAsia="Times New Roman" w:cs="Times New Roman"/>
                      <w:b/>
                      <w:bCs/>
                      <w:spacing w:val="1"/>
                      <w:sz w:val="21"/>
                      <w:szCs w:val="21"/>
                    </w:rPr>
                    <w:t xml:space="preserve"> </w:t>
                  </w:r>
                  <w:r>
                    <w:rPr>
                      <w:rFonts w:hint="default" w:ascii="Times New Roman" w:hAnsi="Times New Roman" w:cs="Times New Roman"/>
                      <w:b/>
                      <w:bCs/>
                      <w:spacing w:val="-5"/>
                      <w:sz w:val="21"/>
                      <w:szCs w:val="21"/>
                    </w:rPr>
                    <w:t>（</w:t>
                  </w:r>
                  <w:r>
                    <w:rPr>
                      <w:rFonts w:hint="default" w:ascii="Times New Roman" w:hAnsi="Times New Roman" w:eastAsia="Times New Roman" w:cs="Times New Roman"/>
                      <w:b/>
                      <w:bCs/>
                      <w:spacing w:val="-5"/>
                      <w:sz w:val="21"/>
                      <w:szCs w:val="21"/>
                    </w:rPr>
                    <w:t>mm</w:t>
                  </w:r>
                  <w:r>
                    <w:rPr>
                      <w:rFonts w:hint="default" w:ascii="Times New Roman" w:hAnsi="Times New Roman" w:cs="Times New Roman"/>
                      <w:b/>
                      <w:bCs/>
                      <w:spacing w:val="-5"/>
                      <w:sz w:val="21"/>
                      <w:szCs w:val="21"/>
                    </w:rPr>
                    <w:t>）</w:t>
                  </w:r>
                </w:p>
              </w:tc>
              <w:tc>
                <w:tcPr>
                  <w:tcW w:w="427" w:type="dxa"/>
                  <w:textDirection w:val="tbRlV"/>
                  <w:vAlign w:val="center"/>
                </w:tcPr>
                <w:p w14:paraId="5120EB2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26"/>
                      <w:sz w:val="21"/>
                      <w:szCs w:val="21"/>
                    </w:rPr>
                    <w:t>序号</w:t>
                  </w:r>
                </w:p>
              </w:tc>
              <w:tc>
                <w:tcPr>
                  <w:tcW w:w="1468" w:type="dxa"/>
                  <w:vAlign w:val="center"/>
                </w:tcPr>
                <w:p w14:paraId="6C3C7FF4">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2"/>
                      <w:sz w:val="21"/>
                      <w:szCs w:val="21"/>
                    </w:rPr>
                    <w:t>排涝口位置</w:t>
                  </w:r>
                </w:p>
              </w:tc>
              <w:tc>
                <w:tcPr>
                  <w:tcW w:w="925" w:type="dxa"/>
                  <w:vAlign w:val="center"/>
                </w:tcPr>
                <w:p w14:paraId="1CFE71EF">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2"/>
                      <w:sz w:val="21"/>
                      <w:szCs w:val="21"/>
                    </w:rPr>
                    <w:t>设计排涝流量</w:t>
                  </w:r>
                </w:p>
                <w:p w14:paraId="2BC35985">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3"/>
                      <w:sz w:val="21"/>
                      <w:szCs w:val="21"/>
                    </w:rPr>
                    <w:t>（</w:t>
                  </w:r>
                  <w:r>
                    <w:rPr>
                      <w:rFonts w:hint="default" w:ascii="Times New Roman" w:hAnsi="Times New Roman" w:eastAsia="Times New Roman" w:cs="Times New Roman"/>
                      <w:b/>
                      <w:bCs/>
                      <w:spacing w:val="-3"/>
                      <w:sz w:val="21"/>
                      <w:szCs w:val="21"/>
                    </w:rPr>
                    <w:t>m</w:t>
                  </w:r>
                  <w:r>
                    <w:rPr>
                      <w:rFonts w:hint="default" w:ascii="Times New Roman" w:hAnsi="Times New Roman" w:eastAsia="Times New Roman" w:cs="Times New Roman"/>
                      <w:b/>
                      <w:bCs/>
                      <w:spacing w:val="-3"/>
                      <w:sz w:val="21"/>
                      <w:szCs w:val="21"/>
                      <w:vertAlign w:val="superscript"/>
                    </w:rPr>
                    <w:t>3</w:t>
                  </w:r>
                  <w:r>
                    <w:rPr>
                      <w:rFonts w:hint="default" w:ascii="Times New Roman" w:hAnsi="Times New Roman" w:eastAsia="Times New Roman" w:cs="Times New Roman"/>
                      <w:b/>
                      <w:bCs/>
                      <w:spacing w:val="-3"/>
                      <w:sz w:val="21"/>
                      <w:szCs w:val="21"/>
                    </w:rPr>
                    <w:t>/s</w:t>
                  </w:r>
                  <w:r>
                    <w:rPr>
                      <w:rFonts w:hint="default" w:ascii="Times New Roman" w:hAnsi="Times New Roman" w:cs="Times New Roman"/>
                      <w:b/>
                      <w:bCs/>
                      <w:spacing w:val="-3"/>
                      <w:sz w:val="21"/>
                      <w:szCs w:val="21"/>
                    </w:rPr>
                    <w:t>）</w:t>
                  </w:r>
                </w:p>
              </w:tc>
              <w:tc>
                <w:tcPr>
                  <w:tcW w:w="1005" w:type="dxa"/>
                  <w:vAlign w:val="center"/>
                </w:tcPr>
                <w:p w14:paraId="6C76D63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b/>
                      <w:bCs/>
                      <w:sz w:val="21"/>
                      <w:szCs w:val="21"/>
                    </w:rPr>
                  </w:pPr>
                  <w:r>
                    <w:rPr>
                      <w:rFonts w:hint="default" w:ascii="Times New Roman" w:hAnsi="Times New Roman" w:cs="Times New Roman"/>
                      <w:b/>
                      <w:bCs/>
                      <w:spacing w:val="-2"/>
                      <w:sz w:val="21"/>
                      <w:szCs w:val="21"/>
                    </w:rPr>
                    <w:t>涵管尺寸</w:t>
                  </w:r>
                  <w:r>
                    <w:rPr>
                      <w:rFonts w:hint="default" w:ascii="Times New Roman" w:hAnsi="Times New Roman" w:eastAsia="Times New Roman" w:cs="Times New Roman"/>
                      <w:b/>
                      <w:bCs/>
                      <w:spacing w:val="-2"/>
                      <w:sz w:val="21"/>
                      <w:szCs w:val="21"/>
                    </w:rPr>
                    <w:t>φ</w:t>
                  </w:r>
                  <w:r>
                    <w:rPr>
                      <w:rFonts w:hint="default" w:ascii="Times New Roman" w:hAnsi="Times New Roman" w:eastAsia="Times New Roman" w:cs="Times New Roman"/>
                      <w:b/>
                      <w:bCs/>
                      <w:spacing w:val="1"/>
                      <w:sz w:val="21"/>
                      <w:szCs w:val="21"/>
                    </w:rPr>
                    <w:t xml:space="preserve"> </w:t>
                  </w:r>
                  <w:r>
                    <w:rPr>
                      <w:rFonts w:hint="default" w:ascii="Times New Roman" w:hAnsi="Times New Roman" w:cs="Times New Roman"/>
                      <w:b/>
                      <w:bCs/>
                      <w:spacing w:val="-6"/>
                      <w:sz w:val="21"/>
                      <w:szCs w:val="21"/>
                    </w:rPr>
                    <w:t>（</w:t>
                  </w:r>
                  <w:r>
                    <w:rPr>
                      <w:rFonts w:hint="default" w:ascii="Times New Roman" w:hAnsi="Times New Roman" w:eastAsia="Times New Roman" w:cs="Times New Roman"/>
                      <w:b/>
                      <w:bCs/>
                      <w:spacing w:val="-6"/>
                      <w:sz w:val="21"/>
                      <w:szCs w:val="21"/>
                    </w:rPr>
                    <w:t>mm</w:t>
                  </w:r>
                  <w:r>
                    <w:rPr>
                      <w:rFonts w:hint="default" w:ascii="Times New Roman" w:hAnsi="Times New Roman" w:cs="Times New Roman"/>
                      <w:b/>
                      <w:bCs/>
                      <w:spacing w:val="-6"/>
                      <w:sz w:val="21"/>
                      <w:szCs w:val="21"/>
                    </w:rPr>
                    <w:t>）</w:t>
                  </w:r>
                </w:p>
              </w:tc>
            </w:tr>
            <w:tr w14:paraId="63405B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7" w:hRule="atLeast"/>
              </w:trPr>
              <w:tc>
                <w:tcPr>
                  <w:tcW w:w="433" w:type="dxa"/>
                  <w:vAlign w:val="center"/>
                </w:tcPr>
                <w:p w14:paraId="60C7075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1</w:t>
                  </w:r>
                </w:p>
              </w:tc>
              <w:tc>
                <w:tcPr>
                  <w:tcW w:w="1267" w:type="dxa"/>
                  <w:vAlign w:val="center"/>
                </w:tcPr>
                <w:p w14:paraId="3E5A2E4C">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左</w:t>
                  </w:r>
                  <w:r>
                    <w:rPr>
                      <w:rFonts w:hint="default" w:ascii="Times New Roman" w:hAnsi="Times New Roman" w:cs="Times New Roman"/>
                      <w:spacing w:val="-34"/>
                      <w:sz w:val="21"/>
                      <w:szCs w:val="21"/>
                    </w:rPr>
                    <w:t xml:space="preserve"> </w:t>
                  </w:r>
                  <w:r>
                    <w:rPr>
                      <w:rFonts w:hint="default" w:ascii="Times New Roman" w:hAnsi="Times New Roman" w:eastAsia="Times New Roman" w:cs="Times New Roman"/>
                      <w:spacing w:val="-2"/>
                      <w:sz w:val="21"/>
                      <w:szCs w:val="21"/>
                    </w:rPr>
                    <w:t>5+030</w:t>
                  </w:r>
                </w:p>
              </w:tc>
              <w:tc>
                <w:tcPr>
                  <w:tcW w:w="977" w:type="dxa"/>
                  <w:vAlign w:val="center"/>
                </w:tcPr>
                <w:p w14:paraId="3A15E4A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0.109</w:t>
                  </w:r>
                </w:p>
              </w:tc>
              <w:tc>
                <w:tcPr>
                  <w:tcW w:w="1157" w:type="dxa"/>
                  <w:vAlign w:val="center"/>
                </w:tcPr>
                <w:p w14:paraId="48DE229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600</w:t>
                  </w:r>
                </w:p>
              </w:tc>
              <w:tc>
                <w:tcPr>
                  <w:tcW w:w="427" w:type="dxa"/>
                  <w:vAlign w:val="center"/>
                </w:tcPr>
                <w:p w14:paraId="3CDBED0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1</w:t>
                  </w:r>
                </w:p>
              </w:tc>
              <w:tc>
                <w:tcPr>
                  <w:tcW w:w="1468" w:type="dxa"/>
                  <w:vAlign w:val="center"/>
                </w:tcPr>
                <w:p w14:paraId="7F6E50AA">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K</w:t>
                  </w:r>
                  <w:r>
                    <w:rPr>
                      <w:rFonts w:hint="default" w:ascii="Times New Roman" w:hAnsi="Times New Roman" w:eastAsia="Times New Roman" w:cs="Times New Roman"/>
                      <w:spacing w:val="7"/>
                      <w:sz w:val="21"/>
                      <w:szCs w:val="21"/>
                    </w:rPr>
                    <w:t xml:space="preserve"> </w:t>
                  </w:r>
                  <w:r>
                    <w:rPr>
                      <w:rFonts w:hint="default" w:ascii="Times New Roman" w:hAnsi="Times New Roman" w:cs="Times New Roman"/>
                      <w:spacing w:val="-3"/>
                      <w:sz w:val="21"/>
                      <w:szCs w:val="21"/>
                    </w:rPr>
                    <w:t>右</w:t>
                  </w:r>
                  <w:r>
                    <w:rPr>
                      <w:rFonts w:hint="default" w:ascii="Times New Roman" w:hAnsi="Times New Roman" w:cs="Times New Roman"/>
                      <w:spacing w:val="-33"/>
                      <w:sz w:val="21"/>
                      <w:szCs w:val="21"/>
                    </w:rPr>
                    <w:t xml:space="preserve"> </w:t>
                  </w:r>
                  <w:r>
                    <w:rPr>
                      <w:rFonts w:hint="default" w:ascii="Times New Roman" w:hAnsi="Times New Roman" w:eastAsia="Times New Roman" w:cs="Times New Roman"/>
                      <w:spacing w:val="-3"/>
                      <w:sz w:val="21"/>
                      <w:szCs w:val="21"/>
                    </w:rPr>
                    <w:t>8+657</w:t>
                  </w:r>
                </w:p>
              </w:tc>
              <w:tc>
                <w:tcPr>
                  <w:tcW w:w="925" w:type="dxa"/>
                  <w:vAlign w:val="center"/>
                </w:tcPr>
                <w:p w14:paraId="7642676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0.117</w:t>
                  </w:r>
                </w:p>
              </w:tc>
              <w:tc>
                <w:tcPr>
                  <w:tcW w:w="1005" w:type="dxa"/>
                  <w:vAlign w:val="center"/>
                </w:tcPr>
                <w:p w14:paraId="38E5AFB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1</w:t>
                  </w:r>
                </w:p>
              </w:tc>
            </w:tr>
            <w:tr w14:paraId="7B4223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7" w:hRule="atLeast"/>
              </w:trPr>
              <w:tc>
                <w:tcPr>
                  <w:tcW w:w="433" w:type="dxa"/>
                  <w:vAlign w:val="center"/>
                </w:tcPr>
                <w:p w14:paraId="2B3DA05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2</w:t>
                  </w:r>
                </w:p>
              </w:tc>
              <w:tc>
                <w:tcPr>
                  <w:tcW w:w="1267" w:type="dxa"/>
                  <w:vAlign w:val="center"/>
                </w:tcPr>
                <w:p w14:paraId="516323D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左</w:t>
                  </w:r>
                  <w:r>
                    <w:rPr>
                      <w:rFonts w:hint="default" w:ascii="Times New Roman" w:hAnsi="Times New Roman" w:cs="Times New Roman"/>
                      <w:spacing w:val="-34"/>
                      <w:sz w:val="21"/>
                      <w:szCs w:val="21"/>
                    </w:rPr>
                    <w:t xml:space="preserve"> </w:t>
                  </w:r>
                  <w:r>
                    <w:rPr>
                      <w:rFonts w:hint="default" w:ascii="Times New Roman" w:hAnsi="Times New Roman" w:eastAsia="Times New Roman" w:cs="Times New Roman"/>
                      <w:spacing w:val="-2"/>
                      <w:sz w:val="21"/>
                      <w:szCs w:val="21"/>
                    </w:rPr>
                    <w:t>5+295</w:t>
                  </w:r>
                </w:p>
              </w:tc>
              <w:tc>
                <w:tcPr>
                  <w:tcW w:w="977" w:type="dxa"/>
                  <w:vAlign w:val="center"/>
                </w:tcPr>
                <w:p w14:paraId="2CCD821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0.080</w:t>
                  </w:r>
                </w:p>
              </w:tc>
              <w:tc>
                <w:tcPr>
                  <w:tcW w:w="1157" w:type="dxa"/>
                  <w:vAlign w:val="center"/>
                </w:tcPr>
                <w:p w14:paraId="352932C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600</w:t>
                  </w:r>
                </w:p>
              </w:tc>
              <w:tc>
                <w:tcPr>
                  <w:tcW w:w="427" w:type="dxa"/>
                  <w:vAlign w:val="center"/>
                </w:tcPr>
                <w:p w14:paraId="02E8BDA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2</w:t>
                  </w:r>
                </w:p>
              </w:tc>
              <w:tc>
                <w:tcPr>
                  <w:tcW w:w="1468" w:type="dxa"/>
                  <w:vAlign w:val="center"/>
                </w:tcPr>
                <w:p w14:paraId="16EE2B74">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K</w:t>
                  </w:r>
                  <w:r>
                    <w:rPr>
                      <w:rFonts w:hint="default" w:ascii="Times New Roman" w:hAnsi="Times New Roman" w:eastAsia="Times New Roman" w:cs="Times New Roman"/>
                      <w:spacing w:val="7"/>
                      <w:sz w:val="21"/>
                      <w:szCs w:val="21"/>
                    </w:rPr>
                    <w:t xml:space="preserve"> </w:t>
                  </w:r>
                  <w:r>
                    <w:rPr>
                      <w:rFonts w:hint="default" w:ascii="Times New Roman" w:hAnsi="Times New Roman" w:cs="Times New Roman"/>
                      <w:spacing w:val="-3"/>
                      <w:sz w:val="21"/>
                      <w:szCs w:val="21"/>
                    </w:rPr>
                    <w:t>右</w:t>
                  </w:r>
                  <w:r>
                    <w:rPr>
                      <w:rFonts w:hint="default" w:ascii="Times New Roman" w:hAnsi="Times New Roman" w:cs="Times New Roman"/>
                      <w:spacing w:val="-40"/>
                      <w:sz w:val="21"/>
                      <w:szCs w:val="21"/>
                    </w:rPr>
                    <w:t xml:space="preserve"> </w:t>
                  </w:r>
                  <w:r>
                    <w:rPr>
                      <w:rFonts w:hint="default" w:ascii="Times New Roman" w:hAnsi="Times New Roman" w:eastAsia="Times New Roman" w:cs="Times New Roman"/>
                      <w:spacing w:val="-3"/>
                      <w:sz w:val="21"/>
                      <w:szCs w:val="21"/>
                    </w:rPr>
                    <w:t>9+112</w:t>
                  </w:r>
                </w:p>
              </w:tc>
              <w:tc>
                <w:tcPr>
                  <w:tcW w:w="925" w:type="dxa"/>
                  <w:vAlign w:val="center"/>
                </w:tcPr>
                <w:p w14:paraId="055F5FB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0.056</w:t>
                  </w:r>
                </w:p>
              </w:tc>
              <w:tc>
                <w:tcPr>
                  <w:tcW w:w="1005" w:type="dxa"/>
                  <w:vAlign w:val="center"/>
                </w:tcPr>
                <w:p w14:paraId="3FB130D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2</w:t>
                  </w:r>
                </w:p>
              </w:tc>
            </w:tr>
            <w:tr w14:paraId="6A2CC7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7" w:hRule="atLeast"/>
              </w:trPr>
              <w:tc>
                <w:tcPr>
                  <w:tcW w:w="433" w:type="dxa"/>
                  <w:vAlign w:val="center"/>
                </w:tcPr>
                <w:p w14:paraId="22BFACA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3</w:t>
                  </w:r>
                </w:p>
              </w:tc>
              <w:tc>
                <w:tcPr>
                  <w:tcW w:w="1267" w:type="dxa"/>
                  <w:vAlign w:val="center"/>
                </w:tcPr>
                <w:p w14:paraId="0021A79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左</w:t>
                  </w:r>
                  <w:r>
                    <w:rPr>
                      <w:rFonts w:hint="default" w:ascii="Times New Roman" w:hAnsi="Times New Roman" w:cs="Times New Roman"/>
                      <w:spacing w:val="-34"/>
                      <w:sz w:val="21"/>
                      <w:szCs w:val="21"/>
                    </w:rPr>
                    <w:t xml:space="preserve"> </w:t>
                  </w:r>
                  <w:r>
                    <w:rPr>
                      <w:rFonts w:hint="default" w:ascii="Times New Roman" w:hAnsi="Times New Roman" w:eastAsia="Times New Roman" w:cs="Times New Roman"/>
                      <w:spacing w:val="-2"/>
                      <w:sz w:val="21"/>
                      <w:szCs w:val="21"/>
                    </w:rPr>
                    <w:t>5+380</w:t>
                  </w:r>
                </w:p>
              </w:tc>
              <w:tc>
                <w:tcPr>
                  <w:tcW w:w="977" w:type="dxa"/>
                  <w:vAlign w:val="center"/>
                </w:tcPr>
                <w:p w14:paraId="3C76591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0.095</w:t>
                  </w:r>
                </w:p>
              </w:tc>
              <w:tc>
                <w:tcPr>
                  <w:tcW w:w="1157" w:type="dxa"/>
                  <w:vAlign w:val="center"/>
                </w:tcPr>
                <w:p w14:paraId="59C5803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600</w:t>
                  </w:r>
                </w:p>
              </w:tc>
              <w:tc>
                <w:tcPr>
                  <w:tcW w:w="427" w:type="dxa"/>
                  <w:vAlign w:val="center"/>
                </w:tcPr>
                <w:p w14:paraId="139B717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3</w:t>
                  </w:r>
                </w:p>
              </w:tc>
              <w:tc>
                <w:tcPr>
                  <w:tcW w:w="1468" w:type="dxa"/>
                  <w:vAlign w:val="center"/>
                </w:tcPr>
                <w:p w14:paraId="2CEA5B74">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K</w:t>
                  </w:r>
                  <w:r>
                    <w:rPr>
                      <w:rFonts w:hint="default" w:ascii="Times New Roman" w:hAnsi="Times New Roman" w:eastAsia="Times New Roman" w:cs="Times New Roman"/>
                      <w:spacing w:val="11"/>
                      <w:w w:val="101"/>
                      <w:sz w:val="21"/>
                      <w:szCs w:val="21"/>
                    </w:rPr>
                    <w:t xml:space="preserve"> </w:t>
                  </w:r>
                  <w:r>
                    <w:rPr>
                      <w:rFonts w:hint="default" w:ascii="Times New Roman" w:hAnsi="Times New Roman" w:cs="Times New Roman"/>
                      <w:spacing w:val="-3"/>
                      <w:sz w:val="21"/>
                      <w:szCs w:val="21"/>
                    </w:rPr>
                    <w:t>右</w:t>
                  </w:r>
                  <w:r>
                    <w:rPr>
                      <w:rFonts w:hint="default" w:ascii="Times New Roman" w:hAnsi="Times New Roman" w:cs="Times New Roman"/>
                      <w:spacing w:val="-38"/>
                      <w:sz w:val="21"/>
                      <w:szCs w:val="21"/>
                    </w:rPr>
                    <w:t xml:space="preserve"> </w:t>
                  </w:r>
                  <w:r>
                    <w:rPr>
                      <w:rFonts w:hint="default" w:ascii="Times New Roman" w:hAnsi="Times New Roman" w:eastAsia="Times New Roman" w:cs="Times New Roman"/>
                      <w:spacing w:val="-3"/>
                      <w:sz w:val="21"/>
                      <w:szCs w:val="21"/>
                    </w:rPr>
                    <w:t>9+196</w:t>
                  </w:r>
                </w:p>
              </w:tc>
              <w:tc>
                <w:tcPr>
                  <w:tcW w:w="925" w:type="dxa"/>
                  <w:vAlign w:val="center"/>
                </w:tcPr>
                <w:p w14:paraId="47765EB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0.038</w:t>
                  </w:r>
                </w:p>
              </w:tc>
              <w:tc>
                <w:tcPr>
                  <w:tcW w:w="1005" w:type="dxa"/>
                  <w:vAlign w:val="center"/>
                </w:tcPr>
                <w:p w14:paraId="6D4D739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3</w:t>
                  </w:r>
                </w:p>
              </w:tc>
            </w:tr>
            <w:tr w14:paraId="640071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7" w:hRule="atLeast"/>
              </w:trPr>
              <w:tc>
                <w:tcPr>
                  <w:tcW w:w="433" w:type="dxa"/>
                  <w:vAlign w:val="center"/>
                </w:tcPr>
                <w:p w14:paraId="3DA4F60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4</w:t>
                  </w:r>
                </w:p>
              </w:tc>
              <w:tc>
                <w:tcPr>
                  <w:tcW w:w="1267" w:type="dxa"/>
                  <w:vAlign w:val="center"/>
                </w:tcPr>
                <w:p w14:paraId="16E7344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左</w:t>
                  </w:r>
                  <w:r>
                    <w:rPr>
                      <w:rFonts w:hint="default" w:ascii="Times New Roman" w:hAnsi="Times New Roman" w:cs="Times New Roman"/>
                      <w:spacing w:val="-34"/>
                      <w:sz w:val="21"/>
                      <w:szCs w:val="21"/>
                    </w:rPr>
                    <w:t xml:space="preserve"> </w:t>
                  </w:r>
                  <w:r>
                    <w:rPr>
                      <w:rFonts w:hint="default" w:ascii="Times New Roman" w:hAnsi="Times New Roman" w:eastAsia="Times New Roman" w:cs="Times New Roman"/>
                      <w:spacing w:val="-2"/>
                      <w:sz w:val="21"/>
                      <w:szCs w:val="21"/>
                    </w:rPr>
                    <w:t>5+820</w:t>
                  </w:r>
                </w:p>
              </w:tc>
              <w:tc>
                <w:tcPr>
                  <w:tcW w:w="977" w:type="dxa"/>
                  <w:vAlign w:val="center"/>
                </w:tcPr>
                <w:p w14:paraId="2D7A0DA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0.068</w:t>
                  </w:r>
                </w:p>
              </w:tc>
              <w:tc>
                <w:tcPr>
                  <w:tcW w:w="1157" w:type="dxa"/>
                  <w:vAlign w:val="center"/>
                </w:tcPr>
                <w:p w14:paraId="7D2FEFD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600</w:t>
                  </w:r>
                </w:p>
              </w:tc>
              <w:tc>
                <w:tcPr>
                  <w:tcW w:w="427" w:type="dxa"/>
                  <w:vAlign w:val="center"/>
                </w:tcPr>
                <w:p w14:paraId="4591D4D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4</w:t>
                  </w:r>
                </w:p>
              </w:tc>
              <w:tc>
                <w:tcPr>
                  <w:tcW w:w="1468" w:type="dxa"/>
                  <w:vAlign w:val="center"/>
                </w:tcPr>
                <w:p w14:paraId="3786AF03">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K</w:t>
                  </w:r>
                  <w:r>
                    <w:rPr>
                      <w:rFonts w:hint="default" w:ascii="Times New Roman" w:hAnsi="Times New Roman" w:eastAsia="Times New Roman" w:cs="Times New Roman"/>
                      <w:spacing w:val="11"/>
                      <w:w w:val="101"/>
                      <w:sz w:val="21"/>
                      <w:szCs w:val="21"/>
                    </w:rPr>
                    <w:t xml:space="preserve"> </w:t>
                  </w:r>
                  <w:r>
                    <w:rPr>
                      <w:rFonts w:hint="default" w:ascii="Times New Roman" w:hAnsi="Times New Roman" w:cs="Times New Roman"/>
                      <w:spacing w:val="-3"/>
                      <w:sz w:val="21"/>
                      <w:szCs w:val="21"/>
                    </w:rPr>
                    <w:t>右</w:t>
                  </w:r>
                  <w:r>
                    <w:rPr>
                      <w:rFonts w:hint="default" w:ascii="Times New Roman" w:hAnsi="Times New Roman" w:cs="Times New Roman"/>
                      <w:spacing w:val="-38"/>
                      <w:sz w:val="21"/>
                      <w:szCs w:val="21"/>
                    </w:rPr>
                    <w:t xml:space="preserve"> </w:t>
                  </w:r>
                  <w:r>
                    <w:rPr>
                      <w:rFonts w:hint="default" w:ascii="Times New Roman" w:hAnsi="Times New Roman" w:eastAsia="Times New Roman" w:cs="Times New Roman"/>
                      <w:spacing w:val="-3"/>
                      <w:sz w:val="21"/>
                      <w:szCs w:val="21"/>
                    </w:rPr>
                    <w:t>9+755</w:t>
                  </w:r>
                </w:p>
              </w:tc>
              <w:tc>
                <w:tcPr>
                  <w:tcW w:w="925" w:type="dxa"/>
                  <w:vAlign w:val="center"/>
                </w:tcPr>
                <w:p w14:paraId="282502C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0.078</w:t>
                  </w:r>
                </w:p>
              </w:tc>
              <w:tc>
                <w:tcPr>
                  <w:tcW w:w="1005" w:type="dxa"/>
                  <w:vAlign w:val="center"/>
                </w:tcPr>
                <w:p w14:paraId="065DC87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4</w:t>
                  </w:r>
                </w:p>
              </w:tc>
            </w:tr>
            <w:tr w14:paraId="7C6AE6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7" w:hRule="atLeast"/>
              </w:trPr>
              <w:tc>
                <w:tcPr>
                  <w:tcW w:w="433" w:type="dxa"/>
                  <w:vAlign w:val="center"/>
                </w:tcPr>
                <w:p w14:paraId="1982845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5</w:t>
                  </w:r>
                </w:p>
              </w:tc>
              <w:tc>
                <w:tcPr>
                  <w:tcW w:w="1267" w:type="dxa"/>
                  <w:vAlign w:val="center"/>
                </w:tcPr>
                <w:p w14:paraId="1305F253">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左</w:t>
                  </w:r>
                  <w:r>
                    <w:rPr>
                      <w:rFonts w:hint="default" w:ascii="Times New Roman" w:hAnsi="Times New Roman" w:cs="Times New Roman"/>
                      <w:spacing w:val="-34"/>
                      <w:sz w:val="21"/>
                      <w:szCs w:val="21"/>
                    </w:rPr>
                    <w:t xml:space="preserve"> </w:t>
                  </w:r>
                  <w:r>
                    <w:rPr>
                      <w:rFonts w:hint="default" w:ascii="Times New Roman" w:hAnsi="Times New Roman" w:eastAsia="Times New Roman" w:cs="Times New Roman"/>
                      <w:spacing w:val="-2"/>
                      <w:sz w:val="21"/>
                      <w:szCs w:val="21"/>
                    </w:rPr>
                    <w:t>5+892</w:t>
                  </w:r>
                </w:p>
              </w:tc>
              <w:tc>
                <w:tcPr>
                  <w:tcW w:w="977" w:type="dxa"/>
                  <w:vAlign w:val="center"/>
                </w:tcPr>
                <w:p w14:paraId="194E3B3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0.046</w:t>
                  </w:r>
                </w:p>
              </w:tc>
              <w:tc>
                <w:tcPr>
                  <w:tcW w:w="1157" w:type="dxa"/>
                  <w:vAlign w:val="center"/>
                </w:tcPr>
                <w:p w14:paraId="4118808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600</w:t>
                  </w:r>
                </w:p>
              </w:tc>
              <w:tc>
                <w:tcPr>
                  <w:tcW w:w="427" w:type="dxa"/>
                  <w:vAlign w:val="center"/>
                </w:tcPr>
                <w:p w14:paraId="7789E35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5</w:t>
                  </w:r>
                </w:p>
              </w:tc>
              <w:tc>
                <w:tcPr>
                  <w:tcW w:w="1468" w:type="dxa"/>
                  <w:vAlign w:val="center"/>
                </w:tcPr>
                <w:p w14:paraId="4F1E416A">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K</w:t>
                  </w:r>
                  <w:r>
                    <w:rPr>
                      <w:rFonts w:hint="default" w:ascii="Times New Roman" w:hAnsi="Times New Roman" w:eastAsia="Times New Roman" w:cs="Times New Roman"/>
                      <w:spacing w:val="11"/>
                      <w:w w:val="101"/>
                      <w:sz w:val="21"/>
                      <w:szCs w:val="21"/>
                    </w:rPr>
                    <w:t xml:space="preserve"> </w:t>
                  </w:r>
                  <w:r>
                    <w:rPr>
                      <w:rFonts w:hint="default" w:ascii="Times New Roman" w:hAnsi="Times New Roman" w:cs="Times New Roman"/>
                      <w:spacing w:val="-3"/>
                      <w:sz w:val="21"/>
                      <w:szCs w:val="21"/>
                    </w:rPr>
                    <w:t>右</w:t>
                  </w:r>
                  <w:r>
                    <w:rPr>
                      <w:rFonts w:hint="default" w:ascii="Times New Roman" w:hAnsi="Times New Roman" w:cs="Times New Roman"/>
                      <w:spacing w:val="-38"/>
                      <w:sz w:val="21"/>
                      <w:szCs w:val="21"/>
                    </w:rPr>
                    <w:t xml:space="preserve"> </w:t>
                  </w:r>
                  <w:r>
                    <w:rPr>
                      <w:rFonts w:hint="default" w:ascii="Times New Roman" w:hAnsi="Times New Roman" w:eastAsia="Times New Roman" w:cs="Times New Roman"/>
                      <w:spacing w:val="-3"/>
                      <w:sz w:val="21"/>
                      <w:szCs w:val="21"/>
                    </w:rPr>
                    <w:t>9+882</w:t>
                  </w:r>
                </w:p>
              </w:tc>
              <w:tc>
                <w:tcPr>
                  <w:tcW w:w="925" w:type="dxa"/>
                  <w:vAlign w:val="center"/>
                </w:tcPr>
                <w:p w14:paraId="7EDC12C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0.070</w:t>
                  </w:r>
                </w:p>
              </w:tc>
              <w:tc>
                <w:tcPr>
                  <w:tcW w:w="1005" w:type="dxa"/>
                  <w:vAlign w:val="center"/>
                </w:tcPr>
                <w:p w14:paraId="0F0B306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5</w:t>
                  </w:r>
                </w:p>
              </w:tc>
            </w:tr>
            <w:tr w14:paraId="62F3C3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7" w:hRule="atLeast"/>
              </w:trPr>
              <w:tc>
                <w:tcPr>
                  <w:tcW w:w="433" w:type="dxa"/>
                  <w:vAlign w:val="center"/>
                </w:tcPr>
                <w:p w14:paraId="070DAC0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6</w:t>
                  </w:r>
                </w:p>
              </w:tc>
              <w:tc>
                <w:tcPr>
                  <w:tcW w:w="1267" w:type="dxa"/>
                  <w:vAlign w:val="center"/>
                </w:tcPr>
                <w:p w14:paraId="59B358E0">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左</w:t>
                  </w:r>
                  <w:r>
                    <w:rPr>
                      <w:rFonts w:hint="default" w:ascii="Times New Roman" w:hAnsi="Times New Roman" w:cs="Times New Roman"/>
                      <w:spacing w:val="-34"/>
                      <w:sz w:val="21"/>
                      <w:szCs w:val="21"/>
                    </w:rPr>
                    <w:t xml:space="preserve"> </w:t>
                  </w:r>
                  <w:r>
                    <w:rPr>
                      <w:rFonts w:hint="default" w:ascii="Times New Roman" w:hAnsi="Times New Roman" w:eastAsia="Times New Roman" w:cs="Times New Roman"/>
                      <w:spacing w:val="-2"/>
                      <w:sz w:val="21"/>
                      <w:szCs w:val="21"/>
                    </w:rPr>
                    <w:t>5+955</w:t>
                  </w:r>
                </w:p>
              </w:tc>
              <w:tc>
                <w:tcPr>
                  <w:tcW w:w="977" w:type="dxa"/>
                  <w:vAlign w:val="center"/>
                </w:tcPr>
                <w:p w14:paraId="435763F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0.107</w:t>
                  </w:r>
                </w:p>
              </w:tc>
              <w:tc>
                <w:tcPr>
                  <w:tcW w:w="1157" w:type="dxa"/>
                  <w:vAlign w:val="center"/>
                </w:tcPr>
                <w:p w14:paraId="7AD2918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600</w:t>
                  </w:r>
                </w:p>
              </w:tc>
              <w:tc>
                <w:tcPr>
                  <w:tcW w:w="427" w:type="dxa"/>
                  <w:vAlign w:val="center"/>
                </w:tcPr>
                <w:p w14:paraId="698A9F0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6</w:t>
                  </w:r>
                </w:p>
              </w:tc>
              <w:tc>
                <w:tcPr>
                  <w:tcW w:w="1468" w:type="dxa"/>
                  <w:vAlign w:val="center"/>
                </w:tcPr>
                <w:p w14:paraId="338479E2">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K</w:t>
                  </w:r>
                  <w:r>
                    <w:rPr>
                      <w:rFonts w:hint="default" w:ascii="Times New Roman" w:hAnsi="Times New Roman" w:eastAsia="Times New Roman" w:cs="Times New Roman"/>
                      <w:spacing w:val="11"/>
                      <w:w w:val="101"/>
                      <w:sz w:val="21"/>
                      <w:szCs w:val="21"/>
                    </w:rPr>
                    <w:t xml:space="preserve"> </w:t>
                  </w:r>
                  <w:r>
                    <w:rPr>
                      <w:rFonts w:hint="default" w:ascii="Times New Roman" w:hAnsi="Times New Roman" w:cs="Times New Roman"/>
                      <w:spacing w:val="-3"/>
                      <w:sz w:val="21"/>
                      <w:szCs w:val="21"/>
                    </w:rPr>
                    <w:t>右</w:t>
                  </w:r>
                  <w:r>
                    <w:rPr>
                      <w:rFonts w:hint="default" w:ascii="Times New Roman" w:hAnsi="Times New Roman" w:cs="Times New Roman"/>
                      <w:spacing w:val="-38"/>
                      <w:sz w:val="21"/>
                      <w:szCs w:val="21"/>
                    </w:rPr>
                    <w:t xml:space="preserve"> </w:t>
                  </w:r>
                  <w:r>
                    <w:rPr>
                      <w:rFonts w:hint="default" w:ascii="Times New Roman" w:hAnsi="Times New Roman" w:eastAsia="Times New Roman" w:cs="Times New Roman"/>
                      <w:spacing w:val="-3"/>
                      <w:sz w:val="21"/>
                      <w:szCs w:val="21"/>
                    </w:rPr>
                    <w:t>9+960</w:t>
                  </w:r>
                </w:p>
              </w:tc>
              <w:tc>
                <w:tcPr>
                  <w:tcW w:w="925" w:type="dxa"/>
                  <w:vAlign w:val="center"/>
                </w:tcPr>
                <w:p w14:paraId="11955F5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0.058</w:t>
                  </w:r>
                </w:p>
              </w:tc>
              <w:tc>
                <w:tcPr>
                  <w:tcW w:w="1005" w:type="dxa"/>
                  <w:vAlign w:val="center"/>
                </w:tcPr>
                <w:p w14:paraId="1F0733E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6</w:t>
                  </w:r>
                </w:p>
              </w:tc>
            </w:tr>
            <w:tr w14:paraId="525C60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6" w:hRule="atLeast"/>
              </w:trPr>
              <w:tc>
                <w:tcPr>
                  <w:tcW w:w="433" w:type="dxa"/>
                  <w:vAlign w:val="center"/>
                </w:tcPr>
                <w:p w14:paraId="302B289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7</w:t>
                  </w:r>
                </w:p>
              </w:tc>
              <w:tc>
                <w:tcPr>
                  <w:tcW w:w="1267" w:type="dxa"/>
                  <w:vAlign w:val="center"/>
                </w:tcPr>
                <w:p w14:paraId="76C0891C">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左</w:t>
                  </w:r>
                  <w:r>
                    <w:rPr>
                      <w:rFonts w:hint="default" w:ascii="Times New Roman" w:hAnsi="Times New Roman" w:cs="Times New Roman"/>
                      <w:spacing w:val="-34"/>
                      <w:sz w:val="21"/>
                      <w:szCs w:val="21"/>
                    </w:rPr>
                    <w:t xml:space="preserve"> </w:t>
                  </w:r>
                  <w:r>
                    <w:rPr>
                      <w:rFonts w:hint="default" w:ascii="Times New Roman" w:hAnsi="Times New Roman" w:eastAsia="Times New Roman" w:cs="Times New Roman"/>
                      <w:spacing w:val="-2"/>
                      <w:sz w:val="21"/>
                      <w:szCs w:val="21"/>
                    </w:rPr>
                    <w:t>6+147</w:t>
                  </w:r>
                </w:p>
              </w:tc>
              <w:tc>
                <w:tcPr>
                  <w:tcW w:w="977" w:type="dxa"/>
                  <w:vAlign w:val="center"/>
                </w:tcPr>
                <w:p w14:paraId="61CFF02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0.090</w:t>
                  </w:r>
                </w:p>
              </w:tc>
              <w:tc>
                <w:tcPr>
                  <w:tcW w:w="1157" w:type="dxa"/>
                  <w:vAlign w:val="center"/>
                </w:tcPr>
                <w:p w14:paraId="661CF36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600</w:t>
                  </w:r>
                </w:p>
              </w:tc>
              <w:tc>
                <w:tcPr>
                  <w:tcW w:w="427" w:type="dxa"/>
                  <w:vAlign w:val="center"/>
                </w:tcPr>
                <w:p w14:paraId="10B32BE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7</w:t>
                  </w:r>
                </w:p>
              </w:tc>
              <w:tc>
                <w:tcPr>
                  <w:tcW w:w="1468" w:type="dxa"/>
                  <w:vAlign w:val="center"/>
                </w:tcPr>
                <w:p w14:paraId="4D168533">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5"/>
                      <w:sz w:val="21"/>
                      <w:szCs w:val="21"/>
                    </w:rPr>
                    <w:t>K</w:t>
                  </w:r>
                  <w:r>
                    <w:rPr>
                      <w:rFonts w:hint="default" w:ascii="Times New Roman" w:hAnsi="Times New Roman" w:eastAsia="Times New Roman" w:cs="Times New Roman"/>
                      <w:spacing w:val="10"/>
                      <w:sz w:val="21"/>
                      <w:szCs w:val="21"/>
                    </w:rPr>
                    <w:t xml:space="preserve"> </w:t>
                  </w:r>
                  <w:r>
                    <w:rPr>
                      <w:rFonts w:hint="default" w:ascii="Times New Roman" w:hAnsi="Times New Roman" w:cs="Times New Roman"/>
                      <w:spacing w:val="-5"/>
                      <w:sz w:val="21"/>
                      <w:szCs w:val="21"/>
                    </w:rPr>
                    <w:t>右</w:t>
                  </w:r>
                  <w:r>
                    <w:rPr>
                      <w:rFonts w:hint="default" w:ascii="Times New Roman" w:hAnsi="Times New Roman" w:cs="Times New Roman"/>
                      <w:spacing w:val="-23"/>
                      <w:sz w:val="21"/>
                      <w:szCs w:val="21"/>
                    </w:rPr>
                    <w:t xml:space="preserve"> </w:t>
                  </w:r>
                  <w:r>
                    <w:rPr>
                      <w:rFonts w:hint="default" w:ascii="Times New Roman" w:hAnsi="Times New Roman" w:eastAsia="Times New Roman" w:cs="Times New Roman"/>
                      <w:spacing w:val="-5"/>
                      <w:sz w:val="21"/>
                      <w:szCs w:val="21"/>
                    </w:rPr>
                    <w:t>10+110</w:t>
                  </w:r>
                </w:p>
              </w:tc>
              <w:tc>
                <w:tcPr>
                  <w:tcW w:w="925" w:type="dxa"/>
                  <w:vAlign w:val="center"/>
                </w:tcPr>
                <w:p w14:paraId="5C5F1FB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0.070</w:t>
                  </w:r>
                </w:p>
              </w:tc>
              <w:tc>
                <w:tcPr>
                  <w:tcW w:w="1005" w:type="dxa"/>
                  <w:vAlign w:val="center"/>
                </w:tcPr>
                <w:p w14:paraId="7B3B770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7</w:t>
                  </w:r>
                </w:p>
              </w:tc>
            </w:tr>
            <w:tr w14:paraId="6D4B82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7" w:hRule="atLeast"/>
              </w:trPr>
              <w:tc>
                <w:tcPr>
                  <w:tcW w:w="433" w:type="dxa"/>
                  <w:vAlign w:val="center"/>
                </w:tcPr>
                <w:p w14:paraId="433B9C4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8</w:t>
                  </w:r>
                </w:p>
              </w:tc>
              <w:tc>
                <w:tcPr>
                  <w:tcW w:w="1267" w:type="dxa"/>
                  <w:vAlign w:val="center"/>
                </w:tcPr>
                <w:p w14:paraId="2F4D523C">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左</w:t>
                  </w:r>
                  <w:r>
                    <w:rPr>
                      <w:rFonts w:hint="default" w:ascii="Times New Roman" w:hAnsi="Times New Roman" w:cs="Times New Roman"/>
                      <w:spacing w:val="-34"/>
                      <w:sz w:val="21"/>
                      <w:szCs w:val="21"/>
                    </w:rPr>
                    <w:t xml:space="preserve"> </w:t>
                  </w:r>
                  <w:r>
                    <w:rPr>
                      <w:rFonts w:hint="default" w:ascii="Times New Roman" w:hAnsi="Times New Roman" w:eastAsia="Times New Roman" w:cs="Times New Roman"/>
                      <w:spacing w:val="-2"/>
                      <w:sz w:val="21"/>
                      <w:szCs w:val="21"/>
                    </w:rPr>
                    <w:t>6+220</w:t>
                  </w:r>
                </w:p>
              </w:tc>
              <w:tc>
                <w:tcPr>
                  <w:tcW w:w="977" w:type="dxa"/>
                  <w:vAlign w:val="center"/>
                </w:tcPr>
                <w:p w14:paraId="141CB87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0.080</w:t>
                  </w:r>
                </w:p>
              </w:tc>
              <w:tc>
                <w:tcPr>
                  <w:tcW w:w="1157" w:type="dxa"/>
                  <w:vAlign w:val="center"/>
                </w:tcPr>
                <w:p w14:paraId="1936985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600</w:t>
                  </w:r>
                </w:p>
              </w:tc>
              <w:tc>
                <w:tcPr>
                  <w:tcW w:w="427" w:type="dxa"/>
                  <w:vAlign w:val="center"/>
                </w:tcPr>
                <w:p w14:paraId="44A1EAC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8</w:t>
                  </w:r>
                </w:p>
              </w:tc>
              <w:tc>
                <w:tcPr>
                  <w:tcW w:w="1468" w:type="dxa"/>
                  <w:vAlign w:val="center"/>
                </w:tcPr>
                <w:p w14:paraId="05C7497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 xml:space="preserve">K </w:t>
                  </w:r>
                  <w:r>
                    <w:rPr>
                      <w:rFonts w:hint="default" w:ascii="Times New Roman" w:hAnsi="Times New Roman" w:cs="Times New Roman"/>
                      <w:spacing w:val="-3"/>
                      <w:sz w:val="21"/>
                      <w:szCs w:val="21"/>
                    </w:rPr>
                    <w:t>右</w:t>
                  </w:r>
                  <w:r>
                    <w:rPr>
                      <w:rFonts w:hint="default" w:ascii="Times New Roman" w:hAnsi="Times New Roman" w:cs="Times New Roman"/>
                      <w:spacing w:val="-23"/>
                      <w:sz w:val="21"/>
                      <w:szCs w:val="21"/>
                    </w:rPr>
                    <w:t xml:space="preserve"> </w:t>
                  </w:r>
                  <w:r>
                    <w:rPr>
                      <w:rFonts w:hint="default" w:ascii="Times New Roman" w:hAnsi="Times New Roman" w:eastAsia="Times New Roman" w:cs="Times New Roman"/>
                      <w:spacing w:val="-3"/>
                      <w:sz w:val="21"/>
                      <w:szCs w:val="21"/>
                    </w:rPr>
                    <w:t>10+475</w:t>
                  </w:r>
                </w:p>
              </w:tc>
              <w:tc>
                <w:tcPr>
                  <w:tcW w:w="925" w:type="dxa"/>
                  <w:vAlign w:val="center"/>
                </w:tcPr>
                <w:p w14:paraId="1EB6A04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0.044</w:t>
                  </w:r>
                </w:p>
              </w:tc>
              <w:tc>
                <w:tcPr>
                  <w:tcW w:w="1005" w:type="dxa"/>
                  <w:vAlign w:val="center"/>
                </w:tcPr>
                <w:p w14:paraId="156E3F4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8</w:t>
                  </w:r>
                </w:p>
              </w:tc>
            </w:tr>
            <w:tr w14:paraId="1FDBCE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6" w:hRule="atLeast"/>
              </w:trPr>
              <w:tc>
                <w:tcPr>
                  <w:tcW w:w="433" w:type="dxa"/>
                  <w:vAlign w:val="center"/>
                </w:tcPr>
                <w:p w14:paraId="099FCDF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9</w:t>
                  </w:r>
                </w:p>
              </w:tc>
              <w:tc>
                <w:tcPr>
                  <w:tcW w:w="1267" w:type="dxa"/>
                  <w:vAlign w:val="center"/>
                </w:tcPr>
                <w:p w14:paraId="51FD6555">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左</w:t>
                  </w:r>
                  <w:r>
                    <w:rPr>
                      <w:rFonts w:hint="default" w:ascii="Times New Roman" w:hAnsi="Times New Roman" w:cs="Times New Roman"/>
                      <w:spacing w:val="-34"/>
                      <w:sz w:val="21"/>
                      <w:szCs w:val="21"/>
                    </w:rPr>
                    <w:t xml:space="preserve"> </w:t>
                  </w:r>
                  <w:r>
                    <w:rPr>
                      <w:rFonts w:hint="default" w:ascii="Times New Roman" w:hAnsi="Times New Roman" w:eastAsia="Times New Roman" w:cs="Times New Roman"/>
                      <w:spacing w:val="-2"/>
                      <w:sz w:val="21"/>
                      <w:szCs w:val="21"/>
                    </w:rPr>
                    <w:t>6+642</w:t>
                  </w:r>
                </w:p>
              </w:tc>
              <w:tc>
                <w:tcPr>
                  <w:tcW w:w="977" w:type="dxa"/>
                  <w:vAlign w:val="center"/>
                </w:tcPr>
                <w:p w14:paraId="5854471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0.109</w:t>
                  </w:r>
                </w:p>
              </w:tc>
              <w:tc>
                <w:tcPr>
                  <w:tcW w:w="1157" w:type="dxa"/>
                  <w:vAlign w:val="center"/>
                </w:tcPr>
                <w:p w14:paraId="135E150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600</w:t>
                  </w:r>
                </w:p>
              </w:tc>
              <w:tc>
                <w:tcPr>
                  <w:tcW w:w="427" w:type="dxa"/>
                  <w:vAlign w:val="center"/>
                </w:tcPr>
                <w:p w14:paraId="1F71ECE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9</w:t>
                  </w:r>
                </w:p>
              </w:tc>
              <w:tc>
                <w:tcPr>
                  <w:tcW w:w="1468" w:type="dxa"/>
                  <w:vAlign w:val="center"/>
                </w:tcPr>
                <w:p w14:paraId="4B5ED9CB">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 xml:space="preserve">K </w:t>
                  </w:r>
                  <w:r>
                    <w:rPr>
                      <w:rFonts w:hint="default" w:ascii="Times New Roman" w:hAnsi="Times New Roman" w:cs="Times New Roman"/>
                      <w:spacing w:val="-3"/>
                      <w:sz w:val="21"/>
                      <w:szCs w:val="21"/>
                    </w:rPr>
                    <w:t>右</w:t>
                  </w:r>
                  <w:r>
                    <w:rPr>
                      <w:rFonts w:hint="default" w:ascii="Times New Roman" w:hAnsi="Times New Roman" w:cs="Times New Roman"/>
                      <w:spacing w:val="-23"/>
                      <w:sz w:val="21"/>
                      <w:szCs w:val="21"/>
                    </w:rPr>
                    <w:t xml:space="preserve"> </w:t>
                  </w:r>
                  <w:r>
                    <w:rPr>
                      <w:rFonts w:hint="default" w:ascii="Times New Roman" w:hAnsi="Times New Roman" w:eastAsia="Times New Roman" w:cs="Times New Roman"/>
                      <w:spacing w:val="-3"/>
                      <w:sz w:val="21"/>
                      <w:szCs w:val="21"/>
                    </w:rPr>
                    <w:t>10+648</w:t>
                  </w:r>
                </w:p>
              </w:tc>
              <w:tc>
                <w:tcPr>
                  <w:tcW w:w="925" w:type="dxa"/>
                  <w:vAlign w:val="center"/>
                </w:tcPr>
                <w:p w14:paraId="019EFA5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0.063</w:t>
                  </w:r>
                </w:p>
              </w:tc>
              <w:tc>
                <w:tcPr>
                  <w:tcW w:w="1005" w:type="dxa"/>
                  <w:vAlign w:val="center"/>
                </w:tcPr>
                <w:p w14:paraId="33107EC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z w:val="21"/>
                      <w:szCs w:val="21"/>
                    </w:rPr>
                    <w:t>9</w:t>
                  </w:r>
                </w:p>
              </w:tc>
            </w:tr>
            <w:tr w14:paraId="2117FC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7" w:hRule="atLeast"/>
              </w:trPr>
              <w:tc>
                <w:tcPr>
                  <w:tcW w:w="433" w:type="dxa"/>
                  <w:vAlign w:val="center"/>
                </w:tcPr>
                <w:p w14:paraId="71335E2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10</w:t>
                  </w:r>
                </w:p>
              </w:tc>
              <w:tc>
                <w:tcPr>
                  <w:tcW w:w="1267" w:type="dxa"/>
                  <w:vAlign w:val="center"/>
                </w:tcPr>
                <w:p w14:paraId="5EEC016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左</w:t>
                  </w:r>
                  <w:r>
                    <w:rPr>
                      <w:rFonts w:hint="default" w:ascii="Times New Roman" w:hAnsi="Times New Roman" w:cs="Times New Roman"/>
                      <w:spacing w:val="-34"/>
                      <w:sz w:val="21"/>
                      <w:szCs w:val="21"/>
                    </w:rPr>
                    <w:t xml:space="preserve"> </w:t>
                  </w:r>
                  <w:r>
                    <w:rPr>
                      <w:rFonts w:hint="default" w:ascii="Times New Roman" w:hAnsi="Times New Roman" w:eastAsia="Times New Roman" w:cs="Times New Roman"/>
                      <w:spacing w:val="-2"/>
                      <w:sz w:val="21"/>
                      <w:szCs w:val="21"/>
                    </w:rPr>
                    <w:t>7+404</w:t>
                  </w:r>
                </w:p>
              </w:tc>
              <w:tc>
                <w:tcPr>
                  <w:tcW w:w="977" w:type="dxa"/>
                  <w:vAlign w:val="center"/>
                </w:tcPr>
                <w:p w14:paraId="45184E6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0.090</w:t>
                  </w:r>
                </w:p>
              </w:tc>
              <w:tc>
                <w:tcPr>
                  <w:tcW w:w="1157" w:type="dxa"/>
                  <w:vAlign w:val="center"/>
                </w:tcPr>
                <w:p w14:paraId="30E3E21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600</w:t>
                  </w:r>
                </w:p>
              </w:tc>
              <w:tc>
                <w:tcPr>
                  <w:tcW w:w="427" w:type="dxa"/>
                  <w:vAlign w:val="center"/>
                </w:tcPr>
                <w:p w14:paraId="2F12FDC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10</w:t>
                  </w:r>
                </w:p>
              </w:tc>
              <w:tc>
                <w:tcPr>
                  <w:tcW w:w="1468" w:type="dxa"/>
                  <w:vAlign w:val="center"/>
                </w:tcPr>
                <w:p w14:paraId="54B59FF5">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5"/>
                      <w:sz w:val="21"/>
                      <w:szCs w:val="21"/>
                    </w:rPr>
                    <w:t>K</w:t>
                  </w:r>
                  <w:r>
                    <w:rPr>
                      <w:rFonts w:hint="default" w:ascii="Times New Roman" w:hAnsi="Times New Roman" w:eastAsia="Times New Roman" w:cs="Times New Roman"/>
                      <w:spacing w:val="9"/>
                      <w:sz w:val="21"/>
                      <w:szCs w:val="21"/>
                    </w:rPr>
                    <w:t xml:space="preserve"> </w:t>
                  </w:r>
                  <w:r>
                    <w:rPr>
                      <w:rFonts w:hint="default" w:ascii="Times New Roman" w:hAnsi="Times New Roman" w:cs="Times New Roman"/>
                      <w:spacing w:val="-5"/>
                      <w:sz w:val="21"/>
                      <w:szCs w:val="21"/>
                    </w:rPr>
                    <w:t>右</w:t>
                  </w:r>
                  <w:r>
                    <w:rPr>
                      <w:rFonts w:hint="default" w:ascii="Times New Roman" w:hAnsi="Times New Roman" w:cs="Times New Roman"/>
                      <w:spacing w:val="-23"/>
                      <w:sz w:val="21"/>
                      <w:szCs w:val="21"/>
                    </w:rPr>
                    <w:t xml:space="preserve"> </w:t>
                  </w:r>
                  <w:r>
                    <w:rPr>
                      <w:rFonts w:hint="default" w:ascii="Times New Roman" w:hAnsi="Times New Roman" w:eastAsia="Times New Roman" w:cs="Times New Roman"/>
                      <w:spacing w:val="-5"/>
                      <w:sz w:val="21"/>
                      <w:szCs w:val="21"/>
                    </w:rPr>
                    <w:t>11+383</w:t>
                  </w:r>
                </w:p>
              </w:tc>
              <w:tc>
                <w:tcPr>
                  <w:tcW w:w="925" w:type="dxa"/>
                  <w:vAlign w:val="center"/>
                </w:tcPr>
                <w:p w14:paraId="3E0B732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0.104</w:t>
                  </w:r>
                </w:p>
              </w:tc>
              <w:tc>
                <w:tcPr>
                  <w:tcW w:w="1005" w:type="dxa"/>
                  <w:vAlign w:val="center"/>
                </w:tcPr>
                <w:p w14:paraId="68FBBB9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10</w:t>
                  </w:r>
                </w:p>
              </w:tc>
            </w:tr>
            <w:tr w14:paraId="7AA936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6" w:hRule="atLeast"/>
              </w:trPr>
              <w:tc>
                <w:tcPr>
                  <w:tcW w:w="433" w:type="dxa"/>
                  <w:vAlign w:val="center"/>
                </w:tcPr>
                <w:p w14:paraId="083FE73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1"/>
                      <w:sz w:val="21"/>
                      <w:szCs w:val="21"/>
                    </w:rPr>
                    <w:t>11</w:t>
                  </w:r>
                </w:p>
              </w:tc>
              <w:tc>
                <w:tcPr>
                  <w:tcW w:w="1267" w:type="dxa"/>
                  <w:vAlign w:val="center"/>
                </w:tcPr>
                <w:p w14:paraId="5126893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左</w:t>
                  </w:r>
                  <w:r>
                    <w:rPr>
                      <w:rFonts w:hint="default" w:ascii="Times New Roman" w:hAnsi="Times New Roman" w:cs="Times New Roman"/>
                      <w:spacing w:val="-34"/>
                      <w:sz w:val="21"/>
                      <w:szCs w:val="21"/>
                    </w:rPr>
                    <w:t xml:space="preserve"> </w:t>
                  </w:r>
                  <w:r>
                    <w:rPr>
                      <w:rFonts w:hint="default" w:ascii="Times New Roman" w:hAnsi="Times New Roman" w:eastAsia="Times New Roman" w:cs="Times New Roman"/>
                      <w:spacing w:val="-2"/>
                      <w:sz w:val="21"/>
                      <w:szCs w:val="21"/>
                    </w:rPr>
                    <w:t>8+782</w:t>
                  </w:r>
                </w:p>
              </w:tc>
              <w:tc>
                <w:tcPr>
                  <w:tcW w:w="977" w:type="dxa"/>
                  <w:vAlign w:val="center"/>
                </w:tcPr>
                <w:p w14:paraId="7780D1A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0.104</w:t>
                  </w:r>
                </w:p>
              </w:tc>
              <w:tc>
                <w:tcPr>
                  <w:tcW w:w="1157" w:type="dxa"/>
                  <w:vAlign w:val="center"/>
                </w:tcPr>
                <w:p w14:paraId="58E3C44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600</w:t>
                  </w:r>
                </w:p>
              </w:tc>
              <w:tc>
                <w:tcPr>
                  <w:tcW w:w="427" w:type="dxa"/>
                  <w:vAlign w:val="center"/>
                </w:tcPr>
                <w:p w14:paraId="450D961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1"/>
                      <w:sz w:val="21"/>
                      <w:szCs w:val="21"/>
                    </w:rPr>
                    <w:t>11</w:t>
                  </w:r>
                </w:p>
              </w:tc>
              <w:tc>
                <w:tcPr>
                  <w:tcW w:w="1468" w:type="dxa"/>
                  <w:vAlign w:val="center"/>
                </w:tcPr>
                <w:p w14:paraId="0E79BB9A">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5"/>
                      <w:sz w:val="21"/>
                      <w:szCs w:val="21"/>
                    </w:rPr>
                    <w:t>K</w:t>
                  </w:r>
                  <w:r>
                    <w:rPr>
                      <w:rFonts w:hint="default" w:ascii="Times New Roman" w:hAnsi="Times New Roman" w:eastAsia="Times New Roman" w:cs="Times New Roman"/>
                      <w:spacing w:val="9"/>
                      <w:sz w:val="21"/>
                      <w:szCs w:val="21"/>
                    </w:rPr>
                    <w:t xml:space="preserve"> </w:t>
                  </w:r>
                  <w:r>
                    <w:rPr>
                      <w:rFonts w:hint="default" w:ascii="Times New Roman" w:hAnsi="Times New Roman" w:cs="Times New Roman"/>
                      <w:spacing w:val="-5"/>
                      <w:sz w:val="21"/>
                      <w:szCs w:val="21"/>
                    </w:rPr>
                    <w:t>右</w:t>
                  </w:r>
                  <w:r>
                    <w:rPr>
                      <w:rFonts w:hint="default" w:ascii="Times New Roman" w:hAnsi="Times New Roman" w:cs="Times New Roman"/>
                      <w:spacing w:val="-23"/>
                      <w:sz w:val="21"/>
                      <w:szCs w:val="21"/>
                    </w:rPr>
                    <w:t xml:space="preserve"> </w:t>
                  </w:r>
                  <w:r>
                    <w:rPr>
                      <w:rFonts w:hint="default" w:ascii="Times New Roman" w:hAnsi="Times New Roman" w:eastAsia="Times New Roman" w:cs="Times New Roman"/>
                      <w:spacing w:val="-5"/>
                      <w:sz w:val="21"/>
                      <w:szCs w:val="21"/>
                    </w:rPr>
                    <w:t>11+430</w:t>
                  </w:r>
                </w:p>
              </w:tc>
              <w:tc>
                <w:tcPr>
                  <w:tcW w:w="925" w:type="dxa"/>
                  <w:vAlign w:val="center"/>
                </w:tcPr>
                <w:p w14:paraId="2340EF7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0.073</w:t>
                  </w:r>
                </w:p>
              </w:tc>
              <w:tc>
                <w:tcPr>
                  <w:tcW w:w="1005" w:type="dxa"/>
                  <w:vAlign w:val="center"/>
                </w:tcPr>
                <w:p w14:paraId="6E8AE21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1"/>
                      <w:sz w:val="21"/>
                      <w:szCs w:val="21"/>
                    </w:rPr>
                    <w:t>11</w:t>
                  </w:r>
                </w:p>
              </w:tc>
            </w:tr>
            <w:tr w14:paraId="1B157D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7" w:hRule="atLeast"/>
              </w:trPr>
              <w:tc>
                <w:tcPr>
                  <w:tcW w:w="433" w:type="dxa"/>
                  <w:vAlign w:val="center"/>
                </w:tcPr>
                <w:p w14:paraId="2B5BAC9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12</w:t>
                  </w:r>
                </w:p>
              </w:tc>
              <w:tc>
                <w:tcPr>
                  <w:tcW w:w="1267" w:type="dxa"/>
                  <w:vAlign w:val="center"/>
                </w:tcPr>
                <w:p w14:paraId="2298C0F7">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左</w:t>
                  </w:r>
                  <w:r>
                    <w:rPr>
                      <w:rFonts w:hint="default" w:ascii="Times New Roman" w:hAnsi="Times New Roman" w:cs="Times New Roman"/>
                      <w:spacing w:val="-34"/>
                      <w:sz w:val="21"/>
                      <w:szCs w:val="21"/>
                    </w:rPr>
                    <w:t xml:space="preserve"> </w:t>
                  </w:r>
                  <w:r>
                    <w:rPr>
                      <w:rFonts w:hint="default" w:ascii="Times New Roman" w:hAnsi="Times New Roman" w:eastAsia="Times New Roman" w:cs="Times New Roman"/>
                      <w:spacing w:val="-2"/>
                      <w:sz w:val="21"/>
                      <w:szCs w:val="21"/>
                    </w:rPr>
                    <w:t>8+930</w:t>
                  </w:r>
                </w:p>
              </w:tc>
              <w:tc>
                <w:tcPr>
                  <w:tcW w:w="977" w:type="dxa"/>
                  <w:vAlign w:val="center"/>
                </w:tcPr>
                <w:p w14:paraId="36B8B15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0.073</w:t>
                  </w:r>
                </w:p>
              </w:tc>
              <w:tc>
                <w:tcPr>
                  <w:tcW w:w="1157" w:type="dxa"/>
                  <w:vAlign w:val="center"/>
                </w:tcPr>
                <w:p w14:paraId="185661E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600</w:t>
                  </w:r>
                </w:p>
              </w:tc>
              <w:tc>
                <w:tcPr>
                  <w:tcW w:w="427" w:type="dxa"/>
                  <w:vAlign w:val="center"/>
                </w:tcPr>
                <w:p w14:paraId="2AFAC3C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12</w:t>
                  </w:r>
                </w:p>
              </w:tc>
              <w:tc>
                <w:tcPr>
                  <w:tcW w:w="1468" w:type="dxa"/>
                  <w:vAlign w:val="center"/>
                </w:tcPr>
                <w:p w14:paraId="72AB7F62">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 xml:space="preserve">K </w:t>
                  </w:r>
                  <w:r>
                    <w:rPr>
                      <w:rFonts w:hint="default" w:ascii="Times New Roman" w:hAnsi="Times New Roman" w:cs="Times New Roman"/>
                      <w:spacing w:val="-3"/>
                      <w:sz w:val="21"/>
                      <w:szCs w:val="21"/>
                    </w:rPr>
                    <w:t>右</w:t>
                  </w:r>
                  <w:r>
                    <w:rPr>
                      <w:rFonts w:hint="default" w:ascii="Times New Roman" w:hAnsi="Times New Roman" w:cs="Times New Roman"/>
                      <w:spacing w:val="-23"/>
                      <w:sz w:val="21"/>
                      <w:szCs w:val="21"/>
                    </w:rPr>
                    <w:t xml:space="preserve"> </w:t>
                  </w:r>
                  <w:r>
                    <w:rPr>
                      <w:rFonts w:hint="default" w:ascii="Times New Roman" w:hAnsi="Times New Roman" w:eastAsia="Times New Roman" w:cs="Times New Roman"/>
                      <w:spacing w:val="-3"/>
                      <w:sz w:val="21"/>
                      <w:szCs w:val="21"/>
                    </w:rPr>
                    <w:t>14+490</w:t>
                  </w:r>
                </w:p>
              </w:tc>
              <w:tc>
                <w:tcPr>
                  <w:tcW w:w="925" w:type="dxa"/>
                  <w:vAlign w:val="center"/>
                </w:tcPr>
                <w:p w14:paraId="6B4A384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0.090</w:t>
                  </w:r>
                </w:p>
              </w:tc>
              <w:tc>
                <w:tcPr>
                  <w:tcW w:w="1005" w:type="dxa"/>
                  <w:vAlign w:val="center"/>
                </w:tcPr>
                <w:p w14:paraId="2D9077B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12</w:t>
                  </w:r>
                </w:p>
              </w:tc>
            </w:tr>
            <w:tr w14:paraId="0076B4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77" w:hRule="atLeast"/>
              </w:trPr>
              <w:tc>
                <w:tcPr>
                  <w:tcW w:w="433" w:type="dxa"/>
                  <w:vAlign w:val="center"/>
                </w:tcPr>
                <w:p w14:paraId="3BF74AD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1267" w:type="dxa"/>
                  <w:vAlign w:val="center"/>
                </w:tcPr>
                <w:p w14:paraId="452F4795">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左</w:t>
                  </w:r>
                  <w:r>
                    <w:rPr>
                      <w:rFonts w:hint="default" w:ascii="Times New Roman" w:hAnsi="Times New Roman" w:cs="Times New Roman"/>
                      <w:spacing w:val="-34"/>
                      <w:sz w:val="21"/>
                      <w:szCs w:val="21"/>
                    </w:rPr>
                    <w:t xml:space="preserve"> </w:t>
                  </w:r>
                  <w:r>
                    <w:rPr>
                      <w:rFonts w:hint="default" w:ascii="Times New Roman" w:hAnsi="Times New Roman" w:eastAsia="Times New Roman" w:cs="Times New Roman"/>
                      <w:spacing w:val="-2"/>
                      <w:sz w:val="21"/>
                      <w:szCs w:val="21"/>
                    </w:rPr>
                    <w:t>9+040</w:t>
                  </w:r>
                </w:p>
              </w:tc>
              <w:tc>
                <w:tcPr>
                  <w:tcW w:w="977" w:type="dxa"/>
                  <w:vAlign w:val="center"/>
                </w:tcPr>
                <w:p w14:paraId="6DBCE3D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0.058</w:t>
                  </w:r>
                </w:p>
              </w:tc>
              <w:tc>
                <w:tcPr>
                  <w:tcW w:w="1157" w:type="dxa"/>
                  <w:vAlign w:val="center"/>
                </w:tcPr>
                <w:p w14:paraId="49E0024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600</w:t>
                  </w:r>
                </w:p>
              </w:tc>
              <w:tc>
                <w:tcPr>
                  <w:tcW w:w="427" w:type="dxa"/>
                  <w:vAlign w:val="center"/>
                </w:tcPr>
                <w:p w14:paraId="4242F40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c>
                <w:tcPr>
                  <w:tcW w:w="1468" w:type="dxa"/>
                  <w:vAlign w:val="center"/>
                </w:tcPr>
                <w:p w14:paraId="4C286682">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 xml:space="preserve">K </w:t>
                  </w:r>
                  <w:r>
                    <w:rPr>
                      <w:rFonts w:hint="default" w:ascii="Times New Roman" w:hAnsi="Times New Roman" w:cs="Times New Roman"/>
                      <w:spacing w:val="-3"/>
                      <w:sz w:val="21"/>
                      <w:szCs w:val="21"/>
                    </w:rPr>
                    <w:t>右</w:t>
                  </w:r>
                  <w:r>
                    <w:rPr>
                      <w:rFonts w:hint="default" w:ascii="Times New Roman" w:hAnsi="Times New Roman" w:cs="Times New Roman"/>
                      <w:spacing w:val="-23"/>
                      <w:sz w:val="21"/>
                      <w:szCs w:val="21"/>
                    </w:rPr>
                    <w:t xml:space="preserve"> </w:t>
                  </w:r>
                  <w:r>
                    <w:rPr>
                      <w:rFonts w:hint="default" w:ascii="Times New Roman" w:hAnsi="Times New Roman" w:eastAsia="Times New Roman" w:cs="Times New Roman"/>
                      <w:spacing w:val="-3"/>
                      <w:sz w:val="21"/>
                      <w:szCs w:val="21"/>
                    </w:rPr>
                    <w:t>14+600</w:t>
                  </w:r>
                </w:p>
              </w:tc>
              <w:tc>
                <w:tcPr>
                  <w:tcW w:w="925" w:type="dxa"/>
                  <w:vAlign w:val="center"/>
                </w:tcPr>
                <w:p w14:paraId="035E462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0.058</w:t>
                  </w:r>
                </w:p>
              </w:tc>
              <w:tc>
                <w:tcPr>
                  <w:tcW w:w="1005" w:type="dxa"/>
                  <w:vAlign w:val="center"/>
                </w:tcPr>
                <w:p w14:paraId="2CD4C92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13</w:t>
                  </w:r>
                </w:p>
              </w:tc>
            </w:tr>
            <w:tr w14:paraId="2696AE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7" w:hRule="atLeast"/>
              </w:trPr>
              <w:tc>
                <w:tcPr>
                  <w:tcW w:w="433" w:type="dxa"/>
                  <w:vAlign w:val="center"/>
                </w:tcPr>
                <w:p w14:paraId="26923C4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14</w:t>
                  </w:r>
                </w:p>
              </w:tc>
              <w:tc>
                <w:tcPr>
                  <w:tcW w:w="1267" w:type="dxa"/>
                  <w:vAlign w:val="center"/>
                </w:tcPr>
                <w:p w14:paraId="5CF63D27">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左</w:t>
                  </w:r>
                  <w:r>
                    <w:rPr>
                      <w:rFonts w:hint="default" w:ascii="Times New Roman" w:hAnsi="Times New Roman" w:cs="Times New Roman"/>
                      <w:spacing w:val="-34"/>
                      <w:sz w:val="21"/>
                      <w:szCs w:val="21"/>
                    </w:rPr>
                    <w:t xml:space="preserve"> </w:t>
                  </w:r>
                  <w:r>
                    <w:rPr>
                      <w:rFonts w:hint="default" w:ascii="Times New Roman" w:hAnsi="Times New Roman" w:eastAsia="Times New Roman" w:cs="Times New Roman"/>
                      <w:spacing w:val="-2"/>
                      <w:sz w:val="21"/>
                      <w:szCs w:val="21"/>
                    </w:rPr>
                    <w:t>9+175</w:t>
                  </w:r>
                </w:p>
              </w:tc>
              <w:tc>
                <w:tcPr>
                  <w:tcW w:w="977" w:type="dxa"/>
                  <w:vAlign w:val="center"/>
                </w:tcPr>
                <w:p w14:paraId="262DC07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0.044</w:t>
                  </w:r>
                </w:p>
              </w:tc>
              <w:tc>
                <w:tcPr>
                  <w:tcW w:w="1157" w:type="dxa"/>
                  <w:vAlign w:val="center"/>
                </w:tcPr>
                <w:p w14:paraId="72DD63F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600</w:t>
                  </w:r>
                </w:p>
              </w:tc>
              <w:tc>
                <w:tcPr>
                  <w:tcW w:w="427" w:type="dxa"/>
                  <w:vAlign w:val="center"/>
                </w:tcPr>
                <w:p w14:paraId="5058D0F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14</w:t>
                  </w:r>
                </w:p>
              </w:tc>
              <w:tc>
                <w:tcPr>
                  <w:tcW w:w="1468" w:type="dxa"/>
                  <w:vAlign w:val="center"/>
                </w:tcPr>
                <w:p w14:paraId="649D9B3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 xml:space="preserve">K </w:t>
                  </w:r>
                  <w:r>
                    <w:rPr>
                      <w:rFonts w:hint="default" w:ascii="Times New Roman" w:hAnsi="Times New Roman" w:cs="Times New Roman"/>
                      <w:spacing w:val="-3"/>
                      <w:sz w:val="21"/>
                      <w:szCs w:val="21"/>
                    </w:rPr>
                    <w:t>右</w:t>
                  </w:r>
                  <w:r>
                    <w:rPr>
                      <w:rFonts w:hint="default" w:ascii="Times New Roman" w:hAnsi="Times New Roman" w:cs="Times New Roman"/>
                      <w:spacing w:val="-23"/>
                      <w:sz w:val="21"/>
                      <w:szCs w:val="21"/>
                    </w:rPr>
                    <w:t xml:space="preserve"> </w:t>
                  </w:r>
                  <w:r>
                    <w:rPr>
                      <w:rFonts w:hint="default" w:ascii="Times New Roman" w:hAnsi="Times New Roman" w:eastAsia="Times New Roman" w:cs="Times New Roman"/>
                      <w:spacing w:val="-3"/>
                      <w:sz w:val="21"/>
                      <w:szCs w:val="21"/>
                    </w:rPr>
                    <w:t>14+725</w:t>
                  </w:r>
                </w:p>
              </w:tc>
              <w:tc>
                <w:tcPr>
                  <w:tcW w:w="925" w:type="dxa"/>
                  <w:vAlign w:val="center"/>
                </w:tcPr>
                <w:p w14:paraId="3BB3A25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0.038</w:t>
                  </w:r>
                </w:p>
              </w:tc>
              <w:tc>
                <w:tcPr>
                  <w:tcW w:w="1005" w:type="dxa"/>
                  <w:vAlign w:val="center"/>
                </w:tcPr>
                <w:p w14:paraId="4C9BC93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14</w:t>
                  </w:r>
                </w:p>
              </w:tc>
            </w:tr>
            <w:tr w14:paraId="35CB12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7" w:hRule="atLeast"/>
              </w:trPr>
              <w:tc>
                <w:tcPr>
                  <w:tcW w:w="433" w:type="dxa"/>
                  <w:vAlign w:val="center"/>
                </w:tcPr>
                <w:p w14:paraId="2BF7F2E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15</w:t>
                  </w:r>
                </w:p>
              </w:tc>
              <w:tc>
                <w:tcPr>
                  <w:tcW w:w="1267" w:type="dxa"/>
                  <w:vAlign w:val="center"/>
                </w:tcPr>
                <w:p w14:paraId="569CAA5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左</w:t>
                  </w:r>
                  <w:r>
                    <w:rPr>
                      <w:rFonts w:hint="default" w:ascii="Times New Roman" w:hAnsi="Times New Roman" w:cs="Times New Roman"/>
                      <w:spacing w:val="-34"/>
                      <w:sz w:val="21"/>
                      <w:szCs w:val="21"/>
                    </w:rPr>
                    <w:t xml:space="preserve"> </w:t>
                  </w:r>
                  <w:r>
                    <w:rPr>
                      <w:rFonts w:hint="default" w:ascii="Times New Roman" w:hAnsi="Times New Roman" w:eastAsia="Times New Roman" w:cs="Times New Roman"/>
                      <w:spacing w:val="-2"/>
                      <w:sz w:val="21"/>
                      <w:szCs w:val="21"/>
                    </w:rPr>
                    <w:t>9+613</w:t>
                  </w:r>
                </w:p>
              </w:tc>
              <w:tc>
                <w:tcPr>
                  <w:tcW w:w="977" w:type="dxa"/>
                  <w:vAlign w:val="center"/>
                </w:tcPr>
                <w:p w14:paraId="5E41EDD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0.109</w:t>
                  </w:r>
                </w:p>
              </w:tc>
              <w:tc>
                <w:tcPr>
                  <w:tcW w:w="1157" w:type="dxa"/>
                  <w:vAlign w:val="center"/>
                </w:tcPr>
                <w:p w14:paraId="7F4E750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600</w:t>
                  </w:r>
                </w:p>
              </w:tc>
              <w:tc>
                <w:tcPr>
                  <w:tcW w:w="427" w:type="dxa"/>
                  <w:vAlign w:val="center"/>
                </w:tcPr>
                <w:p w14:paraId="7A6FBED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15</w:t>
                  </w:r>
                </w:p>
              </w:tc>
              <w:tc>
                <w:tcPr>
                  <w:tcW w:w="1468" w:type="dxa"/>
                  <w:vAlign w:val="center"/>
                </w:tcPr>
                <w:p w14:paraId="17C1ACBC">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 xml:space="preserve">K </w:t>
                  </w:r>
                  <w:r>
                    <w:rPr>
                      <w:rFonts w:hint="default" w:ascii="Times New Roman" w:hAnsi="Times New Roman" w:cs="Times New Roman"/>
                      <w:spacing w:val="-3"/>
                      <w:sz w:val="21"/>
                      <w:szCs w:val="21"/>
                    </w:rPr>
                    <w:t>右</w:t>
                  </w:r>
                  <w:r>
                    <w:rPr>
                      <w:rFonts w:hint="default" w:ascii="Times New Roman" w:hAnsi="Times New Roman" w:cs="Times New Roman"/>
                      <w:spacing w:val="-23"/>
                      <w:sz w:val="21"/>
                      <w:szCs w:val="21"/>
                    </w:rPr>
                    <w:t xml:space="preserve"> </w:t>
                  </w:r>
                  <w:r>
                    <w:rPr>
                      <w:rFonts w:hint="default" w:ascii="Times New Roman" w:hAnsi="Times New Roman" w:eastAsia="Times New Roman" w:cs="Times New Roman"/>
                      <w:spacing w:val="-3"/>
                      <w:sz w:val="21"/>
                      <w:szCs w:val="21"/>
                    </w:rPr>
                    <w:t>14+840</w:t>
                  </w:r>
                </w:p>
              </w:tc>
              <w:tc>
                <w:tcPr>
                  <w:tcW w:w="925" w:type="dxa"/>
                  <w:vAlign w:val="center"/>
                </w:tcPr>
                <w:p w14:paraId="37123A3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0.063</w:t>
                  </w:r>
                </w:p>
              </w:tc>
              <w:tc>
                <w:tcPr>
                  <w:tcW w:w="1005" w:type="dxa"/>
                  <w:vAlign w:val="center"/>
                </w:tcPr>
                <w:p w14:paraId="3A72CF6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15</w:t>
                  </w:r>
                </w:p>
              </w:tc>
            </w:tr>
            <w:tr w14:paraId="7DFDDC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7" w:hRule="atLeast"/>
              </w:trPr>
              <w:tc>
                <w:tcPr>
                  <w:tcW w:w="433" w:type="dxa"/>
                  <w:vAlign w:val="center"/>
                </w:tcPr>
                <w:p w14:paraId="3709328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16</w:t>
                  </w:r>
                </w:p>
              </w:tc>
              <w:tc>
                <w:tcPr>
                  <w:tcW w:w="1267" w:type="dxa"/>
                  <w:vAlign w:val="center"/>
                </w:tcPr>
                <w:p w14:paraId="16600F7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 xml:space="preserve">K </w:t>
                  </w:r>
                  <w:r>
                    <w:rPr>
                      <w:rFonts w:hint="default" w:ascii="Times New Roman" w:hAnsi="Times New Roman" w:cs="Times New Roman"/>
                      <w:spacing w:val="-3"/>
                      <w:sz w:val="21"/>
                      <w:szCs w:val="21"/>
                    </w:rPr>
                    <w:t>左</w:t>
                  </w:r>
                  <w:r>
                    <w:rPr>
                      <w:rFonts w:hint="default" w:ascii="Times New Roman" w:hAnsi="Times New Roman" w:cs="Times New Roman"/>
                      <w:spacing w:val="-22"/>
                      <w:sz w:val="21"/>
                      <w:szCs w:val="21"/>
                    </w:rPr>
                    <w:t xml:space="preserve"> </w:t>
                  </w:r>
                  <w:r>
                    <w:rPr>
                      <w:rFonts w:hint="default" w:ascii="Times New Roman" w:hAnsi="Times New Roman" w:eastAsia="Times New Roman" w:cs="Times New Roman"/>
                      <w:spacing w:val="-3"/>
                      <w:sz w:val="21"/>
                      <w:szCs w:val="21"/>
                    </w:rPr>
                    <w:t>10+960</w:t>
                  </w:r>
                </w:p>
              </w:tc>
              <w:tc>
                <w:tcPr>
                  <w:tcW w:w="977" w:type="dxa"/>
                  <w:vAlign w:val="center"/>
                </w:tcPr>
                <w:p w14:paraId="230335F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0.102</w:t>
                  </w:r>
                </w:p>
              </w:tc>
              <w:tc>
                <w:tcPr>
                  <w:tcW w:w="1157" w:type="dxa"/>
                  <w:vAlign w:val="center"/>
                </w:tcPr>
                <w:p w14:paraId="4E87E8E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600</w:t>
                  </w:r>
                </w:p>
              </w:tc>
              <w:tc>
                <w:tcPr>
                  <w:tcW w:w="427" w:type="dxa"/>
                  <w:vAlign w:val="center"/>
                </w:tcPr>
                <w:p w14:paraId="6020283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16</w:t>
                  </w:r>
                </w:p>
              </w:tc>
              <w:tc>
                <w:tcPr>
                  <w:tcW w:w="1468" w:type="dxa"/>
                  <w:vAlign w:val="center"/>
                </w:tcPr>
                <w:p w14:paraId="0B75BE6B">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 xml:space="preserve">K </w:t>
                  </w:r>
                  <w:r>
                    <w:rPr>
                      <w:rFonts w:hint="default" w:ascii="Times New Roman" w:hAnsi="Times New Roman" w:cs="Times New Roman"/>
                      <w:spacing w:val="-3"/>
                      <w:sz w:val="21"/>
                      <w:szCs w:val="21"/>
                    </w:rPr>
                    <w:t>右</w:t>
                  </w:r>
                  <w:r>
                    <w:rPr>
                      <w:rFonts w:hint="default" w:ascii="Times New Roman" w:hAnsi="Times New Roman" w:cs="Times New Roman"/>
                      <w:spacing w:val="-23"/>
                      <w:sz w:val="21"/>
                      <w:szCs w:val="21"/>
                    </w:rPr>
                    <w:t xml:space="preserve"> </w:t>
                  </w:r>
                  <w:r>
                    <w:rPr>
                      <w:rFonts w:hint="default" w:ascii="Times New Roman" w:hAnsi="Times New Roman" w:eastAsia="Times New Roman" w:cs="Times New Roman"/>
                      <w:spacing w:val="-3"/>
                      <w:sz w:val="21"/>
                      <w:szCs w:val="21"/>
                    </w:rPr>
                    <w:t>15+033</w:t>
                  </w:r>
                </w:p>
              </w:tc>
              <w:tc>
                <w:tcPr>
                  <w:tcW w:w="925" w:type="dxa"/>
                  <w:vAlign w:val="center"/>
                </w:tcPr>
                <w:p w14:paraId="76A6502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0.058</w:t>
                  </w:r>
                </w:p>
              </w:tc>
              <w:tc>
                <w:tcPr>
                  <w:tcW w:w="1005" w:type="dxa"/>
                  <w:vAlign w:val="center"/>
                </w:tcPr>
                <w:p w14:paraId="1E10BB0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16</w:t>
                  </w:r>
                </w:p>
              </w:tc>
            </w:tr>
            <w:tr w14:paraId="1CE616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77" w:hRule="atLeast"/>
              </w:trPr>
              <w:tc>
                <w:tcPr>
                  <w:tcW w:w="433" w:type="dxa"/>
                  <w:vAlign w:val="center"/>
                </w:tcPr>
                <w:p w14:paraId="6AA30D3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17</w:t>
                  </w:r>
                </w:p>
              </w:tc>
              <w:tc>
                <w:tcPr>
                  <w:tcW w:w="1267" w:type="dxa"/>
                  <w:vAlign w:val="center"/>
                </w:tcPr>
                <w:p w14:paraId="5296AC9F">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4"/>
                      <w:sz w:val="21"/>
                      <w:szCs w:val="21"/>
                    </w:rPr>
                    <w:t xml:space="preserve">K </w:t>
                  </w:r>
                  <w:r>
                    <w:rPr>
                      <w:rFonts w:hint="default" w:ascii="Times New Roman" w:hAnsi="Times New Roman" w:cs="Times New Roman"/>
                      <w:spacing w:val="-4"/>
                      <w:sz w:val="21"/>
                      <w:szCs w:val="21"/>
                    </w:rPr>
                    <w:t>左</w:t>
                  </w:r>
                  <w:r>
                    <w:rPr>
                      <w:rFonts w:hint="default" w:ascii="Times New Roman" w:hAnsi="Times New Roman" w:cs="Times New Roman"/>
                      <w:spacing w:val="-21"/>
                      <w:sz w:val="21"/>
                      <w:szCs w:val="21"/>
                    </w:rPr>
                    <w:t xml:space="preserve"> </w:t>
                  </w:r>
                  <w:r>
                    <w:rPr>
                      <w:rFonts w:hint="default" w:ascii="Times New Roman" w:hAnsi="Times New Roman" w:eastAsia="Times New Roman" w:cs="Times New Roman"/>
                      <w:spacing w:val="-4"/>
                      <w:sz w:val="21"/>
                      <w:szCs w:val="21"/>
                    </w:rPr>
                    <w:t>11+230</w:t>
                  </w:r>
                </w:p>
              </w:tc>
              <w:tc>
                <w:tcPr>
                  <w:tcW w:w="977" w:type="dxa"/>
                  <w:vAlign w:val="center"/>
                </w:tcPr>
                <w:p w14:paraId="5C5A20F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0.085</w:t>
                  </w:r>
                </w:p>
              </w:tc>
              <w:tc>
                <w:tcPr>
                  <w:tcW w:w="1157" w:type="dxa"/>
                  <w:vAlign w:val="center"/>
                </w:tcPr>
                <w:p w14:paraId="561777F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600</w:t>
                  </w:r>
                </w:p>
              </w:tc>
              <w:tc>
                <w:tcPr>
                  <w:tcW w:w="427" w:type="dxa"/>
                  <w:vAlign w:val="center"/>
                </w:tcPr>
                <w:p w14:paraId="2B3DD85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17</w:t>
                  </w:r>
                </w:p>
              </w:tc>
              <w:tc>
                <w:tcPr>
                  <w:tcW w:w="1468" w:type="dxa"/>
                  <w:vAlign w:val="center"/>
                </w:tcPr>
                <w:p w14:paraId="0A0A6979">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 xml:space="preserve">K </w:t>
                  </w:r>
                  <w:r>
                    <w:rPr>
                      <w:rFonts w:hint="default" w:ascii="Times New Roman" w:hAnsi="Times New Roman" w:cs="Times New Roman"/>
                      <w:spacing w:val="-3"/>
                      <w:sz w:val="21"/>
                      <w:szCs w:val="21"/>
                    </w:rPr>
                    <w:t>右</w:t>
                  </w:r>
                  <w:r>
                    <w:rPr>
                      <w:rFonts w:hint="default" w:ascii="Times New Roman" w:hAnsi="Times New Roman" w:cs="Times New Roman"/>
                      <w:spacing w:val="-23"/>
                      <w:sz w:val="21"/>
                      <w:szCs w:val="21"/>
                    </w:rPr>
                    <w:t xml:space="preserve"> </w:t>
                  </w:r>
                  <w:r>
                    <w:rPr>
                      <w:rFonts w:hint="default" w:ascii="Times New Roman" w:hAnsi="Times New Roman" w:eastAsia="Times New Roman" w:cs="Times New Roman"/>
                      <w:spacing w:val="-3"/>
                      <w:sz w:val="21"/>
                      <w:szCs w:val="21"/>
                    </w:rPr>
                    <w:t>15+455</w:t>
                  </w:r>
                </w:p>
              </w:tc>
              <w:tc>
                <w:tcPr>
                  <w:tcW w:w="925" w:type="dxa"/>
                  <w:vAlign w:val="center"/>
                </w:tcPr>
                <w:p w14:paraId="316826B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0.051</w:t>
                  </w:r>
                </w:p>
              </w:tc>
              <w:tc>
                <w:tcPr>
                  <w:tcW w:w="1005" w:type="dxa"/>
                  <w:vAlign w:val="center"/>
                </w:tcPr>
                <w:p w14:paraId="1262F2B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17</w:t>
                  </w:r>
                </w:p>
              </w:tc>
            </w:tr>
            <w:tr w14:paraId="6420A6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77" w:hRule="atLeast"/>
              </w:trPr>
              <w:tc>
                <w:tcPr>
                  <w:tcW w:w="433" w:type="dxa"/>
                  <w:vAlign w:val="center"/>
                </w:tcPr>
                <w:p w14:paraId="42C30EF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18</w:t>
                  </w:r>
                </w:p>
              </w:tc>
              <w:tc>
                <w:tcPr>
                  <w:tcW w:w="1267" w:type="dxa"/>
                  <w:vAlign w:val="center"/>
                </w:tcPr>
                <w:p w14:paraId="3CDE960B">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4"/>
                      <w:sz w:val="21"/>
                      <w:szCs w:val="21"/>
                    </w:rPr>
                    <w:t xml:space="preserve">K </w:t>
                  </w:r>
                  <w:r>
                    <w:rPr>
                      <w:rFonts w:hint="default" w:ascii="Times New Roman" w:hAnsi="Times New Roman" w:cs="Times New Roman"/>
                      <w:spacing w:val="-4"/>
                      <w:sz w:val="21"/>
                      <w:szCs w:val="21"/>
                    </w:rPr>
                    <w:t>左</w:t>
                  </w:r>
                  <w:r>
                    <w:rPr>
                      <w:rFonts w:hint="default" w:ascii="Times New Roman" w:hAnsi="Times New Roman" w:cs="Times New Roman"/>
                      <w:spacing w:val="-21"/>
                      <w:sz w:val="21"/>
                      <w:szCs w:val="21"/>
                    </w:rPr>
                    <w:t xml:space="preserve"> </w:t>
                  </w:r>
                  <w:r>
                    <w:rPr>
                      <w:rFonts w:hint="default" w:ascii="Times New Roman" w:hAnsi="Times New Roman" w:eastAsia="Times New Roman" w:cs="Times New Roman"/>
                      <w:spacing w:val="-4"/>
                      <w:sz w:val="21"/>
                      <w:szCs w:val="21"/>
                    </w:rPr>
                    <w:t>11+655</w:t>
                  </w:r>
                </w:p>
              </w:tc>
              <w:tc>
                <w:tcPr>
                  <w:tcW w:w="977" w:type="dxa"/>
                  <w:vAlign w:val="center"/>
                </w:tcPr>
                <w:p w14:paraId="01F8CAC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0.092</w:t>
                  </w:r>
                </w:p>
              </w:tc>
              <w:tc>
                <w:tcPr>
                  <w:tcW w:w="1157" w:type="dxa"/>
                  <w:vAlign w:val="center"/>
                </w:tcPr>
                <w:p w14:paraId="2371272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600</w:t>
                  </w:r>
                </w:p>
              </w:tc>
              <w:tc>
                <w:tcPr>
                  <w:tcW w:w="427" w:type="dxa"/>
                  <w:vAlign w:val="center"/>
                </w:tcPr>
                <w:p w14:paraId="3714286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18</w:t>
                  </w:r>
                </w:p>
              </w:tc>
              <w:tc>
                <w:tcPr>
                  <w:tcW w:w="1468" w:type="dxa"/>
                  <w:vAlign w:val="center"/>
                </w:tcPr>
                <w:p w14:paraId="3982961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 xml:space="preserve">K </w:t>
                  </w:r>
                  <w:r>
                    <w:rPr>
                      <w:rFonts w:hint="default" w:ascii="Times New Roman" w:hAnsi="Times New Roman" w:cs="Times New Roman"/>
                      <w:spacing w:val="-3"/>
                      <w:sz w:val="21"/>
                      <w:szCs w:val="21"/>
                    </w:rPr>
                    <w:t>右</w:t>
                  </w:r>
                  <w:r>
                    <w:rPr>
                      <w:rFonts w:hint="default" w:ascii="Times New Roman" w:hAnsi="Times New Roman" w:cs="Times New Roman"/>
                      <w:spacing w:val="-23"/>
                      <w:sz w:val="21"/>
                      <w:szCs w:val="21"/>
                    </w:rPr>
                    <w:t xml:space="preserve"> </w:t>
                  </w:r>
                  <w:r>
                    <w:rPr>
                      <w:rFonts w:hint="default" w:ascii="Times New Roman" w:hAnsi="Times New Roman" w:eastAsia="Times New Roman" w:cs="Times New Roman"/>
                      <w:spacing w:val="-3"/>
                      <w:sz w:val="21"/>
                      <w:szCs w:val="21"/>
                    </w:rPr>
                    <w:t>15+610</w:t>
                  </w:r>
                </w:p>
              </w:tc>
              <w:tc>
                <w:tcPr>
                  <w:tcW w:w="925" w:type="dxa"/>
                  <w:vAlign w:val="center"/>
                </w:tcPr>
                <w:p w14:paraId="352C854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0.078</w:t>
                  </w:r>
                </w:p>
              </w:tc>
              <w:tc>
                <w:tcPr>
                  <w:tcW w:w="1005" w:type="dxa"/>
                  <w:vAlign w:val="center"/>
                </w:tcPr>
                <w:p w14:paraId="63277D2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18</w:t>
                  </w:r>
                </w:p>
              </w:tc>
            </w:tr>
            <w:tr w14:paraId="3BB202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trPr>
              <w:tc>
                <w:tcPr>
                  <w:tcW w:w="433" w:type="dxa"/>
                  <w:vAlign w:val="center"/>
                </w:tcPr>
                <w:p w14:paraId="0B5583A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19</w:t>
                  </w:r>
                </w:p>
              </w:tc>
              <w:tc>
                <w:tcPr>
                  <w:tcW w:w="1267" w:type="dxa"/>
                  <w:vAlign w:val="center"/>
                </w:tcPr>
                <w:p w14:paraId="5FCE5DFB">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 xml:space="preserve">K </w:t>
                  </w:r>
                  <w:r>
                    <w:rPr>
                      <w:rFonts w:hint="default" w:ascii="Times New Roman" w:hAnsi="Times New Roman" w:cs="Times New Roman"/>
                      <w:spacing w:val="-3"/>
                      <w:sz w:val="21"/>
                      <w:szCs w:val="21"/>
                    </w:rPr>
                    <w:t>左</w:t>
                  </w:r>
                  <w:r>
                    <w:rPr>
                      <w:rFonts w:hint="default" w:ascii="Times New Roman" w:hAnsi="Times New Roman" w:cs="Times New Roman"/>
                      <w:spacing w:val="-22"/>
                      <w:sz w:val="21"/>
                      <w:szCs w:val="21"/>
                    </w:rPr>
                    <w:t xml:space="preserve"> </w:t>
                  </w:r>
                  <w:r>
                    <w:rPr>
                      <w:rFonts w:hint="default" w:ascii="Times New Roman" w:hAnsi="Times New Roman" w:eastAsia="Times New Roman" w:cs="Times New Roman"/>
                      <w:spacing w:val="-3"/>
                      <w:sz w:val="21"/>
                      <w:szCs w:val="21"/>
                    </w:rPr>
                    <w:t>14+797</w:t>
                  </w:r>
                </w:p>
              </w:tc>
              <w:tc>
                <w:tcPr>
                  <w:tcW w:w="977" w:type="dxa"/>
                  <w:vAlign w:val="center"/>
                </w:tcPr>
                <w:p w14:paraId="66BBB4C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0.097</w:t>
                  </w:r>
                </w:p>
              </w:tc>
              <w:tc>
                <w:tcPr>
                  <w:tcW w:w="1157" w:type="dxa"/>
                  <w:vAlign w:val="center"/>
                </w:tcPr>
                <w:p w14:paraId="4E4EE5D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600</w:t>
                  </w:r>
                </w:p>
              </w:tc>
              <w:tc>
                <w:tcPr>
                  <w:tcW w:w="427" w:type="dxa"/>
                  <w:vAlign w:val="center"/>
                </w:tcPr>
                <w:p w14:paraId="713FCE3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19</w:t>
                  </w:r>
                </w:p>
              </w:tc>
              <w:tc>
                <w:tcPr>
                  <w:tcW w:w="1468" w:type="dxa"/>
                  <w:vAlign w:val="center"/>
                </w:tcPr>
                <w:p w14:paraId="361148D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3"/>
                      <w:sz w:val="21"/>
                      <w:szCs w:val="21"/>
                    </w:rPr>
                    <w:t xml:space="preserve">K </w:t>
                  </w:r>
                  <w:r>
                    <w:rPr>
                      <w:rFonts w:hint="default" w:ascii="Times New Roman" w:hAnsi="Times New Roman" w:cs="Times New Roman"/>
                      <w:spacing w:val="-3"/>
                      <w:sz w:val="21"/>
                      <w:szCs w:val="21"/>
                    </w:rPr>
                    <w:t>右</w:t>
                  </w:r>
                  <w:r>
                    <w:rPr>
                      <w:rFonts w:hint="default" w:ascii="Times New Roman" w:hAnsi="Times New Roman" w:cs="Times New Roman"/>
                      <w:spacing w:val="-23"/>
                      <w:sz w:val="21"/>
                      <w:szCs w:val="21"/>
                    </w:rPr>
                    <w:t xml:space="preserve"> </w:t>
                  </w:r>
                  <w:r>
                    <w:rPr>
                      <w:rFonts w:hint="default" w:ascii="Times New Roman" w:hAnsi="Times New Roman" w:eastAsia="Times New Roman" w:cs="Times New Roman"/>
                      <w:spacing w:val="-3"/>
                      <w:sz w:val="21"/>
                      <w:szCs w:val="21"/>
                    </w:rPr>
                    <w:t>15+740</w:t>
                  </w:r>
                </w:p>
              </w:tc>
              <w:tc>
                <w:tcPr>
                  <w:tcW w:w="925" w:type="dxa"/>
                  <w:vAlign w:val="center"/>
                </w:tcPr>
                <w:p w14:paraId="79FC773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
                      <w:sz w:val="21"/>
                      <w:szCs w:val="21"/>
                    </w:rPr>
                    <w:t>0.058</w:t>
                  </w:r>
                </w:p>
              </w:tc>
              <w:tc>
                <w:tcPr>
                  <w:tcW w:w="1005" w:type="dxa"/>
                  <w:vAlign w:val="center"/>
                </w:tcPr>
                <w:p w14:paraId="03E5680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sz w:val="21"/>
                      <w:szCs w:val="21"/>
                    </w:rPr>
                  </w:pPr>
                  <w:r>
                    <w:rPr>
                      <w:rFonts w:hint="default" w:ascii="Times New Roman" w:hAnsi="Times New Roman" w:eastAsia="Times New Roman" w:cs="Times New Roman"/>
                      <w:spacing w:val="-10"/>
                      <w:sz w:val="21"/>
                      <w:szCs w:val="21"/>
                    </w:rPr>
                    <w:t>19</w:t>
                  </w:r>
                </w:p>
              </w:tc>
            </w:tr>
            <w:tr w14:paraId="7E8ABE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trPr>
              <w:tc>
                <w:tcPr>
                  <w:tcW w:w="433" w:type="dxa"/>
                  <w:vAlign w:val="center"/>
                </w:tcPr>
                <w:p w14:paraId="1214BE9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20</w:t>
                  </w:r>
                </w:p>
              </w:tc>
              <w:tc>
                <w:tcPr>
                  <w:tcW w:w="1267" w:type="dxa"/>
                  <w:vAlign w:val="center"/>
                </w:tcPr>
                <w:p w14:paraId="3C1CAD4E">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3"/>
                      <w:sz w:val="21"/>
                      <w:szCs w:val="21"/>
                    </w:rPr>
                    <w:t xml:space="preserve">K </w:t>
                  </w:r>
                  <w:r>
                    <w:rPr>
                      <w:rFonts w:hint="default" w:ascii="Times New Roman" w:hAnsi="Times New Roman" w:cs="Times New Roman"/>
                      <w:spacing w:val="-3"/>
                      <w:sz w:val="21"/>
                      <w:szCs w:val="21"/>
                    </w:rPr>
                    <w:t>左</w:t>
                  </w:r>
                  <w:r>
                    <w:rPr>
                      <w:rFonts w:hint="default" w:ascii="Times New Roman" w:hAnsi="Times New Roman" w:cs="Times New Roman"/>
                      <w:spacing w:val="-22"/>
                      <w:sz w:val="21"/>
                      <w:szCs w:val="21"/>
                    </w:rPr>
                    <w:t xml:space="preserve"> </w:t>
                  </w:r>
                  <w:r>
                    <w:rPr>
                      <w:rFonts w:hint="default" w:ascii="Times New Roman" w:hAnsi="Times New Roman" w:eastAsia="Times New Roman" w:cs="Times New Roman"/>
                      <w:spacing w:val="-3"/>
                      <w:sz w:val="21"/>
                      <w:szCs w:val="21"/>
                    </w:rPr>
                    <w:t>17+732</w:t>
                  </w:r>
                </w:p>
              </w:tc>
              <w:tc>
                <w:tcPr>
                  <w:tcW w:w="977" w:type="dxa"/>
                  <w:vAlign w:val="center"/>
                </w:tcPr>
                <w:p w14:paraId="713E4D9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0.109</w:t>
                  </w:r>
                </w:p>
              </w:tc>
              <w:tc>
                <w:tcPr>
                  <w:tcW w:w="1157" w:type="dxa"/>
                  <w:vAlign w:val="center"/>
                </w:tcPr>
                <w:p w14:paraId="1E9A86D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3"/>
                      <w:sz w:val="21"/>
                      <w:szCs w:val="21"/>
                    </w:rPr>
                    <w:t>600</w:t>
                  </w:r>
                </w:p>
              </w:tc>
              <w:tc>
                <w:tcPr>
                  <w:tcW w:w="427" w:type="dxa"/>
                  <w:vAlign w:val="center"/>
                </w:tcPr>
                <w:p w14:paraId="2E6347E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20</w:t>
                  </w:r>
                </w:p>
              </w:tc>
              <w:tc>
                <w:tcPr>
                  <w:tcW w:w="1468" w:type="dxa"/>
                  <w:vAlign w:val="center"/>
                </w:tcPr>
                <w:p w14:paraId="18D12EC9">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3"/>
                      <w:sz w:val="21"/>
                      <w:szCs w:val="21"/>
                    </w:rPr>
                    <w:t xml:space="preserve">K </w:t>
                  </w:r>
                  <w:r>
                    <w:rPr>
                      <w:rFonts w:hint="default" w:ascii="Times New Roman" w:hAnsi="Times New Roman" w:cs="Times New Roman"/>
                      <w:spacing w:val="-3"/>
                      <w:sz w:val="21"/>
                      <w:szCs w:val="21"/>
                    </w:rPr>
                    <w:t>右</w:t>
                  </w:r>
                  <w:r>
                    <w:rPr>
                      <w:rFonts w:hint="default" w:ascii="Times New Roman" w:hAnsi="Times New Roman" w:cs="Times New Roman"/>
                      <w:spacing w:val="-23"/>
                      <w:sz w:val="21"/>
                      <w:szCs w:val="21"/>
                    </w:rPr>
                    <w:t xml:space="preserve"> </w:t>
                  </w:r>
                  <w:r>
                    <w:rPr>
                      <w:rFonts w:hint="default" w:ascii="Times New Roman" w:hAnsi="Times New Roman" w:eastAsia="Times New Roman" w:cs="Times New Roman"/>
                      <w:spacing w:val="-3"/>
                      <w:sz w:val="21"/>
                      <w:szCs w:val="21"/>
                    </w:rPr>
                    <w:t>15+845</w:t>
                  </w:r>
                </w:p>
              </w:tc>
              <w:tc>
                <w:tcPr>
                  <w:tcW w:w="925" w:type="dxa"/>
                  <w:vAlign w:val="center"/>
                </w:tcPr>
                <w:p w14:paraId="6FAF93E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0.058</w:t>
                  </w:r>
                </w:p>
              </w:tc>
              <w:tc>
                <w:tcPr>
                  <w:tcW w:w="1005" w:type="dxa"/>
                  <w:vAlign w:val="center"/>
                </w:tcPr>
                <w:p w14:paraId="40AB7E9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20</w:t>
                  </w:r>
                </w:p>
              </w:tc>
            </w:tr>
            <w:tr w14:paraId="167D7A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84" w:hRule="atLeast"/>
              </w:trPr>
              <w:tc>
                <w:tcPr>
                  <w:tcW w:w="433" w:type="dxa"/>
                  <w:vAlign w:val="center"/>
                </w:tcPr>
                <w:p w14:paraId="098D809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21</w:t>
                  </w:r>
                </w:p>
              </w:tc>
              <w:tc>
                <w:tcPr>
                  <w:tcW w:w="1267" w:type="dxa"/>
                  <w:vAlign w:val="center"/>
                </w:tcPr>
                <w:p w14:paraId="68A82FA1">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3"/>
                      <w:sz w:val="21"/>
                      <w:szCs w:val="21"/>
                    </w:rPr>
                    <w:t xml:space="preserve">K </w:t>
                  </w:r>
                  <w:r>
                    <w:rPr>
                      <w:rFonts w:hint="default" w:ascii="Times New Roman" w:hAnsi="Times New Roman" w:cs="Times New Roman"/>
                      <w:spacing w:val="-3"/>
                      <w:sz w:val="21"/>
                      <w:szCs w:val="21"/>
                    </w:rPr>
                    <w:t>左</w:t>
                  </w:r>
                  <w:r>
                    <w:rPr>
                      <w:rFonts w:hint="default" w:ascii="Times New Roman" w:hAnsi="Times New Roman" w:cs="Times New Roman"/>
                      <w:spacing w:val="-22"/>
                      <w:sz w:val="21"/>
                      <w:szCs w:val="21"/>
                    </w:rPr>
                    <w:t xml:space="preserve"> </w:t>
                  </w:r>
                  <w:r>
                    <w:rPr>
                      <w:rFonts w:hint="default" w:ascii="Times New Roman" w:hAnsi="Times New Roman" w:eastAsia="Times New Roman" w:cs="Times New Roman"/>
                      <w:spacing w:val="-3"/>
                      <w:sz w:val="21"/>
                      <w:szCs w:val="21"/>
                    </w:rPr>
                    <w:t>17+885</w:t>
                  </w:r>
                </w:p>
              </w:tc>
              <w:tc>
                <w:tcPr>
                  <w:tcW w:w="977" w:type="dxa"/>
                  <w:vAlign w:val="center"/>
                </w:tcPr>
                <w:p w14:paraId="4EEC02C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0.046</w:t>
                  </w:r>
                </w:p>
              </w:tc>
              <w:tc>
                <w:tcPr>
                  <w:tcW w:w="1157" w:type="dxa"/>
                  <w:vAlign w:val="center"/>
                </w:tcPr>
                <w:p w14:paraId="482BF7A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3"/>
                      <w:sz w:val="21"/>
                      <w:szCs w:val="21"/>
                    </w:rPr>
                    <w:t>600</w:t>
                  </w:r>
                </w:p>
              </w:tc>
              <w:tc>
                <w:tcPr>
                  <w:tcW w:w="427" w:type="dxa"/>
                  <w:vAlign w:val="center"/>
                </w:tcPr>
                <w:p w14:paraId="715CF9F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21</w:t>
                  </w:r>
                </w:p>
              </w:tc>
              <w:tc>
                <w:tcPr>
                  <w:tcW w:w="1468" w:type="dxa"/>
                  <w:vAlign w:val="center"/>
                </w:tcPr>
                <w:p w14:paraId="7478AB9E">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3"/>
                      <w:sz w:val="21"/>
                      <w:szCs w:val="21"/>
                    </w:rPr>
                    <w:t xml:space="preserve">K </w:t>
                  </w:r>
                  <w:r>
                    <w:rPr>
                      <w:rFonts w:hint="default" w:ascii="Times New Roman" w:hAnsi="Times New Roman" w:cs="Times New Roman"/>
                      <w:spacing w:val="-3"/>
                      <w:sz w:val="21"/>
                      <w:szCs w:val="21"/>
                    </w:rPr>
                    <w:t>右</w:t>
                  </w:r>
                  <w:r>
                    <w:rPr>
                      <w:rFonts w:hint="default" w:ascii="Times New Roman" w:hAnsi="Times New Roman" w:cs="Times New Roman"/>
                      <w:spacing w:val="-23"/>
                      <w:sz w:val="21"/>
                      <w:szCs w:val="21"/>
                    </w:rPr>
                    <w:t xml:space="preserve"> </w:t>
                  </w:r>
                  <w:r>
                    <w:rPr>
                      <w:rFonts w:hint="default" w:ascii="Times New Roman" w:hAnsi="Times New Roman" w:eastAsia="Times New Roman" w:cs="Times New Roman"/>
                      <w:spacing w:val="-3"/>
                      <w:sz w:val="21"/>
                      <w:szCs w:val="21"/>
                    </w:rPr>
                    <w:t>16+045</w:t>
                  </w:r>
                </w:p>
              </w:tc>
              <w:tc>
                <w:tcPr>
                  <w:tcW w:w="925" w:type="dxa"/>
                  <w:vAlign w:val="center"/>
                </w:tcPr>
                <w:p w14:paraId="2C862A5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0.085</w:t>
                  </w:r>
                </w:p>
              </w:tc>
              <w:tc>
                <w:tcPr>
                  <w:tcW w:w="1005" w:type="dxa"/>
                  <w:vAlign w:val="center"/>
                </w:tcPr>
                <w:p w14:paraId="09FA1F3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21</w:t>
                  </w:r>
                </w:p>
              </w:tc>
            </w:tr>
            <w:tr w14:paraId="7D2467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84" w:hRule="atLeast"/>
              </w:trPr>
              <w:tc>
                <w:tcPr>
                  <w:tcW w:w="433" w:type="dxa"/>
                  <w:vAlign w:val="center"/>
                </w:tcPr>
                <w:p w14:paraId="3C2E84C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22</w:t>
                  </w:r>
                </w:p>
              </w:tc>
              <w:tc>
                <w:tcPr>
                  <w:tcW w:w="1267" w:type="dxa"/>
                  <w:vAlign w:val="center"/>
                </w:tcPr>
                <w:p w14:paraId="2F9D47BD">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3"/>
                      <w:sz w:val="21"/>
                      <w:szCs w:val="21"/>
                    </w:rPr>
                    <w:t xml:space="preserve">K </w:t>
                  </w:r>
                  <w:r>
                    <w:rPr>
                      <w:rFonts w:hint="default" w:ascii="Times New Roman" w:hAnsi="Times New Roman" w:cs="Times New Roman"/>
                      <w:spacing w:val="-3"/>
                      <w:sz w:val="21"/>
                      <w:szCs w:val="21"/>
                    </w:rPr>
                    <w:t>左</w:t>
                  </w:r>
                  <w:r>
                    <w:rPr>
                      <w:rFonts w:hint="default" w:ascii="Times New Roman" w:hAnsi="Times New Roman" w:cs="Times New Roman"/>
                      <w:spacing w:val="-22"/>
                      <w:sz w:val="21"/>
                      <w:szCs w:val="21"/>
                    </w:rPr>
                    <w:t xml:space="preserve"> </w:t>
                  </w:r>
                  <w:r>
                    <w:rPr>
                      <w:rFonts w:hint="default" w:ascii="Times New Roman" w:hAnsi="Times New Roman" w:eastAsia="Times New Roman" w:cs="Times New Roman"/>
                      <w:spacing w:val="-3"/>
                      <w:sz w:val="21"/>
                      <w:szCs w:val="21"/>
                    </w:rPr>
                    <w:t>18+670</w:t>
                  </w:r>
                </w:p>
              </w:tc>
              <w:tc>
                <w:tcPr>
                  <w:tcW w:w="977" w:type="dxa"/>
                  <w:vAlign w:val="center"/>
                </w:tcPr>
                <w:p w14:paraId="3D3F79B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0.046</w:t>
                  </w:r>
                </w:p>
              </w:tc>
              <w:tc>
                <w:tcPr>
                  <w:tcW w:w="1157" w:type="dxa"/>
                  <w:vAlign w:val="center"/>
                </w:tcPr>
                <w:p w14:paraId="2C855E6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3"/>
                      <w:sz w:val="21"/>
                      <w:szCs w:val="21"/>
                    </w:rPr>
                    <w:t>600</w:t>
                  </w:r>
                </w:p>
              </w:tc>
              <w:tc>
                <w:tcPr>
                  <w:tcW w:w="427" w:type="dxa"/>
                  <w:vAlign w:val="center"/>
                </w:tcPr>
                <w:p w14:paraId="2BA9C0B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22</w:t>
                  </w:r>
                </w:p>
              </w:tc>
              <w:tc>
                <w:tcPr>
                  <w:tcW w:w="1468" w:type="dxa"/>
                  <w:vAlign w:val="center"/>
                </w:tcPr>
                <w:p w14:paraId="2112706A">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3"/>
                      <w:sz w:val="21"/>
                      <w:szCs w:val="21"/>
                    </w:rPr>
                    <w:t xml:space="preserve">K </w:t>
                  </w:r>
                  <w:r>
                    <w:rPr>
                      <w:rFonts w:hint="default" w:ascii="Times New Roman" w:hAnsi="Times New Roman" w:cs="Times New Roman"/>
                      <w:spacing w:val="-3"/>
                      <w:sz w:val="21"/>
                      <w:szCs w:val="21"/>
                    </w:rPr>
                    <w:t>右</w:t>
                  </w:r>
                  <w:r>
                    <w:rPr>
                      <w:rFonts w:hint="default" w:ascii="Times New Roman" w:hAnsi="Times New Roman" w:cs="Times New Roman"/>
                      <w:spacing w:val="-23"/>
                      <w:sz w:val="21"/>
                      <w:szCs w:val="21"/>
                    </w:rPr>
                    <w:t xml:space="preserve"> </w:t>
                  </w:r>
                  <w:r>
                    <w:rPr>
                      <w:rFonts w:hint="default" w:ascii="Times New Roman" w:hAnsi="Times New Roman" w:eastAsia="Times New Roman" w:cs="Times New Roman"/>
                      <w:spacing w:val="-3"/>
                      <w:sz w:val="21"/>
                      <w:szCs w:val="21"/>
                    </w:rPr>
                    <w:t>16+260</w:t>
                  </w:r>
                </w:p>
              </w:tc>
              <w:tc>
                <w:tcPr>
                  <w:tcW w:w="925" w:type="dxa"/>
                  <w:vAlign w:val="center"/>
                </w:tcPr>
                <w:p w14:paraId="13BCFFA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0.100</w:t>
                  </w:r>
                </w:p>
              </w:tc>
              <w:tc>
                <w:tcPr>
                  <w:tcW w:w="1005" w:type="dxa"/>
                  <w:vAlign w:val="center"/>
                </w:tcPr>
                <w:p w14:paraId="5892652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22</w:t>
                  </w:r>
                </w:p>
              </w:tc>
            </w:tr>
            <w:tr w14:paraId="5DE92B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trPr>
              <w:tc>
                <w:tcPr>
                  <w:tcW w:w="433" w:type="dxa"/>
                  <w:vAlign w:val="center"/>
                </w:tcPr>
                <w:p w14:paraId="247EF6A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23</w:t>
                  </w:r>
                </w:p>
              </w:tc>
              <w:tc>
                <w:tcPr>
                  <w:tcW w:w="1267" w:type="dxa"/>
                  <w:vAlign w:val="center"/>
                </w:tcPr>
                <w:p w14:paraId="2A7CF4C6">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1"/>
                      <w:sz w:val="21"/>
                      <w:szCs w:val="21"/>
                    </w:rPr>
                    <w:t xml:space="preserve">K </w:t>
                  </w:r>
                  <w:r>
                    <w:rPr>
                      <w:rFonts w:hint="default" w:ascii="Times New Roman" w:hAnsi="Times New Roman" w:cs="Times New Roman"/>
                      <w:spacing w:val="-1"/>
                      <w:sz w:val="21"/>
                      <w:szCs w:val="21"/>
                    </w:rPr>
                    <w:t>左</w:t>
                  </w:r>
                  <w:r>
                    <w:rPr>
                      <w:rFonts w:hint="default" w:ascii="Times New Roman" w:hAnsi="Times New Roman" w:cs="Times New Roman"/>
                      <w:spacing w:val="-40"/>
                      <w:sz w:val="21"/>
                      <w:szCs w:val="21"/>
                    </w:rPr>
                    <w:t xml:space="preserve"> </w:t>
                  </w:r>
                  <w:r>
                    <w:rPr>
                      <w:rFonts w:hint="default" w:ascii="Times New Roman" w:hAnsi="Times New Roman" w:eastAsia="Times New Roman" w:cs="Times New Roman"/>
                      <w:spacing w:val="-1"/>
                      <w:sz w:val="21"/>
                      <w:szCs w:val="21"/>
                    </w:rPr>
                    <w:t>26+450</w:t>
                  </w:r>
                </w:p>
              </w:tc>
              <w:tc>
                <w:tcPr>
                  <w:tcW w:w="977" w:type="dxa"/>
                  <w:vAlign w:val="center"/>
                </w:tcPr>
                <w:p w14:paraId="4830913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0.087</w:t>
                  </w:r>
                </w:p>
              </w:tc>
              <w:tc>
                <w:tcPr>
                  <w:tcW w:w="1157" w:type="dxa"/>
                  <w:vAlign w:val="center"/>
                </w:tcPr>
                <w:p w14:paraId="1C330B7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3"/>
                      <w:sz w:val="21"/>
                      <w:szCs w:val="21"/>
                    </w:rPr>
                    <w:t>600</w:t>
                  </w:r>
                </w:p>
              </w:tc>
              <w:tc>
                <w:tcPr>
                  <w:tcW w:w="427" w:type="dxa"/>
                  <w:vAlign w:val="center"/>
                </w:tcPr>
                <w:p w14:paraId="060AE82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23</w:t>
                  </w:r>
                </w:p>
              </w:tc>
              <w:tc>
                <w:tcPr>
                  <w:tcW w:w="1468" w:type="dxa"/>
                  <w:vAlign w:val="center"/>
                </w:tcPr>
                <w:p w14:paraId="71F7AEA6">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3"/>
                      <w:sz w:val="21"/>
                      <w:szCs w:val="21"/>
                    </w:rPr>
                    <w:t xml:space="preserve">K </w:t>
                  </w:r>
                  <w:r>
                    <w:rPr>
                      <w:rFonts w:hint="default" w:ascii="Times New Roman" w:hAnsi="Times New Roman" w:cs="Times New Roman"/>
                      <w:spacing w:val="-3"/>
                      <w:sz w:val="21"/>
                      <w:szCs w:val="21"/>
                    </w:rPr>
                    <w:t>右</w:t>
                  </w:r>
                  <w:r>
                    <w:rPr>
                      <w:rFonts w:hint="default" w:ascii="Times New Roman" w:hAnsi="Times New Roman" w:cs="Times New Roman"/>
                      <w:spacing w:val="-23"/>
                      <w:sz w:val="21"/>
                      <w:szCs w:val="21"/>
                    </w:rPr>
                    <w:t xml:space="preserve"> </w:t>
                  </w:r>
                  <w:r>
                    <w:rPr>
                      <w:rFonts w:hint="default" w:ascii="Times New Roman" w:hAnsi="Times New Roman" w:eastAsia="Times New Roman" w:cs="Times New Roman"/>
                      <w:spacing w:val="-3"/>
                      <w:sz w:val="21"/>
                      <w:szCs w:val="21"/>
                    </w:rPr>
                    <w:t>16+480</w:t>
                  </w:r>
                </w:p>
              </w:tc>
              <w:tc>
                <w:tcPr>
                  <w:tcW w:w="925" w:type="dxa"/>
                  <w:vAlign w:val="center"/>
                </w:tcPr>
                <w:p w14:paraId="40C4B91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0.092</w:t>
                  </w:r>
                </w:p>
              </w:tc>
              <w:tc>
                <w:tcPr>
                  <w:tcW w:w="1005" w:type="dxa"/>
                  <w:vAlign w:val="center"/>
                </w:tcPr>
                <w:p w14:paraId="780CA40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23</w:t>
                  </w:r>
                </w:p>
              </w:tc>
            </w:tr>
            <w:tr w14:paraId="05D092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trPr>
              <w:tc>
                <w:tcPr>
                  <w:tcW w:w="433" w:type="dxa"/>
                  <w:vAlign w:val="center"/>
                </w:tcPr>
                <w:p w14:paraId="489D026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24</w:t>
                  </w:r>
                </w:p>
              </w:tc>
              <w:tc>
                <w:tcPr>
                  <w:tcW w:w="1267" w:type="dxa"/>
                  <w:vAlign w:val="center"/>
                </w:tcPr>
                <w:p w14:paraId="2B383F50">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左</w:t>
                  </w:r>
                  <w:r>
                    <w:rPr>
                      <w:rFonts w:hint="default" w:ascii="Times New Roman" w:hAnsi="Times New Roman" w:cs="Times New Roman"/>
                      <w:spacing w:val="-31"/>
                      <w:sz w:val="21"/>
                      <w:szCs w:val="21"/>
                    </w:rPr>
                    <w:t xml:space="preserve"> </w:t>
                  </w:r>
                  <w:r>
                    <w:rPr>
                      <w:rFonts w:hint="default" w:ascii="Times New Roman" w:hAnsi="Times New Roman" w:eastAsia="Times New Roman" w:cs="Times New Roman"/>
                      <w:spacing w:val="-2"/>
                      <w:sz w:val="21"/>
                      <w:szCs w:val="21"/>
                    </w:rPr>
                    <w:t>32+270</w:t>
                  </w:r>
                </w:p>
              </w:tc>
              <w:tc>
                <w:tcPr>
                  <w:tcW w:w="977" w:type="dxa"/>
                  <w:vAlign w:val="center"/>
                </w:tcPr>
                <w:p w14:paraId="10BDB8B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0.090</w:t>
                  </w:r>
                </w:p>
              </w:tc>
              <w:tc>
                <w:tcPr>
                  <w:tcW w:w="1157" w:type="dxa"/>
                  <w:vAlign w:val="center"/>
                </w:tcPr>
                <w:p w14:paraId="4B5EA67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3"/>
                      <w:sz w:val="21"/>
                      <w:szCs w:val="21"/>
                    </w:rPr>
                    <w:t>600</w:t>
                  </w:r>
                </w:p>
              </w:tc>
              <w:tc>
                <w:tcPr>
                  <w:tcW w:w="427" w:type="dxa"/>
                  <w:vAlign w:val="center"/>
                </w:tcPr>
                <w:p w14:paraId="4FAF14E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24</w:t>
                  </w:r>
                </w:p>
              </w:tc>
              <w:tc>
                <w:tcPr>
                  <w:tcW w:w="1468" w:type="dxa"/>
                  <w:vAlign w:val="center"/>
                </w:tcPr>
                <w:p w14:paraId="3304626C">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3"/>
                      <w:sz w:val="21"/>
                      <w:szCs w:val="21"/>
                    </w:rPr>
                    <w:t xml:space="preserve">K </w:t>
                  </w:r>
                  <w:r>
                    <w:rPr>
                      <w:rFonts w:hint="default" w:ascii="Times New Roman" w:hAnsi="Times New Roman" w:cs="Times New Roman"/>
                      <w:spacing w:val="-3"/>
                      <w:sz w:val="21"/>
                      <w:szCs w:val="21"/>
                    </w:rPr>
                    <w:t>右</w:t>
                  </w:r>
                  <w:r>
                    <w:rPr>
                      <w:rFonts w:hint="default" w:ascii="Times New Roman" w:hAnsi="Times New Roman" w:cs="Times New Roman"/>
                      <w:spacing w:val="-23"/>
                      <w:sz w:val="21"/>
                      <w:szCs w:val="21"/>
                    </w:rPr>
                    <w:t xml:space="preserve"> </w:t>
                  </w:r>
                  <w:r>
                    <w:rPr>
                      <w:rFonts w:hint="default" w:ascii="Times New Roman" w:hAnsi="Times New Roman" w:eastAsia="Times New Roman" w:cs="Times New Roman"/>
                      <w:spacing w:val="-3"/>
                      <w:sz w:val="21"/>
                      <w:szCs w:val="21"/>
                    </w:rPr>
                    <w:t>16+570</w:t>
                  </w:r>
                </w:p>
              </w:tc>
              <w:tc>
                <w:tcPr>
                  <w:tcW w:w="925" w:type="dxa"/>
                  <w:vAlign w:val="center"/>
                </w:tcPr>
                <w:p w14:paraId="65268B7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0.061</w:t>
                  </w:r>
                </w:p>
              </w:tc>
              <w:tc>
                <w:tcPr>
                  <w:tcW w:w="1005" w:type="dxa"/>
                  <w:vAlign w:val="center"/>
                </w:tcPr>
                <w:p w14:paraId="0993E5A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24</w:t>
                  </w:r>
                </w:p>
              </w:tc>
            </w:tr>
            <w:tr w14:paraId="0C3C91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trPr>
              <w:tc>
                <w:tcPr>
                  <w:tcW w:w="433" w:type="dxa"/>
                  <w:vAlign w:val="center"/>
                </w:tcPr>
                <w:p w14:paraId="48A7004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25</w:t>
                  </w:r>
                </w:p>
              </w:tc>
              <w:tc>
                <w:tcPr>
                  <w:tcW w:w="1267" w:type="dxa"/>
                  <w:vAlign w:val="center"/>
                </w:tcPr>
                <w:p w14:paraId="017E23A1">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左</w:t>
                  </w:r>
                  <w:r>
                    <w:rPr>
                      <w:rFonts w:hint="default" w:ascii="Times New Roman" w:hAnsi="Times New Roman" w:cs="Times New Roman"/>
                      <w:spacing w:val="-31"/>
                      <w:sz w:val="21"/>
                      <w:szCs w:val="21"/>
                    </w:rPr>
                    <w:t xml:space="preserve"> </w:t>
                  </w:r>
                  <w:r>
                    <w:rPr>
                      <w:rFonts w:hint="default" w:ascii="Times New Roman" w:hAnsi="Times New Roman" w:eastAsia="Times New Roman" w:cs="Times New Roman"/>
                      <w:spacing w:val="-2"/>
                      <w:sz w:val="21"/>
                      <w:szCs w:val="21"/>
                    </w:rPr>
                    <w:t>32+390</w:t>
                  </w:r>
                </w:p>
              </w:tc>
              <w:tc>
                <w:tcPr>
                  <w:tcW w:w="977" w:type="dxa"/>
                  <w:vAlign w:val="center"/>
                </w:tcPr>
                <w:p w14:paraId="676076A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0.068</w:t>
                  </w:r>
                </w:p>
              </w:tc>
              <w:tc>
                <w:tcPr>
                  <w:tcW w:w="1157" w:type="dxa"/>
                  <w:vAlign w:val="center"/>
                </w:tcPr>
                <w:p w14:paraId="3A06835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3"/>
                      <w:sz w:val="21"/>
                      <w:szCs w:val="21"/>
                    </w:rPr>
                    <w:t>600</w:t>
                  </w:r>
                </w:p>
              </w:tc>
              <w:tc>
                <w:tcPr>
                  <w:tcW w:w="427" w:type="dxa"/>
                  <w:vAlign w:val="center"/>
                </w:tcPr>
                <w:p w14:paraId="0E11A10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25</w:t>
                  </w:r>
                </w:p>
              </w:tc>
              <w:tc>
                <w:tcPr>
                  <w:tcW w:w="1468" w:type="dxa"/>
                  <w:vAlign w:val="center"/>
                </w:tcPr>
                <w:p w14:paraId="01AA7380">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3"/>
                      <w:sz w:val="21"/>
                      <w:szCs w:val="21"/>
                    </w:rPr>
                    <w:t xml:space="preserve">K </w:t>
                  </w:r>
                  <w:r>
                    <w:rPr>
                      <w:rFonts w:hint="default" w:ascii="Times New Roman" w:hAnsi="Times New Roman" w:cs="Times New Roman"/>
                      <w:spacing w:val="-3"/>
                      <w:sz w:val="21"/>
                      <w:szCs w:val="21"/>
                    </w:rPr>
                    <w:t>右</w:t>
                  </w:r>
                  <w:r>
                    <w:rPr>
                      <w:rFonts w:hint="default" w:ascii="Times New Roman" w:hAnsi="Times New Roman" w:cs="Times New Roman"/>
                      <w:spacing w:val="-23"/>
                      <w:sz w:val="21"/>
                      <w:szCs w:val="21"/>
                    </w:rPr>
                    <w:t xml:space="preserve"> </w:t>
                  </w:r>
                  <w:r>
                    <w:rPr>
                      <w:rFonts w:hint="default" w:ascii="Times New Roman" w:hAnsi="Times New Roman" w:eastAsia="Times New Roman" w:cs="Times New Roman"/>
                      <w:spacing w:val="-3"/>
                      <w:sz w:val="21"/>
                      <w:szCs w:val="21"/>
                    </w:rPr>
                    <w:t>16+877</w:t>
                  </w:r>
                </w:p>
              </w:tc>
              <w:tc>
                <w:tcPr>
                  <w:tcW w:w="925" w:type="dxa"/>
                  <w:vAlign w:val="center"/>
                </w:tcPr>
                <w:p w14:paraId="1CB3E2A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0.100</w:t>
                  </w:r>
                </w:p>
              </w:tc>
              <w:tc>
                <w:tcPr>
                  <w:tcW w:w="1005" w:type="dxa"/>
                  <w:vAlign w:val="center"/>
                </w:tcPr>
                <w:p w14:paraId="339BAC2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25</w:t>
                  </w:r>
                </w:p>
              </w:tc>
            </w:tr>
            <w:tr w14:paraId="702B66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trPr>
              <w:tc>
                <w:tcPr>
                  <w:tcW w:w="433" w:type="dxa"/>
                  <w:vAlign w:val="center"/>
                </w:tcPr>
                <w:p w14:paraId="13C3449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26</w:t>
                  </w:r>
                </w:p>
              </w:tc>
              <w:tc>
                <w:tcPr>
                  <w:tcW w:w="1267" w:type="dxa"/>
                  <w:vAlign w:val="center"/>
                </w:tcPr>
                <w:p w14:paraId="413CE894">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左</w:t>
                  </w:r>
                  <w:r>
                    <w:rPr>
                      <w:rFonts w:hint="default" w:ascii="Times New Roman" w:hAnsi="Times New Roman" w:cs="Times New Roman"/>
                      <w:spacing w:val="-31"/>
                      <w:sz w:val="21"/>
                      <w:szCs w:val="21"/>
                    </w:rPr>
                    <w:t xml:space="preserve"> </w:t>
                  </w:r>
                  <w:r>
                    <w:rPr>
                      <w:rFonts w:hint="default" w:ascii="Times New Roman" w:hAnsi="Times New Roman" w:eastAsia="Times New Roman" w:cs="Times New Roman"/>
                      <w:spacing w:val="-2"/>
                      <w:sz w:val="21"/>
                      <w:szCs w:val="21"/>
                    </w:rPr>
                    <w:t>32+610</w:t>
                  </w:r>
                </w:p>
              </w:tc>
              <w:tc>
                <w:tcPr>
                  <w:tcW w:w="977" w:type="dxa"/>
                  <w:vAlign w:val="center"/>
                </w:tcPr>
                <w:p w14:paraId="031AD44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0.090</w:t>
                  </w:r>
                </w:p>
              </w:tc>
              <w:tc>
                <w:tcPr>
                  <w:tcW w:w="1157" w:type="dxa"/>
                  <w:vAlign w:val="center"/>
                </w:tcPr>
                <w:p w14:paraId="3015586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3"/>
                      <w:sz w:val="21"/>
                      <w:szCs w:val="21"/>
                    </w:rPr>
                    <w:t>600</w:t>
                  </w:r>
                </w:p>
              </w:tc>
              <w:tc>
                <w:tcPr>
                  <w:tcW w:w="427" w:type="dxa"/>
                  <w:vAlign w:val="center"/>
                </w:tcPr>
                <w:p w14:paraId="7FC8F25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26</w:t>
                  </w:r>
                </w:p>
              </w:tc>
              <w:tc>
                <w:tcPr>
                  <w:tcW w:w="1468" w:type="dxa"/>
                  <w:vAlign w:val="center"/>
                </w:tcPr>
                <w:p w14:paraId="253CEFFB">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3"/>
                      <w:sz w:val="21"/>
                      <w:szCs w:val="21"/>
                    </w:rPr>
                    <w:t xml:space="preserve">K </w:t>
                  </w:r>
                  <w:r>
                    <w:rPr>
                      <w:rFonts w:hint="default" w:ascii="Times New Roman" w:hAnsi="Times New Roman" w:cs="Times New Roman"/>
                      <w:spacing w:val="-3"/>
                      <w:sz w:val="21"/>
                      <w:szCs w:val="21"/>
                    </w:rPr>
                    <w:t>右</w:t>
                  </w:r>
                  <w:r>
                    <w:rPr>
                      <w:rFonts w:hint="default" w:ascii="Times New Roman" w:hAnsi="Times New Roman" w:cs="Times New Roman"/>
                      <w:spacing w:val="-23"/>
                      <w:sz w:val="21"/>
                      <w:szCs w:val="21"/>
                    </w:rPr>
                    <w:t xml:space="preserve"> </w:t>
                  </w:r>
                  <w:r>
                    <w:rPr>
                      <w:rFonts w:hint="default" w:ascii="Times New Roman" w:hAnsi="Times New Roman" w:eastAsia="Times New Roman" w:cs="Times New Roman"/>
                      <w:spacing w:val="-3"/>
                      <w:sz w:val="21"/>
                      <w:szCs w:val="21"/>
                    </w:rPr>
                    <w:t>17+325</w:t>
                  </w:r>
                </w:p>
              </w:tc>
              <w:tc>
                <w:tcPr>
                  <w:tcW w:w="925" w:type="dxa"/>
                  <w:vAlign w:val="center"/>
                </w:tcPr>
                <w:p w14:paraId="383F87E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7"/>
                      <w:sz w:val="21"/>
                      <w:szCs w:val="21"/>
                    </w:rPr>
                    <w:t>0.</w:t>
                  </w:r>
                  <w:r>
                    <w:rPr>
                      <w:rFonts w:hint="default" w:ascii="Times New Roman" w:hAnsi="Times New Roman" w:eastAsia="Times New Roman" w:cs="Times New Roman"/>
                      <w:spacing w:val="-22"/>
                      <w:sz w:val="21"/>
                      <w:szCs w:val="21"/>
                    </w:rPr>
                    <w:t xml:space="preserve"> </w:t>
                  </w:r>
                  <w:r>
                    <w:rPr>
                      <w:rFonts w:hint="default" w:ascii="Times New Roman" w:hAnsi="Times New Roman" w:eastAsia="Times New Roman" w:cs="Times New Roman"/>
                      <w:spacing w:val="-7"/>
                      <w:sz w:val="21"/>
                      <w:szCs w:val="21"/>
                    </w:rPr>
                    <w:t>112</w:t>
                  </w:r>
                </w:p>
              </w:tc>
              <w:tc>
                <w:tcPr>
                  <w:tcW w:w="1005" w:type="dxa"/>
                  <w:vAlign w:val="center"/>
                </w:tcPr>
                <w:p w14:paraId="753A4D2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26</w:t>
                  </w:r>
                </w:p>
              </w:tc>
            </w:tr>
            <w:tr w14:paraId="687EC2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trPr>
              <w:tc>
                <w:tcPr>
                  <w:tcW w:w="433" w:type="dxa"/>
                  <w:vAlign w:val="center"/>
                </w:tcPr>
                <w:p w14:paraId="26F50CD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27</w:t>
                  </w:r>
                </w:p>
              </w:tc>
              <w:tc>
                <w:tcPr>
                  <w:tcW w:w="1267" w:type="dxa"/>
                  <w:vAlign w:val="center"/>
                </w:tcPr>
                <w:p w14:paraId="5371AA9C">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左</w:t>
                  </w:r>
                  <w:r>
                    <w:rPr>
                      <w:rFonts w:hint="default" w:ascii="Times New Roman" w:hAnsi="Times New Roman" w:cs="Times New Roman"/>
                      <w:spacing w:val="-31"/>
                      <w:sz w:val="21"/>
                      <w:szCs w:val="21"/>
                    </w:rPr>
                    <w:t xml:space="preserve"> </w:t>
                  </w:r>
                  <w:r>
                    <w:rPr>
                      <w:rFonts w:hint="default" w:ascii="Times New Roman" w:hAnsi="Times New Roman" w:eastAsia="Times New Roman" w:cs="Times New Roman"/>
                      <w:spacing w:val="-2"/>
                      <w:sz w:val="21"/>
                      <w:szCs w:val="21"/>
                    </w:rPr>
                    <w:t>32+845</w:t>
                  </w:r>
                </w:p>
              </w:tc>
              <w:tc>
                <w:tcPr>
                  <w:tcW w:w="977" w:type="dxa"/>
                  <w:vAlign w:val="center"/>
                </w:tcPr>
                <w:p w14:paraId="3280FC7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0.075</w:t>
                  </w:r>
                </w:p>
              </w:tc>
              <w:tc>
                <w:tcPr>
                  <w:tcW w:w="1157" w:type="dxa"/>
                  <w:vAlign w:val="center"/>
                </w:tcPr>
                <w:p w14:paraId="55718D6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3"/>
                      <w:sz w:val="21"/>
                      <w:szCs w:val="21"/>
                    </w:rPr>
                    <w:t>600</w:t>
                  </w:r>
                </w:p>
              </w:tc>
              <w:tc>
                <w:tcPr>
                  <w:tcW w:w="427" w:type="dxa"/>
                  <w:vAlign w:val="center"/>
                </w:tcPr>
                <w:p w14:paraId="6D8A9C1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27</w:t>
                  </w:r>
                </w:p>
              </w:tc>
              <w:tc>
                <w:tcPr>
                  <w:tcW w:w="1468" w:type="dxa"/>
                  <w:vAlign w:val="center"/>
                </w:tcPr>
                <w:p w14:paraId="55C43790">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3"/>
                      <w:sz w:val="21"/>
                      <w:szCs w:val="21"/>
                    </w:rPr>
                    <w:t xml:space="preserve">K </w:t>
                  </w:r>
                  <w:r>
                    <w:rPr>
                      <w:rFonts w:hint="default" w:ascii="Times New Roman" w:hAnsi="Times New Roman" w:cs="Times New Roman"/>
                      <w:spacing w:val="-3"/>
                      <w:sz w:val="21"/>
                      <w:szCs w:val="21"/>
                    </w:rPr>
                    <w:t>右</w:t>
                  </w:r>
                  <w:r>
                    <w:rPr>
                      <w:rFonts w:hint="default" w:ascii="Times New Roman" w:hAnsi="Times New Roman" w:cs="Times New Roman"/>
                      <w:spacing w:val="-23"/>
                      <w:sz w:val="21"/>
                      <w:szCs w:val="21"/>
                    </w:rPr>
                    <w:t xml:space="preserve"> </w:t>
                  </w:r>
                  <w:r>
                    <w:rPr>
                      <w:rFonts w:hint="default" w:ascii="Times New Roman" w:hAnsi="Times New Roman" w:eastAsia="Times New Roman" w:cs="Times New Roman"/>
                      <w:spacing w:val="-3"/>
                      <w:sz w:val="21"/>
                      <w:szCs w:val="21"/>
                    </w:rPr>
                    <w:t>17+500</w:t>
                  </w:r>
                </w:p>
              </w:tc>
              <w:tc>
                <w:tcPr>
                  <w:tcW w:w="925" w:type="dxa"/>
                  <w:vAlign w:val="center"/>
                </w:tcPr>
                <w:p w14:paraId="03E9CB1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0.070</w:t>
                  </w:r>
                </w:p>
              </w:tc>
              <w:tc>
                <w:tcPr>
                  <w:tcW w:w="1005" w:type="dxa"/>
                  <w:vAlign w:val="center"/>
                </w:tcPr>
                <w:p w14:paraId="18838DD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27</w:t>
                  </w:r>
                </w:p>
              </w:tc>
            </w:tr>
            <w:tr w14:paraId="1602A2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trPr>
              <w:tc>
                <w:tcPr>
                  <w:tcW w:w="433" w:type="dxa"/>
                  <w:vAlign w:val="center"/>
                </w:tcPr>
                <w:p w14:paraId="473F9CD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28</w:t>
                  </w:r>
                </w:p>
              </w:tc>
              <w:tc>
                <w:tcPr>
                  <w:tcW w:w="1267" w:type="dxa"/>
                  <w:vAlign w:val="center"/>
                </w:tcPr>
                <w:p w14:paraId="59911537">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左</w:t>
                  </w:r>
                  <w:r>
                    <w:rPr>
                      <w:rFonts w:hint="default" w:ascii="Times New Roman" w:hAnsi="Times New Roman" w:cs="Times New Roman"/>
                      <w:spacing w:val="-31"/>
                      <w:sz w:val="21"/>
                      <w:szCs w:val="21"/>
                    </w:rPr>
                    <w:t xml:space="preserve"> </w:t>
                  </w:r>
                  <w:r>
                    <w:rPr>
                      <w:rFonts w:hint="default" w:ascii="Times New Roman" w:hAnsi="Times New Roman" w:eastAsia="Times New Roman" w:cs="Times New Roman"/>
                      <w:spacing w:val="-2"/>
                      <w:sz w:val="21"/>
                      <w:szCs w:val="21"/>
                    </w:rPr>
                    <w:t>33+025</w:t>
                  </w:r>
                </w:p>
              </w:tc>
              <w:tc>
                <w:tcPr>
                  <w:tcW w:w="977" w:type="dxa"/>
                  <w:vAlign w:val="center"/>
                </w:tcPr>
                <w:p w14:paraId="26D7814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0.102</w:t>
                  </w:r>
                </w:p>
              </w:tc>
              <w:tc>
                <w:tcPr>
                  <w:tcW w:w="1157" w:type="dxa"/>
                  <w:vAlign w:val="center"/>
                </w:tcPr>
                <w:p w14:paraId="2F84858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3"/>
                      <w:sz w:val="21"/>
                      <w:szCs w:val="21"/>
                    </w:rPr>
                    <w:t>600</w:t>
                  </w:r>
                </w:p>
              </w:tc>
              <w:tc>
                <w:tcPr>
                  <w:tcW w:w="427" w:type="dxa"/>
                  <w:vAlign w:val="center"/>
                </w:tcPr>
                <w:p w14:paraId="798545D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28</w:t>
                  </w:r>
                </w:p>
              </w:tc>
              <w:tc>
                <w:tcPr>
                  <w:tcW w:w="1468" w:type="dxa"/>
                  <w:vAlign w:val="center"/>
                </w:tcPr>
                <w:p w14:paraId="05B17F73">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3"/>
                      <w:sz w:val="21"/>
                      <w:szCs w:val="21"/>
                    </w:rPr>
                    <w:t xml:space="preserve">K </w:t>
                  </w:r>
                  <w:r>
                    <w:rPr>
                      <w:rFonts w:hint="default" w:ascii="Times New Roman" w:hAnsi="Times New Roman" w:cs="Times New Roman"/>
                      <w:spacing w:val="-3"/>
                      <w:sz w:val="21"/>
                      <w:szCs w:val="21"/>
                    </w:rPr>
                    <w:t>右</w:t>
                  </w:r>
                  <w:r>
                    <w:rPr>
                      <w:rFonts w:hint="default" w:ascii="Times New Roman" w:hAnsi="Times New Roman" w:cs="Times New Roman"/>
                      <w:spacing w:val="-23"/>
                      <w:sz w:val="21"/>
                      <w:szCs w:val="21"/>
                    </w:rPr>
                    <w:t xml:space="preserve"> </w:t>
                  </w:r>
                  <w:r>
                    <w:rPr>
                      <w:rFonts w:hint="default" w:ascii="Times New Roman" w:hAnsi="Times New Roman" w:eastAsia="Times New Roman" w:cs="Times New Roman"/>
                      <w:spacing w:val="-3"/>
                      <w:sz w:val="21"/>
                      <w:szCs w:val="21"/>
                    </w:rPr>
                    <w:t>17+830</w:t>
                  </w:r>
                </w:p>
              </w:tc>
              <w:tc>
                <w:tcPr>
                  <w:tcW w:w="925" w:type="dxa"/>
                  <w:vAlign w:val="center"/>
                </w:tcPr>
                <w:p w14:paraId="17F22E5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0.085</w:t>
                  </w:r>
                </w:p>
              </w:tc>
              <w:tc>
                <w:tcPr>
                  <w:tcW w:w="1005" w:type="dxa"/>
                  <w:vAlign w:val="center"/>
                </w:tcPr>
                <w:p w14:paraId="697059A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28</w:t>
                  </w:r>
                </w:p>
              </w:tc>
            </w:tr>
            <w:tr w14:paraId="4ECC5A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trPr>
              <w:tc>
                <w:tcPr>
                  <w:tcW w:w="433" w:type="dxa"/>
                  <w:vAlign w:val="center"/>
                </w:tcPr>
                <w:p w14:paraId="36DBE8E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29</w:t>
                  </w:r>
                </w:p>
              </w:tc>
              <w:tc>
                <w:tcPr>
                  <w:tcW w:w="1267" w:type="dxa"/>
                  <w:vAlign w:val="center"/>
                </w:tcPr>
                <w:p w14:paraId="15CF834A">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左</w:t>
                  </w:r>
                  <w:r>
                    <w:rPr>
                      <w:rFonts w:hint="default" w:ascii="Times New Roman" w:hAnsi="Times New Roman" w:cs="Times New Roman"/>
                      <w:spacing w:val="-31"/>
                      <w:sz w:val="21"/>
                      <w:szCs w:val="21"/>
                    </w:rPr>
                    <w:t xml:space="preserve"> </w:t>
                  </w:r>
                  <w:r>
                    <w:rPr>
                      <w:rFonts w:hint="default" w:ascii="Times New Roman" w:hAnsi="Times New Roman" w:eastAsia="Times New Roman" w:cs="Times New Roman"/>
                      <w:spacing w:val="-2"/>
                      <w:sz w:val="21"/>
                      <w:szCs w:val="21"/>
                    </w:rPr>
                    <w:t>33+210</w:t>
                  </w:r>
                </w:p>
              </w:tc>
              <w:tc>
                <w:tcPr>
                  <w:tcW w:w="977" w:type="dxa"/>
                  <w:vAlign w:val="center"/>
                </w:tcPr>
                <w:p w14:paraId="23D8E08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0.073</w:t>
                  </w:r>
                </w:p>
              </w:tc>
              <w:tc>
                <w:tcPr>
                  <w:tcW w:w="1157" w:type="dxa"/>
                  <w:vAlign w:val="center"/>
                </w:tcPr>
                <w:p w14:paraId="4688144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3"/>
                      <w:sz w:val="21"/>
                      <w:szCs w:val="21"/>
                    </w:rPr>
                    <w:t>600</w:t>
                  </w:r>
                </w:p>
              </w:tc>
              <w:tc>
                <w:tcPr>
                  <w:tcW w:w="427" w:type="dxa"/>
                  <w:vAlign w:val="center"/>
                </w:tcPr>
                <w:p w14:paraId="23DF2D1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29</w:t>
                  </w:r>
                </w:p>
              </w:tc>
              <w:tc>
                <w:tcPr>
                  <w:tcW w:w="1468" w:type="dxa"/>
                  <w:vAlign w:val="center"/>
                </w:tcPr>
                <w:p w14:paraId="24B48C06">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1"/>
                      <w:sz w:val="21"/>
                      <w:szCs w:val="21"/>
                    </w:rPr>
                    <w:t xml:space="preserve">K </w:t>
                  </w:r>
                  <w:r>
                    <w:rPr>
                      <w:rFonts w:hint="default" w:ascii="Times New Roman" w:hAnsi="Times New Roman" w:cs="Times New Roman"/>
                      <w:spacing w:val="-1"/>
                      <w:sz w:val="21"/>
                      <w:szCs w:val="21"/>
                    </w:rPr>
                    <w:t>右</w:t>
                  </w:r>
                  <w:r>
                    <w:rPr>
                      <w:rFonts w:hint="default" w:ascii="Times New Roman" w:hAnsi="Times New Roman" w:cs="Times New Roman"/>
                      <w:spacing w:val="-41"/>
                      <w:sz w:val="21"/>
                      <w:szCs w:val="21"/>
                    </w:rPr>
                    <w:t xml:space="preserve"> </w:t>
                  </w:r>
                  <w:r>
                    <w:rPr>
                      <w:rFonts w:hint="default" w:ascii="Times New Roman" w:hAnsi="Times New Roman" w:eastAsia="Times New Roman" w:cs="Times New Roman"/>
                      <w:spacing w:val="-1"/>
                      <w:sz w:val="21"/>
                      <w:szCs w:val="21"/>
                    </w:rPr>
                    <w:t>24+548</w:t>
                  </w:r>
                </w:p>
              </w:tc>
              <w:tc>
                <w:tcPr>
                  <w:tcW w:w="925" w:type="dxa"/>
                  <w:vAlign w:val="center"/>
                </w:tcPr>
                <w:p w14:paraId="1F54EE2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0.102</w:t>
                  </w:r>
                </w:p>
              </w:tc>
              <w:tc>
                <w:tcPr>
                  <w:tcW w:w="1005" w:type="dxa"/>
                  <w:vAlign w:val="center"/>
                </w:tcPr>
                <w:p w14:paraId="5C98FA3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2"/>
                      <w:sz w:val="21"/>
                      <w:szCs w:val="21"/>
                    </w:rPr>
                    <w:t>29</w:t>
                  </w:r>
                </w:p>
              </w:tc>
            </w:tr>
            <w:tr w14:paraId="39C357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trPr>
              <w:tc>
                <w:tcPr>
                  <w:tcW w:w="433" w:type="dxa"/>
                  <w:vAlign w:val="center"/>
                </w:tcPr>
                <w:p w14:paraId="71260FA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4"/>
                      <w:sz w:val="21"/>
                      <w:szCs w:val="21"/>
                    </w:rPr>
                    <w:t>30</w:t>
                  </w:r>
                </w:p>
              </w:tc>
              <w:tc>
                <w:tcPr>
                  <w:tcW w:w="1267" w:type="dxa"/>
                  <w:vAlign w:val="center"/>
                </w:tcPr>
                <w:p w14:paraId="574C5792">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左</w:t>
                  </w:r>
                  <w:r>
                    <w:rPr>
                      <w:rFonts w:hint="default" w:ascii="Times New Roman" w:hAnsi="Times New Roman" w:cs="Times New Roman"/>
                      <w:spacing w:val="-31"/>
                      <w:sz w:val="21"/>
                      <w:szCs w:val="21"/>
                    </w:rPr>
                    <w:t xml:space="preserve"> </w:t>
                  </w:r>
                  <w:r>
                    <w:rPr>
                      <w:rFonts w:hint="default" w:ascii="Times New Roman" w:hAnsi="Times New Roman" w:eastAsia="Times New Roman" w:cs="Times New Roman"/>
                      <w:spacing w:val="-2"/>
                      <w:sz w:val="21"/>
                      <w:szCs w:val="21"/>
                    </w:rPr>
                    <w:t>33+440</w:t>
                  </w:r>
                </w:p>
              </w:tc>
              <w:tc>
                <w:tcPr>
                  <w:tcW w:w="977" w:type="dxa"/>
                  <w:vAlign w:val="center"/>
                </w:tcPr>
                <w:p w14:paraId="7E508CD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0.063</w:t>
                  </w:r>
                </w:p>
              </w:tc>
              <w:tc>
                <w:tcPr>
                  <w:tcW w:w="1157" w:type="dxa"/>
                  <w:vAlign w:val="center"/>
                </w:tcPr>
                <w:p w14:paraId="73BEEE9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3"/>
                      <w:sz w:val="21"/>
                      <w:szCs w:val="21"/>
                    </w:rPr>
                    <w:t>600</w:t>
                  </w:r>
                </w:p>
              </w:tc>
              <w:tc>
                <w:tcPr>
                  <w:tcW w:w="427" w:type="dxa"/>
                  <w:vAlign w:val="center"/>
                </w:tcPr>
                <w:p w14:paraId="64EA4D7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4"/>
                      <w:sz w:val="21"/>
                      <w:szCs w:val="21"/>
                    </w:rPr>
                    <w:t>30</w:t>
                  </w:r>
                </w:p>
              </w:tc>
              <w:tc>
                <w:tcPr>
                  <w:tcW w:w="1468" w:type="dxa"/>
                  <w:vAlign w:val="center"/>
                </w:tcPr>
                <w:p w14:paraId="37CCCB19">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1"/>
                      <w:sz w:val="21"/>
                      <w:szCs w:val="21"/>
                    </w:rPr>
                    <w:t xml:space="preserve">K </w:t>
                  </w:r>
                  <w:r>
                    <w:rPr>
                      <w:rFonts w:hint="default" w:ascii="Times New Roman" w:hAnsi="Times New Roman" w:cs="Times New Roman"/>
                      <w:spacing w:val="-1"/>
                      <w:sz w:val="21"/>
                      <w:szCs w:val="21"/>
                    </w:rPr>
                    <w:t>右</w:t>
                  </w:r>
                  <w:r>
                    <w:rPr>
                      <w:rFonts w:hint="default" w:ascii="Times New Roman" w:hAnsi="Times New Roman" w:cs="Times New Roman"/>
                      <w:spacing w:val="-41"/>
                      <w:sz w:val="21"/>
                      <w:szCs w:val="21"/>
                    </w:rPr>
                    <w:t xml:space="preserve"> </w:t>
                  </w:r>
                  <w:r>
                    <w:rPr>
                      <w:rFonts w:hint="default" w:ascii="Times New Roman" w:hAnsi="Times New Roman" w:eastAsia="Times New Roman" w:cs="Times New Roman"/>
                      <w:spacing w:val="-1"/>
                      <w:sz w:val="21"/>
                      <w:szCs w:val="21"/>
                    </w:rPr>
                    <w:t>25+627</w:t>
                  </w:r>
                </w:p>
              </w:tc>
              <w:tc>
                <w:tcPr>
                  <w:tcW w:w="925" w:type="dxa"/>
                  <w:vAlign w:val="center"/>
                </w:tcPr>
                <w:p w14:paraId="29359CD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0.034</w:t>
                  </w:r>
                </w:p>
              </w:tc>
              <w:tc>
                <w:tcPr>
                  <w:tcW w:w="1005" w:type="dxa"/>
                  <w:vAlign w:val="center"/>
                </w:tcPr>
                <w:p w14:paraId="7922534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4"/>
                      <w:sz w:val="21"/>
                      <w:szCs w:val="21"/>
                    </w:rPr>
                    <w:t>30</w:t>
                  </w:r>
                </w:p>
              </w:tc>
            </w:tr>
            <w:tr w14:paraId="6BDFC1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trPr>
              <w:tc>
                <w:tcPr>
                  <w:tcW w:w="433" w:type="dxa"/>
                  <w:vAlign w:val="center"/>
                </w:tcPr>
                <w:p w14:paraId="37E36F5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4"/>
                      <w:sz w:val="21"/>
                      <w:szCs w:val="21"/>
                    </w:rPr>
                    <w:t>31</w:t>
                  </w:r>
                </w:p>
              </w:tc>
              <w:tc>
                <w:tcPr>
                  <w:tcW w:w="1267" w:type="dxa"/>
                  <w:vAlign w:val="center"/>
                </w:tcPr>
                <w:p w14:paraId="5D15426F">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左</w:t>
                  </w:r>
                  <w:r>
                    <w:rPr>
                      <w:rFonts w:hint="default" w:ascii="Times New Roman" w:hAnsi="Times New Roman" w:cs="Times New Roman"/>
                      <w:spacing w:val="-31"/>
                      <w:sz w:val="21"/>
                      <w:szCs w:val="21"/>
                    </w:rPr>
                    <w:t xml:space="preserve"> </w:t>
                  </w:r>
                  <w:r>
                    <w:rPr>
                      <w:rFonts w:hint="default" w:ascii="Times New Roman" w:hAnsi="Times New Roman" w:eastAsia="Times New Roman" w:cs="Times New Roman"/>
                      <w:spacing w:val="-2"/>
                      <w:sz w:val="21"/>
                      <w:szCs w:val="21"/>
                    </w:rPr>
                    <w:t>33+740</w:t>
                  </w:r>
                </w:p>
              </w:tc>
              <w:tc>
                <w:tcPr>
                  <w:tcW w:w="977" w:type="dxa"/>
                  <w:vAlign w:val="center"/>
                </w:tcPr>
                <w:p w14:paraId="2244274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0.095</w:t>
                  </w:r>
                </w:p>
              </w:tc>
              <w:tc>
                <w:tcPr>
                  <w:tcW w:w="1157" w:type="dxa"/>
                  <w:vAlign w:val="center"/>
                </w:tcPr>
                <w:p w14:paraId="79A3447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3"/>
                      <w:sz w:val="21"/>
                      <w:szCs w:val="21"/>
                    </w:rPr>
                    <w:t>600</w:t>
                  </w:r>
                </w:p>
              </w:tc>
              <w:tc>
                <w:tcPr>
                  <w:tcW w:w="427" w:type="dxa"/>
                  <w:vAlign w:val="center"/>
                </w:tcPr>
                <w:p w14:paraId="07C6751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4"/>
                      <w:sz w:val="21"/>
                      <w:szCs w:val="21"/>
                    </w:rPr>
                    <w:t>31</w:t>
                  </w:r>
                </w:p>
              </w:tc>
              <w:tc>
                <w:tcPr>
                  <w:tcW w:w="1468" w:type="dxa"/>
                  <w:vAlign w:val="center"/>
                </w:tcPr>
                <w:p w14:paraId="43EF29D0">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1"/>
                      <w:sz w:val="21"/>
                      <w:szCs w:val="21"/>
                    </w:rPr>
                    <w:t xml:space="preserve">K </w:t>
                  </w:r>
                  <w:r>
                    <w:rPr>
                      <w:rFonts w:hint="default" w:ascii="Times New Roman" w:hAnsi="Times New Roman" w:cs="Times New Roman"/>
                      <w:spacing w:val="-1"/>
                      <w:sz w:val="21"/>
                      <w:szCs w:val="21"/>
                    </w:rPr>
                    <w:t>右</w:t>
                  </w:r>
                  <w:r>
                    <w:rPr>
                      <w:rFonts w:hint="default" w:ascii="Times New Roman" w:hAnsi="Times New Roman" w:cs="Times New Roman"/>
                      <w:spacing w:val="-41"/>
                      <w:sz w:val="21"/>
                      <w:szCs w:val="21"/>
                    </w:rPr>
                    <w:t xml:space="preserve"> </w:t>
                  </w:r>
                  <w:r>
                    <w:rPr>
                      <w:rFonts w:hint="default" w:ascii="Times New Roman" w:hAnsi="Times New Roman" w:eastAsia="Times New Roman" w:cs="Times New Roman"/>
                      <w:spacing w:val="-1"/>
                      <w:sz w:val="21"/>
                      <w:szCs w:val="21"/>
                    </w:rPr>
                    <w:t>25+735</w:t>
                  </w:r>
                </w:p>
              </w:tc>
              <w:tc>
                <w:tcPr>
                  <w:tcW w:w="925" w:type="dxa"/>
                  <w:vAlign w:val="center"/>
                </w:tcPr>
                <w:p w14:paraId="2AFA238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0.056</w:t>
                  </w:r>
                </w:p>
              </w:tc>
              <w:tc>
                <w:tcPr>
                  <w:tcW w:w="1005" w:type="dxa"/>
                  <w:vAlign w:val="center"/>
                </w:tcPr>
                <w:p w14:paraId="4E0EC13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4"/>
                      <w:sz w:val="21"/>
                      <w:szCs w:val="21"/>
                    </w:rPr>
                    <w:t>31</w:t>
                  </w:r>
                </w:p>
              </w:tc>
            </w:tr>
            <w:tr w14:paraId="4DF471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trPr>
              <w:tc>
                <w:tcPr>
                  <w:tcW w:w="433" w:type="dxa"/>
                  <w:vAlign w:val="center"/>
                </w:tcPr>
                <w:p w14:paraId="2A41640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267" w:type="dxa"/>
                  <w:vAlign w:val="center"/>
                </w:tcPr>
                <w:p w14:paraId="7F10DDA4">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977" w:type="dxa"/>
                  <w:vAlign w:val="center"/>
                </w:tcPr>
                <w:p w14:paraId="16180ED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157" w:type="dxa"/>
                  <w:vAlign w:val="center"/>
                </w:tcPr>
                <w:p w14:paraId="052498C6">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427" w:type="dxa"/>
                  <w:vAlign w:val="center"/>
                </w:tcPr>
                <w:p w14:paraId="62CA26A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4"/>
                      <w:sz w:val="21"/>
                      <w:szCs w:val="21"/>
                    </w:rPr>
                    <w:t>32</w:t>
                  </w:r>
                </w:p>
              </w:tc>
              <w:tc>
                <w:tcPr>
                  <w:tcW w:w="1468" w:type="dxa"/>
                  <w:vAlign w:val="center"/>
                </w:tcPr>
                <w:p w14:paraId="27F11B65">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1"/>
                      <w:sz w:val="21"/>
                      <w:szCs w:val="21"/>
                    </w:rPr>
                    <w:t xml:space="preserve">K </w:t>
                  </w:r>
                  <w:r>
                    <w:rPr>
                      <w:rFonts w:hint="default" w:ascii="Times New Roman" w:hAnsi="Times New Roman" w:cs="Times New Roman"/>
                      <w:spacing w:val="-1"/>
                      <w:sz w:val="21"/>
                      <w:szCs w:val="21"/>
                    </w:rPr>
                    <w:t>右</w:t>
                  </w:r>
                  <w:r>
                    <w:rPr>
                      <w:rFonts w:hint="default" w:ascii="Times New Roman" w:hAnsi="Times New Roman" w:cs="Times New Roman"/>
                      <w:spacing w:val="-41"/>
                      <w:sz w:val="21"/>
                      <w:szCs w:val="21"/>
                    </w:rPr>
                    <w:t xml:space="preserve"> </w:t>
                  </w:r>
                  <w:r>
                    <w:rPr>
                      <w:rFonts w:hint="default" w:ascii="Times New Roman" w:hAnsi="Times New Roman" w:eastAsia="Times New Roman" w:cs="Times New Roman"/>
                      <w:spacing w:val="-1"/>
                      <w:sz w:val="21"/>
                      <w:szCs w:val="21"/>
                    </w:rPr>
                    <w:t>26+515</w:t>
                  </w:r>
                </w:p>
              </w:tc>
              <w:tc>
                <w:tcPr>
                  <w:tcW w:w="925" w:type="dxa"/>
                  <w:vAlign w:val="center"/>
                </w:tcPr>
                <w:p w14:paraId="1158A83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0.102</w:t>
                  </w:r>
                </w:p>
              </w:tc>
              <w:tc>
                <w:tcPr>
                  <w:tcW w:w="1005" w:type="dxa"/>
                  <w:vAlign w:val="center"/>
                </w:tcPr>
                <w:p w14:paraId="2CD9625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7362D0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84" w:hRule="atLeast"/>
              </w:trPr>
              <w:tc>
                <w:tcPr>
                  <w:tcW w:w="433" w:type="dxa"/>
                  <w:vAlign w:val="center"/>
                </w:tcPr>
                <w:p w14:paraId="3EEF92AD">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267" w:type="dxa"/>
                  <w:vAlign w:val="center"/>
                </w:tcPr>
                <w:p w14:paraId="2A40AE0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977" w:type="dxa"/>
                  <w:vAlign w:val="center"/>
                </w:tcPr>
                <w:p w14:paraId="4754857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157" w:type="dxa"/>
                  <w:vAlign w:val="center"/>
                </w:tcPr>
                <w:p w14:paraId="7D67ACC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427" w:type="dxa"/>
                  <w:vAlign w:val="center"/>
                </w:tcPr>
                <w:p w14:paraId="6B1261D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4"/>
                      <w:sz w:val="21"/>
                      <w:szCs w:val="21"/>
                    </w:rPr>
                    <w:t>33</w:t>
                  </w:r>
                </w:p>
              </w:tc>
              <w:tc>
                <w:tcPr>
                  <w:tcW w:w="1468" w:type="dxa"/>
                  <w:vAlign w:val="center"/>
                </w:tcPr>
                <w:p w14:paraId="7A643EB2">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1"/>
                      <w:sz w:val="21"/>
                      <w:szCs w:val="21"/>
                    </w:rPr>
                    <w:t xml:space="preserve">K </w:t>
                  </w:r>
                  <w:r>
                    <w:rPr>
                      <w:rFonts w:hint="default" w:ascii="Times New Roman" w:hAnsi="Times New Roman" w:cs="Times New Roman"/>
                      <w:spacing w:val="-1"/>
                      <w:sz w:val="21"/>
                      <w:szCs w:val="21"/>
                    </w:rPr>
                    <w:t>右</w:t>
                  </w:r>
                  <w:r>
                    <w:rPr>
                      <w:rFonts w:hint="default" w:ascii="Times New Roman" w:hAnsi="Times New Roman" w:cs="Times New Roman"/>
                      <w:spacing w:val="-41"/>
                      <w:sz w:val="21"/>
                      <w:szCs w:val="21"/>
                    </w:rPr>
                    <w:t xml:space="preserve"> </w:t>
                  </w:r>
                  <w:r>
                    <w:rPr>
                      <w:rFonts w:hint="default" w:ascii="Times New Roman" w:hAnsi="Times New Roman" w:eastAsia="Times New Roman" w:cs="Times New Roman"/>
                      <w:spacing w:val="-1"/>
                      <w:sz w:val="21"/>
                      <w:szCs w:val="21"/>
                    </w:rPr>
                    <w:t>26+917</w:t>
                  </w:r>
                </w:p>
              </w:tc>
              <w:tc>
                <w:tcPr>
                  <w:tcW w:w="925" w:type="dxa"/>
                  <w:vAlign w:val="center"/>
                </w:tcPr>
                <w:p w14:paraId="6C206C1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0.075</w:t>
                  </w:r>
                </w:p>
              </w:tc>
              <w:tc>
                <w:tcPr>
                  <w:tcW w:w="1005" w:type="dxa"/>
                  <w:vAlign w:val="center"/>
                </w:tcPr>
                <w:p w14:paraId="39D1FC7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62F1F9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trPr>
              <w:tc>
                <w:tcPr>
                  <w:tcW w:w="433" w:type="dxa"/>
                  <w:vAlign w:val="center"/>
                </w:tcPr>
                <w:p w14:paraId="3FA058C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267" w:type="dxa"/>
                  <w:vAlign w:val="center"/>
                </w:tcPr>
                <w:p w14:paraId="42F92E46">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977" w:type="dxa"/>
                  <w:vAlign w:val="center"/>
                </w:tcPr>
                <w:p w14:paraId="0FFA7D8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157" w:type="dxa"/>
                  <w:vAlign w:val="center"/>
                </w:tcPr>
                <w:p w14:paraId="43F36C1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427" w:type="dxa"/>
                  <w:vAlign w:val="center"/>
                </w:tcPr>
                <w:p w14:paraId="233DC19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4"/>
                      <w:sz w:val="21"/>
                      <w:szCs w:val="21"/>
                    </w:rPr>
                    <w:t>34</w:t>
                  </w:r>
                </w:p>
              </w:tc>
              <w:tc>
                <w:tcPr>
                  <w:tcW w:w="1468" w:type="dxa"/>
                  <w:vAlign w:val="center"/>
                </w:tcPr>
                <w:p w14:paraId="183579FD">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1"/>
                      <w:sz w:val="21"/>
                      <w:szCs w:val="21"/>
                    </w:rPr>
                    <w:t xml:space="preserve">K </w:t>
                  </w:r>
                  <w:r>
                    <w:rPr>
                      <w:rFonts w:hint="default" w:ascii="Times New Roman" w:hAnsi="Times New Roman" w:cs="Times New Roman"/>
                      <w:spacing w:val="-1"/>
                      <w:sz w:val="21"/>
                      <w:szCs w:val="21"/>
                    </w:rPr>
                    <w:t>右</w:t>
                  </w:r>
                  <w:r>
                    <w:rPr>
                      <w:rFonts w:hint="default" w:ascii="Times New Roman" w:hAnsi="Times New Roman" w:cs="Times New Roman"/>
                      <w:spacing w:val="-41"/>
                      <w:sz w:val="21"/>
                      <w:szCs w:val="21"/>
                    </w:rPr>
                    <w:t xml:space="preserve"> </w:t>
                  </w:r>
                  <w:r>
                    <w:rPr>
                      <w:rFonts w:hint="default" w:ascii="Times New Roman" w:hAnsi="Times New Roman" w:eastAsia="Times New Roman" w:cs="Times New Roman"/>
                      <w:spacing w:val="-1"/>
                      <w:sz w:val="21"/>
                      <w:szCs w:val="21"/>
                    </w:rPr>
                    <w:t>27+165</w:t>
                  </w:r>
                </w:p>
              </w:tc>
              <w:tc>
                <w:tcPr>
                  <w:tcW w:w="925" w:type="dxa"/>
                  <w:vAlign w:val="center"/>
                </w:tcPr>
                <w:p w14:paraId="24B48E8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0.075</w:t>
                  </w:r>
                </w:p>
              </w:tc>
              <w:tc>
                <w:tcPr>
                  <w:tcW w:w="1005" w:type="dxa"/>
                  <w:vAlign w:val="center"/>
                </w:tcPr>
                <w:p w14:paraId="2361F522">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4C030B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trPr>
              <w:tc>
                <w:tcPr>
                  <w:tcW w:w="433" w:type="dxa"/>
                  <w:vAlign w:val="center"/>
                </w:tcPr>
                <w:p w14:paraId="07F63D7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267" w:type="dxa"/>
                  <w:vAlign w:val="center"/>
                </w:tcPr>
                <w:p w14:paraId="11B15EA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977" w:type="dxa"/>
                  <w:vAlign w:val="center"/>
                </w:tcPr>
                <w:p w14:paraId="6E91873C">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157" w:type="dxa"/>
                  <w:vAlign w:val="center"/>
                </w:tcPr>
                <w:p w14:paraId="2735F42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427" w:type="dxa"/>
                  <w:vAlign w:val="center"/>
                </w:tcPr>
                <w:p w14:paraId="05EFC7E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4"/>
                      <w:sz w:val="21"/>
                      <w:szCs w:val="21"/>
                    </w:rPr>
                    <w:t>35</w:t>
                  </w:r>
                </w:p>
              </w:tc>
              <w:tc>
                <w:tcPr>
                  <w:tcW w:w="1468" w:type="dxa"/>
                  <w:vAlign w:val="center"/>
                </w:tcPr>
                <w:p w14:paraId="57D781AA">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1"/>
                      <w:sz w:val="21"/>
                      <w:szCs w:val="21"/>
                    </w:rPr>
                    <w:t xml:space="preserve">K </w:t>
                  </w:r>
                  <w:r>
                    <w:rPr>
                      <w:rFonts w:hint="default" w:ascii="Times New Roman" w:hAnsi="Times New Roman" w:cs="Times New Roman"/>
                      <w:spacing w:val="-1"/>
                      <w:sz w:val="21"/>
                      <w:szCs w:val="21"/>
                    </w:rPr>
                    <w:t>右</w:t>
                  </w:r>
                  <w:r>
                    <w:rPr>
                      <w:rFonts w:hint="default" w:ascii="Times New Roman" w:hAnsi="Times New Roman" w:cs="Times New Roman"/>
                      <w:spacing w:val="-41"/>
                      <w:sz w:val="21"/>
                      <w:szCs w:val="21"/>
                    </w:rPr>
                    <w:t xml:space="preserve"> </w:t>
                  </w:r>
                  <w:r>
                    <w:rPr>
                      <w:rFonts w:hint="default" w:ascii="Times New Roman" w:hAnsi="Times New Roman" w:eastAsia="Times New Roman" w:cs="Times New Roman"/>
                      <w:spacing w:val="-1"/>
                      <w:sz w:val="21"/>
                      <w:szCs w:val="21"/>
                    </w:rPr>
                    <w:t>27+380</w:t>
                  </w:r>
                </w:p>
              </w:tc>
              <w:tc>
                <w:tcPr>
                  <w:tcW w:w="925" w:type="dxa"/>
                  <w:vAlign w:val="center"/>
                </w:tcPr>
                <w:p w14:paraId="5FB6554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0.044</w:t>
                  </w:r>
                </w:p>
              </w:tc>
              <w:tc>
                <w:tcPr>
                  <w:tcW w:w="1005" w:type="dxa"/>
                  <w:vAlign w:val="center"/>
                </w:tcPr>
                <w:p w14:paraId="1874B2A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374F2D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trPr>
              <w:tc>
                <w:tcPr>
                  <w:tcW w:w="433" w:type="dxa"/>
                  <w:vAlign w:val="center"/>
                </w:tcPr>
                <w:p w14:paraId="5CEE59A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267" w:type="dxa"/>
                  <w:vAlign w:val="center"/>
                </w:tcPr>
                <w:p w14:paraId="76D4412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977" w:type="dxa"/>
                  <w:vAlign w:val="center"/>
                </w:tcPr>
                <w:p w14:paraId="11321B6D">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157" w:type="dxa"/>
                  <w:vAlign w:val="center"/>
                </w:tcPr>
                <w:p w14:paraId="5696CC3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427" w:type="dxa"/>
                  <w:vAlign w:val="center"/>
                </w:tcPr>
                <w:p w14:paraId="276B294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4"/>
                      <w:sz w:val="21"/>
                      <w:szCs w:val="21"/>
                    </w:rPr>
                    <w:t>36</w:t>
                  </w:r>
                </w:p>
              </w:tc>
              <w:tc>
                <w:tcPr>
                  <w:tcW w:w="1468" w:type="dxa"/>
                  <w:vAlign w:val="center"/>
                </w:tcPr>
                <w:p w14:paraId="07074C9D">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1"/>
                      <w:sz w:val="21"/>
                      <w:szCs w:val="21"/>
                    </w:rPr>
                    <w:t xml:space="preserve">K </w:t>
                  </w:r>
                  <w:r>
                    <w:rPr>
                      <w:rFonts w:hint="default" w:ascii="Times New Roman" w:hAnsi="Times New Roman" w:cs="Times New Roman"/>
                      <w:spacing w:val="-1"/>
                      <w:sz w:val="21"/>
                      <w:szCs w:val="21"/>
                    </w:rPr>
                    <w:t>右</w:t>
                  </w:r>
                  <w:r>
                    <w:rPr>
                      <w:rFonts w:hint="default" w:ascii="Times New Roman" w:hAnsi="Times New Roman" w:cs="Times New Roman"/>
                      <w:spacing w:val="-41"/>
                      <w:sz w:val="21"/>
                      <w:szCs w:val="21"/>
                    </w:rPr>
                    <w:t xml:space="preserve"> </w:t>
                  </w:r>
                  <w:r>
                    <w:rPr>
                      <w:rFonts w:hint="default" w:ascii="Times New Roman" w:hAnsi="Times New Roman" w:eastAsia="Times New Roman" w:cs="Times New Roman"/>
                      <w:spacing w:val="-1"/>
                      <w:sz w:val="21"/>
                      <w:szCs w:val="21"/>
                    </w:rPr>
                    <w:t>28+395</w:t>
                  </w:r>
                </w:p>
              </w:tc>
              <w:tc>
                <w:tcPr>
                  <w:tcW w:w="925" w:type="dxa"/>
                  <w:vAlign w:val="center"/>
                </w:tcPr>
                <w:p w14:paraId="7809D20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0.092</w:t>
                  </w:r>
                </w:p>
              </w:tc>
              <w:tc>
                <w:tcPr>
                  <w:tcW w:w="1005" w:type="dxa"/>
                  <w:vAlign w:val="center"/>
                </w:tcPr>
                <w:p w14:paraId="516D94C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424BFA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trPr>
              <w:tc>
                <w:tcPr>
                  <w:tcW w:w="433" w:type="dxa"/>
                  <w:vAlign w:val="center"/>
                </w:tcPr>
                <w:p w14:paraId="48FF8DD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267" w:type="dxa"/>
                  <w:vAlign w:val="center"/>
                </w:tcPr>
                <w:p w14:paraId="709D703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977" w:type="dxa"/>
                  <w:vAlign w:val="center"/>
                </w:tcPr>
                <w:p w14:paraId="7B9873E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157" w:type="dxa"/>
                  <w:vAlign w:val="center"/>
                </w:tcPr>
                <w:p w14:paraId="62D1615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427" w:type="dxa"/>
                  <w:vAlign w:val="center"/>
                </w:tcPr>
                <w:p w14:paraId="2B3DC1E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4"/>
                      <w:sz w:val="21"/>
                      <w:szCs w:val="21"/>
                    </w:rPr>
                    <w:t>37</w:t>
                  </w:r>
                </w:p>
              </w:tc>
              <w:tc>
                <w:tcPr>
                  <w:tcW w:w="1468" w:type="dxa"/>
                  <w:vAlign w:val="center"/>
                </w:tcPr>
                <w:p w14:paraId="572B4637">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1"/>
                      <w:sz w:val="21"/>
                      <w:szCs w:val="21"/>
                    </w:rPr>
                    <w:t xml:space="preserve">K </w:t>
                  </w:r>
                  <w:r>
                    <w:rPr>
                      <w:rFonts w:hint="default" w:ascii="Times New Roman" w:hAnsi="Times New Roman" w:cs="Times New Roman"/>
                      <w:spacing w:val="-1"/>
                      <w:sz w:val="21"/>
                      <w:szCs w:val="21"/>
                    </w:rPr>
                    <w:t>右</w:t>
                  </w:r>
                  <w:r>
                    <w:rPr>
                      <w:rFonts w:hint="default" w:ascii="Times New Roman" w:hAnsi="Times New Roman" w:cs="Times New Roman"/>
                      <w:spacing w:val="-41"/>
                      <w:sz w:val="21"/>
                      <w:szCs w:val="21"/>
                    </w:rPr>
                    <w:t xml:space="preserve"> </w:t>
                  </w:r>
                  <w:r>
                    <w:rPr>
                      <w:rFonts w:hint="default" w:ascii="Times New Roman" w:hAnsi="Times New Roman" w:eastAsia="Times New Roman" w:cs="Times New Roman"/>
                      <w:spacing w:val="-1"/>
                      <w:sz w:val="21"/>
                      <w:szCs w:val="21"/>
                    </w:rPr>
                    <w:t>28+478</w:t>
                  </w:r>
                </w:p>
              </w:tc>
              <w:tc>
                <w:tcPr>
                  <w:tcW w:w="925" w:type="dxa"/>
                  <w:vAlign w:val="center"/>
                </w:tcPr>
                <w:p w14:paraId="4259B24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0.039</w:t>
                  </w:r>
                </w:p>
              </w:tc>
              <w:tc>
                <w:tcPr>
                  <w:tcW w:w="1005" w:type="dxa"/>
                  <w:vAlign w:val="center"/>
                </w:tcPr>
                <w:p w14:paraId="40CD4C2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3E48C8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trPr>
              <w:tc>
                <w:tcPr>
                  <w:tcW w:w="433" w:type="dxa"/>
                  <w:vAlign w:val="center"/>
                </w:tcPr>
                <w:p w14:paraId="0F130D9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267" w:type="dxa"/>
                  <w:vAlign w:val="center"/>
                </w:tcPr>
                <w:p w14:paraId="425A0A0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977" w:type="dxa"/>
                  <w:vAlign w:val="center"/>
                </w:tcPr>
                <w:p w14:paraId="5BE9E99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157" w:type="dxa"/>
                  <w:vAlign w:val="center"/>
                </w:tcPr>
                <w:p w14:paraId="6811649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427" w:type="dxa"/>
                  <w:vAlign w:val="center"/>
                </w:tcPr>
                <w:p w14:paraId="2693EFB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4"/>
                      <w:sz w:val="21"/>
                      <w:szCs w:val="21"/>
                    </w:rPr>
                    <w:t>38</w:t>
                  </w:r>
                </w:p>
              </w:tc>
              <w:tc>
                <w:tcPr>
                  <w:tcW w:w="1468" w:type="dxa"/>
                  <w:vAlign w:val="center"/>
                </w:tcPr>
                <w:p w14:paraId="302DD6D2">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1"/>
                      <w:sz w:val="21"/>
                      <w:szCs w:val="21"/>
                    </w:rPr>
                    <w:t xml:space="preserve">K </w:t>
                  </w:r>
                  <w:r>
                    <w:rPr>
                      <w:rFonts w:hint="default" w:ascii="Times New Roman" w:hAnsi="Times New Roman" w:cs="Times New Roman"/>
                      <w:spacing w:val="-1"/>
                      <w:sz w:val="21"/>
                      <w:szCs w:val="21"/>
                    </w:rPr>
                    <w:t>右</w:t>
                  </w:r>
                  <w:r>
                    <w:rPr>
                      <w:rFonts w:hint="default" w:ascii="Times New Roman" w:hAnsi="Times New Roman" w:cs="Times New Roman"/>
                      <w:spacing w:val="-41"/>
                      <w:sz w:val="21"/>
                      <w:szCs w:val="21"/>
                    </w:rPr>
                    <w:t xml:space="preserve"> </w:t>
                  </w:r>
                  <w:r>
                    <w:rPr>
                      <w:rFonts w:hint="default" w:ascii="Times New Roman" w:hAnsi="Times New Roman" w:eastAsia="Times New Roman" w:cs="Times New Roman"/>
                      <w:spacing w:val="-1"/>
                      <w:sz w:val="21"/>
                      <w:szCs w:val="21"/>
                    </w:rPr>
                    <w:t>28+597</w:t>
                  </w:r>
                </w:p>
              </w:tc>
              <w:tc>
                <w:tcPr>
                  <w:tcW w:w="925" w:type="dxa"/>
                  <w:vAlign w:val="center"/>
                </w:tcPr>
                <w:p w14:paraId="01BF47D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0.061</w:t>
                  </w:r>
                </w:p>
              </w:tc>
              <w:tc>
                <w:tcPr>
                  <w:tcW w:w="1005" w:type="dxa"/>
                  <w:vAlign w:val="center"/>
                </w:tcPr>
                <w:p w14:paraId="48398D6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29BCBD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trPr>
              <w:tc>
                <w:tcPr>
                  <w:tcW w:w="433" w:type="dxa"/>
                  <w:vAlign w:val="center"/>
                </w:tcPr>
                <w:p w14:paraId="5EA0D2C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267" w:type="dxa"/>
                  <w:vAlign w:val="center"/>
                </w:tcPr>
                <w:p w14:paraId="090FFF9D">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977" w:type="dxa"/>
                  <w:vAlign w:val="center"/>
                </w:tcPr>
                <w:p w14:paraId="04F4B0E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157" w:type="dxa"/>
                  <w:vAlign w:val="center"/>
                </w:tcPr>
                <w:p w14:paraId="4B6746F6">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427" w:type="dxa"/>
                  <w:vAlign w:val="center"/>
                </w:tcPr>
                <w:p w14:paraId="000FD8B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4"/>
                      <w:sz w:val="21"/>
                      <w:szCs w:val="21"/>
                    </w:rPr>
                    <w:t>39</w:t>
                  </w:r>
                </w:p>
              </w:tc>
              <w:tc>
                <w:tcPr>
                  <w:tcW w:w="1468" w:type="dxa"/>
                  <w:vAlign w:val="center"/>
                </w:tcPr>
                <w:p w14:paraId="696A94E3">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1"/>
                      <w:sz w:val="21"/>
                      <w:szCs w:val="21"/>
                    </w:rPr>
                    <w:t xml:space="preserve">K </w:t>
                  </w:r>
                  <w:r>
                    <w:rPr>
                      <w:rFonts w:hint="default" w:ascii="Times New Roman" w:hAnsi="Times New Roman" w:cs="Times New Roman"/>
                      <w:spacing w:val="-1"/>
                      <w:sz w:val="21"/>
                      <w:szCs w:val="21"/>
                    </w:rPr>
                    <w:t>右</w:t>
                  </w:r>
                  <w:r>
                    <w:rPr>
                      <w:rFonts w:hint="default" w:ascii="Times New Roman" w:hAnsi="Times New Roman" w:cs="Times New Roman"/>
                      <w:spacing w:val="-41"/>
                      <w:sz w:val="21"/>
                      <w:szCs w:val="21"/>
                    </w:rPr>
                    <w:t xml:space="preserve"> </w:t>
                  </w:r>
                  <w:r>
                    <w:rPr>
                      <w:rFonts w:hint="default" w:ascii="Times New Roman" w:hAnsi="Times New Roman" w:eastAsia="Times New Roman" w:cs="Times New Roman"/>
                      <w:spacing w:val="-1"/>
                      <w:sz w:val="21"/>
                      <w:szCs w:val="21"/>
                    </w:rPr>
                    <w:t>28+748</w:t>
                  </w:r>
                </w:p>
              </w:tc>
              <w:tc>
                <w:tcPr>
                  <w:tcW w:w="925" w:type="dxa"/>
                  <w:vAlign w:val="center"/>
                </w:tcPr>
                <w:p w14:paraId="5EA1B19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0.061</w:t>
                  </w:r>
                </w:p>
              </w:tc>
              <w:tc>
                <w:tcPr>
                  <w:tcW w:w="1005" w:type="dxa"/>
                  <w:vAlign w:val="center"/>
                </w:tcPr>
                <w:p w14:paraId="516ECA6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77F20E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trPr>
              <w:tc>
                <w:tcPr>
                  <w:tcW w:w="433" w:type="dxa"/>
                  <w:vAlign w:val="center"/>
                </w:tcPr>
                <w:p w14:paraId="0C24741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267" w:type="dxa"/>
                  <w:vAlign w:val="center"/>
                </w:tcPr>
                <w:p w14:paraId="242C3E4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977" w:type="dxa"/>
                  <w:vAlign w:val="center"/>
                </w:tcPr>
                <w:p w14:paraId="113567C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157" w:type="dxa"/>
                  <w:vAlign w:val="center"/>
                </w:tcPr>
                <w:p w14:paraId="0EE4D66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427" w:type="dxa"/>
                  <w:vAlign w:val="center"/>
                </w:tcPr>
                <w:p w14:paraId="56FD5C8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40</w:t>
                  </w:r>
                </w:p>
              </w:tc>
              <w:tc>
                <w:tcPr>
                  <w:tcW w:w="1468" w:type="dxa"/>
                  <w:vAlign w:val="center"/>
                </w:tcPr>
                <w:p w14:paraId="0B6D1F13">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1"/>
                      <w:sz w:val="21"/>
                      <w:szCs w:val="21"/>
                    </w:rPr>
                    <w:t xml:space="preserve">K </w:t>
                  </w:r>
                  <w:r>
                    <w:rPr>
                      <w:rFonts w:hint="default" w:ascii="Times New Roman" w:hAnsi="Times New Roman" w:cs="Times New Roman"/>
                      <w:spacing w:val="-1"/>
                      <w:sz w:val="21"/>
                      <w:szCs w:val="21"/>
                    </w:rPr>
                    <w:t>右</w:t>
                  </w:r>
                  <w:r>
                    <w:rPr>
                      <w:rFonts w:hint="default" w:ascii="Times New Roman" w:hAnsi="Times New Roman" w:cs="Times New Roman"/>
                      <w:spacing w:val="-41"/>
                      <w:sz w:val="21"/>
                      <w:szCs w:val="21"/>
                    </w:rPr>
                    <w:t xml:space="preserve"> </w:t>
                  </w:r>
                  <w:r>
                    <w:rPr>
                      <w:rFonts w:hint="default" w:ascii="Times New Roman" w:hAnsi="Times New Roman" w:eastAsia="Times New Roman" w:cs="Times New Roman"/>
                      <w:spacing w:val="-1"/>
                      <w:sz w:val="21"/>
                      <w:szCs w:val="21"/>
                    </w:rPr>
                    <w:t>29+338</w:t>
                  </w:r>
                </w:p>
              </w:tc>
              <w:tc>
                <w:tcPr>
                  <w:tcW w:w="925" w:type="dxa"/>
                  <w:vAlign w:val="center"/>
                </w:tcPr>
                <w:p w14:paraId="4E8EE64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0.087</w:t>
                  </w:r>
                </w:p>
              </w:tc>
              <w:tc>
                <w:tcPr>
                  <w:tcW w:w="1005" w:type="dxa"/>
                  <w:vAlign w:val="center"/>
                </w:tcPr>
                <w:p w14:paraId="502D8BB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02D7ED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trPr>
              <w:tc>
                <w:tcPr>
                  <w:tcW w:w="433" w:type="dxa"/>
                  <w:vAlign w:val="center"/>
                </w:tcPr>
                <w:p w14:paraId="6F2AACA6">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267" w:type="dxa"/>
                  <w:vAlign w:val="center"/>
                </w:tcPr>
                <w:p w14:paraId="62AD1F5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977" w:type="dxa"/>
                  <w:vAlign w:val="center"/>
                </w:tcPr>
                <w:p w14:paraId="03A80E1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157" w:type="dxa"/>
                  <w:vAlign w:val="center"/>
                </w:tcPr>
                <w:p w14:paraId="4ACDFA5D">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427" w:type="dxa"/>
                  <w:vAlign w:val="center"/>
                </w:tcPr>
                <w:p w14:paraId="093B2BE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41</w:t>
                  </w:r>
                </w:p>
              </w:tc>
              <w:tc>
                <w:tcPr>
                  <w:tcW w:w="1468" w:type="dxa"/>
                  <w:vAlign w:val="center"/>
                </w:tcPr>
                <w:p w14:paraId="4BBFE4EB">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右</w:t>
                  </w:r>
                  <w:r>
                    <w:rPr>
                      <w:rFonts w:hint="default" w:ascii="Times New Roman" w:hAnsi="Times New Roman" w:cs="Times New Roman"/>
                      <w:spacing w:val="-32"/>
                      <w:sz w:val="21"/>
                      <w:szCs w:val="21"/>
                    </w:rPr>
                    <w:t xml:space="preserve"> </w:t>
                  </w:r>
                  <w:r>
                    <w:rPr>
                      <w:rFonts w:hint="default" w:ascii="Times New Roman" w:hAnsi="Times New Roman" w:eastAsia="Times New Roman" w:cs="Times New Roman"/>
                      <w:spacing w:val="-2"/>
                      <w:sz w:val="21"/>
                      <w:szCs w:val="21"/>
                    </w:rPr>
                    <w:t>32+280</w:t>
                  </w:r>
                </w:p>
              </w:tc>
              <w:tc>
                <w:tcPr>
                  <w:tcW w:w="925" w:type="dxa"/>
                  <w:vAlign w:val="center"/>
                </w:tcPr>
                <w:p w14:paraId="537CB20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0.104</w:t>
                  </w:r>
                </w:p>
              </w:tc>
              <w:tc>
                <w:tcPr>
                  <w:tcW w:w="1005" w:type="dxa"/>
                  <w:vAlign w:val="center"/>
                </w:tcPr>
                <w:p w14:paraId="7DBB2036">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016F6C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trPr>
              <w:tc>
                <w:tcPr>
                  <w:tcW w:w="433" w:type="dxa"/>
                  <w:vAlign w:val="center"/>
                </w:tcPr>
                <w:p w14:paraId="0E7BF3F6">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267" w:type="dxa"/>
                  <w:vAlign w:val="center"/>
                </w:tcPr>
                <w:p w14:paraId="60CA6E6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977" w:type="dxa"/>
                  <w:vAlign w:val="center"/>
                </w:tcPr>
                <w:p w14:paraId="63CEE4F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157" w:type="dxa"/>
                  <w:vAlign w:val="center"/>
                </w:tcPr>
                <w:p w14:paraId="11652FF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427" w:type="dxa"/>
                  <w:vAlign w:val="center"/>
                </w:tcPr>
                <w:p w14:paraId="54B6FA9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42</w:t>
                  </w:r>
                </w:p>
              </w:tc>
              <w:tc>
                <w:tcPr>
                  <w:tcW w:w="1468" w:type="dxa"/>
                  <w:vAlign w:val="center"/>
                </w:tcPr>
                <w:p w14:paraId="6CF04FCB">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右</w:t>
                  </w:r>
                  <w:r>
                    <w:rPr>
                      <w:rFonts w:hint="default" w:ascii="Times New Roman" w:hAnsi="Times New Roman" w:cs="Times New Roman"/>
                      <w:spacing w:val="-32"/>
                      <w:sz w:val="21"/>
                      <w:szCs w:val="21"/>
                    </w:rPr>
                    <w:t xml:space="preserve"> </w:t>
                  </w:r>
                  <w:r>
                    <w:rPr>
                      <w:rFonts w:hint="default" w:ascii="Times New Roman" w:hAnsi="Times New Roman" w:eastAsia="Times New Roman" w:cs="Times New Roman"/>
                      <w:spacing w:val="-2"/>
                      <w:sz w:val="21"/>
                      <w:szCs w:val="21"/>
                    </w:rPr>
                    <w:t>32+360</w:t>
                  </w:r>
                </w:p>
              </w:tc>
              <w:tc>
                <w:tcPr>
                  <w:tcW w:w="925" w:type="dxa"/>
                  <w:vAlign w:val="center"/>
                </w:tcPr>
                <w:p w14:paraId="709E701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3"/>
                      <w:sz w:val="21"/>
                      <w:szCs w:val="21"/>
                    </w:rPr>
                    <w:t>0.117</w:t>
                  </w:r>
                </w:p>
              </w:tc>
              <w:tc>
                <w:tcPr>
                  <w:tcW w:w="1005" w:type="dxa"/>
                  <w:vAlign w:val="center"/>
                </w:tcPr>
                <w:p w14:paraId="5ADFECE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78D451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trPr>
              <w:tc>
                <w:tcPr>
                  <w:tcW w:w="433" w:type="dxa"/>
                  <w:vAlign w:val="center"/>
                </w:tcPr>
                <w:p w14:paraId="4F6AFB0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267" w:type="dxa"/>
                  <w:vAlign w:val="center"/>
                </w:tcPr>
                <w:p w14:paraId="1128047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977" w:type="dxa"/>
                  <w:vAlign w:val="center"/>
                </w:tcPr>
                <w:p w14:paraId="5B43D70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157" w:type="dxa"/>
                  <w:vAlign w:val="center"/>
                </w:tcPr>
                <w:p w14:paraId="1DD1273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427" w:type="dxa"/>
                  <w:vAlign w:val="center"/>
                </w:tcPr>
                <w:p w14:paraId="0D4AA8E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43</w:t>
                  </w:r>
                </w:p>
              </w:tc>
              <w:tc>
                <w:tcPr>
                  <w:tcW w:w="1468" w:type="dxa"/>
                  <w:vAlign w:val="center"/>
                </w:tcPr>
                <w:p w14:paraId="1D21B1B8">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右</w:t>
                  </w:r>
                  <w:r>
                    <w:rPr>
                      <w:rFonts w:hint="default" w:ascii="Times New Roman" w:hAnsi="Times New Roman" w:cs="Times New Roman"/>
                      <w:spacing w:val="-32"/>
                      <w:sz w:val="21"/>
                      <w:szCs w:val="21"/>
                    </w:rPr>
                    <w:t xml:space="preserve"> </w:t>
                  </w:r>
                  <w:r>
                    <w:rPr>
                      <w:rFonts w:hint="default" w:ascii="Times New Roman" w:hAnsi="Times New Roman" w:eastAsia="Times New Roman" w:cs="Times New Roman"/>
                      <w:spacing w:val="-2"/>
                      <w:sz w:val="21"/>
                      <w:szCs w:val="21"/>
                    </w:rPr>
                    <w:t>34+097</w:t>
                  </w:r>
                </w:p>
              </w:tc>
              <w:tc>
                <w:tcPr>
                  <w:tcW w:w="925" w:type="dxa"/>
                  <w:vAlign w:val="center"/>
                </w:tcPr>
                <w:p w14:paraId="4EAD45F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0.078</w:t>
                  </w:r>
                </w:p>
              </w:tc>
              <w:tc>
                <w:tcPr>
                  <w:tcW w:w="1005" w:type="dxa"/>
                  <w:vAlign w:val="center"/>
                </w:tcPr>
                <w:p w14:paraId="2CA7AE4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579AB8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trPr>
              <w:tc>
                <w:tcPr>
                  <w:tcW w:w="433" w:type="dxa"/>
                  <w:vAlign w:val="center"/>
                </w:tcPr>
                <w:p w14:paraId="235C024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267" w:type="dxa"/>
                  <w:vAlign w:val="center"/>
                </w:tcPr>
                <w:p w14:paraId="7CC3EC84">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977" w:type="dxa"/>
                  <w:vAlign w:val="center"/>
                </w:tcPr>
                <w:p w14:paraId="7A76FA3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157" w:type="dxa"/>
                  <w:vAlign w:val="center"/>
                </w:tcPr>
                <w:p w14:paraId="259A1B1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427" w:type="dxa"/>
                  <w:vAlign w:val="center"/>
                </w:tcPr>
                <w:p w14:paraId="0EA9F32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44</w:t>
                  </w:r>
                </w:p>
              </w:tc>
              <w:tc>
                <w:tcPr>
                  <w:tcW w:w="1468" w:type="dxa"/>
                  <w:vAlign w:val="center"/>
                </w:tcPr>
                <w:p w14:paraId="5C0B09E3">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2"/>
                      <w:sz w:val="21"/>
                      <w:szCs w:val="21"/>
                    </w:rPr>
                    <w:t xml:space="preserve">K </w:t>
                  </w:r>
                  <w:r>
                    <w:rPr>
                      <w:rFonts w:hint="default" w:ascii="Times New Roman" w:hAnsi="Times New Roman" w:cs="Times New Roman"/>
                      <w:spacing w:val="-2"/>
                      <w:sz w:val="21"/>
                      <w:szCs w:val="21"/>
                    </w:rPr>
                    <w:t>右</w:t>
                  </w:r>
                  <w:r>
                    <w:rPr>
                      <w:rFonts w:hint="default" w:ascii="Times New Roman" w:hAnsi="Times New Roman" w:cs="Times New Roman"/>
                      <w:spacing w:val="-32"/>
                      <w:sz w:val="21"/>
                      <w:szCs w:val="21"/>
                    </w:rPr>
                    <w:t xml:space="preserve"> </w:t>
                  </w:r>
                  <w:r>
                    <w:rPr>
                      <w:rFonts w:hint="default" w:ascii="Times New Roman" w:hAnsi="Times New Roman" w:eastAsia="Times New Roman" w:cs="Times New Roman"/>
                      <w:spacing w:val="-2"/>
                      <w:sz w:val="21"/>
                      <w:szCs w:val="21"/>
                    </w:rPr>
                    <w:t>34+320</w:t>
                  </w:r>
                </w:p>
              </w:tc>
              <w:tc>
                <w:tcPr>
                  <w:tcW w:w="925" w:type="dxa"/>
                  <w:vAlign w:val="center"/>
                </w:tcPr>
                <w:p w14:paraId="5C2C347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0.087</w:t>
                  </w:r>
                </w:p>
              </w:tc>
              <w:tc>
                <w:tcPr>
                  <w:tcW w:w="1005" w:type="dxa"/>
                  <w:vAlign w:val="center"/>
                </w:tcPr>
                <w:p w14:paraId="1B76F41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bl>
          <w:p w14:paraId="36781029">
            <w:pPr>
              <w:pStyle w:val="36"/>
              <w:bidi w:val="0"/>
              <w:rPr>
                <w:rFonts w:hint="eastAsia"/>
                <w:b/>
                <w:bCs/>
                <w:color w:val="auto"/>
                <w:lang w:eastAsia="zh-CN"/>
              </w:rPr>
            </w:pPr>
            <w:r>
              <w:rPr>
                <w:rFonts w:hint="eastAsia"/>
                <w:b/>
                <w:bCs/>
                <w:color w:val="auto"/>
                <w:lang w:eastAsia="zh-CN"/>
              </w:rPr>
              <w:t>十、工程分段</w:t>
            </w:r>
          </w:p>
          <w:p w14:paraId="0F323197">
            <w:pPr>
              <w:pStyle w:val="36"/>
              <w:bidi w:val="0"/>
              <w:rPr>
                <w:rFonts w:hint="eastAsia"/>
                <w:color w:val="auto"/>
              </w:rPr>
            </w:pPr>
            <w:r>
              <w:rPr>
                <w:rFonts w:hint="eastAsia"/>
                <w:color w:val="auto"/>
              </w:rPr>
              <w:t>芒市果朗河大新寨至芒里大桥段治理工程治理起点为勐戛镇大新寨村，治理终点为风平镇芒里村芒里大桥，河长34.44km，河道治理长度为20.23km。勐戛段 K5+000~K12+350河长7.35km，治理河道长7.35km；勐稳段K14+275~K20+200 河长5.92km，治理道河长5.92km；干沟坪段K24+250~K29+460河长5.21km，治理河道长4.39km；芒里段K31+870~K34+435河长2.57km，治理河道长2.57km；合计治理河道长20.23km。</w:t>
            </w:r>
            <w:r>
              <w:rPr>
                <w:rFonts w:hint="eastAsia"/>
                <w:color w:val="auto"/>
                <w:lang w:eastAsia="zh-CN"/>
              </w:rPr>
              <w:t>工程</w:t>
            </w:r>
            <w:r>
              <w:rPr>
                <w:color w:val="auto"/>
              </w:rPr>
              <w:t>分段情况见下表：</w:t>
            </w:r>
          </w:p>
          <w:p w14:paraId="37D80786">
            <w:pPr>
              <w:pStyle w:val="31"/>
              <w:bidi w:val="0"/>
              <w:rPr>
                <w:rFonts w:hint="eastAsia"/>
                <w:color w:val="auto"/>
              </w:rPr>
            </w:pPr>
            <w:r>
              <w:rPr>
                <w:rFonts w:hint="eastAsia"/>
                <w:color w:val="auto"/>
                <w:lang w:eastAsia="zh-CN"/>
              </w:rPr>
              <w:t>表</w:t>
            </w:r>
            <w:r>
              <w:rPr>
                <w:rFonts w:hint="eastAsia"/>
                <w:color w:val="auto"/>
                <w:lang w:val="en-US" w:eastAsia="zh-CN"/>
              </w:rPr>
              <w:t xml:space="preserve">2-3 </w:t>
            </w:r>
            <w:r>
              <w:rPr>
                <w:rFonts w:hint="eastAsia"/>
                <w:color w:val="auto"/>
                <w:lang w:eastAsia="zh-CN"/>
              </w:rPr>
              <w:t>果朗河治理河段工程</w:t>
            </w:r>
            <w:r>
              <w:rPr>
                <w:rFonts w:hint="eastAsia"/>
                <w:color w:val="auto"/>
              </w:rPr>
              <w:t>分段情况汇总</w:t>
            </w:r>
          </w:p>
          <w:tbl>
            <w:tblPr>
              <w:tblStyle w:val="46"/>
              <w:tblW w:w="7677"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54"/>
              <w:gridCol w:w="1709"/>
              <w:gridCol w:w="406"/>
              <w:gridCol w:w="1869"/>
              <w:gridCol w:w="623"/>
              <w:gridCol w:w="747"/>
              <w:gridCol w:w="1969"/>
            </w:tblGrid>
            <w:tr w14:paraId="1ED589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3" w:hRule="atLeast"/>
              </w:trPr>
              <w:tc>
                <w:tcPr>
                  <w:tcW w:w="354" w:type="dxa"/>
                  <w:textDirection w:val="tbRlV"/>
                  <w:vAlign w:val="center"/>
                </w:tcPr>
                <w:p w14:paraId="15963DC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b/>
                      <w:bCs/>
                      <w:sz w:val="21"/>
                      <w:szCs w:val="21"/>
                    </w:rPr>
                  </w:pPr>
                  <w:r>
                    <w:rPr>
                      <w:b/>
                      <w:bCs/>
                      <w:spacing w:val="26"/>
                      <w:sz w:val="21"/>
                      <w:szCs w:val="21"/>
                    </w:rPr>
                    <w:t>序号</w:t>
                  </w:r>
                </w:p>
              </w:tc>
              <w:tc>
                <w:tcPr>
                  <w:tcW w:w="2115" w:type="dxa"/>
                  <w:gridSpan w:val="2"/>
                  <w:vAlign w:val="center"/>
                </w:tcPr>
                <w:p w14:paraId="2CC82A07">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b/>
                      <w:bCs/>
                      <w:sz w:val="21"/>
                      <w:szCs w:val="21"/>
                    </w:rPr>
                  </w:pPr>
                  <w:r>
                    <w:rPr>
                      <w:b/>
                      <w:bCs/>
                      <w:spacing w:val="-3"/>
                      <w:sz w:val="21"/>
                      <w:szCs w:val="21"/>
                    </w:rPr>
                    <w:t>分段名称</w:t>
                  </w:r>
                </w:p>
              </w:tc>
              <w:tc>
                <w:tcPr>
                  <w:tcW w:w="1869" w:type="dxa"/>
                  <w:vAlign w:val="center"/>
                </w:tcPr>
                <w:p w14:paraId="71C2262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b/>
                      <w:bCs/>
                      <w:sz w:val="21"/>
                      <w:szCs w:val="21"/>
                    </w:rPr>
                  </w:pPr>
                  <w:r>
                    <w:rPr>
                      <w:b/>
                      <w:bCs/>
                      <w:spacing w:val="-1"/>
                      <w:sz w:val="21"/>
                      <w:szCs w:val="21"/>
                    </w:rPr>
                    <w:t>河道里程（</w:t>
                  </w:r>
                  <w:r>
                    <w:rPr>
                      <w:rFonts w:ascii="Times New Roman" w:hAnsi="Times New Roman" w:eastAsia="Times New Roman" w:cs="Times New Roman"/>
                      <w:b/>
                      <w:bCs/>
                      <w:spacing w:val="-1"/>
                      <w:sz w:val="21"/>
                      <w:szCs w:val="21"/>
                    </w:rPr>
                    <w:t>km+m)</w:t>
                  </w:r>
                </w:p>
              </w:tc>
              <w:tc>
                <w:tcPr>
                  <w:tcW w:w="623" w:type="dxa"/>
                  <w:vAlign w:val="center"/>
                </w:tcPr>
                <w:p w14:paraId="39EC9CFB">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b/>
                      <w:bCs/>
                      <w:sz w:val="21"/>
                      <w:szCs w:val="21"/>
                    </w:rPr>
                  </w:pPr>
                  <w:r>
                    <w:rPr>
                      <w:b/>
                      <w:bCs/>
                      <w:spacing w:val="-4"/>
                      <w:sz w:val="21"/>
                      <w:szCs w:val="21"/>
                    </w:rPr>
                    <w:t>河岸</w:t>
                  </w:r>
                </w:p>
                <w:p w14:paraId="4DED92B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b/>
                      <w:bCs/>
                      <w:sz w:val="21"/>
                      <w:szCs w:val="21"/>
                    </w:rPr>
                  </w:pPr>
                  <w:r>
                    <w:rPr>
                      <w:b/>
                      <w:bCs/>
                      <w:spacing w:val="-5"/>
                      <w:sz w:val="21"/>
                      <w:szCs w:val="21"/>
                    </w:rPr>
                    <w:t>现状</w:t>
                  </w:r>
                </w:p>
              </w:tc>
              <w:tc>
                <w:tcPr>
                  <w:tcW w:w="747" w:type="dxa"/>
                  <w:vAlign w:val="center"/>
                </w:tcPr>
                <w:p w14:paraId="52B63315">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b/>
                      <w:bCs/>
                      <w:sz w:val="21"/>
                      <w:szCs w:val="21"/>
                    </w:rPr>
                  </w:pPr>
                  <w:r>
                    <w:rPr>
                      <w:b/>
                      <w:bCs/>
                      <w:spacing w:val="-3"/>
                      <w:sz w:val="21"/>
                      <w:szCs w:val="21"/>
                    </w:rPr>
                    <w:t>现状河</w:t>
                  </w:r>
                  <w:r>
                    <w:rPr>
                      <w:b/>
                      <w:bCs/>
                      <w:sz w:val="21"/>
                      <w:szCs w:val="21"/>
                    </w:rPr>
                    <w:t xml:space="preserve"> </w:t>
                  </w:r>
                  <w:r>
                    <w:rPr>
                      <w:b/>
                      <w:bCs/>
                      <w:spacing w:val="-3"/>
                      <w:sz w:val="21"/>
                      <w:szCs w:val="21"/>
                    </w:rPr>
                    <w:t>坎类型</w:t>
                  </w:r>
                </w:p>
              </w:tc>
              <w:tc>
                <w:tcPr>
                  <w:tcW w:w="1969" w:type="dxa"/>
                  <w:vAlign w:val="center"/>
                </w:tcPr>
                <w:p w14:paraId="0972FC7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b/>
                      <w:bCs/>
                      <w:sz w:val="21"/>
                      <w:szCs w:val="21"/>
                    </w:rPr>
                  </w:pPr>
                  <w:r>
                    <w:rPr>
                      <w:b/>
                      <w:bCs/>
                      <w:spacing w:val="-3"/>
                      <w:sz w:val="21"/>
                      <w:szCs w:val="21"/>
                    </w:rPr>
                    <w:t>治理方案</w:t>
                  </w:r>
                </w:p>
              </w:tc>
            </w:tr>
            <w:tr w14:paraId="79459B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54" w:type="dxa"/>
                  <w:vMerge w:val="restart"/>
                  <w:tcBorders>
                    <w:bottom w:val="nil"/>
                  </w:tcBorders>
                  <w:vAlign w:val="center"/>
                </w:tcPr>
                <w:p w14:paraId="5A0C24C2">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position w:val="-4"/>
                      <w:sz w:val="21"/>
                      <w:szCs w:val="21"/>
                    </w:rPr>
                    <w:t>一</w:t>
                  </w:r>
                </w:p>
              </w:tc>
              <w:tc>
                <w:tcPr>
                  <w:tcW w:w="1709" w:type="dxa"/>
                  <w:vMerge w:val="restart"/>
                  <w:tcBorders>
                    <w:bottom w:val="nil"/>
                  </w:tcBorders>
                  <w:vAlign w:val="center"/>
                </w:tcPr>
                <w:p w14:paraId="1E1E2974">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3"/>
                      <w:sz w:val="21"/>
                      <w:szCs w:val="21"/>
                    </w:rPr>
                    <w:t>勐戛段</w:t>
                  </w:r>
                </w:p>
                <w:p w14:paraId="23ADBFEF">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K5+000</w:t>
                  </w:r>
                  <w:r>
                    <w:rPr>
                      <w:spacing w:val="-1"/>
                      <w:sz w:val="21"/>
                      <w:szCs w:val="21"/>
                    </w:rPr>
                    <w:t>～</w:t>
                  </w:r>
                  <w:r>
                    <w:rPr>
                      <w:rFonts w:ascii="Times New Roman" w:hAnsi="Times New Roman" w:eastAsia="Times New Roman" w:cs="Times New Roman"/>
                      <w:spacing w:val="-1"/>
                      <w:sz w:val="21"/>
                      <w:szCs w:val="21"/>
                    </w:rPr>
                    <w:t>K12+350</w:t>
                  </w:r>
                </w:p>
              </w:tc>
              <w:tc>
                <w:tcPr>
                  <w:tcW w:w="406" w:type="dxa"/>
                  <w:vMerge w:val="restart"/>
                  <w:tcBorders>
                    <w:bottom w:val="nil"/>
                  </w:tcBorders>
                  <w:textDirection w:val="tbRlV"/>
                  <w:vAlign w:val="center"/>
                </w:tcPr>
                <w:p w14:paraId="449828D9">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26"/>
                      <w:sz w:val="21"/>
                      <w:szCs w:val="21"/>
                    </w:rPr>
                    <w:t>左岸</w:t>
                  </w:r>
                </w:p>
              </w:tc>
              <w:tc>
                <w:tcPr>
                  <w:tcW w:w="1869" w:type="dxa"/>
                  <w:vAlign w:val="center"/>
                </w:tcPr>
                <w:p w14:paraId="174EC283">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K5+000</w:t>
                  </w:r>
                  <w:r>
                    <w:rPr>
                      <w:spacing w:val="-1"/>
                      <w:sz w:val="21"/>
                      <w:szCs w:val="21"/>
                    </w:rPr>
                    <w:t>～</w:t>
                  </w:r>
                  <w:r>
                    <w:rPr>
                      <w:rFonts w:ascii="Times New Roman" w:hAnsi="Times New Roman" w:eastAsia="Times New Roman" w:cs="Times New Roman"/>
                      <w:spacing w:val="-1"/>
                      <w:sz w:val="21"/>
                      <w:szCs w:val="21"/>
                    </w:rPr>
                    <w:t>K7+515</w:t>
                  </w:r>
                </w:p>
              </w:tc>
              <w:tc>
                <w:tcPr>
                  <w:tcW w:w="623" w:type="dxa"/>
                  <w:vMerge w:val="restart"/>
                  <w:tcBorders>
                    <w:bottom w:val="nil"/>
                  </w:tcBorders>
                  <w:vAlign w:val="center"/>
                </w:tcPr>
                <w:p w14:paraId="33FD7623">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农田</w:t>
                  </w:r>
                </w:p>
              </w:tc>
              <w:tc>
                <w:tcPr>
                  <w:tcW w:w="747" w:type="dxa"/>
                  <w:vMerge w:val="restart"/>
                  <w:tcBorders>
                    <w:bottom w:val="nil"/>
                  </w:tcBorders>
                  <w:vAlign w:val="center"/>
                </w:tcPr>
                <w:p w14:paraId="6BBE4E4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天然土</w:t>
                  </w:r>
                  <w:r>
                    <w:rPr>
                      <w:sz w:val="21"/>
                      <w:szCs w:val="21"/>
                    </w:rPr>
                    <w:t xml:space="preserve"> </w:t>
                  </w:r>
                  <w:r>
                    <w:rPr>
                      <w:spacing w:val="-3"/>
                      <w:sz w:val="21"/>
                      <w:szCs w:val="21"/>
                    </w:rPr>
                    <w:t>质河坎</w:t>
                  </w:r>
                </w:p>
              </w:tc>
              <w:tc>
                <w:tcPr>
                  <w:tcW w:w="1969" w:type="dxa"/>
                  <w:vAlign w:val="center"/>
                </w:tcPr>
                <w:p w14:paraId="3ECBCBB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1"/>
                      <w:sz w:val="21"/>
                      <w:szCs w:val="21"/>
                    </w:rPr>
                    <w:t>新建钢筋石笼护岸</w:t>
                  </w:r>
                </w:p>
              </w:tc>
            </w:tr>
            <w:tr w14:paraId="74FB2E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54" w:type="dxa"/>
                  <w:vMerge w:val="continue"/>
                  <w:tcBorders>
                    <w:top w:val="nil"/>
                    <w:bottom w:val="nil"/>
                  </w:tcBorders>
                  <w:vAlign w:val="center"/>
                </w:tcPr>
                <w:p w14:paraId="142FD7F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709" w:type="dxa"/>
                  <w:vMerge w:val="continue"/>
                  <w:tcBorders>
                    <w:top w:val="nil"/>
                    <w:bottom w:val="nil"/>
                  </w:tcBorders>
                  <w:vAlign w:val="center"/>
                </w:tcPr>
                <w:p w14:paraId="30D32F3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406" w:type="dxa"/>
                  <w:vMerge w:val="continue"/>
                  <w:tcBorders>
                    <w:top w:val="nil"/>
                    <w:bottom w:val="nil"/>
                  </w:tcBorders>
                  <w:textDirection w:val="tbRlV"/>
                  <w:vAlign w:val="center"/>
                </w:tcPr>
                <w:p w14:paraId="43059B3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869" w:type="dxa"/>
                  <w:vAlign w:val="center"/>
                </w:tcPr>
                <w:p w14:paraId="12554DAE">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K7+515</w:t>
                  </w:r>
                  <w:r>
                    <w:rPr>
                      <w:spacing w:val="-1"/>
                      <w:sz w:val="21"/>
                      <w:szCs w:val="21"/>
                    </w:rPr>
                    <w:t>～</w:t>
                  </w:r>
                  <w:r>
                    <w:rPr>
                      <w:rFonts w:ascii="Times New Roman" w:hAnsi="Times New Roman" w:eastAsia="Times New Roman" w:cs="Times New Roman"/>
                      <w:spacing w:val="-1"/>
                      <w:sz w:val="21"/>
                      <w:szCs w:val="21"/>
                    </w:rPr>
                    <w:t>K8+430</w:t>
                  </w:r>
                </w:p>
              </w:tc>
              <w:tc>
                <w:tcPr>
                  <w:tcW w:w="623" w:type="dxa"/>
                  <w:vMerge w:val="continue"/>
                  <w:tcBorders>
                    <w:top w:val="nil"/>
                    <w:bottom w:val="nil"/>
                  </w:tcBorders>
                  <w:vAlign w:val="center"/>
                </w:tcPr>
                <w:p w14:paraId="4DF399B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747" w:type="dxa"/>
                  <w:vMerge w:val="continue"/>
                  <w:tcBorders>
                    <w:top w:val="nil"/>
                    <w:bottom w:val="nil"/>
                  </w:tcBorders>
                  <w:vAlign w:val="center"/>
                </w:tcPr>
                <w:p w14:paraId="69229CE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969" w:type="dxa"/>
                  <w:vAlign w:val="center"/>
                </w:tcPr>
                <w:p w14:paraId="6FD84DA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清障</w:t>
                  </w:r>
                </w:p>
              </w:tc>
            </w:tr>
            <w:tr w14:paraId="275D46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54" w:type="dxa"/>
                  <w:vMerge w:val="continue"/>
                  <w:tcBorders>
                    <w:top w:val="nil"/>
                    <w:bottom w:val="nil"/>
                  </w:tcBorders>
                  <w:vAlign w:val="center"/>
                </w:tcPr>
                <w:p w14:paraId="18E35A2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709" w:type="dxa"/>
                  <w:vMerge w:val="continue"/>
                  <w:tcBorders>
                    <w:top w:val="nil"/>
                    <w:bottom w:val="nil"/>
                  </w:tcBorders>
                  <w:vAlign w:val="center"/>
                </w:tcPr>
                <w:p w14:paraId="6526C50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406" w:type="dxa"/>
                  <w:vMerge w:val="continue"/>
                  <w:tcBorders>
                    <w:top w:val="nil"/>
                    <w:bottom w:val="nil"/>
                  </w:tcBorders>
                  <w:textDirection w:val="tbRlV"/>
                  <w:vAlign w:val="center"/>
                </w:tcPr>
                <w:p w14:paraId="4A462FA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869" w:type="dxa"/>
                  <w:vAlign w:val="center"/>
                </w:tcPr>
                <w:p w14:paraId="46705E6A">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K8+430</w:t>
                  </w:r>
                  <w:r>
                    <w:rPr>
                      <w:spacing w:val="-1"/>
                      <w:sz w:val="21"/>
                      <w:szCs w:val="21"/>
                    </w:rPr>
                    <w:t>～</w:t>
                  </w:r>
                  <w:r>
                    <w:rPr>
                      <w:rFonts w:ascii="Times New Roman" w:hAnsi="Times New Roman" w:eastAsia="Times New Roman" w:cs="Times New Roman"/>
                      <w:spacing w:val="-1"/>
                      <w:sz w:val="21"/>
                      <w:szCs w:val="21"/>
                    </w:rPr>
                    <w:t>K12+000</w:t>
                  </w:r>
                </w:p>
              </w:tc>
              <w:tc>
                <w:tcPr>
                  <w:tcW w:w="623" w:type="dxa"/>
                  <w:vMerge w:val="continue"/>
                  <w:tcBorders>
                    <w:top w:val="nil"/>
                    <w:bottom w:val="nil"/>
                  </w:tcBorders>
                  <w:vAlign w:val="center"/>
                </w:tcPr>
                <w:p w14:paraId="5042E54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747" w:type="dxa"/>
                  <w:vMerge w:val="continue"/>
                  <w:tcBorders>
                    <w:top w:val="nil"/>
                    <w:bottom w:val="nil"/>
                  </w:tcBorders>
                  <w:vAlign w:val="center"/>
                </w:tcPr>
                <w:p w14:paraId="60EF44E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969" w:type="dxa"/>
                  <w:vAlign w:val="center"/>
                </w:tcPr>
                <w:p w14:paraId="3FA76CB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1"/>
                      <w:sz w:val="21"/>
                      <w:szCs w:val="21"/>
                    </w:rPr>
                    <w:t>新建钢筋石笼护岸</w:t>
                  </w:r>
                </w:p>
              </w:tc>
            </w:tr>
            <w:tr w14:paraId="24C5A2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24" w:hRule="atLeast"/>
              </w:trPr>
              <w:tc>
                <w:tcPr>
                  <w:tcW w:w="354" w:type="dxa"/>
                  <w:vMerge w:val="continue"/>
                  <w:tcBorders>
                    <w:top w:val="nil"/>
                    <w:bottom w:val="nil"/>
                  </w:tcBorders>
                  <w:vAlign w:val="center"/>
                </w:tcPr>
                <w:p w14:paraId="6AAEE85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709" w:type="dxa"/>
                  <w:vMerge w:val="continue"/>
                  <w:tcBorders>
                    <w:top w:val="nil"/>
                    <w:bottom w:val="nil"/>
                  </w:tcBorders>
                  <w:vAlign w:val="center"/>
                </w:tcPr>
                <w:p w14:paraId="34E6C40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406" w:type="dxa"/>
                  <w:vMerge w:val="continue"/>
                  <w:tcBorders>
                    <w:top w:val="nil"/>
                  </w:tcBorders>
                  <w:textDirection w:val="tbRlV"/>
                  <w:vAlign w:val="center"/>
                </w:tcPr>
                <w:p w14:paraId="762A945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869" w:type="dxa"/>
                  <w:vAlign w:val="center"/>
                </w:tcPr>
                <w:p w14:paraId="2E18F019">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K12+000</w:t>
                  </w:r>
                  <w:r>
                    <w:rPr>
                      <w:spacing w:val="-1"/>
                      <w:sz w:val="21"/>
                      <w:szCs w:val="21"/>
                    </w:rPr>
                    <w:t>～</w:t>
                  </w:r>
                  <w:r>
                    <w:rPr>
                      <w:rFonts w:ascii="Times New Roman" w:hAnsi="Times New Roman" w:eastAsia="Times New Roman" w:cs="Times New Roman"/>
                      <w:spacing w:val="-1"/>
                      <w:sz w:val="21"/>
                      <w:szCs w:val="21"/>
                    </w:rPr>
                    <w:t>K12+350</w:t>
                  </w:r>
                </w:p>
              </w:tc>
              <w:tc>
                <w:tcPr>
                  <w:tcW w:w="623" w:type="dxa"/>
                  <w:vMerge w:val="continue"/>
                  <w:tcBorders>
                    <w:top w:val="nil"/>
                  </w:tcBorders>
                  <w:vAlign w:val="center"/>
                </w:tcPr>
                <w:p w14:paraId="70B2D7A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747" w:type="dxa"/>
                  <w:vMerge w:val="continue"/>
                  <w:tcBorders>
                    <w:top w:val="nil"/>
                    <w:bottom w:val="nil"/>
                  </w:tcBorders>
                  <w:vAlign w:val="center"/>
                </w:tcPr>
                <w:p w14:paraId="0579C2D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969" w:type="dxa"/>
                  <w:vAlign w:val="center"/>
                </w:tcPr>
                <w:p w14:paraId="30CC7E03">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清障</w:t>
                  </w:r>
                </w:p>
              </w:tc>
            </w:tr>
            <w:tr w14:paraId="3402A4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54" w:type="dxa"/>
                  <w:vMerge w:val="continue"/>
                  <w:tcBorders>
                    <w:top w:val="nil"/>
                    <w:bottom w:val="nil"/>
                  </w:tcBorders>
                  <w:vAlign w:val="center"/>
                </w:tcPr>
                <w:p w14:paraId="741E6A6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709" w:type="dxa"/>
                  <w:vMerge w:val="continue"/>
                  <w:tcBorders>
                    <w:top w:val="nil"/>
                    <w:bottom w:val="nil"/>
                  </w:tcBorders>
                  <w:vAlign w:val="center"/>
                </w:tcPr>
                <w:p w14:paraId="1DB1D52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406" w:type="dxa"/>
                  <w:vMerge w:val="restart"/>
                  <w:tcBorders>
                    <w:bottom w:val="nil"/>
                  </w:tcBorders>
                  <w:textDirection w:val="tbRlV"/>
                  <w:vAlign w:val="center"/>
                </w:tcPr>
                <w:p w14:paraId="5D050B05">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26"/>
                      <w:sz w:val="21"/>
                      <w:szCs w:val="21"/>
                    </w:rPr>
                    <w:t>右岸</w:t>
                  </w:r>
                </w:p>
              </w:tc>
              <w:tc>
                <w:tcPr>
                  <w:tcW w:w="1869" w:type="dxa"/>
                  <w:vAlign w:val="center"/>
                </w:tcPr>
                <w:p w14:paraId="2F64452A">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K5+000</w:t>
                  </w:r>
                  <w:r>
                    <w:rPr>
                      <w:spacing w:val="-1"/>
                      <w:sz w:val="21"/>
                      <w:szCs w:val="21"/>
                    </w:rPr>
                    <w:t>～</w:t>
                  </w:r>
                  <w:r>
                    <w:rPr>
                      <w:rFonts w:ascii="Times New Roman" w:hAnsi="Times New Roman" w:eastAsia="Times New Roman" w:cs="Times New Roman"/>
                      <w:spacing w:val="-1"/>
                      <w:sz w:val="21"/>
                      <w:szCs w:val="21"/>
                    </w:rPr>
                    <w:t>K8+365</w:t>
                  </w:r>
                </w:p>
              </w:tc>
              <w:tc>
                <w:tcPr>
                  <w:tcW w:w="623" w:type="dxa"/>
                  <w:vMerge w:val="restart"/>
                  <w:tcBorders>
                    <w:bottom w:val="nil"/>
                  </w:tcBorders>
                  <w:vAlign w:val="center"/>
                </w:tcPr>
                <w:p w14:paraId="2235BBB3">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13"/>
                      <w:sz w:val="21"/>
                      <w:szCs w:val="21"/>
                    </w:rPr>
                    <w:t>农田、</w:t>
                  </w:r>
                  <w:r>
                    <w:rPr>
                      <w:sz w:val="21"/>
                      <w:szCs w:val="21"/>
                    </w:rPr>
                    <w:t xml:space="preserve"> </w:t>
                  </w:r>
                  <w:r>
                    <w:rPr>
                      <w:spacing w:val="-4"/>
                      <w:sz w:val="21"/>
                      <w:szCs w:val="21"/>
                    </w:rPr>
                    <w:t>道路</w:t>
                  </w:r>
                </w:p>
              </w:tc>
              <w:tc>
                <w:tcPr>
                  <w:tcW w:w="747" w:type="dxa"/>
                  <w:vMerge w:val="continue"/>
                  <w:tcBorders>
                    <w:top w:val="nil"/>
                    <w:bottom w:val="nil"/>
                  </w:tcBorders>
                  <w:vAlign w:val="center"/>
                </w:tcPr>
                <w:p w14:paraId="0CFCDD1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969" w:type="dxa"/>
                  <w:vAlign w:val="center"/>
                </w:tcPr>
                <w:p w14:paraId="3BD5E115">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清障</w:t>
                  </w:r>
                </w:p>
              </w:tc>
            </w:tr>
            <w:tr w14:paraId="751316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54" w:type="dxa"/>
                  <w:vMerge w:val="continue"/>
                  <w:tcBorders>
                    <w:top w:val="nil"/>
                  </w:tcBorders>
                  <w:vAlign w:val="center"/>
                </w:tcPr>
                <w:p w14:paraId="63B5DE8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709" w:type="dxa"/>
                  <w:vMerge w:val="continue"/>
                  <w:tcBorders>
                    <w:top w:val="nil"/>
                  </w:tcBorders>
                  <w:vAlign w:val="center"/>
                </w:tcPr>
                <w:p w14:paraId="74D8CAD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406" w:type="dxa"/>
                  <w:vMerge w:val="continue"/>
                  <w:tcBorders>
                    <w:top w:val="nil"/>
                  </w:tcBorders>
                  <w:textDirection w:val="tbRlV"/>
                  <w:vAlign w:val="center"/>
                </w:tcPr>
                <w:p w14:paraId="094A4C0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869" w:type="dxa"/>
                  <w:vAlign w:val="center"/>
                </w:tcPr>
                <w:p w14:paraId="48103590">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K8+365</w:t>
                  </w:r>
                  <w:r>
                    <w:rPr>
                      <w:spacing w:val="-1"/>
                      <w:sz w:val="21"/>
                      <w:szCs w:val="21"/>
                    </w:rPr>
                    <w:t>～</w:t>
                  </w:r>
                  <w:r>
                    <w:rPr>
                      <w:rFonts w:ascii="Times New Roman" w:hAnsi="Times New Roman" w:eastAsia="Times New Roman" w:cs="Times New Roman"/>
                      <w:spacing w:val="-1"/>
                      <w:sz w:val="21"/>
                      <w:szCs w:val="21"/>
                    </w:rPr>
                    <w:t>K12+350</w:t>
                  </w:r>
                </w:p>
              </w:tc>
              <w:tc>
                <w:tcPr>
                  <w:tcW w:w="623" w:type="dxa"/>
                  <w:vMerge w:val="continue"/>
                  <w:tcBorders>
                    <w:top w:val="nil"/>
                  </w:tcBorders>
                  <w:vAlign w:val="center"/>
                </w:tcPr>
                <w:p w14:paraId="40BB156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747" w:type="dxa"/>
                  <w:vMerge w:val="continue"/>
                  <w:tcBorders>
                    <w:top w:val="nil"/>
                  </w:tcBorders>
                  <w:vAlign w:val="center"/>
                </w:tcPr>
                <w:p w14:paraId="1997A96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969" w:type="dxa"/>
                  <w:vAlign w:val="center"/>
                </w:tcPr>
                <w:p w14:paraId="0577D2E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1"/>
                      <w:sz w:val="21"/>
                      <w:szCs w:val="21"/>
                    </w:rPr>
                    <w:t>新建钢筋石笼护岸</w:t>
                  </w:r>
                </w:p>
              </w:tc>
            </w:tr>
            <w:tr w14:paraId="38080A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54" w:type="dxa"/>
                  <w:vMerge w:val="restart"/>
                  <w:tcBorders>
                    <w:bottom w:val="nil"/>
                  </w:tcBorders>
                  <w:vAlign w:val="center"/>
                </w:tcPr>
                <w:p w14:paraId="09C902D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z w:val="21"/>
                      <w:szCs w:val="21"/>
                    </w:rPr>
                    <w:t>二</w:t>
                  </w:r>
                </w:p>
              </w:tc>
              <w:tc>
                <w:tcPr>
                  <w:tcW w:w="1709" w:type="dxa"/>
                  <w:vMerge w:val="restart"/>
                  <w:tcBorders>
                    <w:bottom w:val="nil"/>
                  </w:tcBorders>
                  <w:vAlign w:val="center"/>
                </w:tcPr>
                <w:p w14:paraId="648C24EA">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3"/>
                      <w:sz w:val="21"/>
                      <w:szCs w:val="21"/>
                    </w:rPr>
                    <w:t>勐稳段</w:t>
                  </w:r>
                </w:p>
                <w:p w14:paraId="1A2A0844">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K14+275</w:t>
                  </w:r>
                  <w:r>
                    <w:rPr>
                      <w:spacing w:val="-1"/>
                      <w:sz w:val="21"/>
                      <w:szCs w:val="21"/>
                    </w:rPr>
                    <w:t>～</w:t>
                  </w:r>
                  <w:r>
                    <w:rPr>
                      <w:rFonts w:ascii="Times New Roman" w:hAnsi="Times New Roman" w:eastAsia="Times New Roman" w:cs="Times New Roman"/>
                      <w:spacing w:val="-1"/>
                      <w:sz w:val="21"/>
                      <w:szCs w:val="21"/>
                    </w:rPr>
                    <w:t>K20+200</w:t>
                  </w:r>
                </w:p>
              </w:tc>
              <w:tc>
                <w:tcPr>
                  <w:tcW w:w="406" w:type="dxa"/>
                  <w:vMerge w:val="restart"/>
                  <w:tcBorders>
                    <w:bottom w:val="nil"/>
                  </w:tcBorders>
                  <w:textDirection w:val="tbRlV"/>
                  <w:vAlign w:val="center"/>
                </w:tcPr>
                <w:p w14:paraId="0AD3F74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26"/>
                      <w:sz w:val="21"/>
                      <w:szCs w:val="21"/>
                    </w:rPr>
                    <w:t>左岸</w:t>
                  </w:r>
                </w:p>
              </w:tc>
              <w:tc>
                <w:tcPr>
                  <w:tcW w:w="1869" w:type="dxa"/>
                  <w:vAlign w:val="center"/>
                </w:tcPr>
                <w:p w14:paraId="00479412">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K14+275</w:t>
                  </w:r>
                  <w:r>
                    <w:rPr>
                      <w:spacing w:val="-1"/>
                      <w:sz w:val="21"/>
                      <w:szCs w:val="21"/>
                    </w:rPr>
                    <w:t>～</w:t>
                  </w:r>
                  <w:r>
                    <w:rPr>
                      <w:rFonts w:ascii="Times New Roman" w:hAnsi="Times New Roman" w:eastAsia="Times New Roman" w:cs="Times New Roman"/>
                      <w:spacing w:val="-1"/>
                      <w:sz w:val="21"/>
                      <w:szCs w:val="21"/>
                    </w:rPr>
                    <w:t>K14+960</w:t>
                  </w:r>
                </w:p>
              </w:tc>
              <w:tc>
                <w:tcPr>
                  <w:tcW w:w="623" w:type="dxa"/>
                  <w:vMerge w:val="restart"/>
                  <w:tcBorders>
                    <w:bottom w:val="nil"/>
                  </w:tcBorders>
                  <w:vAlign w:val="center"/>
                </w:tcPr>
                <w:p w14:paraId="4C2EC434">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13"/>
                      <w:sz w:val="21"/>
                      <w:szCs w:val="21"/>
                    </w:rPr>
                    <w:t>农田、</w:t>
                  </w:r>
                  <w:r>
                    <w:rPr>
                      <w:sz w:val="21"/>
                      <w:szCs w:val="21"/>
                    </w:rPr>
                    <w:t xml:space="preserve"> </w:t>
                  </w:r>
                  <w:r>
                    <w:rPr>
                      <w:spacing w:val="-12"/>
                      <w:sz w:val="21"/>
                      <w:szCs w:val="21"/>
                    </w:rPr>
                    <w:t>山体</w:t>
                  </w:r>
                </w:p>
              </w:tc>
              <w:tc>
                <w:tcPr>
                  <w:tcW w:w="747" w:type="dxa"/>
                  <w:vMerge w:val="restart"/>
                  <w:tcBorders>
                    <w:bottom w:val="nil"/>
                  </w:tcBorders>
                  <w:vAlign w:val="center"/>
                </w:tcPr>
                <w:p w14:paraId="323BB544">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天然土</w:t>
                  </w:r>
                  <w:r>
                    <w:rPr>
                      <w:sz w:val="21"/>
                      <w:szCs w:val="21"/>
                    </w:rPr>
                    <w:t xml:space="preserve"> </w:t>
                  </w:r>
                  <w:r>
                    <w:rPr>
                      <w:spacing w:val="-3"/>
                      <w:sz w:val="21"/>
                      <w:szCs w:val="21"/>
                    </w:rPr>
                    <w:t>质河坎</w:t>
                  </w:r>
                </w:p>
              </w:tc>
              <w:tc>
                <w:tcPr>
                  <w:tcW w:w="1969" w:type="dxa"/>
                  <w:vAlign w:val="center"/>
                </w:tcPr>
                <w:p w14:paraId="3EC219D7">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1"/>
                      <w:sz w:val="21"/>
                      <w:szCs w:val="21"/>
                    </w:rPr>
                    <w:t>新建钢筋石笼护岸</w:t>
                  </w:r>
                </w:p>
              </w:tc>
            </w:tr>
            <w:tr w14:paraId="14EC10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54" w:type="dxa"/>
                  <w:vMerge w:val="continue"/>
                  <w:tcBorders>
                    <w:top w:val="nil"/>
                    <w:bottom w:val="nil"/>
                  </w:tcBorders>
                  <w:vAlign w:val="center"/>
                </w:tcPr>
                <w:p w14:paraId="396F510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709" w:type="dxa"/>
                  <w:vMerge w:val="continue"/>
                  <w:tcBorders>
                    <w:top w:val="nil"/>
                    <w:bottom w:val="nil"/>
                  </w:tcBorders>
                  <w:vAlign w:val="center"/>
                </w:tcPr>
                <w:p w14:paraId="73FE06C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406" w:type="dxa"/>
                  <w:vMerge w:val="continue"/>
                  <w:tcBorders>
                    <w:top w:val="nil"/>
                    <w:bottom w:val="nil"/>
                  </w:tcBorders>
                  <w:textDirection w:val="tbRlV"/>
                  <w:vAlign w:val="center"/>
                </w:tcPr>
                <w:p w14:paraId="3ECA994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869" w:type="dxa"/>
                  <w:vAlign w:val="center"/>
                </w:tcPr>
                <w:p w14:paraId="4EECEF4A">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K14+960</w:t>
                  </w:r>
                  <w:r>
                    <w:rPr>
                      <w:spacing w:val="-1"/>
                      <w:sz w:val="21"/>
                      <w:szCs w:val="21"/>
                    </w:rPr>
                    <w:t>～</w:t>
                  </w:r>
                  <w:r>
                    <w:rPr>
                      <w:rFonts w:ascii="Times New Roman" w:hAnsi="Times New Roman" w:eastAsia="Times New Roman" w:cs="Times New Roman"/>
                      <w:spacing w:val="-1"/>
                      <w:sz w:val="21"/>
                      <w:szCs w:val="21"/>
                    </w:rPr>
                    <w:t>K16+940</w:t>
                  </w:r>
                </w:p>
              </w:tc>
              <w:tc>
                <w:tcPr>
                  <w:tcW w:w="623" w:type="dxa"/>
                  <w:vMerge w:val="continue"/>
                  <w:tcBorders>
                    <w:top w:val="nil"/>
                    <w:bottom w:val="nil"/>
                  </w:tcBorders>
                  <w:vAlign w:val="center"/>
                </w:tcPr>
                <w:p w14:paraId="2D96F8B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747" w:type="dxa"/>
                  <w:vMerge w:val="continue"/>
                  <w:tcBorders>
                    <w:top w:val="nil"/>
                    <w:bottom w:val="nil"/>
                  </w:tcBorders>
                  <w:vAlign w:val="center"/>
                </w:tcPr>
                <w:p w14:paraId="5358418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969" w:type="dxa"/>
                  <w:vAlign w:val="center"/>
                </w:tcPr>
                <w:p w14:paraId="469420E4">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清障</w:t>
                  </w:r>
                </w:p>
              </w:tc>
            </w:tr>
            <w:tr w14:paraId="0E1B17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54" w:type="dxa"/>
                  <w:vMerge w:val="continue"/>
                  <w:tcBorders>
                    <w:top w:val="nil"/>
                    <w:bottom w:val="nil"/>
                  </w:tcBorders>
                  <w:vAlign w:val="center"/>
                </w:tcPr>
                <w:p w14:paraId="1AE2DB3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709" w:type="dxa"/>
                  <w:vMerge w:val="continue"/>
                  <w:tcBorders>
                    <w:top w:val="nil"/>
                    <w:bottom w:val="nil"/>
                  </w:tcBorders>
                  <w:vAlign w:val="center"/>
                </w:tcPr>
                <w:p w14:paraId="5A8AC94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406" w:type="dxa"/>
                  <w:vMerge w:val="continue"/>
                  <w:tcBorders>
                    <w:top w:val="nil"/>
                    <w:bottom w:val="nil"/>
                  </w:tcBorders>
                  <w:textDirection w:val="tbRlV"/>
                  <w:vAlign w:val="center"/>
                </w:tcPr>
                <w:p w14:paraId="46488E1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869" w:type="dxa"/>
                  <w:vAlign w:val="center"/>
                </w:tcPr>
                <w:p w14:paraId="7883E9FA">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K16+940</w:t>
                  </w:r>
                  <w:r>
                    <w:rPr>
                      <w:spacing w:val="-1"/>
                      <w:sz w:val="21"/>
                      <w:szCs w:val="21"/>
                    </w:rPr>
                    <w:t>～</w:t>
                  </w:r>
                  <w:r>
                    <w:rPr>
                      <w:rFonts w:ascii="Times New Roman" w:hAnsi="Times New Roman" w:eastAsia="Times New Roman" w:cs="Times New Roman"/>
                      <w:spacing w:val="-1"/>
                      <w:sz w:val="21"/>
                      <w:szCs w:val="21"/>
                    </w:rPr>
                    <w:t>K18+940</w:t>
                  </w:r>
                </w:p>
              </w:tc>
              <w:tc>
                <w:tcPr>
                  <w:tcW w:w="623" w:type="dxa"/>
                  <w:vMerge w:val="continue"/>
                  <w:tcBorders>
                    <w:top w:val="nil"/>
                    <w:bottom w:val="nil"/>
                  </w:tcBorders>
                  <w:vAlign w:val="center"/>
                </w:tcPr>
                <w:p w14:paraId="6449C82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747" w:type="dxa"/>
                  <w:vMerge w:val="continue"/>
                  <w:tcBorders>
                    <w:top w:val="nil"/>
                    <w:bottom w:val="nil"/>
                  </w:tcBorders>
                  <w:vAlign w:val="center"/>
                </w:tcPr>
                <w:p w14:paraId="707093B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969" w:type="dxa"/>
                  <w:vAlign w:val="center"/>
                </w:tcPr>
                <w:p w14:paraId="4046B72B">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1"/>
                      <w:sz w:val="21"/>
                      <w:szCs w:val="21"/>
                    </w:rPr>
                    <w:t>新建钢筋石笼护岸</w:t>
                  </w:r>
                </w:p>
              </w:tc>
            </w:tr>
            <w:tr w14:paraId="22E3A9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54" w:type="dxa"/>
                  <w:vMerge w:val="continue"/>
                  <w:tcBorders>
                    <w:top w:val="nil"/>
                    <w:bottom w:val="nil"/>
                  </w:tcBorders>
                  <w:vAlign w:val="center"/>
                </w:tcPr>
                <w:p w14:paraId="645A404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709" w:type="dxa"/>
                  <w:vMerge w:val="continue"/>
                  <w:tcBorders>
                    <w:top w:val="nil"/>
                    <w:bottom w:val="nil"/>
                  </w:tcBorders>
                  <w:vAlign w:val="center"/>
                </w:tcPr>
                <w:p w14:paraId="2AA9EF8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406" w:type="dxa"/>
                  <w:vMerge w:val="continue"/>
                  <w:tcBorders>
                    <w:top w:val="nil"/>
                  </w:tcBorders>
                  <w:textDirection w:val="tbRlV"/>
                  <w:vAlign w:val="center"/>
                </w:tcPr>
                <w:p w14:paraId="36D5959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869" w:type="dxa"/>
                  <w:vAlign w:val="center"/>
                </w:tcPr>
                <w:p w14:paraId="22938D14">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K18+940</w:t>
                  </w:r>
                  <w:r>
                    <w:rPr>
                      <w:spacing w:val="-1"/>
                      <w:sz w:val="21"/>
                      <w:szCs w:val="21"/>
                    </w:rPr>
                    <w:t>～</w:t>
                  </w:r>
                  <w:r>
                    <w:rPr>
                      <w:rFonts w:ascii="Times New Roman" w:hAnsi="Times New Roman" w:eastAsia="Times New Roman" w:cs="Times New Roman"/>
                      <w:spacing w:val="-1"/>
                      <w:sz w:val="21"/>
                      <w:szCs w:val="21"/>
                    </w:rPr>
                    <w:t>K20+200</w:t>
                  </w:r>
                </w:p>
              </w:tc>
              <w:tc>
                <w:tcPr>
                  <w:tcW w:w="623" w:type="dxa"/>
                  <w:vMerge w:val="continue"/>
                  <w:tcBorders>
                    <w:top w:val="nil"/>
                  </w:tcBorders>
                  <w:vAlign w:val="center"/>
                </w:tcPr>
                <w:p w14:paraId="3B035B5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747" w:type="dxa"/>
                  <w:vMerge w:val="continue"/>
                  <w:tcBorders>
                    <w:top w:val="nil"/>
                    <w:bottom w:val="nil"/>
                  </w:tcBorders>
                  <w:vAlign w:val="center"/>
                </w:tcPr>
                <w:p w14:paraId="41EBF0B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969" w:type="dxa"/>
                  <w:vAlign w:val="center"/>
                </w:tcPr>
                <w:p w14:paraId="6721F210">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清障</w:t>
                  </w:r>
                </w:p>
              </w:tc>
            </w:tr>
            <w:tr w14:paraId="5D6559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54" w:type="dxa"/>
                  <w:vMerge w:val="continue"/>
                  <w:tcBorders>
                    <w:top w:val="nil"/>
                    <w:bottom w:val="nil"/>
                  </w:tcBorders>
                  <w:vAlign w:val="center"/>
                </w:tcPr>
                <w:p w14:paraId="2CEE7BF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709" w:type="dxa"/>
                  <w:vMerge w:val="continue"/>
                  <w:tcBorders>
                    <w:top w:val="nil"/>
                    <w:bottom w:val="nil"/>
                  </w:tcBorders>
                  <w:vAlign w:val="center"/>
                </w:tcPr>
                <w:p w14:paraId="110AE0B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406" w:type="dxa"/>
                  <w:vMerge w:val="restart"/>
                  <w:tcBorders>
                    <w:bottom w:val="nil"/>
                  </w:tcBorders>
                  <w:textDirection w:val="tbRlV"/>
                  <w:vAlign w:val="center"/>
                </w:tcPr>
                <w:p w14:paraId="1EFA5819">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26"/>
                      <w:sz w:val="21"/>
                      <w:szCs w:val="21"/>
                    </w:rPr>
                    <w:t>右岸</w:t>
                  </w:r>
                </w:p>
              </w:tc>
              <w:tc>
                <w:tcPr>
                  <w:tcW w:w="1869" w:type="dxa"/>
                  <w:vAlign w:val="center"/>
                </w:tcPr>
                <w:p w14:paraId="24BB647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K14+275</w:t>
                  </w:r>
                  <w:r>
                    <w:rPr>
                      <w:spacing w:val="-1"/>
                      <w:sz w:val="21"/>
                      <w:szCs w:val="21"/>
                    </w:rPr>
                    <w:t>～</w:t>
                  </w:r>
                  <w:r>
                    <w:rPr>
                      <w:rFonts w:ascii="Times New Roman" w:hAnsi="Times New Roman" w:eastAsia="Times New Roman" w:cs="Times New Roman"/>
                      <w:spacing w:val="-1"/>
                      <w:sz w:val="21"/>
                      <w:szCs w:val="21"/>
                    </w:rPr>
                    <w:t>K18+370</w:t>
                  </w:r>
                </w:p>
              </w:tc>
              <w:tc>
                <w:tcPr>
                  <w:tcW w:w="623" w:type="dxa"/>
                  <w:vMerge w:val="restart"/>
                  <w:tcBorders>
                    <w:bottom w:val="nil"/>
                  </w:tcBorders>
                  <w:vAlign w:val="center"/>
                </w:tcPr>
                <w:p w14:paraId="783BC9F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13"/>
                      <w:sz w:val="21"/>
                      <w:szCs w:val="21"/>
                    </w:rPr>
                    <w:t>农田、</w:t>
                  </w:r>
                  <w:r>
                    <w:rPr>
                      <w:sz w:val="21"/>
                      <w:szCs w:val="21"/>
                    </w:rPr>
                    <w:t xml:space="preserve"> </w:t>
                  </w:r>
                  <w:r>
                    <w:rPr>
                      <w:spacing w:val="-4"/>
                      <w:sz w:val="21"/>
                      <w:szCs w:val="21"/>
                    </w:rPr>
                    <w:t>道路</w:t>
                  </w:r>
                </w:p>
              </w:tc>
              <w:tc>
                <w:tcPr>
                  <w:tcW w:w="747" w:type="dxa"/>
                  <w:vMerge w:val="continue"/>
                  <w:tcBorders>
                    <w:top w:val="nil"/>
                    <w:bottom w:val="nil"/>
                  </w:tcBorders>
                  <w:vAlign w:val="center"/>
                </w:tcPr>
                <w:p w14:paraId="2A6EE19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969" w:type="dxa"/>
                  <w:vAlign w:val="center"/>
                </w:tcPr>
                <w:p w14:paraId="4DE1815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1"/>
                      <w:sz w:val="21"/>
                      <w:szCs w:val="21"/>
                    </w:rPr>
                    <w:t>新建钢筋石笼护岸</w:t>
                  </w:r>
                </w:p>
              </w:tc>
            </w:tr>
            <w:tr w14:paraId="2ADAE2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54" w:type="dxa"/>
                  <w:vMerge w:val="continue"/>
                  <w:tcBorders>
                    <w:top w:val="nil"/>
                    <w:bottom w:val="nil"/>
                  </w:tcBorders>
                  <w:vAlign w:val="center"/>
                </w:tcPr>
                <w:p w14:paraId="1B302DE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709" w:type="dxa"/>
                  <w:vMerge w:val="continue"/>
                  <w:tcBorders>
                    <w:top w:val="nil"/>
                    <w:bottom w:val="nil"/>
                  </w:tcBorders>
                  <w:vAlign w:val="center"/>
                </w:tcPr>
                <w:p w14:paraId="1A265BF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406" w:type="dxa"/>
                  <w:vMerge w:val="continue"/>
                  <w:tcBorders>
                    <w:top w:val="nil"/>
                    <w:bottom w:val="nil"/>
                  </w:tcBorders>
                  <w:textDirection w:val="tbRlV"/>
                  <w:vAlign w:val="center"/>
                </w:tcPr>
                <w:p w14:paraId="3CF4901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869" w:type="dxa"/>
                  <w:vAlign w:val="center"/>
                </w:tcPr>
                <w:p w14:paraId="4B257A67">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K18+370</w:t>
                  </w:r>
                  <w:r>
                    <w:rPr>
                      <w:spacing w:val="-1"/>
                      <w:sz w:val="21"/>
                      <w:szCs w:val="21"/>
                    </w:rPr>
                    <w:t>～</w:t>
                  </w:r>
                  <w:r>
                    <w:rPr>
                      <w:rFonts w:ascii="Times New Roman" w:hAnsi="Times New Roman" w:eastAsia="Times New Roman" w:cs="Times New Roman"/>
                      <w:spacing w:val="-1"/>
                      <w:sz w:val="21"/>
                      <w:szCs w:val="21"/>
                    </w:rPr>
                    <w:t>K19+540</w:t>
                  </w:r>
                </w:p>
              </w:tc>
              <w:tc>
                <w:tcPr>
                  <w:tcW w:w="623" w:type="dxa"/>
                  <w:vMerge w:val="continue"/>
                  <w:tcBorders>
                    <w:top w:val="nil"/>
                    <w:bottom w:val="nil"/>
                  </w:tcBorders>
                  <w:vAlign w:val="center"/>
                </w:tcPr>
                <w:p w14:paraId="41D78CC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747" w:type="dxa"/>
                  <w:vMerge w:val="continue"/>
                  <w:tcBorders>
                    <w:top w:val="nil"/>
                    <w:bottom w:val="nil"/>
                  </w:tcBorders>
                  <w:vAlign w:val="center"/>
                </w:tcPr>
                <w:p w14:paraId="1B071DD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969" w:type="dxa"/>
                  <w:vAlign w:val="center"/>
                </w:tcPr>
                <w:p w14:paraId="3C06EC8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清障</w:t>
                  </w:r>
                </w:p>
              </w:tc>
            </w:tr>
            <w:tr w14:paraId="6B008A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54" w:type="dxa"/>
                  <w:vMerge w:val="continue"/>
                  <w:tcBorders>
                    <w:top w:val="nil"/>
                  </w:tcBorders>
                  <w:vAlign w:val="center"/>
                </w:tcPr>
                <w:p w14:paraId="213507A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709" w:type="dxa"/>
                  <w:vMerge w:val="continue"/>
                  <w:tcBorders>
                    <w:top w:val="nil"/>
                  </w:tcBorders>
                  <w:vAlign w:val="center"/>
                </w:tcPr>
                <w:p w14:paraId="43EC09A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406" w:type="dxa"/>
                  <w:vMerge w:val="continue"/>
                  <w:tcBorders>
                    <w:top w:val="nil"/>
                  </w:tcBorders>
                  <w:textDirection w:val="tbRlV"/>
                  <w:vAlign w:val="center"/>
                </w:tcPr>
                <w:p w14:paraId="620C2B3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869" w:type="dxa"/>
                  <w:vAlign w:val="center"/>
                </w:tcPr>
                <w:p w14:paraId="1099A9D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K19+540</w:t>
                  </w:r>
                  <w:r>
                    <w:rPr>
                      <w:spacing w:val="-1"/>
                      <w:sz w:val="21"/>
                      <w:szCs w:val="21"/>
                    </w:rPr>
                    <w:t>～</w:t>
                  </w:r>
                  <w:r>
                    <w:rPr>
                      <w:rFonts w:ascii="Times New Roman" w:hAnsi="Times New Roman" w:eastAsia="Times New Roman" w:cs="Times New Roman"/>
                      <w:spacing w:val="-1"/>
                      <w:sz w:val="21"/>
                      <w:szCs w:val="21"/>
                    </w:rPr>
                    <w:t>K20+200</w:t>
                  </w:r>
                </w:p>
              </w:tc>
              <w:tc>
                <w:tcPr>
                  <w:tcW w:w="623" w:type="dxa"/>
                  <w:vMerge w:val="continue"/>
                  <w:tcBorders>
                    <w:top w:val="nil"/>
                  </w:tcBorders>
                  <w:vAlign w:val="center"/>
                </w:tcPr>
                <w:p w14:paraId="3344EB4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747" w:type="dxa"/>
                  <w:vMerge w:val="continue"/>
                  <w:tcBorders>
                    <w:top w:val="nil"/>
                  </w:tcBorders>
                  <w:vAlign w:val="center"/>
                </w:tcPr>
                <w:p w14:paraId="034C54A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969" w:type="dxa"/>
                  <w:vAlign w:val="center"/>
                </w:tcPr>
                <w:p w14:paraId="6FC2BF0F">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1"/>
                      <w:sz w:val="21"/>
                      <w:szCs w:val="21"/>
                    </w:rPr>
                    <w:t>新建钢筋石笼护岸</w:t>
                  </w:r>
                </w:p>
              </w:tc>
            </w:tr>
            <w:tr w14:paraId="41890A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54" w:type="dxa"/>
                  <w:vMerge w:val="restart"/>
                  <w:tcBorders>
                    <w:bottom w:val="nil"/>
                  </w:tcBorders>
                  <w:vAlign w:val="center"/>
                </w:tcPr>
                <w:p w14:paraId="60C0BB6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z w:val="21"/>
                      <w:szCs w:val="21"/>
                    </w:rPr>
                    <w:t>三</w:t>
                  </w:r>
                </w:p>
              </w:tc>
              <w:tc>
                <w:tcPr>
                  <w:tcW w:w="1709" w:type="dxa"/>
                  <w:vMerge w:val="restart"/>
                  <w:tcBorders>
                    <w:bottom w:val="nil"/>
                  </w:tcBorders>
                  <w:vAlign w:val="center"/>
                </w:tcPr>
                <w:p w14:paraId="2F2AE4D7">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2"/>
                      <w:sz w:val="21"/>
                      <w:szCs w:val="21"/>
                    </w:rPr>
                    <w:t>干沟坪段</w:t>
                  </w:r>
                </w:p>
                <w:p w14:paraId="240CACC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K24+250</w:t>
                  </w:r>
                  <w:r>
                    <w:rPr>
                      <w:spacing w:val="-1"/>
                      <w:sz w:val="21"/>
                      <w:szCs w:val="21"/>
                    </w:rPr>
                    <w:t>～</w:t>
                  </w:r>
                  <w:r>
                    <w:rPr>
                      <w:rFonts w:ascii="Times New Roman" w:hAnsi="Times New Roman" w:eastAsia="Times New Roman" w:cs="Times New Roman"/>
                      <w:spacing w:val="-1"/>
                      <w:sz w:val="21"/>
                      <w:szCs w:val="21"/>
                    </w:rPr>
                    <w:t>K29+460</w:t>
                  </w:r>
                </w:p>
              </w:tc>
              <w:tc>
                <w:tcPr>
                  <w:tcW w:w="406" w:type="dxa"/>
                  <w:vMerge w:val="restart"/>
                  <w:tcBorders>
                    <w:bottom w:val="nil"/>
                  </w:tcBorders>
                  <w:textDirection w:val="tbRlV"/>
                  <w:vAlign w:val="center"/>
                </w:tcPr>
                <w:p w14:paraId="2501CC5A">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26"/>
                      <w:sz w:val="21"/>
                      <w:szCs w:val="21"/>
                    </w:rPr>
                    <w:t>左岸</w:t>
                  </w:r>
                </w:p>
              </w:tc>
              <w:tc>
                <w:tcPr>
                  <w:tcW w:w="1869" w:type="dxa"/>
                  <w:vAlign w:val="center"/>
                </w:tcPr>
                <w:p w14:paraId="610C10B0">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K24+250</w:t>
                  </w:r>
                  <w:r>
                    <w:rPr>
                      <w:spacing w:val="-1"/>
                      <w:sz w:val="21"/>
                      <w:szCs w:val="21"/>
                    </w:rPr>
                    <w:t>～</w:t>
                  </w:r>
                  <w:r>
                    <w:rPr>
                      <w:rFonts w:ascii="Times New Roman" w:hAnsi="Times New Roman" w:eastAsia="Times New Roman" w:cs="Times New Roman"/>
                      <w:spacing w:val="-1"/>
                      <w:sz w:val="21"/>
                      <w:szCs w:val="21"/>
                    </w:rPr>
                    <w:t>K25+375</w:t>
                  </w:r>
                </w:p>
              </w:tc>
              <w:tc>
                <w:tcPr>
                  <w:tcW w:w="623" w:type="dxa"/>
                  <w:vMerge w:val="restart"/>
                  <w:tcBorders>
                    <w:bottom w:val="nil"/>
                  </w:tcBorders>
                  <w:vAlign w:val="center"/>
                </w:tcPr>
                <w:p w14:paraId="66206A1B">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13"/>
                      <w:sz w:val="21"/>
                      <w:szCs w:val="21"/>
                    </w:rPr>
                    <w:t>农田、</w:t>
                  </w:r>
                  <w:r>
                    <w:rPr>
                      <w:sz w:val="21"/>
                      <w:szCs w:val="21"/>
                    </w:rPr>
                    <w:t xml:space="preserve"> </w:t>
                  </w:r>
                  <w:r>
                    <w:rPr>
                      <w:spacing w:val="-12"/>
                      <w:sz w:val="21"/>
                      <w:szCs w:val="21"/>
                    </w:rPr>
                    <w:t>山体</w:t>
                  </w:r>
                </w:p>
              </w:tc>
              <w:tc>
                <w:tcPr>
                  <w:tcW w:w="747" w:type="dxa"/>
                  <w:vMerge w:val="restart"/>
                  <w:tcBorders>
                    <w:bottom w:val="nil"/>
                  </w:tcBorders>
                  <w:vAlign w:val="center"/>
                </w:tcPr>
                <w:p w14:paraId="48A9912F">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天然土</w:t>
                  </w:r>
                  <w:r>
                    <w:rPr>
                      <w:sz w:val="21"/>
                      <w:szCs w:val="21"/>
                    </w:rPr>
                    <w:t xml:space="preserve"> </w:t>
                  </w:r>
                  <w:r>
                    <w:rPr>
                      <w:spacing w:val="-3"/>
                      <w:sz w:val="21"/>
                      <w:szCs w:val="21"/>
                    </w:rPr>
                    <w:t>质河坎</w:t>
                  </w:r>
                </w:p>
              </w:tc>
              <w:tc>
                <w:tcPr>
                  <w:tcW w:w="1969" w:type="dxa"/>
                  <w:vAlign w:val="center"/>
                </w:tcPr>
                <w:p w14:paraId="26CF353C">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清障</w:t>
                  </w:r>
                </w:p>
              </w:tc>
            </w:tr>
            <w:tr w14:paraId="47B985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54" w:type="dxa"/>
                  <w:vMerge w:val="continue"/>
                  <w:tcBorders>
                    <w:top w:val="nil"/>
                    <w:bottom w:val="nil"/>
                  </w:tcBorders>
                  <w:vAlign w:val="center"/>
                </w:tcPr>
                <w:p w14:paraId="762C144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709" w:type="dxa"/>
                  <w:vMerge w:val="continue"/>
                  <w:tcBorders>
                    <w:top w:val="nil"/>
                    <w:bottom w:val="nil"/>
                  </w:tcBorders>
                  <w:vAlign w:val="center"/>
                </w:tcPr>
                <w:p w14:paraId="63FC877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406" w:type="dxa"/>
                  <w:vMerge w:val="continue"/>
                  <w:tcBorders>
                    <w:top w:val="nil"/>
                    <w:bottom w:val="nil"/>
                  </w:tcBorders>
                  <w:textDirection w:val="tbRlV"/>
                  <w:vAlign w:val="center"/>
                </w:tcPr>
                <w:p w14:paraId="202A48D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869" w:type="dxa"/>
                  <w:vAlign w:val="center"/>
                </w:tcPr>
                <w:p w14:paraId="78A7893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K25+375</w:t>
                  </w:r>
                  <w:r>
                    <w:rPr>
                      <w:spacing w:val="-1"/>
                      <w:sz w:val="21"/>
                      <w:szCs w:val="21"/>
                    </w:rPr>
                    <w:t>～</w:t>
                  </w:r>
                  <w:r>
                    <w:rPr>
                      <w:rFonts w:ascii="Times New Roman" w:hAnsi="Times New Roman" w:eastAsia="Times New Roman" w:cs="Times New Roman"/>
                      <w:spacing w:val="-1"/>
                      <w:sz w:val="21"/>
                      <w:szCs w:val="21"/>
                    </w:rPr>
                    <w:t>K27+125</w:t>
                  </w:r>
                </w:p>
              </w:tc>
              <w:tc>
                <w:tcPr>
                  <w:tcW w:w="623" w:type="dxa"/>
                  <w:vMerge w:val="continue"/>
                  <w:tcBorders>
                    <w:top w:val="nil"/>
                    <w:bottom w:val="nil"/>
                  </w:tcBorders>
                  <w:vAlign w:val="center"/>
                </w:tcPr>
                <w:p w14:paraId="44AF3C8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747" w:type="dxa"/>
                  <w:vMerge w:val="continue"/>
                  <w:tcBorders>
                    <w:top w:val="nil"/>
                    <w:bottom w:val="nil"/>
                  </w:tcBorders>
                  <w:vAlign w:val="center"/>
                </w:tcPr>
                <w:p w14:paraId="0CD9EA6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969" w:type="dxa"/>
                  <w:vAlign w:val="center"/>
                </w:tcPr>
                <w:p w14:paraId="6BB39719">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1"/>
                      <w:sz w:val="21"/>
                      <w:szCs w:val="21"/>
                    </w:rPr>
                    <w:t>新建钢筋石笼护岸</w:t>
                  </w:r>
                </w:p>
              </w:tc>
            </w:tr>
            <w:tr w14:paraId="034A4C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54" w:type="dxa"/>
                  <w:vMerge w:val="continue"/>
                  <w:tcBorders>
                    <w:top w:val="nil"/>
                    <w:bottom w:val="nil"/>
                  </w:tcBorders>
                  <w:vAlign w:val="center"/>
                </w:tcPr>
                <w:p w14:paraId="0D375A0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709" w:type="dxa"/>
                  <w:vMerge w:val="continue"/>
                  <w:tcBorders>
                    <w:top w:val="nil"/>
                    <w:bottom w:val="nil"/>
                  </w:tcBorders>
                  <w:vAlign w:val="center"/>
                </w:tcPr>
                <w:p w14:paraId="52C8940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406" w:type="dxa"/>
                  <w:vMerge w:val="continue"/>
                  <w:tcBorders>
                    <w:top w:val="nil"/>
                    <w:bottom w:val="nil"/>
                  </w:tcBorders>
                  <w:textDirection w:val="tbRlV"/>
                  <w:vAlign w:val="center"/>
                </w:tcPr>
                <w:p w14:paraId="5DF5115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869" w:type="dxa"/>
                  <w:vAlign w:val="center"/>
                </w:tcPr>
                <w:p w14:paraId="0953EC4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K27+125</w:t>
                  </w:r>
                  <w:r>
                    <w:rPr>
                      <w:spacing w:val="-1"/>
                      <w:sz w:val="21"/>
                      <w:szCs w:val="21"/>
                    </w:rPr>
                    <w:t>～</w:t>
                  </w:r>
                  <w:r>
                    <w:rPr>
                      <w:rFonts w:ascii="Times New Roman" w:hAnsi="Times New Roman" w:eastAsia="Times New Roman" w:cs="Times New Roman"/>
                      <w:spacing w:val="-1"/>
                      <w:sz w:val="21"/>
                      <w:szCs w:val="21"/>
                    </w:rPr>
                    <w:t>K27+560</w:t>
                  </w:r>
                </w:p>
              </w:tc>
              <w:tc>
                <w:tcPr>
                  <w:tcW w:w="623" w:type="dxa"/>
                  <w:vMerge w:val="continue"/>
                  <w:tcBorders>
                    <w:top w:val="nil"/>
                    <w:bottom w:val="nil"/>
                  </w:tcBorders>
                  <w:vAlign w:val="center"/>
                </w:tcPr>
                <w:p w14:paraId="4C81495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747" w:type="dxa"/>
                  <w:vMerge w:val="continue"/>
                  <w:tcBorders>
                    <w:top w:val="nil"/>
                    <w:bottom w:val="nil"/>
                  </w:tcBorders>
                  <w:vAlign w:val="center"/>
                </w:tcPr>
                <w:p w14:paraId="21E7E46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969" w:type="dxa"/>
                  <w:vAlign w:val="center"/>
                </w:tcPr>
                <w:p w14:paraId="6D42B2F5">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清障</w:t>
                  </w:r>
                </w:p>
              </w:tc>
            </w:tr>
            <w:tr w14:paraId="1C88D5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54" w:type="dxa"/>
                  <w:vMerge w:val="continue"/>
                  <w:tcBorders>
                    <w:top w:val="nil"/>
                    <w:bottom w:val="nil"/>
                  </w:tcBorders>
                  <w:vAlign w:val="center"/>
                </w:tcPr>
                <w:p w14:paraId="28577C2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709" w:type="dxa"/>
                  <w:vMerge w:val="continue"/>
                  <w:tcBorders>
                    <w:top w:val="nil"/>
                    <w:bottom w:val="nil"/>
                  </w:tcBorders>
                  <w:vAlign w:val="center"/>
                </w:tcPr>
                <w:p w14:paraId="41B9627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406" w:type="dxa"/>
                  <w:vMerge w:val="continue"/>
                  <w:tcBorders>
                    <w:top w:val="nil"/>
                    <w:bottom w:val="nil"/>
                  </w:tcBorders>
                  <w:textDirection w:val="tbRlV"/>
                  <w:vAlign w:val="center"/>
                </w:tcPr>
                <w:p w14:paraId="55C9E29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869" w:type="dxa"/>
                  <w:vAlign w:val="center"/>
                </w:tcPr>
                <w:p w14:paraId="6070B050">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K27+560</w:t>
                  </w:r>
                  <w:r>
                    <w:rPr>
                      <w:spacing w:val="-1"/>
                      <w:sz w:val="21"/>
                      <w:szCs w:val="21"/>
                    </w:rPr>
                    <w:t>～</w:t>
                  </w:r>
                  <w:r>
                    <w:rPr>
                      <w:rFonts w:ascii="Times New Roman" w:hAnsi="Times New Roman" w:eastAsia="Times New Roman" w:cs="Times New Roman"/>
                      <w:spacing w:val="-1"/>
                      <w:sz w:val="21"/>
                      <w:szCs w:val="21"/>
                    </w:rPr>
                    <w:t>K28+380</w:t>
                  </w:r>
                </w:p>
              </w:tc>
              <w:tc>
                <w:tcPr>
                  <w:tcW w:w="623" w:type="dxa"/>
                  <w:vMerge w:val="continue"/>
                  <w:tcBorders>
                    <w:top w:val="nil"/>
                    <w:bottom w:val="nil"/>
                  </w:tcBorders>
                  <w:vAlign w:val="center"/>
                </w:tcPr>
                <w:p w14:paraId="0206278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747" w:type="dxa"/>
                  <w:vMerge w:val="continue"/>
                  <w:tcBorders>
                    <w:top w:val="nil"/>
                    <w:bottom w:val="nil"/>
                  </w:tcBorders>
                  <w:vAlign w:val="center"/>
                </w:tcPr>
                <w:p w14:paraId="18CE8B0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969" w:type="dxa"/>
                  <w:vAlign w:val="center"/>
                </w:tcPr>
                <w:p w14:paraId="2794ADB0">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2"/>
                      <w:sz w:val="21"/>
                      <w:szCs w:val="21"/>
                    </w:rPr>
                    <w:t>保持现状</w:t>
                  </w:r>
                </w:p>
              </w:tc>
            </w:tr>
            <w:tr w14:paraId="04EBA0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54" w:type="dxa"/>
                  <w:vMerge w:val="continue"/>
                  <w:tcBorders>
                    <w:top w:val="nil"/>
                    <w:bottom w:val="nil"/>
                  </w:tcBorders>
                  <w:vAlign w:val="center"/>
                </w:tcPr>
                <w:p w14:paraId="645DCD4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709" w:type="dxa"/>
                  <w:vMerge w:val="continue"/>
                  <w:tcBorders>
                    <w:top w:val="nil"/>
                    <w:bottom w:val="nil"/>
                  </w:tcBorders>
                  <w:vAlign w:val="center"/>
                </w:tcPr>
                <w:p w14:paraId="3B4E0F1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406" w:type="dxa"/>
                  <w:vMerge w:val="continue"/>
                  <w:tcBorders>
                    <w:top w:val="nil"/>
                  </w:tcBorders>
                  <w:textDirection w:val="tbRlV"/>
                  <w:vAlign w:val="center"/>
                </w:tcPr>
                <w:p w14:paraId="4B2A008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869" w:type="dxa"/>
                  <w:vAlign w:val="center"/>
                </w:tcPr>
                <w:p w14:paraId="3054E3D7">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K28+380</w:t>
                  </w:r>
                  <w:r>
                    <w:rPr>
                      <w:spacing w:val="-1"/>
                      <w:sz w:val="21"/>
                      <w:szCs w:val="21"/>
                    </w:rPr>
                    <w:t>～</w:t>
                  </w:r>
                  <w:r>
                    <w:rPr>
                      <w:rFonts w:ascii="Times New Roman" w:hAnsi="Times New Roman" w:eastAsia="Times New Roman" w:cs="Times New Roman"/>
                      <w:spacing w:val="-1"/>
                      <w:sz w:val="21"/>
                      <w:szCs w:val="21"/>
                    </w:rPr>
                    <w:t>K29+460</w:t>
                  </w:r>
                </w:p>
              </w:tc>
              <w:tc>
                <w:tcPr>
                  <w:tcW w:w="623" w:type="dxa"/>
                  <w:vMerge w:val="continue"/>
                  <w:tcBorders>
                    <w:top w:val="nil"/>
                  </w:tcBorders>
                  <w:vAlign w:val="center"/>
                </w:tcPr>
                <w:p w14:paraId="28E54FF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747" w:type="dxa"/>
                  <w:vMerge w:val="continue"/>
                  <w:tcBorders>
                    <w:top w:val="nil"/>
                    <w:bottom w:val="nil"/>
                  </w:tcBorders>
                  <w:vAlign w:val="center"/>
                </w:tcPr>
                <w:p w14:paraId="2C72907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969" w:type="dxa"/>
                  <w:vAlign w:val="center"/>
                </w:tcPr>
                <w:p w14:paraId="6AFB8CF7">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清障</w:t>
                  </w:r>
                </w:p>
              </w:tc>
            </w:tr>
            <w:tr w14:paraId="3251DF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54" w:type="dxa"/>
                  <w:vMerge w:val="continue"/>
                  <w:tcBorders>
                    <w:top w:val="nil"/>
                    <w:bottom w:val="nil"/>
                  </w:tcBorders>
                  <w:vAlign w:val="center"/>
                </w:tcPr>
                <w:p w14:paraId="78A6A0D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709" w:type="dxa"/>
                  <w:vMerge w:val="continue"/>
                  <w:tcBorders>
                    <w:top w:val="nil"/>
                    <w:bottom w:val="nil"/>
                  </w:tcBorders>
                  <w:vAlign w:val="center"/>
                </w:tcPr>
                <w:p w14:paraId="2E9CB18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406" w:type="dxa"/>
                  <w:vMerge w:val="restart"/>
                  <w:tcBorders>
                    <w:bottom w:val="nil"/>
                  </w:tcBorders>
                  <w:textDirection w:val="tbRlV"/>
                  <w:vAlign w:val="center"/>
                </w:tcPr>
                <w:p w14:paraId="547C216B">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26"/>
                      <w:sz w:val="21"/>
                      <w:szCs w:val="21"/>
                    </w:rPr>
                    <w:t>右岸</w:t>
                  </w:r>
                </w:p>
              </w:tc>
              <w:tc>
                <w:tcPr>
                  <w:tcW w:w="1869" w:type="dxa"/>
                  <w:vAlign w:val="center"/>
                </w:tcPr>
                <w:p w14:paraId="549B235B">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K24+250</w:t>
                  </w:r>
                  <w:r>
                    <w:rPr>
                      <w:spacing w:val="-1"/>
                      <w:sz w:val="21"/>
                      <w:szCs w:val="21"/>
                    </w:rPr>
                    <w:t>～</w:t>
                  </w:r>
                  <w:r>
                    <w:rPr>
                      <w:rFonts w:ascii="Times New Roman" w:hAnsi="Times New Roman" w:eastAsia="Times New Roman" w:cs="Times New Roman"/>
                      <w:spacing w:val="-1"/>
                      <w:sz w:val="21"/>
                      <w:szCs w:val="21"/>
                    </w:rPr>
                    <w:t>K27+560</w:t>
                  </w:r>
                </w:p>
              </w:tc>
              <w:tc>
                <w:tcPr>
                  <w:tcW w:w="623" w:type="dxa"/>
                  <w:vMerge w:val="restart"/>
                  <w:tcBorders>
                    <w:bottom w:val="nil"/>
                  </w:tcBorders>
                  <w:vAlign w:val="center"/>
                </w:tcPr>
                <w:p w14:paraId="21BF9153">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13"/>
                      <w:sz w:val="21"/>
                      <w:szCs w:val="21"/>
                    </w:rPr>
                    <w:t>农田、</w:t>
                  </w:r>
                  <w:r>
                    <w:rPr>
                      <w:sz w:val="21"/>
                      <w:szCs w:val="21"/>
                    </w:rPr>
                    <w:t xml:space="preserve"> </w:t>
                  </w:r>
                  <w:r>
                    <w:rPr>
                      <w:spacing w:val="-5"/>
                      <w:sz w:val="21"/>
                      <w:szCs w:val="21"/>
                    </w:rPr>
                    <w:t>鱼塘</w:t>
                  </w:r>
                </w:p>
              </w:tc>
              <w:tc>
                <w:tcPr>
                  <w:tcW w:w="747" w:type="dxa"/>
                  <w:vMerge w:val="continue"/>
                  <w:tcBorders>
                    <w:top w:val="nil"/>
                    <w:bottom w:val="nil"/>
                  </w:tcBorders>
                  <w:vAlign w:val="center"/>
                </w:tcPr>
                <w:p w14:paraId="2FC9C13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969" w:type="dxa"/>
                  <w:vAlign w:val="center"/>
                </w:tcPr>
                <w:p w14:paraId="2C4C1DC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1"/>
                      <w:sz w:val="21"/>
                      <w:szCs w:val="21"/>
                    </w:rPr>
                    <w:t>新建钢筋石笼护岸</w:t>
                  </w:r>
                </w:p>
              </w:tc>
            </w:tr>
            <w:tr w14:paraId="349A5F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54" w:type="dxa"/>
                  <w:vMerge w:val="continue"/>
                  <w:tcBorders>
                    <w:top w:val="nil"/>
                    <w:bottom w:val="nil"/>
                  </w:tcBorders>
                  <w:vAlign w:val="center"/>
                </w:tcPr>
                <w:p w14:paraId="0A82756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709" w:type="dxa"/>
                  <w:vMerge w:val="continue"/>
                  <w:tcBorders>
                    <w:top w:val="nil"/>
                    <w:bottom w:val="nil"/>
                  </w:tcBorders>
                  <w:vAlign w:val="center"/>
                </w:tcPr>
                <w:p w14:paraId="0DA3231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406" w:type="dxa"/>
                  <w:vMerge w:val="continue"/>
                  <w:tcBorders>
                    <w:top w:val="nil"/>
                    <w:bottom w:val="nil"/>
                  </w:tcBorders>
                  <w:textDirection w:val="tbRlV"/>
                  <w:vAlign w:val="center"/>
                </w:tcPr>
                <w:p w14:paraId="533C13C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869" w:type="dxa"/>
                  <w:vAlign w:val="center"/>
                </w:tcPr>
                <w:p w14:paraId="2E99B810">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K27+560</w:t>
                  </w:r>
                  <w:r>
                    <w:rPr>
                      <w:spacing w:val="-1"/>
                      <w:sz w:val="21"/>
                      <w:szCs w:val="21"/>
                    </w:rPr>
                    <w:t>～</w:t>
                  </w:r>
                  <w:r>
                    <w:rPr>
                      <w:rFonts w:ascii="Times New Roman" w:hAnsi="Times New Roman" w:eastAsia="Times New Roman" w:cs="Times New Roman"/>
                      <w:spacing w:val="-1"/>
                      <w:sz w:val="21"/>
                      <w:szCs w:val="21"/>
                    </w:rPr>
                    <w:t>K28+380</w:t>
                  </w:r>
                </w:p>
              </w:tc>
              <w:tc>
                <w:tcPr>
                  <w:tcW w:w="623" w:type="dxa"/>
                  <w:vMerge w:val="continue"/>
                  <w:tcBorders>
                    <w:top w:val="nil"/>
                    <w:bottom w:val="nil"/>
                  </w:tcBorders>
                  <w:vAlign w:val="center"/>
                </w:tcPr>
                <w:p w14:paraId="26ED41C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747" w:type="dxa"/>
                  <w:vMerge w:val="continue"/>
                  <w:tcBorders>
                    <w:top w:val="nil"/>
                    <w:bottom w:val="nil"/>
                  </w:tcBorders>
                  <w:vAlign w:val="center"/>
                </w:tcPr>
                <w:p w14:paraId="1801199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969" w:type="dxa"/>
                  <w:vAlign w:val="center"/>
                </w:tcPr>
                <w:p w14:paraId="5357771F">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2"/>
                      <w:sz w:val="21"/>
                      <w:szCs w:val="21"/>
                    </w:rPr>
                    <w:t>保持现状</w:t>
                  </w:r>
                </w:p>
              </w:tc>
            </w:tr>
            <w:tr w14:paraId="038CDF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54" w:type="dxa"/>
                  <w:vMerge w:val="continue"/>
                  <w:tcBorders>
                    <w:top w:val="nil"/>
                  </w:tcBorders>
                  <w:vAlign w:val="center"/>
                </w:tcPr>
                <w:p w14:paraId="5E76105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709" w:type="dxa"/>
                  <w:vMerge w:val="continue"/>
                  <w:tcBorders>
                    <w:top w:val="nil"/>
                  </w:tcBorders>
                  <w:vAlign w:val="center"/>
                </w:tcPr>
                <w:p w14:paraId="1962DF2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406" w:type="dxa"/>
                  <w:vMerge w:val="continue"/>
                  <w:tcBorders>
                    <w:top w:val="nil"/>
                  </w:tcBorders>
                  <w:textDirection w:val="tbRlV"/>
                  <w:vAlign w:val="center"/>
                </w:tcPr>
                <w:p w14:paraId="124581A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869" w:type="dxa"/>
                  <w:vAlign w:val="center"/>
                </w:tcPr>
                <w:p w14:paraId="44D5CCF0">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K28+380</w:t>
                  </w:r>
                  <w:r>
                    <w:rPr>
                      <w:spacing w:val="-1"/>
                      <w:sz w:val="21"/>
                      <w:szCs w:val="21"/>
                    </w:rPr>
                    <w:t>～</w:t>
                  </w:r>
                  <w:r>
                    <w:rPr>
                      <w:rFonts w:ascii="Times New Roman" w:hAnsi="Times New Roman" w:eastAsia="Times New Roman" w:cs="Times New Roman"/>
                      <w:spacing w:val="-1"/>
                      <w:sz w:val="21"/>
                      <w:szCs w:val="21"/>
                    </w:rPr>
                    <w:t>K29+460</w:t>
                  </w:r>
                </w:p>
              </w:tc>
              <w:tc>
                <w:tcPr>
                  <w:tcW w:w="623" w:type="dxa"/>
                  <w:vMerge w:val="continue"/>
                  <w:tcBorders>
                    <w:top w:val="nil"/>
                  </w:tcBorders>
                  <w:vAlign w:val="center"/>
                </w:tcPr>
                <w:p w14:paraId="126C52C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747" w:type="dxa"/>
                  <w:vMerge w:val="continue"/>
                  <w:tcBorders>
                    <w:top w:val="nil"/>
                  </w:tcBorders>
                  <w:vAlign w:val="center"/>
                </w:tcPr>
                <w:p w14:paraId="0DA8F28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969" w:type="dxa"/>
                  <w:vAlign w:val="center"/>
                </w:tcPr>
                <w:p w14:paraId="0BD9F00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1"/>
                      <w:sz w:val="21"/>
                      <w:szCs w:val="21"/>
                    </w:rPr>
                    <w:t>新建钢筋石笼护岸</w:t>
                  </w:r>
                </w:p>
              </w:tc>
            </w:tr>
            <w:tr w14:paraId="3D40F4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54" w:type="dxa"/>
                  <w:vMerge w:val="restart"/>
                  <w:tcBorders>
                    <w:bottom w:val="nil"/>
                  </w:tcBorders>
                  <w:vAlign w:val="center"/>
                </w:tcPr>
                <w:p w14:paraId="16568D39">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z w:val="21"/>
                      <w:szCs w:val="21"/>
                    </w:rPr>
                    <w:t>四</w:t>
                  </w:r>
                </w:p>
              </w:tc>
              <w:tc>
                <w:tcPr>
                  <w:tcW w:w="1709" w:type="dxa"/>
                  <w:vMerge w:val="restart"/>
                  <w:tcBorders>
                    <w:bottom w:val="nil"/>
                  </w:tcBorders>
                  <w:vAlign w:val="center"/>
                </w:tcPr>
                <w:p w14:paraId="4E99037F">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芒里段</w:t>
                  </w:r>
                </w:p>
                <w:p w14:paraId="254457C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K31+870</w:t>
                  </w:r>
                  <w:r>
                    <w:rPr>
                      <w:spacing w:val="-1"/>
                      <w:sz w:val="21"/>
                      <w:szCs w:val="21"/>
                    </w:rPr>
                    <w:t>～</w:t>
                  </w:r>
                  <w:r>
                    <w:rPr>
                      <w:rFonts w:ascii="Times New Roman" w:hAnsi="Times New Roman" w:eastAsia="Times New Roman" w:cs="Times New Roman"/>
                      <w:spacing w:val="-1"/>
                      <w:sz w:val="21"/>
                      <w:szCs w:val="21"/>
                    </w:rPr>
                    <w:t>K34+435</w:t>
                  </w:r>
                </w:p>
              </w:tc>
              <w:tc>
                <w:tcPr>
                  <w:tcW w:w="406" w:type="dxa"/>
                  <w:vMerge w:val="restart"/>
                  <w:tcBorders>
                    <w:bottom w:val="nil"/>
                  </w:tcBorders>
                  <w:textDirection w:val="tbRlV"/>
                  <w:vAlign w:val="center"/>
                </w:tcPr>
                <w:p w14:paraId="0A68220B">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1"/>
                      <w:sz w:val="21"/>
                      <w:szCs w:val="21"/>
                    </w:rPr>
                    <w:t>左</w:t>
                  </w:r>
                  <w:r>
                    <w:rPr>
                      <w:spacing w:val="-34"/>
                      <w:sz w:val="21"/>
                      <w:szCs w:val="21"/>
                    </w:rPr>
                    <w:t xml:space="preserve"> </w:t>
                  </w:r>
                  <w:r>
                    <w:rPr>
                      <w:spacing w:val="-1"/>
                      <w:sz w:val="21"/>
                      <w:szCs w:val="21"/>
                    </w:rPr>
                    <w:t>岸</w:t>
                  </w:r>
                </w:p>
              </w:tc>
              <w:tc>
                <w:tcPr>
                  <w:tcW w:w="1869" w:type="dxa"/>
                  <w:vAlign w:val="center"/>
                </w:tcPr>
                <w:p w14:paraId="0A65608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K31+870</w:t>
                  </w:r>
                  <w:r>
                    <w:rPr>
                      <w:spacing w:val="-1"/>
                      <w:sz w:val="21"/>
                      <w:szCs w:val="21"/>
                    </w:rPr>
                    <w:t>～</w:t>
                  </w:r>
                  <w:r>
                    <w:rPr>
                      <w:rFonts w:ascii="Times New Roman" w:hAnsi="Times New Roman" w:eastAsia="Times New Roman" w:cs="Times New Roman"/>
                      <w:spacing w:val="-1"/>
                      <w:sz w:val="21"/>
                      <w:szCs w:val="21"/>
                    </w:rPr>
                    <w:t>K32+970</w:t>
                  </w:r>
                </w:p>
              </w:tc>
              <w:tc>
                <w:tcPr>
                  <w:tcW w:w="623" w:type="dxa"/>
                  <w:vMerge w:val="restart"/>
                  <w:tcBorders>
                    <w:bottom w:val="nil"/>
                  </w:tcBorders>
                  <w:vAlign w:val="center"/>
                </w:tcPr>
                <w:p w14:paraId="420F1B8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农田</w:t>
                  </w:r>
                </w:p>
              </w:tc>
              <w:tc>
                <w:tcPr>
                  <w:tcW w:w="747" w:type="dxa"/>
                  <w:vMerge w:val="restart"/>
                  <w:tcBorders>
                    <w:bottom w:val="nil"/>
                  </w:tcBorders>
                  <w:vAlign w:val="center"/>
                </w:tcPr>
                <w:p w14:paraId="0E67C9A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天然土</w:t>
                  </w:r>
                  <w:r>
                    <w:rPr>
                      <w:sz w:val="21"/>
                      <w:szCs w:val="21"/>
                    </w:rPr>
                    <w:t xml:space="preserve"> </w:t>
                  </w:r>
                  <w:r>
                    <w:rPr>
                      <w:spacing w:val="-3"/>
                      <w:sz w:val="21"/>
                      <w:szCs w:val="21"/>
                    </w:rPr>
                    <w:t>质河坎</w:t>
                  </w:r>
                </w:p>
              </w:tc>
              <w:tc>
                <w:tcPr>
                  <w:tcW w:w="1969" w:type="dxa"/>
                  <w:vAlign w:val="center"/>
                </w:tcPr>
                <w:p w14:paraId="4A6B8A35">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1"/>
                      <w:sz w:val="21"/>
                      <w:szCs w:val="21"/>
                    </w:rPr>
                    <w:t>新建钢筋石笼护岸</w:t>
                  </w:r>
                </w:p>
              </w:tc>
            </w:tr>
            <w:tr w14:paraId="119F66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54" w:type="dxa"/>
                  <w:vMerge w:val="continue"/>
                  <w:tcBorders>
                    <w:top w:val="nil"/>
                    <w:bottom w:val="nil"/>
                  </w:tcBorders>
                  <w:vAlign w:val="center"/>
                </w:tcPr>
                <w:p w14:paraId="4632E14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709" w:type="dxa"/>
                  <w:vMerge w:val="continue"/>
                  <w:tcBorders>
                    <w:top w:val="nil"/>
                    <w:bottom w:val="nil"/>
                  </w:tcBorders>
                  <w:vAlign w:val="center"/>
                </w:tcPr>
                <w:p w14:paraId="289E40D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406" w:type="dxa"/>
                  <w:vMerge w:val="continue"/>
                  <w:tcBorders>
                    <w:top w:val="nil"/>
                  </w:tcBorders>
                  <w:textDirection w:val="tbRlV"/>
                  <w:vAlign w:val="center"/>
                </w:tcPr>
                <w:p w14:paraId="7140E73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869" w:type="dxa"/>
                  <w:vAlign w:val="center"/>
                </w:tcPr>
                <w:p w14:paraId="5DAD77AB">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K32+970</w:t>
                  </w:r>
                  <w:r>
                    <w:rPr>
                      <w:spacing w:val="-1"/>
                      <w:sz w:val="21"/>
                      <w:szCs w:val="21"/>
                    </w:rPr>
                    <w:t>～</w:t>
                  </w:r>
                  <w:r>
                    <w:rPr>
                      <w:rFonts w:ascii="Times New Roman" w:hAnsi="Times New Roman" w:eastAsia="Times New Roman" w:cs="Times New Roman"/>
                      <w:spacing w:val="-1"/>
                      <w:sz w:val="21"/>
                      <w:szCs w:val="21"/>
                    </w:rPr>
                    <w:t>K34+435</w:t>
                  </w:r>
                </w:p>
              </w:tc>
              <w:tc>
                <w:tcPr>
                  <w:tcW w:w="623" w:type="dxa"/>
                  <w:vMerge w:val="continue"/>
                  <w:tcBorders>
                    <w:top w:val="nil"/>
                  </w:tcBorders>
                  <w:vAlign w:val="center"/>
                </w:tcPr>
                <w:p w14:paraId="74B9D45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747" w:type="dxa"/>
                  <w:vMerge w:val="continue"/>
                  <w:tcBorders>
                    <w:top w:val="nil"/>
                    <w:bottom w:val="nil"/>
                  </w:tcBorders>
                  <w:vAlign w:val="center"/>
                </w:tcPr>
                <w:p w14:paraId="438000C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969" w:type="dxa"/>
                  <w:vAlign w:val="center"/>
                </w:tcPr>
                <w:p w14:paraId="4E3FB1AE">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1"/>
                      <w:sz w:val="21"/>
                      <w:szCs w:val="21"/>
                    </w:rPr>
                    <w:t>新建钢筋石笼护脚</w:t>
                  </w:r>
                  <w:r>
                    <w:rPr>
                      <w:rFonts w:ascii="Times New Roman" w:hAnsi="Times New Roman" w:eastAsia="Times New Roman" w:cs="Times New Roman"/>
                      <w:spacing w:val="-1"/>
                      <w:sz w:val="21"/>
                      <w:szCs w:val="21"/>
                    </w:rPr>
                    <w:t>+</w:t>
                  </w:r>
                  <w:r>
                    <w:rPr>
                      <w:spacing w:val="-1"/>
                      <w:sz w:val="21"/>
                      <w:szCs w:val="21"/>
                    </w:rPr>
                    <w:t>堤防</w:t>
                  </w:r>
                </w:p>
              </w:tc>
            </w:tr>
            <w:tr w14:paraId="025C36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54" w:type="dxa"/>
                  <w:vMerge w:val="continue"/>
                  <w:tcBorders>
                    <w:top w:val="nil"/>
                    <w:bottom w:val="nil"/>
                  </w:tcBorders>
                  <w:vAlign w:val="center"/>
                </w:tcPr>
                <w:p w14:paraId="2CED6C8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709" w:type="dxa"/>
                  <w:vMerge w:val="continue"/>
                  <w:tcBorders>
                    <w:top w:val="nil"/>
                    <w:bottom w:val="nil"/>
                  </w:tcBorders>
                  <w:vAlign w:val="center"/>
                </w:tcPr>
                <w:p w14:paraId="437A335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406" w:type="dxa"/>
                  <w:vMerge w:val="restart"/>
                  <w:tcBorders>
                    <w:bottom w:val="nil"/>
                  </w:tcBorders>
                  <w:textDirection w:val="tbRlV"/>
                  <w:vAlign w:val="center"/>
                </w:tcPr>
                <w:p w14:paraId="1D0688BC">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26"/>
                      <w:sz w:val="21"/>
                      <w:szCs w:val="21"/>
                    </w:rPr>
                    <w:t>右岸</w:t>
                  </w:r>
                </w:p>
              </w:tc>
              <w:tc>
                <w:tcPr>
                  <w:tcW w:w="1869" w:type="dxa"/>
                  <w:vAlign w:val="center"/>
                </w:tcPr>
                <w:p w14:paraId="4CD8F49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K31+870</w:t>
                  </w:r>
                  <w:r>
                    <w:rPr>
                      <w:spacing w:val="-1"/>
                      <w:sz w:val="21"/>
                      <w:szCs w:val="21"/>
                    </w:rPr>
                    <w:t>～</w:t>
                  </w:r>
                  <w:r>
                    <w:rPr>
                      <w:rFonts w:ascii="Times New Roman" w:hAnsi="Times New Roman" w:eastAsia="Times New Roman" w:cs="Times New Roman"/>
                      <w:spacing w:val="-1"/>
                      <w:sz w:val="21"/>
                      <w:szCs w:val="21"/>
                    </w:rPr>
                    <w:t>K32+850</w:t>
                  </w:r>
                </w:p>
              </w:tc>
              <w:tc>
                <w:tcPr>
                  <w:tcW w:w="623" w:type="dxa"/>
                  <w:vMerge w:val="restart"/>
                  <w:tcBorders>
                    <w:bottom w:val="nil"/>
                  </w:tcBorders>
                  <w:vAlign w:val="center"/>
                </w:tcPr>
                <w:p w14:paraId="5CDCBF92">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13"/>
                      <w:sz w:val="21"/>
                      <w:szCs w:val="21"/>
                    </w:rPr>
                    <w:t>农田、</w:t>
                  </w:r>
                  <w:r>
                    <w:rPr>
                      <w:sz w:val="21"/>
                      <w:szCs w:val="21"/>
                    </w:rPr>
                    <w:t xml:space="preserve"> </w:t>
                  </w:r>
                  <w:r>
                    <w:rPr>
                      <w:spacing w:val="-5"/>
                      <w:sz w:val="21"/>
                      <w:szCs w:val="21"/>
                    </w:rPr>
                    <w:t>鱼塘</w:t>
                  </w:r>
                </w:p>
              </w:tc>
              <w:tc>
                <w:tcPr>
                  <w:tcW w:w="747" w:type="dxa"/>
                  <w:vMerge w:val="continue"/>
                  <w:tcBorders>
                    <w:top w:val="nil"/>
                    <w:bottom w:val="nil"/>
                  </w:tcBorders>
                  <w:vAlign w:val="center"/>
                </w:tcPr>
                <w:p w14:paraId="6909CAA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969" w:type="dxa"/>
                  <w:vAlign w:val="center"/>
                </w:tcPr>
                <w:p w14:paraId="0B54DEB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1"/>
                      <w:sz w:val="21"/>
                      <w:szCs w:val="21"/>
                    </w:rPr>
                    <w:t>新建钢筋石笼护岸</w:t>
                  </w:r>
                </w:p>
              </w:tc>
            </w:tr>
            <w:tr w14:paraId="53901B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354" w:type="dxa"/>
                  <w:vMerge w:val="continue"/>
                  <w:tcBorders>
                    <w:top w:val="nil"/>
                    <w:bottom w:val="nil"/>
                  </w:tcBorders>
                  <w:vAlign w:val="center"/>
                </w:tcPr>
                <w:p w14:paraId="2686BC9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709" w:type="dxa"/>
                  <w:vMerge w:val="continue"/>
                  <w:tcBorders>
                    <w:top w:val="nil"/>
                    <w:bottom w:val="nil"/>
                  </w:tcBorders>
                  <w:vAlign w:val="center"/>
                </w:tcPr>
                <w:p w14:paraId="6099B9A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406" w:type="dxa"/>
                  <w:vMerge w:val="continue"/>
                  <w:tcBorders>
                    <w:top w:val="nil"/>
                    <w:bottom w:val="nil"/>
                  </w:tcBorders>
                  <w:textDirection w:val="tbRlV"/>
                  <w:vAlign w:val="center"/>
                </w:tcPr>
                <w:p w14:paraId="6C53117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869" w:type="dxa"/>
                  <w:vAlign w:val="center"/>
                </w:tcPr>
                <w:p w14:paraId="190E8B0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K32+850</w:t>
                  </w:r>
                  <w:r>
                    <w:rPr>
                      <w:spacing w:val="-1"/>
                      <w:sz w:val="21"/>
                      <w:szCs w:val="21"/>
                    </w:rPr>
                    <w:t>～</w:t>
                  </w:r>
                  <w:r>
                    <w:rPr>
                      <w:rFonts w:ascii="Times New Roman" w:hAnsi="Times New Roman" w:eastAsia="Times New Roman" w:cs="Times New Roman"/>
                      <w:spacing w:val="-1"/>
                      <w:sz w:val="21"/>
                      <w:szCs w:val="21"/>
                    </w:rPr>
                    <w:t>K33+200</w:t>
                  </w:r>
                </w:p>
              </w:tc>
              <w:tc>
                <w:tcPr>
                  <w:tcW w:w="623" w:type="dxa"/>
                  <w:vMerge w:val="continue"/>
                  <w:tcBorders>
                    <w:top w:val="nil"/>
                    <w:bottom w:val="nil"/>
                  </w:tcBorders>
                  <w:vAlign w:val="center"/>
                </w:tcPr>
                <w:p w14:paraId="221C1F2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747" w:type="dxa"/>
                  <w:vMerge w:val="continue"/>
                  <w:tcBorders>
                    <w:top w:val="nil"/>
                    <w:bottom w:val="nil"/>
                  </w:tcBorders>
                  <w:vAlign w:val="center"/>
                </w:tcPr>
                <w:p w14:paraId="04D241D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969" w:type="dxa"/>
                  <w:vAlign w:val="center"/>
                </w:tcPr>
                <w:p w14:paraId="0D6C2999">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清障</w:t>
                  </w:r>
                </w:p>
              </w:tc>
            </w:tr>
            <w:tr w14:paraId="3006FC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354" w:type="dxa"/>
                  <w:vMerge w:val="continue"/>
                  <w:tcBorders>
                    <w:top w:val="nil"/>
                  </w:tcBorders>
                  <w:vAlign w:val="center"/>
                </w:tcPr>
                <w:p w14:paraId="20BD7C5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709" w:type="dxa"/>
                  <w:vMerge w:val="continue"/>
                  <w:tcBorders>
                    <w:top w:val="nil"/>
                  </w:tcBorders>
                  <w:vAlign w:val="center"/>
                </w:tcPr>
                <w:p w14:paraId="6F8BFAF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406" w:type="dxa"/>
                  <w:vMerge w:val="continue"/>
                  <w:tcBorders>
                    <w:top w:val="nil"/>
                  </w:tcBorders>
                  <w:textDirection w:val="tbRlV"/>
                  <w:vAlign w:val="center"/>
                </w:tcPr>
                <w:p w14:paraId="4064829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869" w:type="dxa"/>
                  <w:vAlign w:val="center"/>
                </w:tcPr>
                <w:p w14:paraId="2953E2A4">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K33+200</w:t>
                  </w:r>
                  <w:r>
                    <w:rPr>
                      <w:spacing w:val="-1"/>
                      <w:sz w:val="21"/>
                      <w:szCs w:val="21"/>
                    </w:rPr>
                    <w:t>～</w:t>
                  </w:r>
                  <w:r>
                    <w:rPr>
                      <w:rFonts w:ascii="Times New Roman" w:hAnsi="Times New Roman" w:eastAsia="Times New Roman" w:cs="Times New Roman"/>
                      <w:spacing w:val="-1"/>
                      <w:sz w:val="21"/>
                      <w:szCs w:val="21"/>
                    </w:rPr>
                    <w:t>K34+435</w:t>
                  </w:r>
                </w:p>
              </w:tc>
              <w:tc>
                <w:tcPr>
                  <w:tcW w:w="623" w:type="dxa"/>
                  <w:vMerge w:val="continue"/>
                  <w:tcBorders>
                    <w:top w:val="nil"/>
                  </w:tcBorders>
                  <w:vAlign w:val="center"/>
                </w:tcPr>
                <w:p w14:paraId="43D8DE8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747" w:type="dxa"/>
                  <w:vMerge w:val="continue"/>
                  <w:tcBorders>
                    <w:top w:val="nil"/>
                  </w:tcBorders>
                  <w:vAlign w:val="center"/>
                </w:tcPr>
                <w:p w14:paraId="3694D9C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969" w:type="dxa"/>
                  <w:vAlign w:val="center"/>
                </w:tcPr>
                <w:p w14:paraId="3565C824">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1"/>
                      <w:sz w:val="21"/>
                      <w:szCs w:val="21"/>
                    </w:rPr>
                    <w:t>新建钢筋石笼护脚</w:t>
                  </w:r>
                  <w:r>
                    <w:rPr>
                      <w:rFonts w:ascii="Times New Roman" w:hAnsi="Times New Roman" w:eastAsia="Times New Roman" w:cs="Times New Roman"/>
                      <w:spacing w:val="-1"/>
                      <w:sz w:val="21"/>
                      <w:szCs w:val="21"/>
                    </w:rPr>
                    <w:t>+</w:t>
                  </w:r>
                  <w:r>
                    <w:rPr>
                      <w:spacing w:val="-1"/>
                      <w:sz w:val="21"/>
                      <w:szCs w:val="21"/>
                    </w:rPr>
                    <w:t>堤防</w:t>
                  </w:r>
                </w:p>
              </w:tc>
            </w:tr>
          </w:tbl>
          <w:p w14:paraId="035D3C24">
            <w:pPr>
              <w:pStyle w:val="36"/>
              <w:numPr>
                <w:ilvl w:val="0"/>
                <w:numId w:val="0"/>
              </w:numPr>
              <w:bidi w:val="0"/>
              <w:ind w:left="0" w:leftChars="0" w:right="0" w:rightChars="0" w:firstLine="482" w:firstLineChars="200"/>
              <w:rPr>
                <w:b/>
                <w:bCs/>
                <w:color w:val="auto"/>
              </w:rPr>
            </w:pPr>
            <w:r>
              <w:rPr>
                <w:rFonts w:hint="eastAsia" w:cs="Times New Roman"/>
                <w:b/>
                <w:bCs/>
                <w:color w:val="auto"/>
                <w:kern w:val="0"/>
                <w:sz w:val="24"/>
                <w:szCs w:val="24"/>
                <w:lang w:val="en-US" w:eastAsia="zh-CN" w:bidi="ar-SA"/>
              </w:rPr>
              <w:t>十一</w:t>
            </w:r>
            <w:r>
              <w:rPr>
                <w:rFonts w:hint="eastAsia" w:ascii="Times New Roman" w:hAnsi="Times New Roman" w:eastAsia="宋体" w:cs="Times New Roman"/>
                <w:b/>
                <w:bCs/>
                <w:color w:val="auto"/>
                <w:kern w:val="0"/>
                <w:sz w:val="24"/>
                <w:szCs w:val="24"/>
                <w:lang w:val="en-US" w:eastAsia="zh-CN" w:bidi="ar-SA"/>
              </w:rPr>
              <w:t>、</w:t>
            </w:r>
            <w:r>
              <w:rPr>
                <w:b/>
                <w:bCs/>
                <w:color w:val="auto"/>
              </w:rPr>
              <w:t>主要施工设备</w:t>
            </w:r>
          </w:p>
          <w:p w14:paraId="366DF9DA">
            <w:pPr>
              <w:pStyle w:val="31"/>
              <w:bidi w:val="0"/>
              <w:rPr>
                <w:rFonts w:hint="default" w:eastAsia="宋体"/>
                <w:color w:val="auto"/>
                <w:lang w:val="en-US" w:eastAsia="zh-CN"/>
              </w:rPr>
            </w:pPr>
            <w:r>
              <w:rPr>
                <w:rFonts w:hint="eastAsia"/>
                <w:color w:val="auto"/>
                <w:lang w:val="en-US" w:eastAsia="zh-CN"/>
              </w:rPr>
              <w:t>表2-4 主要施工设备一览表</w:t>
            </w:r>
          </w:p>
          <w:tbl>
            <w:tblPr>
              <w:tblStyle w:val="22"/>
              <w:tblW w:w="4864"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758"/>
              <w:gridCol w:w="5720"/>
            </w:tblGrid>
            <w:tr w14:paraId="02A58D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2" w:hRule="atLeast"/>
                <w:tblHeader/>
              </w:trPr>
              <w:tc>
                <w:tcPr>
                  <w:tcW w:w="1175" w:type="pct"/>
                  <w:shd w:val="clear" w:color="auto" w:fill="auto"/>
                  <w:vAlign w:val="center"/>
                </w:tcPr>
                <w:p w14:paraId="7A44DEEE">
                  <w:pPr>
                    <w:pStyle w:val="75"/>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序号</w:t>
                  </w:r>
                </w:p>
              </w:tc>
              <w:tc>
                <w:tcPr>
                  <w:tcW w:w="3824" w:type="pct"/>
                  <w:shd w:val="clear" w:color="auto" w:fill="auto"/>
                  <w:vAlign w:val="center"/>
                </w:tcPr>
                <w:p w14:paraId="58233C0A">
                  <w:pPr>
                    <w:pStyle w:val="75"/>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设备名称</w:t>
                  </w:r>
                </w:p>
              </w:tc>
            </w:tr>
            <w:tr w14:paraId="713B0B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2" w:hRule="atLeast"/>
              </w:trPr>
              <w:tc>
                <w:tcPr>
                  <w:tcW w:w="1175" w:type="pct"/>
                  <w:shd w:val="clear" w:color="auto" w:fill="auto"/>
                  <w:vAlign w:val="center"/>
                </w:tcPr>
                <w:p w14:paraId="1CBC297C">
                  <w:pPr>
                    <w:pStyle w:val="75"/>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1</w:t>
                  </w:r>
                </w:p>
              </w:tc>
              <w:tc>
                <w:tcPr>
                  <w:tcW w:w="3824" w:type="pct"/>
                  <w:shd w:val="clear" w:color="auto" w:fill="auto"/>
                  <w:vAlign w:val="center"/>
                </w:tcPr>
                <w:p w14:paraId="1FFF0256">
                  <w:pPr>
                    <w:pStyle w:val="75"/>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挖掘机</w:t>
                  </w:r>
                </w:p>
              </w:tc>
            </w:tr>
            <w:tr w14:paraId="34D491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2" w:hRule="atLeast"/>
              </w:trPr>
              <w:tc>
                <w:tcPr>
                  <w:tcW w:w="1175" w:type="pct"/>
                  <w:shd w:val="clear" w:color="auto" w:fill="auto"/>
                  <w:vAlign w:val="center"/>
                </w:tcPr>
                <w:p w14:paraId="08269BED">
                  <w:pPr>
                    <w:pStyle w:val="75"/>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2</w:t>
                  </w:r>
                </w:p>
              </w:tc>
              <w:tc>
                <w:tcPr>
                  <w:tcW w:w="3824" w:type="pct"/>
                  <w:shd w:val="clear" w:color="auto" w:fill="auto"/>
                  <w:vAlign w:val="center"/>
                </w:tcPr>
                <w:p w14:paraId="176B5B4D">
                  <w:pPr>
                    <w:pStyle w:val="75"/>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装载机</w:t>
                  </w:r>
                </w:p>
              </w:tc>
            </w:tr>
            <w:tr w14:paraId="7F3BBF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2" w:hRule="atLeast"/>
              </w:trPr>
              <w:tc>
                <w:tcPr>
                  <w:tcW w:w="1175" w:type="pct"/>
                  <w:shd w:val="clear" w:color="auto" w:fill="auto"/>
                  <w:vAlign w:val="center"/>
                </w:tcPr>
                <w:p w14:paraId="21C6A87B">
                  <w:pPr>
                    <w:pStyle w:val="75"/>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3</w:t>
                  </w:r>
                </w:p>
              </w:tc>
              <w:tc>
                <w:tcPr>
                  <w:tcW w:w="3824" w:type="pct"/>
                  <w:shd w:val="clear" w:color="auto" w:fill="auto"/>
                  <w:vAlign w:val="center"/>
                </w:tcPr>
                <w:p w14:paraId="6EEAFE67">
                  <w:pPr>
                    <w:pStyle w:val="75"/>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大型载重车</w:t>
                  </w:r>
                </w:p>
              </w:tc>
            </w:tr>
            <w:tr w14:paraId="741336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2" w:hRule="atLeast"/>
              </w:trPr>
              <w:tc>
                <w:tcPr>
                  <w:tcW w:w="1175" w:type="pct"/>
                  <w:shd w:val="clear" w:color="auto" w:fill="auto"/>
                  <w:vAlign w:val="center"/>
                </w:tcPr>
                <w:p w14:paraId="2A5538D3">
                  <w:pPr>
                    <w:pStyle w:val="75"/>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4</w:t>
                  </w:r>
                </w:p>
              </w:tc>
              <w:tc>
                <w:tcPr>
                  <w:tcW w:w="3824" w:type="pct"/>
                  <w:shd w:val="clear" w:color="auto" w:fill="auto"/>
                  <w:vAlign w:val="center"/>
                </w:tcPr>
                <w:p w14:paraId="71CAAECF">
                  <w:pPr>
                    <w:pStyle w:val="75"/>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振捣器</w:t>
                  </w:r>
                </w:p>
              </w:tc>
            </w:tr>
            <w:tr w14:paraId="04C87D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2" w:hRule="atLeast"/>
              </w:trPr>
              <w:tc>
                <w:tcPr>
                  <w:tcW w:w="1175" w:type="pct"/>
                  <w:shd w:val="clear" w:color="auto" w:fill="auto"/>
                  <w:vAlign w:val="center"/>
                </w:tcPr>
                <w:p w14:paraId="36B34C0B">
                  <w:pPr>
                    <w:pStyle w:val="75"/>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5</w:t>
                  </w:r>
                </w:p>
              </w:tc>
              <w:tc>
                <w:tcPr>
                  <w:tcW w:w="3824" w:type="pct"/>
                  <w:shd w:val="clear" w:color="auto" w:fill="auto"/>
                  <w:vAlign w:val="center"/>
                </w:tcPr>
                <w:p w14:paraId="3858D7A4">
                  <w:pPr>
                    <w:pStyle w:val="75"/>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空压机</w:t>
                  </w:r>
                </w:p>
              </w:tc>
            </w:tr>
            <w:tr w14:paraId="0EE4B6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2" w:hRule="atLeast"/>
              </w:trPr>
              <w:tc>
                <w:tcPr>
                  <w:tcW w:w="1175" w:type="pct"/>
                  <w:shd w:val="clear" w:color="auto" w:fill="auto"/>
                  <w:vAlign w:val="center"/>
                </w:tcPr>
                <w:p w14:paraId="20B9DF65">
                  <w:pPr>
                    <w:pStyle w:val="75"/>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6</w:t>
                  </w:r>
                </w:p>
              </w:tc>
              <w:tc>
                <w:tcPr>
                  <w:tcW w:w="3824" w:type="pct"/>
                  <w:shd w:val="clear" w:color="auto" w:fill="auto"/>
                  <w:vAlign w:val="center"/>
                </w:tcPr>
                <w:p w14:paraId="4436E072">
                  <w:pPr>
                    <w:pStyle w:val="75"/>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rPr>
                    <w:t>0.4m</w:t>
                  </w:r>
                  <w:r>
                    <w:rPr>
                      <w:rFonts w:hint="eastAsia"/>
                      <w:color w:val="auto"/>
                      <w:sz w:val="21"/>
                      <w:szCs w:val="21"/>
                      <w:vertAlign w:val="superscript"/>
                    </w:rPr>
                    <w:t>3</w:t>
                  </w:r>
                  <w:r>
                    <w:rPr>
                      <w:rFonts w:hint="eastAsia"/>
                      <w:color w:val="auto"/>
                      <w:sz w:val="21"/>
                      <w:szCs w:val="21"/>
                    </w:rPr>
                    <w:t>混凝土搅拌机</w:t>
                  </w:r>
                </w:p>
              </w:tc>
            </w:tr>
            <w:tr w14:paraId="252942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2" w:hRule="atLeast"/>
              </w:trPr>
              <w:tc>
                <w:tcPr>
                  <w:tcW w:w="1175" w:type="pct"/>
                  <w:shd w:val="clear" w:color="auto" w:fill="auto"/>
                  <w:vAlign w:val="center"/>
                </w:tcPr>
                <w:p w14:paraId="0C83CE50">
                  <w:pPr>
                    <w:pStyle w:val="75"/>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7</w:t>
                  </w:r>
                </w:p>
              </w:tc>
              <w:tc>
                <w:tcPr>
                  <w:tcW w:w="3824" w:type="pct"/>
                  <w:shd w:val="clear" w:color="auto" w:fill="auto"/>
                  <w:vAlign w:val="center"/>
                </w:tcPr>
                <w:p w14:paraId="1688F3D2">
                  <w:pPr>
                    <w:pStyle w:val="75"/>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电焊机</w:t>
                  </w:r>
                </w:p>
              </w:tc>
            </w:tr>
            <w:tr w14:paraId="1F76FE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2" w:hRule="atLeast"/>
              </w:trPr>
              <w:tc>
                <w:tcPr>
                  <w:tcW w:w="1175" w:type="pct"/>
                  <w:shd w:val="clear" w:color="auto" w:fill="auto"/>
                  <w:vAlign w:val="center"/>
                </w:tcPr>
                <w:p w14:paraId="05E27F6D">
                  <w:pPr>
                    <w:pStyle w:val="75"/>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rFonts w:hint="eastAsia"/>
                      <w:color w:val="auto"/>
                      <w:sz w:val="21"/>
                      <w:szCs w:val="21"/>
                      <w:lang w:val="en-US" w:eastAsia="zh-CN"/>
                    </w:rPr>
                    <w:t>8</w:t>
                  </w:r>
                </w:p>
              </w:tc>
              <w:tc>
                <w:tcPr>
                  <w:tcW w:w="3824" w:type="pct"/>
                  <w:shd w:val="clear" w:color="auto" w:fill="auto"/>
                  <w:vAlign w:val="center"/>
                </w:tcPr>
                <w:p w14:paraId="16E952D5">
                  <w:pPr>
                    <w:pStyle w:val="75"/>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中型载重车</w:t>
                  </w:r>
                </w:p>
              </w:tc>
            </w:tr>
            <w:tr w14:paraId="0D495B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2" w:hRule="atLeast"/>
              </w:trPr>
              <w:tc>
                <w:tcPr>
                  <w:tcW w:w="1175" w:type="pct"/>
                  <w:shd w:val="clear" w:color="auto" w:fill="auto"/>
                  <w:vAlign w:val="center"/>
                </w:tcPr>
                <w:p w14:paraId="27934AC9">
                  <w:pPr>
                    <w:pStyle w:val="75"/>
                    <w:keepNext w:val="0"/>
                    <w:keepLines w:val="0"/>
                    <w:pageBreakBefore w:val="0"/>
                    <w:kinsoku/>
                    <w:wordWrap/>
                    <w:overflowPunct/>
                    <w:topLinePunct w:val="0"/>
                    <w:autoSpaceDE/>
                    <w:autoSpaceDN/>
                    <w:bidi w:val="0"/>
                    <w:adjustRightInd/>
                    <w:snapToGrid/>
                    <w:spacing w:line="240" w:lineRule="auto"/>
                    <w:textAlignment w:val="auto"/>
                    <w:rPr>
                      <w:rFonts w:hint="eastAsia" w:eastAsia="宋体"/>
                      <w:color w:val="auto"/>
                      <w:sz w:val="21"/>
                      <w:szCs w:val="21"/>
                      <w:lang w:val="en-US" w:eastAsia="zh-CN"/>
                    </w:rPr>
                  </w:pPr>
                  <w:r>
                    <w:rPr>
                      <w:rFonts w:hint="eastAsia"/>
                      <w:color w:val="auto"/>
                      <w:sz w:val="21"/>
                      <w:szCs w:val="21"/>
                      <w:lang w:val="en-US" w:eastAsia="zh-CN"/>
                    </w:rPr>
                    <w:t>9</w:t>
                  </w:r>
                </w:p>
              </w:tc>
              <w:tc>
                <w:tcPr>
                  <w:tcW w:w="3824" w:type="pct"/>
                  <w:shd w:val="clear" w:color="auto" w:fill="auto"/>
                  <w:vAlign w:val="center"/>
                </w:tcPr>
                <w:p w14:paraId="030C1274">
                  <w:pPr>
                    <w:pStyle w:val="75"/>
                    <w:keepNext w:val="0"/>
                    <w:keepLines w:val="0"/>
                    <w:pageBreakBefore w:val="0"/>
                    <w:kinsoku/>
                    <w:wordWrap/>
                    <w:overflowPunct/>
                    <w:topLinePunct w:val="0"/>
                    <w:autoSpaceDE/>
                    <w:autoSpaceDN/>
                    <w:bidi w:val="0"/>
                    <w:adjustRightInd/>
                    <w:snapToGrid/>
                    <w:spacing w:line="240" w:lineRule="auto"/>
                    <w:textAlignment w:val="auto"/>
                    <w:rPr>
                      <w:rFonts w:hint="eastAsia" w:eastAsia="宋体"/>
                      <w:color w:val="auto"/>
                      <w:sz w:val="21"/>
                      <w:szCs w:val="21"/>
                      <w:lang w:eastAsia="zh-CN"/>
                    </w:rPr>
                  </w:pPr>
                  <w:r>
                    <w:rPr>
                      <w:rFonts w:hint="eastAsia"/>
                      <w:color w:val="auto"/>
                      <w:sz w:val="21"/>
                      <w:szCs w:val="21"/>
                      <w:lang w:eastAsia="zh-CN"/>
                    </w:rPr>
                    <w:t>污水泵</w:t>
                  </w:r>
                </w:p>
              </w:tc>
            </w:tr>
            <w:tr w14:paraId="04FC0D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2" w:hRule="atLeast"/>
              </w:trPr>
              <w:tc>
                <w:tcPr>
                  <w:tcW w:w="1175" w:type="pct"/>
                  <w:shd w:val="clear" w:color="auto" w:fill="auto"/>
                  <w:vAlign w:val="center"/>
                </w:tcPr>
                <w:p w14:paraId="27C4C14D">
                  <w:pPr>
                    <w:pStyle w:val="75"/>
                    <w:keepNext w:val="0"/>
                    <w:keepLines w:val="0"/>
                    <w:pageBreakBefore w:val="0"/>
                    <w:kinsoku/>
                    <w:wordWrap/>
                    <w:overflowPunct/>
                    <w:topLinePunct w:val="0"/>
                    <w:autoSpaceDE/>
                    <w:autoSpaceDN/>
                    <w:bidi w:val="0"/>
                    <w:adjustRightInd/>
                    <w:snapToGrid/>
                    <w:spacing w:line="240" w:lineRule="auto"/>
                    <w:textAlignment w:val="auto"/>
                    <w:rPr>
                      <w:rFonts w:hint="default"/>
                      <w:color w:val="auto"/>
                      <w:sz w:val="21"/>
                      <w:szCs w:val="21"/>
                      <w:lang w:val="en-US" w:eastAsia="zh-CN"/>
                    </w:rPr>
                  </w:pPr>
                  <w:r>
                    <w:rPr>
                      <w:rFonts w:hint="eastAsia"/>
                      <w:color w:val="auto"/>
                      <w:sz w:val="21"/>
                      <w:szCs w:val="21"/>
                      <w:lang w:val="en-US" w:eastAsia="zh-CN"/>
                    </w:rPr>
                    <w:t>10</w:t>
                  </w:r>
                </w:p>
              </w:tc>
              <w:tc>
                <w:tcPr>
                  <w:tcW w:w="3824" w:type="pct"/>
                  <w:shd w:val="clear" w:color="auto" w:fill="auto"/>
                  <w:vAlign w:val="center"/>
                </w:tcPr>
                <w:p w14:paraId="1ADC1698">
                  <w:pPr>
                    <w:pStyle w:val="34"/>
                    <w:keepNext w:val="0"/>
                    <w:keepLines w:val="0"/>
                    <w:pageBreakBefore w:val="0"/>
                    <w:kinsoku/>
                    <w:wordWrap/>
                    <w:overflowPunct/>
                    <w:topLinePunct w:val="0"/>
                    <w:autoSpaceDE/>
                    <w:autoSpaceDN/>
                    <w:bidi w:val="0"/>
                    <w:adjustRightInd/>
                    <w:snapToGrid/>
                    <w:spacing w:line="240" w:lineRule="auto"/>
                    <w:textAlignment w:val="auto"/>
                    <w:rPr>
                      <w:rFonts w:hint="eastAsia"/>
                      <w:color w:val="auto"/>
                      <w:sz w:val="21"/>
                      <w:szCs w:val="21"/>
                      <w:lang w:eastAsia="zh-CN"/>
                    </w:rPr>
                  </w:pPr>
                  <w:r>
                    <w:rPr>
                      <w:color w:val="auto"/>
                      <w:sz w:val="21"/>
                      <w:szCs w:val="21"/>
                    </w:rPr>
                    <w:t>柴油发电机（移动式85kw）</w:t>
                  </w:r>
                </w:p>
              </w:tc>
            </w:tr>
            <w:tr w14:paraId="2D71B1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2" w:hRule="atLeast"/>
              </w:trPr>
              <w:tc>
                <w:tcPr>
                  <w:tcW w:w="1175" w:type="pct"/>
                  <w:shd w:val="clear" w:color="auto" w:fill="auto"/>
                  <w:vAlign w:val="center"/>
                </w:tcPr>
                <w:p w14:paraId="71D9C25D">
                  <w:pPr>
                    <w:pStyle w:val="75"/>
                    <w:keepNext w:val="0"/>
                    <w:keepLines w:val="0"/>
                    <w:pageBreakBefore w:val="0"/>
                    <w:kinsoku/>
                    <w:wordWrap/>
                    <w:overflowPunct/>
                    <w:topLinePunct w:val="0"/>
                    <w:autoSpaceDE/>
                    <w:autoSpaceDN/>
                    <w:bidi w:val="0"/>
                    <w:adjustRightInd/>
                    <w:snapToGrid/>
                    <w:spacing w:line="240" w:lineRule="auto"/>
                    <w:textAlignment w:val="auto"/>
                    <w:rPr>
                      <w:rFonts w:hint="default"/>
                      <w:color w:val="auto"/>
                      <w:sz w:val="21"/>
                      <w:szCs w:val="21"/>
                      <w:lang w:val="en-US" w:eastAsia="zh-CN"/>
                    </w:rPr>
                  </w:pPr>
                  <w:r>
                    <w:rPr>
                      <w:rFonts w:hint="eastAsia"/>
                      <w:color w:val="auto"/>
                      <w:sz w:val="21"/>
                      <w:szCs w:val="21"/>
                      <w:lang w:val="en-US" w:eastAsia="zh-CN"/>
                    </w:rPr>
                    <w:t>11</w:t>
                  </w:r>
                </w:p>
              </w:tc>
              <w:tc>
                <w:tcPr>
                  <w:tcW w:w="3824" w:type="pct"/>
                  <w:shd w:val="clear" w:color="auto" w:fill="auto"/>
                  <w:vAlign w:val="center"/>
                </w:tcPr>
                <w:p w14:paraId="658D762B">
                  <w:pPr>
                    <w:pStyle w:val="34"/>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钢筋切断机</w:t>
                  </w:r>
                </w:p>
              </w:tc>
            </w:tr>
            <w:tr w14:paraId="189DB6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2" w:hRule="atLeast"/>
              </w:trPr>
              <w:tc>
                <w:tcPr>
                  <w:tcW w:w="1175" w:type="pct"/>
                  <w:shd w:val="clear" w:color="auto" w:fill="auto"/>
                  <w:vAlign w:val="center"/>
                </w:tcPr>
                <w:p w14:paraId="06DF2EB6">
                  <w:pPr>
                    <w:pStyle w:val="75"/>
                    <w:keepNext w:val="0"/>
                    <w:keepLines w:val="0"/>
                    <w:pageBreakBefore w:val="0"/>
                    <w:kinsoku/>
                    <w:wordWrap/>
                    <w:overflowPunct/>
                    <w:topLinePunct w:val="0"/>
                    <w:autoSpaceDE/>
                    <w:autoSpaceDN/>
                    <w:bidi w:val="0"/>
                    <w:adjustRightInd/>
                    <w:snapToGrid/>
                    <w:spacing w:line="240" w:lineRule="auto"/>
                    <w:textAlignment w:val="auto"/>
                    <w:rPr>
                      <w:rFonts w:hint="default"/>
                      <w:color w:val="auto"/>
                      <w:sz w:val="21"/>
                      <w:szCs w:val="21"/>
                      <w:lang w:val="en-US" w:eastAsia="zh-CN"/>
                    </w:rPr>
                  </w:pPr>
                  <w:r>
                    <w:rPr>
                      <w:rFonts w:hint="eastAsia"/>
                      <w:color w:val="auto"/>
                      <w:sz w:val="21"/>
                      <w:szCs w:val="21"/>
                      <w:lang w:val="en-US" w:eastAsia="zh-CN"/>
                    </w:rPr>
                    <w:t>12</w:t>
                  </w:r>
                </w:p>
              </w:tc>
              <w:tc>
                <w:tcPr>
                  <w:tcW w:w="3824" w:type="pct"/>
                  <w:shd w:val="clear" w:color="auto" w:fill="auto"/>
                  <w:vAlign w:val="center"/>
                </w:tcPr>
                <w:p w14:paraId="603A8AAC">
                  <w:pPr>
                    <w:pStyle w:val="34"/>
                    <w:keepNext w:val="0"/>
                    <w:keepLines w:val="0"/>
                    <w:pageBreakBefore w:val="0"/>
                    <w:kinsoku/>
                    <w:wordWrap/>
                    <w:overflowPunct/>
                    <w:topLinePunct w:val="0"/>
                    <w:autoSpaceDE/>
                    <w:autoSpaceDN/>
                    <w:bidi w:val="0"/>
                    <w:adjustRightInd/>
                    <w:snapToGrid/>
                    <w:spacing w:line="240" w:lineRule="auto"/>
                    <w:textAlignment w:val="auto"/>
                    <w:rPr>
                      <w:color w:val="auto"/>
                      <w:sz w:val="21"/>
                      <w:szCs w:val="21"/>
                    </w:rPr>
                  </w:pPr>
                  <w:r>
                    <w:rPr>
                      <w:color w:val="auto"/>
                      <w:sz w:val="21"/>
                      <w:szCs w:val="21"/>
                    </w:rPr>
                    <w:t>蛙式夯实机</w:t>
                  </w:r>
                </w:p>
              </w:tc>
            </w:tr>
          </w:tbl>
          <w:p w14:paraId="18360BF3">
            <w:pPr>
              <w:pStyle w:val="36"/>
              <w:bidi w:val="0"/>
              <w:rPr>
                <w:rFonts w:hint="eastAsia"/>
                <w:b/>
                <w:bCs/>
                <w:color w:val="auto"/>
                <w:lang w:eastAsia="zh-CN"/>
              </w:rPr>
            </w:pPr>
            <w:r>
              <w:rPr>
                <w:rFonts w:hint="eastAsia"/>
                <w:b/>
                <w:bCs/>
                <w:color w:val="auto"/>
                <w:lang w:val="en-US" w:eastAsia="zh-CN"/>
              </w:rPr>
              <w:t>十二、</w:t>
            </w:r>
            <w:r>
              <w:rPr>
                <w:rFonts w:hint="eastAsia"/>
                <w:b/>
                <w:bCs/>
                <w:color w:val="auto"/>
                <w:lang w:eastAsia="zh-CN"/>
              </w:rPr>
              <w:t>工程参数</w:t>
            </w:r>
          </w:p>
          <w:p w14:paraId="6B6289F9">
            <w:pPr>
              <w:pStyle w:val="31"/>
              <w:bidi w:val="0"/>
              <w:rPr>
                <w:rFonts w:hint="eastAsia"/>
                <w:color w:val="auto"/>
              </w:rPr>
            </w:pPr>
            <w:r>
              <w:rPr>
                <w:rFonts w:hint="eastAsia"/>
                <w:color w:val="auto"/>
              </w:rPr>
              <w:t>表</w:t>
            </w:r>
            <w:r>
              <w:rPr>
                <w:rFonts w:hint="eastAsia"/>
                <w:color w:val="auto"/>
                <w:lang w:val="en-US" w:eastAsia="zh-CN"/>
              </w:rPr>
              <w:t>2-5</w:t>
            </w:r>
            <w:r>
              <w:rPr>
                <w:rFonts w:hint="eastAsia"/>
                <w:color w:val="auto"/>
              </w:rPr>
              <w:t xml:space="preserve">   </w:t>
            </w:r>
            <w:r>
              <w:rPr>
                <w:rFonts w:hint="eastAsia"/>
                <w:color w:val="auto"/>
                <w:lang w:eastAsia="zh-CN"/>
              </w:rPr>
              <w:t>勐</w:t>
            </w:r>
            <w:r>
              <w:rPr>
                <w:rFonts w:hint="default" w:ascii="Times New Roman" w:hAnsi="Times New Roman" w:cs="Times New Roman"/>
                <w:color w:val="auto"/>
                <w:lang w:eastAsia="zh-CN"/>
              </w:rPr>
              <w:t>戛段</w:t>
            </w:r>
            <w:r>
              <w:rPr>
                <w:rFonts w:hint="default" w:ascii="Times New Roman" w:hAnsi="Times New Roman" w:cs="Times New Roman"/>
                <w:color w:val="auto"/>
                <w:sz w:val="21"/>
                <w:szCs w:val="21"/>
                <w:lang w:eastAsia="zh-CN"/>
              </w:rPr>
              <w:t>（</w:t>
            </w:r>
            <w:r>
              <w:rPr>
                <w:rFonts w:hint="default" w:ascii="Times New Roman" w:hAnsi="Times New Roman" w:cs="Times New Roman"/>
                <w:spacing w:val="-30"/>
                <w:sz w:val="21"/>
                <w:szCs w:val="21"/>
              </w:rPr>
              <w:t xml:space="preserve"> </w:t>
            </w:r>
            <w:r>
              <w:rPr>
                <w:rFonts w:hint="default" w:ascii="Times New Roman" w:hAnsi="Times New Roman" w:eastAsia="Times New Roman" w:cs="Times New Roman"/>
                <w:spacing w:val="-1"/>
                <w:sz w:val="21"/>
                <w:szCs w:val="21"/>
              </w:rPr>
              <w:t>K5+000~K12+350</w:t>
            </w:r>
            <w:r>
              <w:rPr>
                <w:rFonts w:hint="eastAsia" w:ascii="Times New Roman" w:hAnsi="Times New Roman" w:eastAsia="宋体" w:cs="Times New Roman"/>
                <w:spacing w:val="-1"/>
                <w:sz w:val="21"/>
                <w:szCs w:val="21"/>
                <w:lang w:eastAsia="zh-CN"/>
              </w:rPr>
              <w:t>，</w:t>
            </w:r>
            <w:r>
              <w:rPr>
                <w:rFonts w:hint="eastAsia" w:ascii="Times New Roman" w:hAnsi="Times New Roman" w:eastAsia="宋体" w:cs="Times New Roman"/>
                <w:spacing w:val="-1"/>
                <w:sz w:val="21"/>
                <w:szCs w:val="21"/>
                <w:lang w:val="en-US" w:eastAsia="zh-CN"/>
              </w:rPr>
              <w:t>7.35km</w:t>
            </w:r>
            <w:r>
              <w:rPr>
                <w:rFonts w:hint="default" w:ascii="Times New Roman" w:hAnsi="Times New Roman" w:cs="Times New Roman"/>
                <w:color w:val="auto"/>
                <w:sz w:val="21"/>
                <w:szCs w:val="21"/>
                <w:lang w:eastAsia="zh-CN"/>
              </w:rPr>
              <w:t>）</w:t>
            </w:r>
            <w:r>
              <w:rPr>
                <w:rFonts w:hint="eastAsia"/>
                <w:color w:val="auto"/>
              </w:rPr>
              <w:t>治理工程量</w:t>
            </w:r>
          </w:p>
          <w:tbl>
            <w:tblPr>
              <w:tblStyle w:val="22"/>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02"/>
              <w:gridCol w:w="3850"/>
              <w:gridCol w:w="1032"/>
              <w:gridCol w:w="1204"/>
              <w:gridCol w:w="799"/>
            </w:tblGrid>
            <w:tr w14:paraId="75BF68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4628BEAB">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b/>
                      <w:bCs/>
                      <w:color w:val="auto"/>
                      <w:sz w:val="21"/>
                      <w:szCs w:val="21"/>
                    </w:rPr>
                  </w:pPr>
                  <w:r>
                    <w:rPr>
                      <w:b/>
                      <w:bCs/>
                      <w:color w:val="auto"/>
                      <w:sz w:val="21"/>
                      <w:szCs w:val="21"/>
                    </w:rPr>
                    <w:t>序号</w:t>
                  </w:r>
                </w:p>
              </w:tc>
              <w:tc>
                <w:tcPr>
                  <w:tcW w:w="2504" w:type="pct"/>
                  <w:noWrap/>
                  <w:vAlign w:val="center"/>
                </w:tcPr>
                <w:p w14:paraId="01FBD410">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b/>
                      <w:bCs/>
                      <w:color w:val="auto"/>
                      <w:sz w:val="21"/>
                      <w:szCs w:val="21"/>
                    </w:rPr>
                  </w:pPr>
                  <w:r>
                    <w:rPr>
                      <w:b/>
                      <w:bCs/>
                      <w:color w:val="auto"/>
                      <w:sz w:val="21"/>
                      <w:szCs w:val="21"/>
                    </w:rPr>
                    <w:t>项目</w:t>
                  </w:r>
                </w:p>
              </w:tc>
              <w:tc>
                <w:tcPr>
                  <w:tcW w:w="671" w:type="pct"/>
                  <w:noWrap/>
                  <w:vAlign w:val="center"/>
                </w:tcPr>
                <w:p w14:paraId="77BDB13D">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b/>
                      <w:bCs/>
                      <w:color w:val="auto"/>
                      <w:sz w:val="21"/>
                      <w:szCs w:val="21"/>
                    </w:rPr>
                  </w:pPr>
                  <w:r>
                    <w:rPr>
                      <w:b/>
                      <w:bCs/>
                      <w:color w:val="auto"/>
                      <w:sz w:val="21"/>
                      <w:szCs w:val="21"/>
                    </w:rPr>
                    <w:t>单位</w:t>
                  </w:r>
                </w:p>
              </w:tc>
              <w:tc>
                <w:tcPr>
                  <w:tcW w:w="783" w:type="pct"/>
                  <w:noWrap/>
                  <w:vAlign w:val="center"/>
                </w:tcPr>
                <w:p w14:paraId="77C60858">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b/>
                      <w:bCs/>
                      <w:color w:val="auto"/>
                      <w:sz w:val="21"/>
                      <w:szCs w:val="21"/>
                    </w:rPr>
                  </w:pPr>
                  <w:r>
                    <w:rPr>
                      <w:b/>
                      <w:bCs/>
                      <w:color w:val="auto"/>
                      <w:sz w:val="21"/>
                      <w:szCs w:val="21"/>
                    </w:rPr>
                    <w:t>工程量</w:t>
                  </w:r>
                </w:p>
              </w:tc>
              <w:tc>
                <w:tcPr>
                  <w:tcW w:w="519" w:type="pct"/>
                  <w:noWrap w:val="0"/>
                  <w:vAlign w:val="center"/>
                </w:tcPr>
                <w:p w14:paraId="7014FE0C">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b/>
                      <w:bCs/>
                      <w:color w:val="auto"/>
                      <w:sz w:val="21"/>
                      <w:szCs w:val="21"/>
                    </w:rPr>
                  </w:pPr>
                  <w:r>
                    <w:rPr>
                      <w:b/>
                      <w:bCs/>
                      <w:color w:val="auto"/>
                      <w:sz w:val="21"/>
                      <w:szCs w:val="21"/>
                    </w:rPr>
                    <w:t>备注</w:t>
                  </w:r>
                </w:p>
              </w:tc>
            </w:tr>
            <w:tr w14:paraId="44D4F0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0BA7AACE">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color w:val="auto"/>
                      <w:sz w:val="21"/>
                      <w:szCs w:val="21"/>
                    </w:rPr>
                    <w:t>一</w:t>
                  </w:r>
                </w:p>
              </w:tc>
              <w:tc>
                <w:tcPr>
                  <w:tcW w:w="2504" w:type="pct"/>
                  <w:noWrap/>
                  <w:vAlign w:val="center"/>
                </w:tcPr>
                <w:p w14:paraId="39F771C1">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eastAsia="宋体"/>
                      <w:color w:val="auto"/>
                      <w:sz w:val="21"/>
                      <w:szCs w:val="21"/>
                      <w:lang w:eastAsia="zh-CN"/>
                    </w:rPr>
                  </w:pPr>
                  <w:r>
                    <w:rPr>
                      <w:spacing w:val="-1"/>
                      <w:sz w:val="21"/>
                      <w:szCs w:val="21"/>
                    </w:rPr>
                    <w:t>钢筋石笼护岸</w:t>
                  </w:r>
                </w:p>
              </w:tc>
              <w:tc>
                <w:tcPr>
                  <w:tcW w:w="1032" w:type="dxa"/>
                  <w:noWrap/>
                  <w:vAlign w:val="top"/>
                </w:tcPr>
                <w:p w14:paraId="047F4ED4">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c>
                <w:tcPr>
                  <w:tcW w:w="1204" w:type="dxa"/>
                  <w:noWrap/>
                  <w:vAlign w:val="top"/>
                </w:tcPr>
                <w:p w14:paraId="0DBC241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c>
                <w:tcPr>
                  <w:tcW w:w="519" w:type="pct"/>
                  <w:noWrap/>
                  <w:vAlign w:val="center"/>
                </w:tcPr>
                <w:p w14:paraId="26A2DE60">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225A7E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3032CB5B">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rFonts w:hint="eastAsia"/>
                      <w:color w:val="auto"/>
                      <w:sz w:val="21"/>
                      <w:szCs w:val="21"/>
                    </w:rPr>
                    <w:t>1</w:t>
                  </w:r>
                </w:p>
              </w:tc>
              <w:tc>
                <w:tcPr>
                  <w:tcW w:w="2504" w:type="pct"/>
                  <w:noWrap/>
                  <w:vAlign w:val="top"/>
                </w:tcPr>
                <w:p w14:paraId="2A27F437">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pacing w:val="-2"/>
                      <w:sz w:val="21"/>
                      <w:szCs w:val="21"/>
                    </w:rPr>
                    <w:t>土方开挖</w:t>
                  </w:r>
                </w:p>
              </w:tc>
              <w:tc>
                <w:tcPr>
                  <w:tcW w:w="1032" w:type="dxa"/>
                  <w:noWrap/>
                  <w:vAlign w:val="top"/>
                </w:tcPr>
                <w:p w14:paraId="2073D08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z w:val="21"/>
                      <w:szCs w:val="21"/>
                    </w:rPr>
                    <w:t>m³</w:t>
                  </w:r>
                </w:p>
              </w:tc>
              <w:tc>
                <w:tcPr>
                  <w:tcW w:w="1204" w:type="dxa"/>
                  <w:noWrap/>
                  <w:vAlign w:val="top"/>
                </w:tcPr>
                <w:p w14:paraId="2B9A857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2"/>
                      <w:sz w:val="21"/>
                      <w:szCs w:val="21"/>
                    </w:rPr>
                    <w:t>66198</w:t>
                  </w:r>
                </w:p>
              </w:tc>
              <w:tc>
                <w:tcPr>
                  <w:tcW w:w="519" w:type="pct"/>
                  <w:noWrap/>
                  <w:vAlign w:val="center"/>
                </w:tcPr>
                <w:p w14:paraId="52FD2048">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7864FA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76345F6A">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rFonts w:hint="eastAsia"/>
                      <w:color w:val="auto"/>
                      <w:sz w:val="21"/>
                      <w:szCs w:val="21"/>
                    </w:rPr>
                    <w:t>2</w:t>
                  </w:r>
                </w:p>
              </w:tc>
              <w:tc>
                <w:tcPr>
                  <w:tcW w:w="2504" w:type="pct"/>
                  <w:noWrap/>
                  <w:vAlign w:val="top"/>
                </w:tcPr>
                <w:p w14:paraId="35B20411">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pacing w:val="-2"/>
                      <w:sz w:val="21"/>
                      <w:szCs w:val="21"/>
                    </w:rPr>
                    <w:t>土方回填</w:t>
                  </w:r>
                </w:p>
              </w:tc>
              <w:tc>
                <w:tcPr>
                  <w:tcW w:w="1032" w:type="dxa"/>
                  <w:noWrap/>
                  <w:vAlign w:val="top"/>
                </w:tcPr>
                <w:p w14:paraId="1C6C6A8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z w:val="21"/>
                      <w:szCs w:val="21"/>
                    </w:rPr>
                    <w:t>m³</w:t>
                  </w:r>
                </w:p>
              </w:tc>
              <w:tc>
                <w:tcPr>
                  <w:tcW w:w="1204" w:type="dxa"/>
                  <w:noWrap/>
                  <w:vAlign w:val="top"/>
                </w:tcPr>
                <w:p w14:paraId="064B09F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1"/>
                      <w:sz w:val="21"/>
                      <w:szCs w:val="21"/>
                    </w:rPr>
                    <w:t>23910</w:t>
                  </w:r>
                </w:p>
              </w:tc>
              <w:tc>
                <w:tcPr>
                  <w:tcW w:w="519" w:type="pct"/>
                  <w:noWrap/>
                  <w:vAlign w:val="center"/>
                </w:tcPr>
                <w:p w14:paraId="4ED76162">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1D87DA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21148CF1">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rFonts w:hint="eastAsia"/>
                      <w:color w:val="auto"/>
                      <w:sz w:val="21"/>
                      <w:szCs w:val="21"/>
                    </w:rPr>
                    <w:t>3</w:t>
                  </w:r>
                </w:p>
              </w:tc>
              <w:tc>
                <w:tcPr>
                  <w:tcW w:w="2504" w:type="pct"/>
                  <w:noWrap/>
                  <w:vAlign w:val="top"/>
                </w:tcPr>
                <w:p w14:paraId="753FBA67">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pacing w:val="-2"/>
                      <w:sz w:val="21"/>
                      <w:szCs w:val="21"/>
                    </w:rPr>
                    <w:t>土方堤后摊平</w:t>
                  </w:r>
                </w:p>
              </w:tc>
              <w:tc>
                <w:tcPr>
                  <w:tcW w:w="1032" w:type="dxa"/>
                  <w:noWrap/>
                  <w:vAlign w:val="top"/>
                </w:tcPr>
                <w:p w14:paraId="5FA12E9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z w:val="21"/>
                      <w:szCs w:val="21"/>
                    </w:rPr>
                    <w:t>m³</w:t>
                  </w:r>
                </w:p>
              </w:tc>
              <w:tc>
                <w:tcPr>
                  <w:tcW w:w="1204" w:type="dxa"/>
                  <w:noWrap/>
                  <w:vAlign w:val="top"/>
                </w:tcPr>
                <w:p w14:paraId="5B294E2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宋体"/>
                      <w:color w:val="auto"/>
                      <w:sz w:val="21"/>
                      <w:szCs w:val="21"/>
                      <w:lang w:eastAsia="zh-CN"/>
                    </w:rPr>
                  </w:pPr>
                  <w:r>
                    <w:rPr>
                      <w:rFonts w:ascii="Times New Roman" w:hAnsi="Times New Roman" w:eastAsia="Times New Roman" w:cs="Times New Roman"/>
                      <w:spacing w:val="-2"/>
                      <w:sz w:val="21"/>
                      <w:szCs w:val="21"/>
                    </w:rPr>
                    <w:t>37987</w:t>
                  </w:r>
                </w:p>
              </w:tc>
              <w:tc>
                <w:tcPr>
                  <w:tcW w:w="519" w:type="pct"/>
                  <w:noWrap/>
                  <w:vAlign w:val="center"/>
                </w:tcPr>
                <w:p w14:paraId="6667621A">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180B3C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2DEFB5E8">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rFonts w:hint="eastAsia"/>
                      <w:color w:val="auto"/>
                      <w:sz w:val="21"/>
                      <w:szCs w:val="21"/>
                    </w:rPr>
                    <w:t>4</w:t>
                  </w:r>
                </w:p>
              </w:tc>
              <w:tc>
                <w:tcPr>
                  <w:tcW w:w="2504" w:type="pct"/>
                  <w:noWrap/>
                  <w:vAlign w:val="top"/>
                </w:tcPr>
                <w:p w14:paraId="3BF8791B">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pacing w:val="-2"/>
                      <w:sz w:val="21"/>
                      <w:szCs w:val="21"/>
                    </w:rPr>
                    <w:t>钢筋石笼</w:t>
                  </w:r>
                </w:p>
              </w:tc>
              <w:tc>
                <w:tcPr>
                  <w:tcW w:w="1032" w:type="dxa"/>
                  <w:noWrap/>
                  <w:vAlign w:val="top"/>
                </w:tcPr>
                <w:p w14:paraId="1F7D28F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z w:val="21"/>
                      <w:szCs w:val="21"/>
                    </w:rPr>
                    <w:t>m³</w:t>
                  </w:r>
                </w:p>
              </w:tc>
              <w:tc>
                <w:tcPr>
                  <w:tcW w:w="1204" w:type="dxa"/>
                  <w:noWrap/>
                  <w:vAlign w:val="top"/>
                </w:tcPr>
                <w:p w14:paraId="00910DC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宋体"/>
                      <w:color w:val="auto"/>
                      <w:sz w:val="21"/>
                      <w:szCs w:val="21"/>
                      <w:lang w:eastAsia="zh-CN"/>
                    </w:rPr>
                  </w:pPr>
                  <w:r>
                    <w:rPr>
                      <w:rFonts w:ascii="Times New Roman" w:hAnsi="Times New Roman" w:eastAsia="Times New Roman" w:cs="Times New Roman"/>
                      <w:spacing w:val="-1"/>
                      <w:sz w:val="21"/>
                      <w:szCs w:val="21"/>
                    </w:rPr>
                    <w:t>42010</w:t>
                  </w:r>
                </w:p>
              </w:tc>
              <w:tc>
                <w:tcPr>
                  <w:tcW w:w="519" w:type="pct"/>
                  <w:noWrap/>
                  <w:vAlign w:val="center"/>
                </w:tcPr>
                <w:p w14:paraId="7FD9EA25">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48FD69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26BEDE78">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rFonts w:hint="eastAsia"/>
                      <w:color w:val="auto"/>
                      <w:sz w:val="21"/>
                      <w:szCs w:val="21"/>
                    </w:rPr>
                    <w:t>5</w:t>
                  </w:r>
                </w:p>
              </w:tc>
              <w:tc>
                <w:tcPr>
                  <w:tcW w:w="2504" w:type="pct"/>
                  <w:noWrap/>
                  <w:vAlign w:val="top"/>
                </w:tcPr>
                <w:p w14:paraId="3426BCA3">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pacing w:val="-1"/>
                      <w:sz w:val="21"/>
                      <w:szCs w:val="21"/>
                    </w:rPr>
                    <w:t>橘子树（小苗）</w:t>
                  </w:r>
                </w:p>
              </w:tc>
              <w:tc>
                <w:tcPr>
                  <w:tcW w:w="1032" w:type="dxa"/>
                  <w:noWrap/>
                  <w:vAlign w:val="top"/>
                </w:tcPr>
                <w:p w14:paraId="1F5907FD">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z w:val="21"/>
                      <w:szCs w:val="21"/>
                    </w:rPr>
                    <w:t>棵</w:t>
                  </w:r>
                </w:p>
              </w:tc>
              <w:tc>
                <w:tcPr>
                  <w:tcW w:w="1204" w:type="dxa"/>
                  <w:noWrap/>
                  <w:vAlign w:val="top"/>
                </w:tcPr>
                <w:p w14:paraId="3C476E6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2"/>
                      <w:sz w:val="21"/>
                      <w:szCs w:val="21"/>
                    </w:rPr>
                    <w:t>2114</w:t>
                  </w:r>
                </w:p>
              </w:tc>
              <w:tc>
                <w:tcPr>
                  <w:tcW w:w="519" w:type="pct"/>
                  <w:noWrap/>
                  <w:vAlign w:val="center"/>
                </w:tcPr>
                <w:p w14:paraId="4674CAAE">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2846DF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5C30B028">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eastAsia="宋体"/>
                      <w:color w:val="auto"/>
                      <w:sz w:val="21"/>
                      <w:szCs w:val="21"/>
                      <w:lang w:eastAsia="zh-CN"/>
                    </w:rPr>
                  </w:pPr>
                  <w:r>
                    <w:rPr>
                      <w:rFonts w:hint="eastAsia"/>
                      <w:color w:val="auto"/>
                      <w:sz w:val="21"/>
                      <w:szCs w:val="21"/>
                      <w:lang w:eastAsia="zh-CN"/>
                    </w:rPr>
                    <w:t>二</w:t>
                  </w:r>
                </w:p>
              </w:tc>
              <w:tc>
                <w:tcPr>
                  <w:tcW w:w="2504" w:type="pct"/>
                  <w:noWrap/>
                  <w:vAlign w:val="center"/>
                </w:tcPr>
                <w:p w14:paraId="5B8E04DD">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eastAsia="宋体"/>
                      <w:color w:val="auto"/>
                      <w:sz w:val="21"/>
                      <w:szCs w:val="21"/>
                      <w:lang w:eastAsia="zh-CN"/>
                    </w:rPr>
                  </w:pPr>
                  <w:r>
                    <w:rPr>
                      <w:rFonts w:hint="eastAsia"/>
                      <w:color w:val="auto"/>
                      <w:sz w:val="21"/>
                      <w:szCs w:val="21"/>
                      <w:lang w:eastAsia="zh-CN"/>
                    </w:rPr>
                    <w:t>建筑物工程</w:t>
                  </w:r>
                </w:p>
              </w:tc>
              <w:tc>
                <w:tcPr>
                  <w:tcW w:w="1032" w:type="dxa"/>
                  <w:noWrap/>
                  <w:vAlign w:val="top"/>
                </w:tcPr>
                <w:p w14:paraId="4213BE4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c>
                <w:tcPr>
                  <w:tcW w:w="1204" w:type="dxa"/>
                  <w:noWrap/>
                  <w:vAlign w:val="top"/>
                </w:tcPr>
                <w:p w14:paraId="7B36CF2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c>
                <w:tcPr>
                  <w:tcW w:w="519" w:type="pct"/>
                  <w:noWrap/>
                  <w:vAlign w:val="center"/>
                </w:tcPr>
                <w:p w14:paraId="176ECA90">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64ABD7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19BDEAD9">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eastAsia="宋体"/>
                      <w:color w:val="auto"/>
                      <w:sz w:val="21"/>
                      <w:szCs w:val="21"/>
                      <w:lang w:eastAsia="zh-CN"/>
                    </w:rPr>
                  </w:pPr>
                  <w:r>
                    <w:rPr>
                      <w:rFonts w:hint="eastAsia"/>
                      <w:color w:val="auto"/>
                      <w:sz w:val="21"/>
                      <w:szCs w:val="21"/>
                      <w:lang w:val="en-US" w:eastAsia="zh-CN"/>
                    </w:rPr>
                    <w:t>1</w:t>
                  </w:r>
                </w:p>
              </w:tc>
              <w:tc>
                <w:tcPr>
                  <w:tcW w:w="2504" w:type="pct"/>
                  <w:noWrap/>
                  <w:vAlign w:val="top"/>
                </w:tcPr>
                <w:p w14:paraId="59CDFDC0">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pacing w:val="-1"/>
                      <w:sz w:val="21"/>
                      <w:szCs w:val="21"/>
                    </w:rPr>
                    <w:t>排涝涵管</w:t>
                  </w:r>
                  <w:r>
                    <w:rPr>
                      <w:spacing w:val="-36"/>
                      <w:sz w:val="21"/>
                      <w:szCs w:val="21"/>
                    </w:rPr>
                    <w:t xml:space="preserve"> </w:t>
                  </w:r>
                  <w:r>
                    <w:rPr>
                      <w:rFonts w:ascii="Times New Roman" w:hAnsi="Times New Roman" w:eastAsia="Times New Roman" w:cs="Times New Roman"/>
                      <w:spacing w:val="-1"/>
                      <w:sz w:val="21"/>
                      <w:szCs w:val="21"/>
                    </w:rPr>
                    <w:t xml:space="preserve">29 </w:t>
                  </w:r>
                  <w:r>
                    <w:rPr>
                      <w:spacing w:val="-1"/>
                      <w:sz w:val="21"/>
                      <w:szCs w:val="21"/>
                    </w:rPr>
                    <w:t>处</w:t>
                  </w:r>
                </w:p>
              </w:tc>
              <w:tc>
                <w:tcPr>
                  <w:tcW w:w="1032" w:type="dxa"/>
                  <w:noWrap/>
                  <w:vAlign w:val="top"/>
                </w:tcPr>
                <w:p w14:paraId="789C8806">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eastAsia="宋体"/>
                      <w:color w:val="auto"/>
                      <w:sz w:val="21"/>
                      <w:szCs w:val="21"/>
                      <w:lang w:val="en-US" w:eastAsia="zh-CN"/>
                    </w:rPr>
                  </w:pPr>
                </w:p>
              </w:tc>
              <w:tc>
                <w:tcPr>
                  <w:tcW w:w="1204" w:type="dxa"/>
                  <w:noWrap/>
                  <w:vAlign w:val="top"/>
                </w:tcPr>
                <w:p w14:paraId="0AB2054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eastAsia="宋体"/>
                      <w:color w:val="auto"/>
                      <w:sz w:val="21"/>
                      <w:szCs w:val="21"/>
                      <w:lang w:eastAsia="zh-CN"/>
                    </w:rPr>
                  </w:pPr>
                </w:p>
              </w:tc>
              <w:tc>
                <w:tcPr>
                  <w:tcW w:w="519" w:type="pct"/>
                  <w:noWrap/>
                  <w:vAlign w:val="center"/>
                </w:tcPr>
                <w:p w14:paraId="3E1F103D">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2E3416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39917070">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eastAsia="宋体"/>
                      <w:color w:val="auto"/>
                      <w:sz w:val="21"/>
                      <w:szCs w:val="21"/>
                      <w:lang w:eastAsia="zh-CN"/>
                    </w:rPr>
                  </w:pPr>
                  <w:r>
                    <w:rPr>
                      <w:rFonts w:hint="eastAsia"/>
                      <w:color w:val="auto"/>
                      <w:sz w:val="21"/>
                      <w:szCs w:val="21"/>
                      <w:lang w:val="en-US" w:eastAsia="zh-CN"/>
                    </w:rPr>
                    <w:t>2</w:t>
                  </w:r>
                </w:p>
              </w:tc>
              <w:tc>
                <w:tcPr>
                  <w:tcW w:w="2504" w:type="pct"/>
                  <w:noWrap/>
                  <w:vAlign w:val="top"/>
                </w:tcPr>
                <w:p w14:paraId="3B05769B">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pacing w:val="-2"/>
                      <w:sz w:val="21"/>
                      <w:szCs w:val="21"/>
                    </w:rPr>
                    <w:t>土方开挖</w:t>
                  </w:r>
                </w:p>
              </w:tc>
              <w:tc>
                <w:tcPr>
                  <w:tcW w:w="1032" w:type="dxa"/>
                  <w:noWrap/>
                  <w:vAlign w:val="top"/>
                </w:tcPr>
                <w:p w14:paraId="68592E8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z w:val="21"/>
                      <w:szCs w:val="21"/>
                    </w:rPr>
                    <w:t>m³</w:t>
                  </w:r>
                </w:p>
              </w:tc>
              <w:tc>
                <w:tcPr>
                  <w:tcW w:w="1204" w:type="dxa"/>
                  <w:noWrap/>
                  <w:vAlign w:val="top"/>
                </w:tcPr>
                <w:p w14:paraId="1026DAF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7"/>
                      <w:sz w:val="21"/>
                      <w:szCs w:val="21"/>
                    </w:rPr>
                    <w:t>1146</w:t>
                  </w:r>
                </w:p>
              </w:tc>
              <w:tc>
                <w:tcPr>
                  <w:tcW w:w="519" w:type="pct"/>
                  <w:noWrap/>
                  <w:vAlign w:val="center"/>
                </w:tcPr>
                <w:p w14:paraId="655B2AF0">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1DBDC8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7FD72CF7">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eastAsia="宋体"/>
                      <w:color w:val="auto"/>
                      <w:sz w:val="21"/>
                      <w:szCs w:val="21"/>
                      <w:lang w:eastAsia="zh-CN"/>
                    </w:rPr>
                  </w:pPr>
                  <w:r>
                    <w:rPr>
                      <w:rFonts w:hint="eastAsia"/>
                      <w:color w:val="auto"/>
                      <w:sz w:val="21"/>
                      <w:szCs w:val="21"/>
                      <w:lang w:val="en-US" w:eastAsia="zh-CN"/>
                    </w:rPr>
                    <w:t>3</w:t>
                  </w:r>
                </w:p>
              </w:tc>
              <w:tc>
                <w:tcPr>
                  <w:tcW w:w="2504" w:type="pct"/>
                  <w:noWrap/>
                  <w:vAlign w:val="top"/>
                </w:tcPr>
                <w:p w14:paraId="47A6BDBF">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pacing w:val="-2"/>
                      <w:sz w:val="21"/>
                      <w:szCs w:val="21"/>
                    </w:rPr>
                    <w:t>土方回填</w:t>
                  </w:r>
                </w:p>
              </w:tc>
              <w:tc>
                <w:tcPr>
                  <w:tcW w:w="1032" w:type="dxa"/>
                  <w:noWrap/>
                  <w:vAlign w:val="top"/>
                </w:tcPr>
                <w:p w14:paraId="5AD4979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z w:val="21"/>
                      <w:szCs w:val="21"/>
                    </w:rPr>
                    <w:t>m³</w:t>
                  </w:r>
                </w:p>
              </w:tc>
              <w:tc>
                <w:tcPr>
                  <w:tcW w:w="1204" w:type="dxa"/>
                  <w:noWrap/>
                  <w:vAlign w:val="top"/>
                </w:tcPr>
                <w:p w14:paraId="5AD3BD3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3"/>
                      <w:sz w:val="21"/>
                      <w:szCs w:val="21"/>
                    </w:rPr>
                    <w:t>974</w:t>
                  </w:r>
                </w:p>
              </w:tc>
              <w:tc>
                <w:tcPr>
                  <w:tcW w:w="519" w:type="pct"/>
                  <w:noWrap/>
                  <w:vAlign w:val="center"/>
                </w:tcPr>
                <w:p w14:paraId="534FBB94">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294730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7974AAB2">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eastAsia="宋体"/>
                      <w:color w:val="auto"/>
                      <w:sz w:val="21"/>
                      <w:szCs w:val="21"/>
                      <w:lang w:eastAsia="zh-CN"/>
                    </w:rPr>
                  </w:pPr>
                  <w:r>
                    <w:rPr>
                      <w:rFonts w:hint="eastAsia"/>
                      <w:color w:val="auto"/>
                      <w:sz w:val="21"/>
                      <w:szCs w:val="21"/>
                      <w:lang w:val="en-US" w:eastAsia="zh-CN"/>
                    </w:rPr>
                    <w:t>4</w:t>
                  </w:r>
                </w:p>
              </w:tc>
              <w:tc>
                <w:tcPr>
                  <w:tcW w:w="2504" w:type="pct"/>
                  <w:noWrap/>
                  <w:vAlign w:val="top"/>
                </w:tcPr>
                <w:p w14:paraId="331473C2">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1"/>
                      <w:sz w:val="21"/>
                      <w:szCs w:val="21"/>
                    </w:rPr>
                    <w:t xml:space="preserve">M7.5 </w:t>
                  </w:r>
                  <w:r>
                    <w:rPr>
                      <w:spacing w:val="-1"/>
                      <w:sz w:val="21"/>
                      <w:szCs w:val="21"/>
                    </w:rPr>
                    <w:t>浆砌石</w:t>
                  </w:r>
                </w:p>
              </w:tc>
              <w:tc>
                <w:tcPr>
                  <w:tcW w:w="1032" w:type="dxa"/>
                  <w:noWrap/>
                  <w:vAlign w:val="top"/>
                </w:tcPr>
                <w:p w14:paraId="50B5DE0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z w:val="21"/>
                      <w:szCs w:val="21"/>
                    </w:rPr>
                    <w:t>m³</w:t>
                  </w:r>
                </w:p>
              </w:tc>
              <w:tc>
                <w:tcPr>
                  <w:tcW w:w="1204" w:type="dxa"/>
                  <w:noWrap/>
                  <w:vAlign w:val="top"/>
                </w:tcPr>
                <w:p w14:paraId="6EDD55C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3"/>
                      <w:sz w:val="21"/>
                      <w:szCs w:val="21"/>
                    </w:rPr>
                    <w:t>974</w:t>
                  </w:r>
                </w:p>
              </w:tc>
              <w:tc>
                <w:tcPr>
                  <w:tcW w:w="519" w:type="pct"/>
                  <w:noWrap/>
                  <w:vAlign w:val="center"/>
                </w:tcPr>
                <w:p w14:paraId="5F3E881E">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19B9B5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0C221F82">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eastAsia="宋体"/>
                      <w:color w:val="auto"/>
                      <w:sz w:val="21"/>
                      <w:szCs w:val="21"/>
                      <w:lang w:eastAsia="zh-CN"/>
                    </w:rPr>
                  </w:pPr>
                  <w:r>
                    <w:rPr>
                      <w:rFonts w:hint="eastAsia"/>
                      <w:color w:val="auto"/>
                      <w:sz w:val="21"/>
                      <w:szCs w:val="21"/>
                      <w:lang w:val="en-US" w:eastAsia="zh-CN"/>
                    </w:rPr>
                    <w:t>5</w:t>
                  </w:r>
                </w:p>
              </w:tc>
              <w:tc>
                <w:tcPr>
                  <w:tcW w:w="2504" w:type="pct"/>
                  <w:noWrap/>
                  <w:vAlign w:val="top"/>
                </w:tcPr>
                <w:p w14:paraId="797EC2C8">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1"/>
                      <w:sz w:val="21"/>
                      <w:szCs w:val="21"/>
                    </w:rPr>
                    <w:t xml:space="preserve">φ600 </w:t>
                  </w:r>
                  <w:r>
                    <w:rPr>
                      <w:spacing w:val="-1"/>
                      <w:sz w:val="21"/>
                      <w:szCs w:val="21"/>
                    </w:rPr>
                    <w:t>预制混凝土管</w:t>
                  </w:r>
                </w:p>
              </w:tc>
              <w:tc>
                <w:tcPr>
                  <w:tcW w:w="1032" w:type="dxa"/>
                  <w:noWrap/>
                  <w:vAlign w:val="top"/>
                </w:tcPr>
                <w:p w14:paraId="2545A7C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z w:val="21"/>
                      <w:szCs w:val="21"/>
                    </w:rPr>
                    <w:t>m</w:t>
                  </w:r>
                </w:p>
              </w:tc>
              <w:tc>
                <w:tcPr>
                  <w:tcW w:w="1204" w:type="dxa"/>
                  <w:noWrap/>
                  <w:vAlign w:val="top"/>
                </w:tcPr>
                <w:p w14:paraId="7464F01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3"/>
                      <w:sz w:val="21"/>
                      <w:szCs w:val="21"/>
                    </w:rPr>
                    <w:t>344</w:t>
                  </w:r>
                </w:p>
              </w:tc>
              <w:tc>
                <w:tcPr>
                  <w:tcW w:w="519" w:type="pct"/>
                  <w:noWrap/>
                  <w:vAlign w:val="center"/>
                </w:tcPr>
                <w:p w14:paraId="16281199">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bl>
          <w:p w14:paraId="42895D5C">
            <w:pPr>
              <w:pStyle w:val="31"/>
              <w:bidi w:val="0"/>
              <w:rPr>
                <w:color w:val="auto"/>
              </w:rPr>
            </w:pPr>
            <w:r>
              <w:rPr>
                <w:rFonts w:hint="eastAsia"/>
                <w:color w:val="auto"/>
              </w:rPr>
              <w:t>表</w:t>
            </w:r>
            <w:r>
              <w:rPr>
                <w:rFonts w:hint="eastAsia"/>
                <w:color w:val="auto"/>
                <w:lang w:val="en-US" w:eastAsia="zh-CN"/>
              </w:rPr>
              <w:t>2-6  勐稳段（</w:t>
            </w:r>
            <w:r>
              <w:rPr>
                <w:rFonts w:ascii="Times New Roman" w:hAnsi="Times New Roman" w:eastAsia="Times New Roman" w:cs="Times New Roman"/>
                <w:spacing w:val="-1"/>
                <w:sz w:val="18"/>
                <w:szCs w:val="18"/>
              </w:rPr>
              <w:t>K14+275~K20+200</w:t>
            </w:r>
            <w:r>
              <w:rPr>
                <w:rFonts w:hint="eastAsia" w:ascii="Times New Roman" w:hAnsi="Times New Roman" w:eastAsia="宋体" w:cs="Times New Roman"/>
                <w:spacing w:val="-1"/>
                <w:sz w:val="18"/>
                <w:szCs w:val="18"/>
                <w:lang w:eastAsia="zh-CN"/>
              </w:rPr>
              <w:t>，</w:t>
            </w:r>
            <w:r>
              <w:rPr>
                <w:rFonts w:hint="eastAsia" w:ascii="Times New Roman" w:hAnsi="Times New Roman" w:eastAsia="宋体" w:cs="Times New Roman"/>
                <w:spacing w:val="-1"/>
                <w:sz w:val="18"/>
                <w:szCs w:val="18"/>
                <w:lang w:val="en-US" w:eastAsia="zh-CN"/>
              </w:rPr>
              <w:t>5.92km</w:t>
            </w:r>
            <w:r>
              <w:rPr>
                <w:rFonts w:hint="eastAsia"/>
                <w:color w:val="auto"/>
                <w:lang w:val="en-US" w:eastAsia="zh-CN"/>
              </w:rPr>
              <w:t>）</w:t>
            </w:r>
            <w:r>
              <w:rPr>
                <w:rFonts w:hint="eastAsia"/>
                <w:color w:val="auto"/>
              </w:rPr>
              <w:t>治理工程量</w:t>
            </w:r>
          </w:p>
          <w:tbl>
            <w:tblPr>
              <w:tblStyle w:val="22"/>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02"/>
              <w:gridCol w:w="3850"/>
              <w:gridCol w:w="1032"/>
              <w:gridCol w:w="1204"/>
              <w:gridCol w:w="799"/>
            </w:tblGrid>
            <w:tr w14:paraId="420869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2FE94D25">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b/>
                      <w:bCs/>
                      <w:color w:val="auto"/>
                      <w:sz w:val="21"/>
                      <w:szCs w:val="21"/>
                    </w:rPr>
                  </w:pPr>
                  <w:r>
                    <w:rPr>
                      <w:b/>
                      <w:bCs/>
                      <w:color w:val="auto"/>
                      <w:sz w:val="21"/>
                      <w:szCs w:val="21"/>
                    </w:rPr>
                    <w:t>序号</w:t>
                  </w:r>
                </w:p>
              </w:tc>
              <w:tc>
                <w:tcPr>
                  <w:tcW w:w="2504" w:type="pct"/>
                  <w:noWrap/>
                  <w:vAlign w:val="center"/>
                </w:tcPr>
                <w:p w14:paraId="4D8AF01C">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b/>
                      <w:bCs/>
                      <w:color w:val="auto"/>
                      <w:sz w:val="21"/>
                      <w:szCs w:val="21"/>
                    </w:rPr>
                  </w:pPr>
                  <w:r>
                    <w:rPr>
                      <w:b/>
                      <w:bCs/>
                      <w:color w:val="auto"/>
                      <w:sz w:val="21"/>
                      <w:szCs w:val="21"/>
                    </w:rPr>
                    <w:t>项目</w:t>
                  </w:r>
                </w:p>
              </w:tc>
              <w:tc>
                <w:tcPr>
                  <w:tcW w:w="671" w:type="pct"/>
                  <w:noWrap/>
                  <w:vAlign w:val="center"/>
                </w:tcPr>
                <w:p w14:paraId="628F0200">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b/>
                      <w:bCs/>
                      <w:color w:val="auto"/>
                      <w:sz w:val="21"/>
                      <w:szCs w:val="21"/>
                    </w:rPr>
                  </w:pPr>
                  <w:r>
                    <w:rPr>
                      <w:b/>
                      <w:bCs/>
                      <w:color w:val="auto"/>
                      <w:sz w:val="21"/>
                      <w:szCs w:val="21"/>
                    </w:rPr>
                    <w:t>单位</w:t>
                  </w:r>
                </w:p>
              </w:tc>
              <w:tc>
                <w:tcPr>
                  <w:tcW w:w="783" w:type="pct"/>
                  <w:noWrap/>
                  <w:vAlign w:val="center"/>
                </w:tcPr>
                <w:p w14:paraId="202D8C0F">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b/>
                      <w:bCs/>
                      <w:color w:val="auto"/>
                      <w:sz w:val="21"/>
                      <w:szCs w:val="21"/>
                    </w:rPr>
                  </w:pPr>
                  <w:r>
                    <w:rPr>
                      <w:b/>
                      <w:bCs/>
                      <w:color w:val="auto"/>
                      <w:sz w:val="21"/>
                      <w:szCs w:val="21"/>
                    </w:rPr>
                    <w:t>工程量</w:t>
                  </w:r>
                </w:p>
              </w:tc>
              <w:tc>
                <w:tcPr>
                  <w:tcW w:w="519" w:type="pct"/>
                  <w:noWrap w:val="0"/>
                  <w:vAlign w:val="center"/>
                </w:tcPr>
                <w:p w14:paraId="03150922">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b/>
                      <w:bCs/>
                      <w:color w:val="auto"/>
                      <w:sz w:val="21"/>
                      <w:szCs w:val="21"/>
                    </w:rPr>
                  </w:pPr>
                  <w:r>
                    <w:rPr>
                      <w:b/>
                      <w:bCs/>
                      <w:color w:val="auto"/>
                      <w:sz w:val="21"/>
                      <w:szCs w:val="21"/>
                    </w:rPr>
                    <w:t>备注</w:t>
                  </w:r>
                </w:p>
              </w:tc>
            </w:tr>
            <w:tr w14:paraId="08C317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08E7D050">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color w:val="auto"/>
                      <w:sz w:val="21"/>
                      <w:szCs w:val="21"/>
                    </w:rPr>
                    <w:t>一</w:t>
                  </w:r>
                </w:p>
              </w:tc>
              <w:tc>
                <w:tcPr>
                  <w:tcW w:w="3850" w:type="dxa"/>
                  <w:noWrap/>
                  <w:vAlign w:val="center"/>
                </w:tcPr>
                <w:p w14:paraId="5B508994">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宋体"/>
                      <w:color w:val="auto"/>
                      <w:sz w:val="21"/>
                      <w:szCs w:val="21"/>
                      <w:lang w:eastAsia="zh-CN"/>
                    </w:rPr>
                  </w:pPr>
                  <w:r>
                    <w:rPr>
                      <w:spacing w:val="-1"/>
                      <w:sz w:val="21"/>
                      <w:szCs w:val="21"/>
                    </w:rPr>
                    <w:t>钢筋石笼护岸</w:t>
                  </w:r>
                </w:p>
              </w:tc>
              <w:tc>
                <w:tcPr>
                  <w:tcW w:w="1032" w:type="dxa"/>
                  <w:noWrap/>
                  <w:vAlign w:val="center"/>
                </w:tcPr>
                <w:p w14:paraId="43ED5BB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c>
                <w:tcPr>
                  <w:tcW w:w="1204" w:type="dxa"/>
                  <w:noWrap/>
                  <w:vAlign w:val="center"/>
                </w:tcPr>
                <w:p w14:paraId="4216925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c>
                <w:tcPr>
                  <w:tcW w:w="519" w:type="pct"/>
                  <w:noWrap/>
                  <w:vAlign w:val="center"/>
                </w:tcPr>
                <w:p w14:paraId="5DA5B5EA">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4B47BB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5E2959CB">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rFonts w:hint="eastAsia"/>
                      <w:color w:val="auto"/>
                      <w:sz w:val="21"/>
                      <w:szCs w:val="21"/>
                    </w:rPr>
                    <w:t>1</w:t>
                  </w:r>
                </w:p>
              </w:tc>
              <w:tc>
                <w:tcPr>
                  <w:tcW w:w="3850" w:type="dxa"/>
                  <w:noWrap/>
                  <w:vAlign w:val="center"/>
                </w:tcPr>
                <w:p w14:paraId="691739E7">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pacing w:val="-2"/>
                      <w:sz w:val="21"/>
                      <w:szCs w:val="21"/>
                    </w:rPr>
                    <w:t>土方开挖</w:t>
                  </w:r>
                </w:p>
              </w:tc>
              <w:tc>
                <w:tcPr>
                  <w:tcW w:w="1032" w:type="dxa"/>
                  <w:noWrap/>
                  <w:vAlign w:val="center"/>
                </w:tcPr>
                <w:p w14:paraId="637876A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z w:val="21"/>
                      <w:szCs w:val="21"/>
                    </w:rPr>
                    <w:t>m³</w:t>
                  </w:r>
                </w:p>
              </w:tc>
              <w:tc>
                <w:tcPr>
                  <w:tcW w:w="1204" w:type="dxa"/>
                  <w:noWrap/>
                  <w:vAlign w:val="center"/>
                </w:tcPr>
                <w:p w14:paraId="7049119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2"/>
                      <w:sz w:val="21"/>
                      <w:szCs w:val="21"/>
                    </w:rPr>
                    <w:t>69242</w:t>
                  </w:r>
                </w:p>
              </w:tc>
              <w:tc>
                <w:tcPr>
                  <w:tcW w:w="519" w:type="pct"/>
                  <w:noWrap/>
                  <w:vAlign w:val="center"/>
                </w:tcPr>
                <w:p w14:paraId="5D356CF6">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5F3EBA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14A59426">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rFonts w:hint="eastAsia"/>
                      <w:color w:val="auto"/>
                      <w:sz w:val="21"/>
                      <w:szCs w:val="21"/>
                    </w:rPr>
                    <w:t>2</w:t>
                  </w:r>
                </w:p>
              </w:tc>
              <w:tc>
                <w:tcPr>
                  <w:tcW w:w="3850" w:type="dxa"/>
                  <w:noWrap/>
                  <w:vAlign w:val="center"/>
                </w:tcPr>
                <w:p w14:paraId="77798394">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pacing w:val="-2"/>
                      <w:sz w:val="21"/>
                      <w:szCs w:val="21"/>
                    </w:rPr>
                    <w:t>土方回填</w:t>
                  </w:r>
                </w:p>
              </w:tc>
              <w:tc>
                <w:tcPr>
                  <w:tcW w:w="1032" w:type="dxa"/>
                  <w:noWrap/>
                  <w:vAlign w:val="center"/>
                </w:tcPr>
                <w:p w14:paraId="22CCFCA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z w:val="21"/>
                      <w:szCs w:val="21"/>
                    </w:rPr>
                    <w:t>m³</w:t>
                  </w:r>
                </w:p>
              </w:tc>
              <w:tc>
                <w:tcPr>
                  <w:tcW w:w="1204" w:type="dxa"/>
                  <w:noWrap/>
                  <w:vAlign w:val="center"/>
                </w:tcPr>
                <w:p w14:paraId="65B3248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1"/>
                      <w:sz w:val="21"/>
                      <w:szCs w:val="21"/>
                    </w:rPr>
                    <w:t>24403</w:t>
                  </w:r>
                </w:p>
              </w:tc>
              <w:tc>
                <w:tcPr>
                  <w:tcW w:w="519" w:type="pct"/>
                  <w:noWrap/>
                  <w:vAlign w:val="center"/>
                </w:tcPr>
                <w:p w14:paraId="7095C686">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2EC55A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7777D052">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rFonts w:hint="eastAsia"/>
                      <w:color w:val="auto"/>
                      <w:sz w:val="21"/>
                      <w:szCs w:val="21"/>
                    </w:rPr>
                    <w:t>3</w:t>
                  </w:r>
                </w:p>
              </w:tc>
              <w:tc>
                <w:tcPr>
                  <w:tcW w:w="3850" w:type="dxa"/>
                  <w:noWrap/>
                  <w:vAlign w:val="center"/>
                </w:tcPr>
                <w:p w14:paraId="09E233BB">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pacing w:val="-2"/>
                      <w:sz w:val="21"/>
                      <w:szCs w:val="21"/>
                    </w:rPr>
                    <w:t>土方堤后摊平</w:t>
                  </w:r>
                </w:p>
              </w:tc>
              <w:tc>
                <w:tcPr>
                  <w:tcW w:w="1032" w:type="dxa"/>
                  <w:noWrap/>
                  <w:vAlign w:val="center"/>
                </w:tcPr>
                <w:p w14:paraId="39E110B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z w:val="21"/>
                      <w:szCs w:val="21"/>
                    </w:rPr>
                    <w:t>m³</w:t>
                  </w:r>
                </w:p>
              </w:tc>
              <w:tc>
                <w:tcPr>
                  <w:tcW w:w="1204" w:type="dxa"/>
                  <w:noWrap/>
                  <w:vAlign w:val="center"/>
                </w:tcPr>
                <w:p w14:paraId="4A2B665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宋体"/>
                      <w:color w:val="auto"/>
                      <w:sz w:val="21"/>
                      <w:szCs w:val="21"/>
                      <w:lang w:eastAsia="zh-CN"/>
                    </w:rPr>
                  </w:pPr>
                  <w:r>
                    <w:rPr>
                      <w:rFonts w:ascii="Times New Roman" w:hAnsi="Times New Roman" w:eastAsia="Times New Roman" w:cs="Times New Roman"/>
                      <w:spacing w:val="-1"/>
                      <w:sz w:val="21"/>
                      <w:szCs w:val="21"/>
                    </w:rPr>
                    <w:t>40449</w:t>
                  </w:r>
                </w:p>
              </w:tc>
              <w:tc>
                <w:tcPr>
                  <w:tcW w:w="519" w:type="pct"/>
                  <w:noWrap/>
                  <w:vAlign w:val="center"/>
                </w:tcPr>
                <w:p w14:paraId="23489C62">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3FBDA2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5F33C088">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rFonts w:hint="eastAsia"/>
                      <w:color w:val="auto"/>
                      <w:sz w:val="21"/>
                      <w:szCs w:val="21"/>
                    </w:rPr>
                    <w:t>4</w:t>
                  </w:r>
                </w:p>
              </w:tc>
              <w:tc>
                <w:tcPr>
                  <w:tcW w:w="3850" w:type="dxa"/>
                  <w:noWrap/>
                  <w:vAlign w:val="center"/>
                </w:tcPr>
                <w:p w14:paraId="79F0A085">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pacing w:val="-2"/>
                      <w:sz w:val="21"/>
                      <w:szCs w:val="21"/>
                    </w:rPr>
                    <w:t>钢筋石笼</w:t>
                  </w:r>
                </w:p>
              </w:tc>
              <w:tc>
                <w:tcPr>
                  <w:tcW w:w="1032" w:type="dxa"/>
                  <w:noWrap/>
                  <w:vAlign w:val="center"/>
                </w:tcPr>
                <w:p w14:paraId="11F4A50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z w:val="21"/>
                      <w:szCs w:val="21"/>
                    </w:rPr>
                    <w:t>m³</w:t>
                  </w:r>
                </w:p>
              </w:tc>
              <w:tc>
                <w:tcPr>
                  <w:tcW w:w="1204" w:type="dxa"/>
                  <w:noWrap/>
                  <w:vAlign w:val="center"/>
                </w:tcPr>
                <w:p w14:paraId="362FCE7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宋体"/>
                      <w:color w:val="auto"/>
                      <w:sz w:val="21"/>
                      <w:szCs w:val="21"/>
                      <w:lang w:eastAsia="zh-CN"/>
                    </w:rPr>
                  </w:pPr>
                  <w:r>
                    <w:rPr>
                      <w:rFonts w:ascii="Times New Roman" w:hAnsi="Times New Roman" w:eastAsia="Times New Roman" w:cs="Times New Roman"/>
                      <w:spacing w:val="-2"/>
                      <w:sz w:val="21"/>
                      <w:szCs w:val="21"/>
                    </w:rPr>
                    <w:t>34529</w:t>
                  </w:r>
                </w:p>
              </w:tc>
              <w:tc>
                <w:tcPr>
                  <w:tcW w:w="519" w:type="pct"/>
                  <w:noWrap/>
                  <w:vAlign w:val="center"/>
                </w:tcPr>
                <w:p w14:paraId="7C607A04">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2534C8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7523FA5C">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rFonts w:hint="eastAsia"/>
                      <w:color w:val="auto"/>
                      <w:sz w:val="21"/>
                      <w:szCs w:val="21"/>
                    </w:rPr>
                    <w:t>5</w:t>
                  </w:r>
                </w:p>
              </w:tc>
              <w:tc>
                <w:tcPr>
                  <w:tcW w:w="3850" w:type="dxa"/>
                  <w:noWrap/>
                  <w:vAlign w:val="center"/>
                </w:tcPr>
                <w:p w14:paraId="01D40D0D">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pacing w:val="-1"/>
                      <w:sz w:val="21"/>
                      <w:szCs w:val="21"/>
                    </w:rPr>
                    <w:t>橘子树（小苗）</w:t>
                  </w:r>
                </w:p>
              </w:tc>
              <w:tc>
                <w:tcPr>
                  <w:tcW w:w="1032" w:type="dxa"/>
                  <w:noWrap/>
                  <w:vAlign w:val="center"/>
                </w:tcPr>
                <w:p w14:paraId="12AAEEB5">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z w:val="21"/>
                      <w:szCs w:val="21"/>
                    </w:rPr>
                    <w:t>棵</w:t>
                  </w:r>
                </w:p>
              </w:tc>
              <w:tc>
                <w:tcPr>
                  <w:tcW w:w="1204" w:type="dxa"/>
                  <w:noWrap/>
                  <w:vAlign w:val="center"/>
                </w:tcPr>
                <w:p w14:paraId="7F24629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5"/>
                      <w:sz w:val="21"/>
                      <w:szCs w:val="21"/>
                    </w:rPr>
                    <w:t>1584</w:t>
                  </w:r>
                </w:p>
              </w:tc>
              <w:tc>
                <w:tcPr>
                  <w:tcW w:w="519" w:type="pct"/>
                  <w:noWrap/>
                  <w:vAlign w:val="center"/>
                </w:tcPr>
                <w:p w14:paraId="6908082C">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06E1E5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035F37C5">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eastAsia="宋体"/>
                      <w:color w:val="auto"/>
                      <w:sz w:val="21"/>
                      <w:szCs w:val="21"/>
                      <w:lang w:eastAsia="zh-CN"/>
                    </w:rPr>
                  </w:pPr>
                  <w:r>
                    <w:rPr>
                      <w:rFonts w:hint="eastAsia"/>
                      <w:color w:val="auto"/>
                      <w:sz w:val="21"/>
                      <w:szCs w:val="21"/>
                      <w:lang w:eastAsia="zh-CN"/>
                    </w:rPr>
                    <w:t>二</w:t>
                  </w:r>
                </w:p>
              </w:tc>
              <w:tc>
                <w:tcPr>
                  <w:tcW w:w="3850" w:type="dxa"/>
                  <w:noWrap/>
                  <w:vAlign w:val="center"/>
                </w:tcPr>
                <w:p w14:paraId="5504727F">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宋体"/>
                      <w:color w:val="auto"/>
                      <w:sz w:val="21"/>
                      <w:szCs w:val="21"/>
                      <w:lang w:eastAsia="zh-CN"/>
                    </w:rPr>
                  </w:pPr>
                  <w:r>
                    <w:rPr>
                      <w:spacing w:val="-2"/>
                      <w:sz w:val="21"/>
                      <w:szCs w:val="21"/>
                    </w:rPr>
                    <w:t>建筑物工程</w:t>
                  </w:r>
                </w:p>
              </w:tc>
              <w:tc>
                <w:tcPr>
                  <w:tcW w:w="1032" w:type="dxa"/>
                  <w:noWrap/>
                  <w:vAlign w:val="center"/>
                </w:tcPr>
                <w:p w14:paraId="5D0DDA6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c>
                <w:tcPr>
                  <w:tcW w:w="1204" w:type="dxa"/>
                  <w:noWrap/>
                  <w:vAlign w:val="center"/>
                </w:tcPr>
                <w:p w14:paraId="41DCE3D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c>
                <w:tcPr>
                  <w:tcW w:w="519" w:type="pct"/>
                  <w:noWrap/>
                  <w:vAlign w:val="center"/>
                </w:tcPr>
                <w:p w14:paraId="16626D25">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1D85F7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46704C2E">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eastAsia="宋体"/>
                      <w:color w:val="auto"/>
                      <w:sz w:val="21"/>
                      <w:szCs w:val="21"/>
                      <w:lang w:eastAsia="zh-CN"/>
                    </w:rPr>
                  </w:pPr>
                  <w:r>
                    <w:rPr>
                      <w:rFonts w:hint="eastAsia"/>
                      <w:color w:val="auto"/>
                      <w:sz w:val="21"/>
                      <w:szCs w:val="21"/>
                      <w:lang w:val="en-US" w:eastAsia="zh-CN"/>
                    </w:rPr>
                    <w:t>1</w:t>
                  </w:r>
                </w:p>
              </w:tc>
              <w:tc>
                <w:tcPr>
                  <w:tcW w:w="3850" w:type="dxa"/>
                  <w:noWrap/>
                  <w:vAlign w:val="center"/>
                </w:tcPr>
                <w:p w14:paraId="1EE5C1F1">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pacing w:val="-1"/>
                      <w:sz w:val="21"/>
                      <w:szCs w:val="21"/>
                    </w:rPr>
                    <w:t>排涝涵管</w:t>
                  </w:r>
                  <w:r>
                    <w:rPr>
                      <w:spacing w:val="-36"/>
                      <w:sz w:val="21"/>
                      <w:szCs w:val="21"/>
                    </w:rPr>
                    <w:t xml:space="preserve"> </w:t>
                  </w:r>
                  <w:r>
                    <w:rPr>
                      <w:rFonts w:ascii="Times New Roman" w:hAnsi="Times New Roman" w:eastAsia="Times New Roman" w:cs="Times New Roman"/>
                      <w:spacing w:val="-1"/>
                      <w:sz w:val="21"/>
                      <w:szCs w:val="21"/>
                    </w:rPr>
                    <w:t xml:space="preserve">21 </w:t>
                  </w:r>
                  <w:r>
                    <w:rPr>
                      <w:spacing w:val="-1"/>
                      <w:sz w:val="21"/>
                      <w:szCs w:val="21"/>
                    </w:rPr>
                    <w:t>处</w:t>
                  </w:r>
                </w:p>
              </w:tc>
              <w:tc>
                <w:tcPr>
                  <w:tcW w:w="1032" w:type="dxa"/>
                  <w:noWrap/>
                  <w:vAlign w:val="center"/>
                </w:tcPr>
                <w:p w14:paraId="22ED92CD">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eastAsia="宋体"/>
                      <w:color w:val="auto"/>
                      <w:sz w:val="21"/>
                      <w:szCs w:val="21"/>
                      <w:lang w:val="en-US" w:eastAsia="zh-CN"/>
                    </w:rPr>
                  </w:pPr>
                </w:p>
              </w:tc>
              <w:tc>
                <w:tcPr>
                  <w:tcW w:w="1204" w:type="dxa"/>
                  <w:noWrap/>
                  <w:vAlign w:val="center"/>
                </w:tcPr>
                <w:p w14:paraId="0F1D659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eastAsia="宋体"/>
                      <w:color w:val="auto"/>
                      <w:sz w:val="21"/>
                      <w:szCs w:val="21"/>
                      <w:lang w:eastAsia="zh-CN"/>
                    </w:rPr>
                  </w:pPr>
                </w:p>
              </w:tc>
              <w:tc>
                <w:tcPr>
                  <w:tcW w:w="519" w:type="pct"/>
                  <w:noWrap/>
                  <w:vAlign w:val="center"/>
                </w:tcPr>
                <w:p w14:paraId="3C50FEC4">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2AB067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0610862B">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eastAsia="宋体"/>
                      <w:color w:val="auto"/>
                      <w:sz w:val="21"/>
                      <w:szCs w:val="21"/>
                      <w:lang w:eastAsia="zh-CN"/>
                    </w:rPr>
                  </w:pPr>
                  <w:r>
                    <w:rPr>
                      <w:rFonts w:hint="eastAsia"/>
                      <w:color w:val="auto"/>
                      <w:sz w:val="21"/>
                      <w:szCs w:val="21"/>
                      <w:lang w:val="en-US" w:eastAsia="zh-CN"/>
                    </w:rPr>
                    <w:t>2</w:t>
                  </w:r>
                </w:p>
              </w:tc>
              <w:tc>
                <w:tcPr>
                  <w:tcW w:w="3850" w:type="dxa"/>
                  <w:noWrap/>
                  <w:vAlign w:val="center"/>
                </w:tcPr>
                <w:p w14:paraId="087C425B">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pacing w:val="-2"/>
                      <w:sz w:val="21"/>
                      <w:szCs w:val="21"/>
                    </w:rPr>
                    <w:t>土方开挖</w:t>
                  </w:r>
                </w:p>
              </w:tc>
              <w:tc>
                <w:tcPr>
                  <w:tcW w:w="1032" w:type="dxa"/>
                  <w:noWrap/>
                  <w:vAlign w:val="center"/>
                </w:tcPr>
                <w:p w14:paraId="3A8B48B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z w:val="21"/>
                      <w:szCs w:val="21"/>
                    </w:rPr>
                    <w:t>m³</w:t>
                  </w:r>
                </w:p>
              </w:tc>
              <w:tc>
                <w:tcPr>
                  <w:tcW w:w="1204" w:type="dxa"/>
                  <w:noWrap/>
                  <w:vAlign w:val="center"/>
                </w:tcPr>
                <w:p w14:paraId="7972367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4"/>
                      <w:sz w:val="21"/>
                      <w:szCs w:val="21"/>
                    </w:rPr>
                    <w:t>882</w:t>
                  </w:r>
                </w:p>
              </w:tc>
              <w:tc>
                <w:tcPr>
                  <w:tcW w:w="519" w:type="pct"/>
                  <w:noWrap/>
                  <w:vAlign w:val="center"/>
                </w:tcPr>
                <w:p w14:paraId="0DD2E082">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7DEEE8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39DEE3F6">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eastAsia="宋体"/>
                      <w:color w:val="auto"/>
                      <w:sz w:val="21"/>
                      <w:szCs w:val="21"/>
                      <w:lang w:eastAsia="zh-CN"/>
                    </w:rPr>
                  </w:pPr>
                  <w:r>
                    <w:rPr>
                      <w:rFonts w:hint="eastAsia"/>
                      <w:color w:val="auto"/>
                      <w:sz w:val="21"/>
                      <w:szCs w:val="21"/>
                      <w:lang w:val="en-US" w:eastAsia="zh-CN"/>
                    </w:rPr>
                    <w:t>3</w:t>
                  </w:r>
                </w:p>
              </w:tc>
              <w:tc>
                <w:tcPr>
                  <w:tcW w:w="3850" w:type="dxa"/>
                  <w:noWrap/>
                  <w:vAlign w:val="center"/>
                </w:tcPr>
                <w:p w14:paraId="6F421B32">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pacing w:val="-2"/>
                      <w:sz w:val="21"/>
                      <w:szCs w:val="21"/>
                    </w:rPr>
                    <w:t>土方回填</w:t>
                  </w:r>
                </w:p>
              </w:tc>
              <w:tc>
                <w:tcPr>
                  <w:tcW w:w="1032" w:type="dxa"/>
                  <w:noWrap/>
                  <w:vAlign w:val="center"/>
                </w:tcPr>
                <w:p w14:paraId="656989D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z w:val="21"/>
                      <w:szCs w:val="21"/>
                    </w:rPr>
                    <w:t>m³</w:t>
                  </w:r>
                </w:p>
              </w:tc>
              <w:tc>
                <w:tcPr>
                  <w:tcW w:w="1204" w:type="dxa"/>
                  <w:noWrap/>
                  <w:vAlign w:val="center"/>
                </w:tcPr>
                <w:p w14:paraId="117977E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2"/>
                      <w:sz w:val="21"/>
                      <w:szCs w:val="21"/>
                    </w:rPr>
                    <w:t>750</w:t>
                  </w:r>
                </w:p>
              </w:tc>
              <w:tc>
                <w:tcPr>
                  <w:tcW w:w="519" w:type="pct"/>
                  <w:noWrap/>
                  <w:vAlign w:val="center"/>
                </w:tcPr>
                <w:p w14:paraId="1A092ED4">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5B7D16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33BDD060">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eastAsia="宋体"/>
                      <w:color w:val="auto"/>
                      <w:sz w:val="21"/>
                      <w:szCs w:val="21"/>
                      <w:lang w:eastAsia="zh-CN"/>
                    </w:rPr>
                  </w:pPr>
                  <w:r>
                    <w:rPr>
                      <w:rFonts w:hint="eastAsia"/>
                      <w:color w:val="auto"/>
                      <w:sz w:val="21"/>
                      <w:szCs w:val="21"/>
                      <w:lang w:val="en-US" w:eastAsia="zh-CN"/>
                    </w:rPr>
                    <w:t>4</w:t>
                  </w:r>
                </w:p>
              </w:tc>
              <w:tc>
                <w:tcPr>
                  <w:tcW w:w="3850" w:type="dxa"/>
                  <w:noWrap/>
                  <w:vAlign w:val="center"/>
                </w:tcPr>
                <w:p w14:paraId="59BF6B6A">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1"/>
                      <w:sz w:val="21"/>
                      <w:szCs w:val="21"/>
                    </w:rPr>
                    <w:t xml:space="preserve">M7.5 </w:t>
                  </w:r>
                  <w:r>
                    <w:rPr>
                      <w:spacing w:val="-1"/>
                      <w:sz w:val="21"/>
                      <w:szCs w:val="21"/>
                    </w:rPr>
                    <w:t>浆砌石</w:t>
                  </w:r>
                </w:p>
              </w:tc>
              <w:tc>
                <w:tcPr>
                  <w:tcW w:w="1032" w:type="dxa"/>
                  <w:noWrap/>
                  <w:vAlign w:val="center"/>
                </w:tcPr>
                <w:p w14:paraId="1D37908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z w:val="21"/>
                      <w:szCs w:val="21"/>
                    </w:rPr>
                    <w:t>m³</w:t>
                  </w:r>
                </w:p>
              </w:tc>
              <w:tc>
                <w:tcPr>
                  <w:tcW w:w="1204" w:type="dxa"/>
                  <w:noWrap/>
                  <w:vAlign w:val="center"/>
                </w:tcPr>
                <w:p w14:paraId="4609C91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2"/>
                      <w:sz w:val="21"/>
                      <w:szCs w:val="21"/>
                    </w:rPr>
                    <w:t>750</w:t>
                  </w:r>
                </w:p>
              </w:tc>
              <w:tc>
                <w:tcPr>
                  <w:tcW w:w="519" w:type="pct"/>
                  <w:noWrap/>
                  <w:vAlign w:val="center"/>
                </w:tcPr>
                <w:p w14:paraId="05D3ACCF">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341C4F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439A6558">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eastAsia="宋体"/>
                      <w:color w:val="auto"/>
                      <w:sz w:val="21"/>
                      <w:szCs w:val="21"/>
                      <w:lang w:eastAsia="zh-CN"/>
                    </w:rPr>
                  </w:pPr>
                  <w:r>
                    <w:rPr>
                      <w:rFonts w:hint="eastAsia"/>
                      <w:color w:val="auto"/>
                      <w:sz w:val="21"/>
                      <w:szCs w:val="21"/>
                      <w:lang w:val="en-US" w:eastAsia="zh-CN"/>
                    </w:rPr>
                    <w:t>5</w:t>
                  </w:r>
                </w:p>
              </w:tc>
              <w:tc>
                <w:tcPr>
                  <w:tcW w:w="3850" w:type="dxa"/>
                  <w:noWrap/>
                  <w:vAlign w:val="center"/>
                </w:tcPr>
                <w:p w14:paraId="285269F9">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1"/>
                      <w:sz w:val="21"/>
                      <w:szCs w:val="21"/>
                    </w:rPr>
                    <w:t xml:space="preserve">φ600 </w:t>
                  </w:r>
                  <w:r>
                    <w:rPr>
                      <w:spacing w:val="-1"/>
                      <w:sz w:val="21"/>
                      <w:szCs w:val="21"/>
                    </w:rPr>
                    <w:t>预制混凝土管</w:t>
                  </w:r>
                </w:p>
              </w:tc>
              <w:tc>
                <w:tcPr>
                  <w:tcW w:w="1032" w:type="dxa"/>
                  <w:noWrap/>
                  <w:vAlign w:val="center"/>
                </w:tcPr>
                <w:p w14:paraId="3D75AFD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z w:val="21"/>
                      <w:szCs w:val="21"/>
                    </w:rPr>
                    <w:t>m</w:t>
                  </w:r>
                </w:p>
              </w:tc>
              <w:tc>
                <w:tcPr>
                  <w:tcW w:w="1204" w:type="dxa"/>
                  <w:noWrap/>
                  <w:vAlign w:val="center"/>
                </w:tcPr>
                <w:p w14:paraId="67160B4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1"/>
                      <w:sz w:val="21"/>
                      <w:szCs w:val="21"/>
                    </w:rPr>
                    <w:t>264</w:t>
                  </w:r>
                </w:p>
              </w:tc>
              <w:tc>
                <w:tcPr>
                  <w:tcW w:w="519" w:type="pct"/>
                  <w:noWrap/>
                  <w:vAlign w:val="center"/>
                </w:tcPr>
                <w:p w14:paraId="60D60693">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bl>
          <w:p w14:paraId="6AE6663F">
            <w:pPr>
              <w:pStyle w:val="31"/>
              <w:bidi w:val="0"/>
              <w:rPr>
                <w:color w:val="auto"/>
              </w:rPr>
            </w:pPr>
            <w:r>
              <w:rPr>
                <w:rFonts w:hint="eastAsia"/>
                <w:color w:val="auto"/>
              </w:rPr>
              <w:t>表</w:t>
            </w:r>
            <w:r>
              <w:rPr>
                <w:rFonts w:hint="eastAsia"/>
                <w:color w:val="auto"/>
                <w:lang w:val="en-US" w:eastAsia="zh-CN"/>
              </w:rPr>
              <w:t>2-7 干沟坪段（</w:t>
            </w:r>
            <w:r>
              <w:rPr>
                <w:rFonts w:hint="eastAsia" w:ascii="Times New Roman" w:hAnsi="Times New Roman" w:eastAsia="Times New Roman" w:cs="Times New Roman"/>
                <w:spacing w:val="-1"/>
                <w:sz w:val="18"/>
                <w:szCs w:val="18"/>
              </w:rPr>
              <w:t>K24+250~K29+460</w:t>
            </w:r>
            <w:r>
              <w:rPr>
                <w:rFonts w:hint="eastAsia" w:ascii="Times New Roman" w:hAnsi="Times New Roman" w:eastAsia="宋体" w:cs="Times New Roman"/>
                <w:spacing w:val="-1"/>
                <w:sz w:val="18"/>
                <w:szCs w:val="18"/>
                <w:lang w:eastAsia="zh-CN"/>
              </w:rPr>
              <w:t>，</w:t>
            </w:r>
            <w:r>
              <w:rPr>
                <w:rFonts w:hint="eastAsia" w:ascii="Times New Roman" w:hAnsi="Times New Roman" w:eastAsia="宋体" w:cs="Times New Roman"/>
                <w:spacing w:val="-1"/>
                <w:sz w:val="18"/>
                <w:szCs w:val="18"/>
                <w:lang w:val="en-US" w:eastAsia="zh-CN"/>
              </w:rPr>
              <w:t>5.21km</w:t>
            </w:r>
            <w:r>
              <w:rPr>
                <w:rFonts w:hint="eastAsia"/>
                <w:color w:val="auto"/>
                <w:lang w:val="en-US" w:eastAsia="zh-CN"/>
              </w:rPr>
              <w:t>）</w:t>
            </w:r>
            <w:r>
              <w:rPr>
                <w:rFonts w:hint="eastAsia"/>
                <w:color w:val="auto"/>
              </w:rPr>
              <w:t>治理工程量</w:t>
            </w:r>
          </w:p>
          <w:tbl>
            <w:tblPr>
              <w:tblStyle w:val="22"/>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02"/>
              <w:gridCol w:w="3850"/>
              <w:gridCol w:w="1032"/>
              <w:gridCol w:w="1204"/>
              <w:gridCol w:w="799"/>
            </w:tblGrid>
            <w:tr w14:paraId="39A133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442260A7">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b/>
                      <w:bCs/>
                      <w:color w:val="auto"/>
                      <w:sz w:val="21"/>
                      <w:szCs w:val="21"/>
                    </w:rPr>
                  </w:pPr>
                  <w:r>
                    <w:rPr>
                      <w:b/>
                      <w:bCs/>
                      <w:color w:val="auto"/>
                      <w:sz w:val="21"/>
                      <w:szCs w:val="21"/>
                    </w:rPr>
                    <w:t>序号</w:t>
                  </w:r>
                </w:p>
              </w:tc>
              <w:tc>
                <w:tcPr>
                  <w:tcW w:w="2504" w:type="pct"/>
                  <w:noWrap/>
                  <w:vAlign w:val="center"/>
                </w:tcPr>
                <w:p w14:paraId="0227383A">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b/>
                      <w:bCs/>
                      <w:color w:val="auto"/>
                      <w:sz w:val="21"/>
                      <w:szCs w:val="21"/>
                    </w:rPr>
                  </w:pPr>
                  <w:r>
                    <w:rPr>
                      <w:b/>
                      <w:bCs/>
                      <w:color w:val="auto"/>
                      <w:sz w:val="21"/>
                      <w:szCs w:val="21"/>
                    </w:rPr>
                    <w:t>项目</w:t>
                  </w:r>
                </w:p>
              </w:tc>
              <w:tc>
                <w:tcPr>
                  <w:tcW w:w="671" w:type="pct"/>
                  <w:noWrap/>
                  <w:vAlign w:val="center"/>
                </w:tcPr>
                <w:p w14:paraId="5F014F75">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b/>
                      <w:bCs/>
                      <w:color w:val="auto"/>
                      <w:sz w:val="21"/>
                      <w:szCs w:val="21"/>
                    </w:rPr>
                  </w:pPr>
                  <w:r>
                    <w:rPr>
                      <w:b/>
                      <w:bCs/>
                      <w:color w:val="auto"/>
                      <w:sz w:val="21"/>
                      <w:szCs w:val="21"/>
                    </w:rPr>
                    <w:t>单位</w:t>
                  </w:r>
                </w:p>
              </w:tc>
              <w:tc>
                <w:tcPr>
                  <w:tcW w:w="783" w:type="pct"/>
                  <w:noWrap/>
                  <w:vAlign w:val="center"/>
                </w:tcPr>
                <w:p w14:paraId="427C7D0E">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b/>
                      <w:bCs/>
                      <w:color w:val="auto"/>
                      <w:sz w:val="21"/>
                      <w:szCs w:val="21"/>
                    </w:rPr>
                  </w:pPr>
                  <w:r>
                    <w:rPr>
                      <w:b/>
                      <w:bCs/>
                      <w:color w:val="auto"/>
                      <w:sz w:val="21"/>
                      <w:szCs w:val="21"/>
                    </w:rPr>
                    <w:t>工程量</w:t>
                  </w:r>
                </w:p>
              </w:tc>
              <w:tc>
                <w:tcPr>
                  <w:tcW w:w="519" w:type="pct"/>
                  <w:noWrap w:val="0"/>
                  <w:vAlign w:val="center"/>
                </w:tcPr>
                <w:p w14:paraId="1D91A827">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b/>
                      <w:bCs/>
                      <w:color w:val="auto"/>
                      <w:sz w:val="21"/>
                      <w:szCs w:val="21"/>
                    </w:rPr>
                  </w:pPr>
                  <w:r>
                    <w:rPr>
                      <w:b/>
                      <w:bCs/>
                      <w:color w:val="auto"/>
                      <w:sz w:val="21"/>
                      <w:szCs w:val="21"/>
                    </w:rPr>
                    <w:t>备注</w:t>
                  </w:r>
                </w:p>
              </w:tc>
            </w:tr>
            <w:tr w14:paraId="5C4A69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00A743BE">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color w:val="auto"/>
                      <w:sz w:val="21"/>
                      <w:szCs w:val="21"/>
                    </w:rPr>
                    <w:t>一</w:t>
                  </w:r>
                </w:p>
              </w:tc>
              <w:tc>
                <w:tcPr>
                  <w:tcW w:w="3850" w:type="dxa"/>
                  <w:noWrap/>
                  <w:vAlign w:val="center"/>
                </w:tcPr>
                <w:p w14:paraId="0AAEBD7C">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宋体"/>
                      <w:color w:val="auto"/>
                      <w:sz w:val="21"/>
                      <w:szCs w:val="21"/>
                      <w:lang w:eastAsia="zh-CN"/>
                    </w:rPr>
                  </w:pPr>
                  <w:r>
                    <w:rPr>
                      <w:spacing w:val="-1"/>
                      <w:sz w:val="21"/>
                      <w:szCs w:val="21"/>
                    </w:rPr>
                    <w:t>钢筋石笼护岸</w:t>
                  </w:r>
                </w:p>
              </w:tc>
              <w:tc>
                <w:tcPr>
                  <w:tcW w:w="1032" w:type="dxa"/>
                  <w:noWrap/>
                  <w:vAlign w:val="center"/>
                </w:tcPr>
                <w:p w14:paraId="2588CAA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c>
                <w:tcPr>
                  <w:tcW w:w="1204" w:type="dxa"/>
                  <w:noWrap/>
                  <w:vAlign w:val="center"/>
                </w:tcPr>
                <w:p w14:paraId="5C718DC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c>
                <w:tcPr>
                  <w:tcW w:w="519" w:type="pct"/>
                  <w:noWrap/>
                  <w:vAlign w:val="center"/>
                </w:tcPr>
                <w:p w14:paraId="2D9681D4">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1157D1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7CE00C59">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rFonts w:hint="eastAsia"/>
                      <w:color w:val="auto"/>
                      <w:sz w:val="21"/>
                      <w:szCs w:val="21"/>
                    </w:rPr>
                    <w:t>1</w:t>
                  </w:r>
                </w:p>
              </w:tc>
              <w:tc>
                <w:tcPr>
                  <w:tcW w:w="3850" w:type="dxa"/>
                  <w:noWrap/>
                  <w:vAlign w:val="center"/>
                </w:tcPr>
                <w:p w14:paraId="0D8FFAA1">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pacing w:val="-2"/>
                      <w:sz w:val="21"/>
                      <w:szCs w:val="21"/>
                    </w:rPr>
                    <w:t>土方开挖</w:t>
                  </w:r>
                </w:p>
              </w:tc>
              <w:tc>
                <w:tcPr>
                  <w:tcW w:w="1032" w:type="dxa"/>
                  <w:noWrap/>
                  <w:vAlign w:val="center"/>
                </w:tcPr>
                <w:p w14:paraId="1AFBF26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z w:val="21"/>
                      <w:szCs w:val="21"/>
                    </w:rPr>
                    <w:t>m³</w:t>
                  </w:r>
                </w:p>
              </w:tc>
              <w:tc>
                <w:tcPr>
                  <w:tcW w:w="1204" w:type="dxa"/>
                  <w:noWrap/>
                  <w:vAlign w:val="center"/>
                </w:tcPr>
                <w:p w14:paraId="5B8FAFD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1"/>
                      <w:sz w:val="21"/>
                      <w:szCs w:val="21"/>
                    </w:rPr>
                    <w:t>48656</w:t>
                  </w:r>
                </w:p>
              </w:tc>
              <w:tc>
                <w:tcPr>
                  <w:tcW w:w="519" w:type="pct"/>
                  <w:noWrap/>
                  <w:vAlign w:val="center"/>
                </w:tcPr>
                <w:p w14:paraId="50652953">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55A247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7139D0B8">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rFonts w:hint="eastAsia"/>
                      <w:color w:val="auto"/>
                      <w:sz w:val="21"/>
                      <w:szCs w:val="21"/>
                    </w:rPr>
                    <w:t>2</w:t>
                  </w:r>
                </w:p>
              </w:tc>
              <w:tc>
                <w:tcPr>
                  <w:tcW w:w="3850" w:type="dxa"/>
                  <w:noWrap/>
                  <w:vAlign w:val="center"/>
                </w:tcPr>
                <w:p w14:paraId="1EA3C071">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pacing w:val="-2"/>
                      <w:sz w:val="21"/>
                      <w:szCs w:val="21"/>
                    </w:rPr>
                    <w:t>土方回填</w:t>
                  </w:r>
                </w:p>
              </w:tc>
              <w:tc>
                <w:tcPr>
                  <w:tcW w:w="1032" w:type="dxa"/>
                  <w:noWrap/>
                  <w:vAlign w:val="center"/>
                </w:tcPr>
                <w:p w14:paraId="11C89B1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z w:val="21"/>
                      <w:szCs w:val="21"/>
                    </w:rPr>
                    <w:t>m³</w:t>
                  </w:r>
                </w:p>
              </w:tc>
              <w:tc>
                <w:tcPr>
                  <w:tcW w:w="1204" w:type="dxa"/>
                  <w:noWrap/>
                  <w:vAlign w:val="center"/>
                </w:tcPr>
                <w:p w14:paraId="5080E81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4"/>
                      <w:sz w:val="21"/>
                      <w:szCs w:val="21"/>
                    </w:rPr>
                    <w:t>18278</w:t>
                  </w:r>
                </w:p>
              </w:tc>
              <w:tc>
                <w:tcPr>
                  <w:tcW w:w="519" w:type="pct"/>
                  <w:noWrap/>
                  <w:vAlign w:val="center"/>
                </w:tcPr>
                <w:p w14:paraId="32BAEBA7">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42BC4E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2E156224">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rFonts w:hint="eastAsia"/>
                      <w:color w:val="auto"/>
                      <w:sz w:val="21"/>
                      <w:szCs w:val="21"/>
                    </w:rPr>
                    <w:t>3</w:t>
                  </w:r>
                </w:p>
              </w:tc>
              <w:tc>
                <w:tcPr>
                  <w:tcW w:w="3850" w:type="dxa"/>
                  <w:noWrap/>
                  <w:vAlign w:val="center"/>
                </w:tcPr>
                <w:p w14:paraId="3E65E8EA">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pacing w:val="-2"/>
                      <w:sz w:val="21"/>
                      <w:szCs w:val="21"/>
                    </w:rPr>
                    <w:t>土方堤后摊平</w:t>
                  </w:r>
                </w:p>
              </w:tc>
              <w:tc>
                <w:tcPr>
                  <w:tcW w:w="1032" w:type="dxa"/>
                  <w:noWrap/>
                  <w:vAlign w:val="center"/>
                </w:tcPr>
                <w:p w14:paraId="12F95A6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z w:val="21"/>
                      <w:szCs w:val="21"/>
                    </w:rPr>
                    <w:t>m³</w:t>
                  </w:r>
                </w:p>
              </w:tc>
              <w:tc>
                <w:tcPr>
                  <w:tcW w:w="1204" w:type="dxa"/>
                  <w:noWrap/>
                  <w:vAlign w:val="center"/>
                </w:tcPr>
                <w:p w14:paraId="1CAEF3F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宋体"/>
                      <w:color w:val="auto"/>
                      <w:sz w:val="21"/>
                      <w:szCs w:val="21"/>
                      <w:lang w:eastAsia="zh-CN"/>
                    </w:rPr>
                  </w:pPr>
                  <w:r>
                    <w:rPr>
                      <w:rFonts w:ascii="Times New Roman" w:hAnsi="Times New Roman" w:eastAsia="Times New Roman" w:cs="Times New Roman"/>
                      <w:spacing w:val="-1"/>
                      <w:sz w:val="21"/>
                      <w:szCs w:val="21"/>
                    </w:rPr>
                    <w:t>27090</w:t>
                  </w:r>
                </w:p>
              </w:tc>
              <w:tc>
                <w:tcPr>
                  <w:tcW w:w="519" w:type="pct"/>
                  <w:noWrap/>
                  <w:vAlign w:val="center"/>
                </w:tcPr>
                <w:p w14:paraId="3E43B0D5">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159473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6CED82A5">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rFonts w:hint="eastAsia"/>
                      <w:color w:val="auto"/>
                      <w:sz w:val="21"/>
                      <w:szCs w:val="21"/>
                    </w:rPr>
                    <w:t>4</w:t>
                  </w:r>
                </w:p>
              </w:tc>
              <w:tc>
                <w:tcPr>
                  <w:tcW w:w="3850" w:type="dxa"/>
                  <w:noWrap/>
                  <w:vAlign w:val="center"/>
                </w:tcPr>
                <w:p w14:paraId="4CFDDFE7">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pacing w:val="-2"/>
                      <w:sz w:val="21"/>
                      <w:szCs w:val="21"/>
                    </w:rPr>
                    <w:t>钢筋石笼</w:t>
                  </w:r>
                </w:p>
              </w:tc>
              <w:tc>
                <w:tcPr>
                  <w:tcW w:w="1032" w:type="dxa"/>
                  <w:noWrap/>
                  <w:vAlign w:val="center"/>
                </w:tcPr>
                <w:p w14:paraId="56BC7B8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z w:val="21"/>
                      <w:szCs w:val="21"/>
                    </w:rPr>
                    <w:t>m³</w:t>
                  </w:r>
                </w:p>
              </w:tc>
              <w:tc>
                <w:tcPr>
                  <w:tcW w:w="1204" w:type="dxa"/>
                  <w:noWrap/>
                  <w:vAlign w:val="center"/>
                </w:tcPr>
                <w:p w14:paraId="76A4980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宋体"/>
                      <w:color w:val="auto"/>
                      <w:sz w:val="21"/>
                      <w:szCs w:val="21"/>
                      <w:lang w:eastAsia="zh-CN"/>
                    </w:rPr>
                  </w:pPr>
                  <w:r>
                    <w:rPr>
                      <w:rFonts w:ascii="Times New Roman" w:hAnsi="Times New Roman" w:eastAsia="Times New Roman" w:cs="Times New Roman"/>
                      <w:spacing w:val="-1"/>
                      <w:sz w:val="21"/>
                      <w:szCs w:val="21"/>
                    </w:rPr>
                    <w:t>28496</w:t>
                  </w:r>
                </w:p>
              </w:tc>
              <w:tc>
                <w:tcPr>
                  <w:tcW w:w="519" w:type="pct"/>
                  <w:noWrap/>
                  <w:vAlign w:val="center"/>
                </w:tcPr>
                <w:p w14:paraId="2E6A5C3A">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59A515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74A6477A">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rFonts w:hint="eastAsia"/>
                      <w:color w:val="auto"/>
                      <w:sz w:val="21"/>
                      <w:szCs w:val="21"/>
                    </w:rPr>
                    <w:t>5</w:t>
                  </w:r>
                </w:p>
              </w:tc>
              <w:tc>
                <w:tcPr>
                  <w:tcW w:w="3850" w:type="dxa"/>
                  <w:noWrap/>
                  <w:vAlign w:val="center"/>
                </w:tcPr>
                <w:p w14:paraId="0BC8477D">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pacing w:val="-1"/>
                      <w:sz w:val="21"/>
                      <w:szCs w:val="21"/>
                    </w:rPr>
                    <w:t>橘子树（小苗）</w:t>
                  </w:r>
                </w:p>
              </w:tc>
              <w:tc>
                <w:tcPr>
                  <w:tcW w:w="1032" w:type="dxa"/>
                  <w:noWrap/>
                  <w:vAlign w:val="center"/>
                </w:tcPr>
                <w:p w14:paraId="57B805D2">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z w:val="21"/>
                      <w:szCs w:val="21"/>
                    </w:rPr>
                    <w:t>棵</w:t>
                  </w:r>
                </w:p>
              </w:tc>
              <w:tc>
                <w:tcPr>
                  <w:tcW w:w="1204" w:type="dxa"/>
                  <w:noWrap/>
                  <w:vAlign w:val="center"/>
                </w:tcPr>
                <w:p w14:paraId="6890332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5"/>
                      <w:sz w:val="21"/>
                      <w:szCs w:val="21"/>
                    </w:rPr>
                    <w:t>1260</w:t>
                  </w:r>
                </w:p>
              </w:tc>
              <w:tc>
                <w:tcPr>
                  <w:tcW w:w="519" w:type="pct"/>
                  <w:noWrap/>
                  <w:vAlign w:val="center"/>
                </w:tcPr>
                <w:p w14:paraId="60108C12">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3BE9F6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20971EF6">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eastAsia="宋体"/>
                      <w:color w:val="auto"/>
                      <w:sz w:val="21"/>
                      <w:szCs w:val="21"/>
                      <w:lang w:eastAsia="zh-CN"/>
                    </w:rPr>
                  </w:pPr>
                  <w:r>
                    <w:rPr>
                      <w:rFonts w:hint="eastAsia"/>
                      <w:color w:val="auto"/>
                      <w:sz w:val="21"/>
                      <w:szCs w:val="21"/>
                      <w:lang w:eastAsia="zh-CN"/>
                    </w:rPr>
                    <w:t>二</w:t>
                  </w:r>
                </w:p>
              </w:tc>
              <w:tc>
                <w:tcPr>
                  <w:tcW w:w="3850" w:type="dxa"/>
                  <w:noWrap/>
                  <w:vAlign w:val="center"/>
                </w:tcPr>
                <w:p w14:paraId="5BF64225">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宋体"/>
                      <w:color w:val="auto"/>
                      <w:sz w:val="21"/>
                      <w:szCs w:val="21"/>
                      <w:lang w:eastAsia="zh-CN"/>
                    </w:rPr>
                  </w:pPr>
                  <w:r>
                    <w:rPr>
                      <w:spacing w:val="-2"/>
                      <w:sz w:val="21"/>
                      <w:szCs w:val="21"/>
                    </w:rPr>
                    <w:t>建筑物工程</w:t>
                  </w:r>
                </w:p>
              </w:tc>
              <w:tc>
                <w:tcPr>
                  <w:tcW w:w="1032" w:type="dxa"/>
                  <w:noWrap/>
                  <w:vAlign w:val="center"/>
                </w:tcPr>
                <w:p w14:paraId="4736F4B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c>
                <w:tcPr>
                  <w:tcW w:w="1204" w:type="dxa"/>
                  <w:noWrap/>
                  <w:vAlign w:val="center"/>
                </w:tcPr>
                <w:p w14:paraId="30054AE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c>
                <w:tcPr>
                  <w:tcW w:w="519" w:type="pct"/>
                  <w:noWrap/>
                  <w:vAlign w:val="center"/>
                </w:tcPr>
                <w:p w14:paraId="15FC0C56">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7F72CF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4F493ADD">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eastAsia="宋体"/>
                      <w:color w:val="auto"/>
                      <w:sz w:val="21"/>
                      <w:szCs w:val="21"/>
                      <w:lang w:eastAsia="zh-CN"/>
                    </w:rPr>
                  </w:pPr>
                  <w:r>
                    <w:rPr>
                      <w:rFonts w:hint="eastAsia"/>
                      <w:color w:val="auto"/>
                      <w:sz w:val="21"/>
                      <w:szCs w:val="21"/>
                      <w:lang w:val="en-US" w:eastAsia="zh-CN"/>
                    </w:rPr>
                    <w:t>1</w:t>
                  </w:r>
                </w:p>
              </w:tc>
              <w:tc>
                <w:tcPr>
                  <w:tcW w:w="3850" w:type="dxa"/>
                  <w:noWrap/>
                  <w:vAlign w:val="center"/>
                </w:tcPr>
                <w:p w14:paraId="3BE6AF9F">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pacing w:val="-3"/>
                      <w:sz w:val="21"/>
                      <w:szCs w:val="21"/>
                    </w:rPr>
                    <w:t>排涝涵管</w:t>
                  </w:r>
                  <w:r>
                    <w:rPr>
                      <w:spacing w:val="-20"/>
                      <w:sz w:val="21"/>
                      <w:szCs w:val="21"/>
                    </w:rPr>
                    <w:t xml:space="preserve"> </w:t>
                  </w:r>
                  <w:r>
                    <w:rPr>
                      <w:rFonts w:ascii="Times New Roman" w:hAnsi="Times New Roman" w:eastAsia="Times New Roman" w:cs="Times New Roman"/>
                      <w:spacing w:val="-3"/>
                      <w:sz w:val="21"/>
                      <w:szCs w:val="21"/>
                    </w:rPr>
                    <w:t xml:space="preserve">13 </w:t>
                  </w:r>
                  <w:r>
                    <w:rPr>
                      <w:spacing w:val="-3"/>
                      <w:sz w:val="21"/>
                      <w:szCs w:val="21"/>
                    </w:rPr>
                    <w:t>处</w:t>
                  </w:r>
                </w:p>
              </w:tc>
              <w:tc>
                <w:tcPr>
                  <w:tcW w:w="1032" w:type="dxa"/>
                  <w:noWrap/>
                  <w:vAlign w:val="center"/>
                </w:tcPr>
                <w:p w14:paraId="54C6156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eastAsia="宋体"/>
                      <w:color w:val="auto"/>
                      <w:sz w:val="21"/>
                      <w:szCs w:val="21"/>
                      <w:lang w:val="en-US" w:eastAsia="zh-CN"/>
                    </w:rPr>
                  </w:pPr>
                </w:p>
              </w:tc>
              <w:tc>
                <w:tcPr>
                  <w:tcW w:w="1204" w:type="dxa"/>
                  <w:noWrap/>
                  <w:vAlign w:val="center"/>
                </w:tcPr>
                <w:p w14:paraId="01FD0524">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eastAsia="宋体"/>
                      <w:color w:val="auto"/>
                      <w:sz w:val="21"/>
                      <w:szCs w:val="21"/>
                      <w:lang w:eastAsia="zh-CN"/>
                    </w:rPr>
                  </w:pPr>
                </w:p>
              </w:tc>
              <w:tc>
                <w:tcPr>
                  <w:tcW w:w="519" w:type="pct"/>
                  <w:noWrap/>
                  <w:vAlign w:val="center"/>
                </w:tcPr>
                <w:p w14:paraId="4CCE3022">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0CF048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1847EA04">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eastAsia="宋体"/>
                      <w:color w:val="auto"/>
                      <w:sz w:val="21"/>
                      <w:szCs w:val="21"/>
                      <w:lang w:eastAsia="zh-CN"/>
                    </w:rPr>
                  </w:pPr>
                  <w:r>
                    <w:rPr>
                      <w:rFonts w:hint="eastAsia"/>
                      <w:color w:val="auto"/>
                      <w:sz w:val="21"/>
                      <w:szCs w:val="21"/>
                      <w:lang w:val="en-US" w:eastAsia="zh-CN"/>
                    </w:rPr>
                    <w:t>2</w:t>
                  </w:r>
                </w:p>
              </w:tc>
              <w:tc>
                <w:tcPr>
                  <w:tcW w:w="3850" w:type="dxa"/>
                  <w:noWrap/>
                  <w:vAlign w:val="center"/>
                </w:tcPr>
                <w:p w14:paraId="56BFE6FD">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pacing w:val="-2"/>
                      <w:sz w:val="21"/>
                      <w:szCs w:val="21"/>
                    </w:rPr>
                    <w:t>土方开挖</w:t>
                  </w:r>
                </w:p>
              </w:tc>
              <w:tc>
                <w:tcPr>
                  <w:tcW w:w="1032" w:type="dxa"/>
                  <w:noWrap/>
                  <w:vAlign w:val="center"/>
                </w:tcPr>
                <w:p w14:paraId="458D83E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z w:val="21"/>
                      <w:szCs w:val="21"/>
                    </w:rPr>
                    <w:t>m³</w:t>
                  </w:r>
                </w:p>
              </w:tc>
              <w:tc>
                <w:tcPr>
                  <w:tcW w:w="1204" w:type="dxa"/>
                  <w:noWrap/>
                  <w:vAlign w:val="center"/>
                </w:tcPr>
                <w:p w14:paraId="7F48CB5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3"/>
                      <w:sz w:val="21"/>
                      <w:szCs w:val="21"/>
                    </w:rPr>
                    <w:t>546</w:t>
                  </w:r>
                </w:p>
              </w:tc>
              <w:tc>
                <w:tcPr>
                  <w:tcW w:w="519" w:type="pct"/>
                  <w:noWrap/>
                  <w:vAlign w:val="center"/>
                </w:tcPr>
                <w:p w14:paraId="317778C1">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3EA945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187AB4DC">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eastAsia="宋体"/>
                      <w:color w:val="auto"/>
                      <w:sz w:val="21"/>
                      <w:szCs w:val="21"/>
                      <w:lang w:eastAsia="zh-CN"/>
                    </w:rPr>
                  </w:pPr>
                  <w:r>
                    <w:rPr>
                      <w:rFonts w:hint="eastAsia"/>
                      <w:color w:val="auto"/>
                      <w:sz w:val="21"/>
                      <w:szCs w:val="21"/>
                      <w:lang w:val="en-US" w:eastAsia="zh-CN"/>
                    </w:rPr>
                    <w:t>3</w:t>
                  </w:r>
                </w:p>
              </w:tc>
              <w:tc>
                <w:tcPr>
                  <w:tcW w:w="3850" w:type="dxa"/>
                  <w:noWrap/>
                  <w:vAlign w:val="center"/>
                </w:tcPr>
                <w:p w14:paraId="10818FDA">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spacing w:val="-2"/>
                      <w:sz w:val="21"/>
                      <w:szCs w:val="21"/>
                    </w:rPr>
                    <w:t>土方回填</w:t>
                  </w:r>
                </w:p>
              </w:tc>
              <w:tc>
                <w:tcPr>
                  <w:tcW w:w="1032" w:type="dxa"/>
                  <w:noWrap/>
                  <w:vAlign w:val="center"/>
                </w:tcPr>
                <w:p w14:paraId="3B46F7E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z w:val="21"/>
                      <w:szCs w:val="21"/>
                    </w:rPr>
                    <w:t>m³</w:t>
                  </w:r>
                </w:p>
              </w:tc>
              <w:tc>
                <w:tcPr>
                  <w:tcW w:w="1204" w:type="dxa"/>
                  <w:noWrap/>
                  <w:vAlign w:val="center"/>
                </w:tcPr>
                <w:p w14:paraId="6FBEAD7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1"/>
                      <w:sz w:val="21"/>
                      <w:szCs w:val="21"/>
                    </w:rPr>
                    <w:t>465</w:t>
                  </w:r>
                </w:p>
              </w:tc>
              <w:tc>
                <w:tcPr>
                  <w:tcW w:w="519" w:type="pct"/>
                  <w:noWrap/>
                  <w:vAlign w:val="center"/>
                </w:tcPr>
                <w:p w14:paraId="4A4EE92C">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64A407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43582E08">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eastAsia="宋体"/>
                      <w:color w:val="auto"/>
                      <w:sz w:val="21"/>
                      <w:szCs w:val="21"/>
                      <w:lang w:eastAsia="zh-CN"/>
                    </w:rPr>
                  </w:pPr>
                  <w:r>
                    <w:rPr>
                      <w:rFonts w:hint="eastAsia"/>
                      <w:color w:val="auto"/>
                      <w:sz w:val="21"/>
                      <w:szCs w:val="21"/>
                      <w:lang w:val="en-US" w:eastAsia="zh-CN"/>
                    </w:rPr>
                    <w:t>4</w:t>
                  </w:r>
                </w:p>
              </w:tc>
              <w:tc>
                <w:tcPr>
                  <w:tcW w:w="3850" w:type="dxa"/>
                  <w:noWrap/>
                  <w:vAlign w:val="center"/>
                </w:tcPr>
                <w:p w14:paraId="3D6149FB">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1"/>
                      <w:sz w:val="21"/>
                      <w:szCs w:val="21"/>
                    </w:rPr>
                    <w:t xml:space="preserve">M7.5 </w:t>
                  </w:r>
                  <w:r>
                    <w:rPr>
                      <w:spacing w:val="-1"/>
                      <w:sz w:val="21"/>
                      <w:szCs w:val="21"/>
                    </w:rPr>
                    <w:t>浆砌石</w:t>
                  </w:r>
                </w:p>
              </w:tc>
              <w:tc>
                <w:tcPr>
                  <w:tcW w:w="1032" w:type="dxa"/>
                  <w:noWrap/>
                  <w:vAlign w:val="center"/>
                </w:tcPr>
                <w:p w14:paraId="3D0D3DA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z w:val="21"/>
                      <w:szCs w:val="21"/>
                    </w:rPr>
                    <w:t>m³</w:t>
                  </w:r>
                </w:p>
              </w:tc>
              <w:tc>
                <w:tcPr>
                  <w:tcW w:w="1204" w:type="dxa"/>
                  <w:noWrap/>
                  <w:vAlign w:val="center"/>
                </w:tcPr>
                <w:p w14:paraId="4448663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1"/>
                      <w:sz w:val="21"/>
                      <w:szCs w:val="21"/>
                    </w:rPr>
                    <w:t>465</w:t>
                  </w:r>
                </w:p>
              </w:tc>
              <w:tc>
                <w:tcPr>
                  <w:tcW w:w="519" w:type="pct"/>
                  <w:noWrap/>
                  <w:vAlign w:val="center"/>
                </w:tcPr>
                <w:p w14:paraId="2D066A4F">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r w14:paraId="02270F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69870935">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eastAsia="宋体"/>
                      <w:color w:val="auto"/>
                      <w:sz w:val="21"/>
                      <w:szCs w:val="21"/>
                      <w:lang w:eastAsia="zh-CN"/>
                    </w:rPr>
                  </w:pPr>
                  <w:r>
                    <w:rPr>
                      <w:rFonts w:hint="eastAsia"/>
                      <w:color w:val="auto"/>
                      <w:sz w:val="21"/>
                      <w:szCs w:val="21"/>
                      <w:lang w:val="en-US" w:eastAsia="zh-CN"/>
                    </w:rPr>
                    <w:t>5</w:t>
                  </w:r>
                </w:p>
              </w:tc>
              <w:tc>
                <w:tcPr>
                  <w:tcW w:w="3850" w:type="dxa"/>
                  <w:noWrap/>
                  <w:vAlign w:val="center"/>
                </w:tcPr>
                <w:p w14:paraId="0134DB82">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1"/>
                      <w:sz w:val="21"/>
                      <w:szCs w:val="21"/>
                    </w:rPr>
                    <w:t xml:space="preserve">φ600 </w:t>
                  </w:r>
                  <w:r>
                    <w:rPr>
                      <w:spacing w:val="-1"/>
                      <w:sz w:val="21"/>
                      <w:szCs w:val="21"/>
                    </w:rPr>
                    <w:t>预制混凝土管</w:t>
                  </w:r>
                </w:p>
              </w:tc>
              <w:tc>
                <w:tcPr>
                  <w:tcW w:w="1032" w:type="dxa"/>
                  <w:noWrap/>
                  <w:vAlign w:val="center"/>
                </w:tcPr>
                <w:p w14:paraId="6EBE3BA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z w:val="21"/>
                      <w:szCs w:val="21"/>
                    </w:rPr>
                    <w:t>m</w:t>
                  </w:r>
                </w:p>
              </w:tc>
              <w:tc>
                <w:tcPr>
                  <w:tcW w:w="1204" w:type="dxa"/>
                  <w:noWrap/>
                  <w:vAlign w:val="center"/>
                </w:tcPr>
                <w:p w14:paraId="3CA8B7B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rPr>
                  </w:pPr>
                  <w:r>
                    <w:rPr>
                      <w:rFonts w:ascii="Times New Roman" w:hAnsi="Times New Roman" w:eastAsia="Times New Roman" w:cs="Times New Roman"/>
                      <w:spacing w:val="-7"/>
                      <w:sz w:val="21"/>
                      <w:szCs w:val="21"/>
                    </w:rPr>
                    <w:t>164</w:t>
                  </w:r>
                </w:p>
              </w:tc>
              <w:tc>
                <w:tcPr>
                  <w:tcW w:w="519" w:type="pct"/>
                  <w:noWrap/>
                  <w:vAlign w:val="center"/>
                </w:tcPr>
                <w:p w14:paraId="30D2AE02">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p>
              </w:tc>
            </w:tr>
          </w:tbl>
          <w:p w14:paraId="35F2059E">
            <w:pPr>
              <w:pStyle w:val="31"/>
              <w:bidi w:val="0"/>
              <w:rPr>
                <w:color w:val="auto"/>
              </w:rPr>
            </w:pPr>
            <w:r>
              <w:rPr>
                <w:rFonts w:hint="eastAsia"/>
                <w:color w:val="auto"/>
              </w:rPr>
              <w:t>表</w:t>
            </w:r>
            <w:r>
              <w:rPr>
                <w:rFonts w:hint="eastAsia"/>
                <w:color w:val="auto"/>
                <w:lang w:val="en-US" w:eastAsia="zh-CN"/>
              </w:rPr>
              <w:t>2-8 芒里段（</w:t>
            </w:r>
            <w:r>
              <w:rPr>
                <w:rFonts w:hint="eastAsia" w:ascii="Times New Roman" w:hAnsi="Times New Roman" w:eastAsia="Times New Roman" w:cs="Times New Roman"/>
                <w:spacing w:val="-1"/>
                <w:sz w:val="18"/>
                <w:szCs w:val="18"/>
              </w:rPr>
              <w:t xml:space="preserve"> K31+870~K34+435</w:t>
            </w:r>
            <w:r>
              <w:rPr>
                <w:rFonts w:hint="eastAsia" w:ascii="Times New Roman" w:hAnsi="Times New Roman" w:eastAsia="宋体" w:cs="Times New Roman"/>
                <w:spacing w:val="-1"/>
                <w:sz w:val="18"/>
                <w:szCs w:val="18"/>
                <w:lang w:eastAsia="zh-CN"/>
              </w:rPr>
              <w:t>，</w:t>
            </w:r>
            <w:r>
              <w:rPr>
                <w:rFonts w:hint="eastAsia" w:ascii="Times New Roman" w:hAnsi="Times New Roman" w:eastAsia="宋体" w:cs="Times New Roman"/>
                <w:spacing w:val="-1"/>
                <w:sz w:val="18"/>
                <w:szCs w:val="18"/>
                <w:lang w:val="en-US" w:eastAsia="zh-CN"/>
              </w:rPr>
              <w:t>2.57km</w:t>
            </w:r>
            <w:r>
              <w:rPr>
                <w:rFonts w:hint="eastAsia"/>
                <w:color w:val="auto"/>
                <w:lang w:val="en-US" w:eastAsia="zh-CN"/>
              </w:rPr>
              <w:t>）</w:t>
            </w:r>
            <w:r>
              <w:rPr>
                <w:rFonts w:hint="eastAsia"/>
                <w:color w:val="auto"/>
              </w:rPr>
              <w:t>治理工程量</w:t>
            </w:r>
          </w:p>
          <w:tbl>
            <w:tblPr>
              <w:tblStyle w:val="22"/>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02"/>
              <w:gridCol w:w="3850"/>
              <w:gridCol w:w="1032"/>
              <w:gridCol w:w="1204"/>
              <w:gridCol w:w="799"/>
            </w:tblGrid>
            <w:tr w14:paraId="43F7A1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2EACA4C1">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序号</w:t>
                  </w:r>
                </w:p>
              </w:tc>
              <w:tc>
                <w:tcPr>
                  <w:tcW w:w="2504" w:type="pct"/>
                  <w:noWrap/>
                  <w:vAlign w:val="center"/>
                </w:tcPr>
                <w:p w14:paraId="3FCCEFCE">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项目</w:t>
                  </w:r>
                </w:p>
              </w:tc>
              <w:tc>
                <w:tcPr>
                  <w:tcW w:w="671" w:type="pct"/>
                  <w:noWrap/>
                  <w:vAlign w:val="center"/>
                </w:tcPr>
                <w:p w14:paraId="32713399">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单位</w:t>
                  </w:r>
                </w:p>
              </w:tc>
              <w:tc>
                <w:tcPr>
                  <w:tcW w:w="783" w:type="pct"/>
                  <w:noWrap/>
                  <w:vAlign w:val="center"/>
                </w:tcPr>
                <w:p w14:paraId="023E3340">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工程量</w:t>
                  </w:r>
                </w:p>
              </w:tc>
              <w:tc>
                <w:tcPr>
                  <w:tcW w:w="519" w:type="pct"/>
                  <w:noWrap w:val="0"/>
                  <w:vAlign w:val="center"/>
                </w:tcPr>
                <w:p w14:paraId="64DE6A3E">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备注</w:t>
                  </w:r>
                </w:p>
              </w:tc>
            </w:tr>
            <w:tr w14:paraId="4AF695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1EA17952">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w:t>
                  </w:r>
                </w:p>
              </w:tc>
              <w:tc>
                <w:tcPr>
                  <w:tcW w:w="2504" w:type="pct"/>
                  <w:noWrap/>
                  <w:vAlign w:val="center"/>
                </w:tcPr>
                <w:p w14:paraId="6FD0199C">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cs="Times New Roman"/>
                      <w:spacing w:val="-1"/>
                      <w:sz w:val="21"/>
                      <w:szCs w:val="21"/>
                    </w:rPr>
                    <w:t>钢筋石笼护岸</w:t>
                  </w:r>
                </w:p>
              </w:tc>
              <w:tc>
                <w:tcPr>
                  <w:tcW w:w="671" w:type="pct"/>
                  <w:noWrap/>
                  <w:vAlign w:val="center"/>
                </w:tcPr>
                <w:p w14:paraId="6AA522D2">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p>
              </w:tc>
              <w:tc>
                <w:tcPr>
                  <w:tcW w:w="783" w:type="pct"/>
                  <w:noWrap/>
                  <w:vAlign w:val="center"/>
                </w:tcPr>
                <w:p w14:paraId="24CBF87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p>
              </w:tc>
              <w:tc>
                <w:tcPr>
                  <w:tcW w:w="519" w:type="pct"/>
                  <w:noWrap/>
                  <w:vAlign w:val="center"/>
                </w:tcPr>
                <w:p w14:paraId="0B343A81">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p>
              </w:tc>
            </w:tr>
            <w:tr w14:paraId="10907D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64B21E2C">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2504" w:type="pct"/>
                  <w:noWrap/>
                  <w:vAlign w:val="center"/>
                </w:tcPr>
                <w:p w14:paraId="6520E95D">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spacing w:val="-2"/>
                      <w:sz w:val="21"/>
                      <w:szCs w:val="21"/>
                    </w:rPr>
                    <w:t>土方开挖</w:t>
                  </w:r>
                </w:p>
              </w:tc>
              <w:tc>
                <w:tcPr>
                  <w:tcW w:w="671" w:type="pct"/>
                  <w:noWrap/>
                  <w:vAlign w:val="center"/>
                </w:tcPr>
                <w:p w14:paraId="156FEB2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Times New Roman" w:cs="Times New Roman"/>
                      <w:sz w:val="21"/>
                      <w:szCs w:val="21"/>
                    </w:rPr>
                    <w:t>m³</w:t>
                  </w:r>
                </w:p>
              </w:tc>
              <w:tc>
                <w:tcPr>
                  <w:tcW w:w="783" w:type="pct"/>
                  <w:noWrap/>
                  <w:vAlign w:val="center"/>
                </w:tcPr>
                <w:p w14:paraId="0504566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Times New Roman" w:cs="Times New Roman"/>
                      <w:spacing w:val="-1"/>
                      <w:sz w:val="21"/>
                      <w:szCs w:val="21"/>
                    </w:rPr>
                    <w:t>44458</w:t>
                  </w:r>
                </w:p>
              </w:tc>
              <w:tc>
                <w:tcPr>
                  <w:tcW w:w="519" w:type="pct"/>
                  <w:noWrap/>
                  <w:vAlign w:val="center"/>
                </w:tcPr>
                <w:p w14:paraId="16527489">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p>
              </w:tc>
            </w:tr>
            <w:tr w14:paraId="6F3EF3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069D8781">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2504" w:type="pct"/>
                  <w:noWrap/>
                  <w:vAlign w:val="center"/>
                </w:tcPr>
                <w:p w14:paraId="0DEE2574">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spacing w:val="-2"/>
                      <w:sz w:val="21"/>
                      <w:szCs w:val="21"/>
                    </w:rPr>
                    <w:t>土方回填</w:t>
                  </w:r>
                </w:p>
              </w:tc>
              <w:tc>
                <w:tcPr>
                  <w:tcW w:w="671" w:type="pct"/>
                  <w:noWrap/>
                  <w:vAlign w:val="center"/>
                </w:tcPr>
                <w:p w14:paraId="1FD3886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Times New Roman" w:cs="Times New Roman"/>
                      <w:sz w:val="21"/>
                      <w:szCs w:val="21"/>
                    </w:rPr>
                    <w:t>m³</w:t>
                  </w:r>
                </w:p>
              </w:tc>
              <w:tc>
                <w:tcPr>
                  <w:tcW w:w="783" w:type="pct"/>
                  <w:noWrap/>
                  <w:vAlign w:val="center"/>
                </w:tcPr>
                <w:p w14:paraId="7E140CE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Times New Roman" w:cs="Times New Roman"/>
                      <w:spacing w:val="-6"/>
                      <w:sz w:val="21"/>
                      <w:szCs w:val="21"/>
                    </w:rPr>
                    <w:t>11655</w:t>
                  </w:r>
                </w:p>
              </w:tc>
              <w:tc>
                <w:tcPr>
                  <w:tcW w:w="519" w:type="pct"/>
                  <w:noWrap/>
                  <w:vAlign w:val="center"/>
                </w:tcPr>
                <w:p w14:paraId="785931D4">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p>
              </w:tc>
            </w:tr>
            <w:tr w14:paraId="64555B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60F25274">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2504" w:type="pct"/>
                  <w:noWrap/>
                  <w:vAlign w:val="center"/>
                </w:tcPr>
                <w:p w14:paraId="24774949">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spacing w:val="-2"/>
                      <w:sz w:val="21"/>
                      <w:szCs w:val="21"/>
                    </w:rPr>
                    <w:t>土方堤后摊平</w:t>
                  </w:r>
                </w:p>
              </w:tc>
              <w:tc>
                <w:tcPr>
                  <w:tcW w:w="671" w:type="pct"/>
                  <w:noWrap/>
                  <w:vAlign w:val="center"/>
                </w:tcPr>
                <w:p w14:paraId="44711BC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Times New Roman" w:cs="Times New Roman"/>
                      <w:sz w:val="21"/>
                      <w:szCs w:val="21"/>
                    </w:rPr>
                    <w:t>m³</w:t>
                  </w:r>
                </w:p>
              </w:tc>
              <w:tc>
                <w:tcPr>
                  <w:tcW w:w="783" w:type="pct"/>
                  <w:noWrap/>
                  <w:vAlign w:val="center"/>
                </w:tcPr>
                <w:p w14:paraId="1DBA118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Times New Roman" w:cs="Times New Roman"/>
                      <w:spacing w:val="-2"/>
                      <w:sz w:val="21"/>
                      <w:szCs w:val="21"/>
                    </w:rPr>
                    <w:t>9873</w:t>
                  </w:r>
                </w:p>
              </w:tc>
              <w:tc>
                <w:tcPr>
                  <w:tcW w:w="519" w:type="pct"/>
                  <w:noWrap/>
                  <w:vAlign w:val="center"/>
                </w:tcPr>
                <w:p w14:paraId="6D00F13A">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p>
              </w:tc>
            </w:tr>
            <w:tr w14:paraId="49F28E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028AA8D4">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2504" w:type="pct"/>
                  <w:noWrap/>
                  <w:vAlign w:val="center"/>
                </w:tcPr>
                <w:p w14:paraId="21E3A629">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spacing w:val="-2"/>
                      <w:sz w:val="21"/>
                      <w:szCs w:val="21"/>
                    </w:rPr>
                    <w:t>钢筋石笼</w:t>
                  </w:r>
                </w:p>
              </w:tc>
              <w:tc>
                <w:tcPr>
                  <w:tcW w:w="671" w:type="pct"/>
                  <w:noWrap/>
                  <w:vAlign w:val="center"/>
                </w:tcPr>
                <w:p w14:paraId="3912697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Times New Roman" w:cs="Times New Roman"/>
                      <w:sz w:val="21"/>
                      <w:szCs w:val="21"/>
                    </w:rPr>
                    <w:t>m³</w:t>
                  </w:r>
                </w:p>
              </w:tc>
              <w:tc>
                <w:tcPr>
                  <w:tcW w:w="783" w:type="pct"/>
                  <w:noWrap/>
                  <w:vAlign w:val="center"/>
                </w:tcPr>
                <w:p w14:paraId="1CA1DDD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Times New Roman" w:cs="Times New Roman"/>
                      <w:spacing w:val="-2"/>
                      <w:sz w:val="21"/>
                      <w:szCs w:val="21"/>
                    </w:rPr>
                    <w:t>32587</w:t>
                  </w:r>
                </w:p>
              </w:tc>
              <w:tc>
                <w:tcPr>
                  <w:tcW w:w="519" w:type="pct"/>
                  <w:noWrap/>
                  <w:vAlign w:val="center"/>
                </w:tcPr>
                <w:p w14:paraId="7EB7931E">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p>
              </w:tc>
            </w:tr>
            <w:tr w14:paraId="1114E6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3E5D7CC9">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2504" w:type="pct"/>
                  <w:noWrap/>
                  <w:vAlign w:val="center"/>
                </w:tcPr>
                <w:p w14:paraId="678837BF">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spacing w:val="-1"/>
                      <w:sz w:val="21"/>
                      <w:szCs w:val="21"/>
                    </w:rPr>
                    <w:t>橘子树（小苗）</w:t>
                  </w:r>
                </w:p>
              </w:tc>
              <w:tc>
                <w:tcPr>
                  <w:tcW w:w="671" w:type="pct"/>
                  <w:noWrap/>
                  <w:vAlign w:val="center"/>
                </w:tcPr>
                <w:p w14:paraId="3BADD574">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sz w:val="21"/>
                      <w:szCs w:val="21"/>
                    </w:rPr>
                    <w:t>棵</w:t>
                  </w:r>
                </w:p>
              </w:tc>
              <w:tc>
                <w:tcPr>
                  <w:tcW w:w="783" w:type="pct"/>
                  <w:noWrap/>
                  <w:vAlign w:val="center"/>
                </w:tcPr>
                <w:p w14:paraId="3CE6EE3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Times New Roman" w:cs="Times New Roman"/>
                      <w:spacing w:val="-1"/>
                      <w:sz w:val="21"/>
                      <w:szCs w:val="21"/>
                    </w:rPr>
                    <w:t>437</w:t>
                  </w:r>
                </w:p>
              </w:tc>
              <w:tc>
                <w:tcPr>
                  <w:tcW w:w="519" w:type="pct"/>
                  <w:noWrap/>
                  <w:vAlign w:val="center"/>
                </w:tcPr>
                <w:p w14:paraId="4F4AE34B">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p>
              </w:tc>
            </w:tr>
            <w:tr w14:paraId="2DD804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2F7A8135">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二</w:t>
                  </w:r>
                </w:p>
              </w:tc>
              <w:tc>
                <w:tcPr>
                  <w:tcW w:w="2504" w:type="pct"/>
                  <w:noWrap/>
                  <w:vAlign w:val="center"/>
                </w:tcPr>
                <w:p w14:paraId="579573ED">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cs="Times New Roman"/>
                      <w:spacing w:val="-1"/>
                      <w:sz w:val="21"/>
                      <w:szCs w:val="21"/>
                    </w:rPr>
                    <w:t>堤防填筑</w:t>
                  </w:r>
                  <w:r>
                    <w:rPr>
                      <w:rFonts w:hint="default" w:ascii="Times New Roman" w:hAnsi="Times New Roman" w:eastAsia="Times New Roman" w:cs="Times New Roman"/>
                      <w:spacing w:val="-1"/>
                      <w:sz w:val="21"/>
                      <w:szCs w:val="21"/>
                    </w:rPr>
                    <w:t>(</w:t>
                  </w:r>
                  <w:r>
                    <w:rPr>
                      <w:rFonts w:hint="default" w:ascii="Times New Roman" w:hAnsi="Times New Roman" w:cs="Times New Roman"/>
                      <w:spacing w:val="-1"/>
                      <w:sz w:val="21"/>
                      <w:szCs w:val="21"/>
                    </w:rPr>
                    <w:t>回用开挖料综合调运</w:t>
                  </w:r>
                  <w:r>
                    <w:rPr>
                      <w:rFonts w:hint="default" w:ascii="Times New Roman" w:hAnsi="Times New Roman" w:cs="Times New Roman"/>
                      <w:spacing w:val="-37"/>
                      <w:sz w:val="21"/>
                      <w:szCs w:val="21"/>
                    </w:rPr>
                    <w:t xml:space="preserve"> </w:t>
                  </w:r>
                  <w:r>
                    <w:rPr>
                      <w:rFonts w:hint="default" w:ascii="Times New Roman" w:hAnsi="Times New Roman" w:eastAsia="Times New Roman" w:cs="Times New Roman"/>
                      <w:spacing w:val="-1"/>
                      <w:sz w:val="21"/>
                      <w:szCs w:val="21"/>
                    </w:rPr>
                    <w:t>2km)</w:t>
                  </w:r>
                </w:p>
              </w:tc>
              <w:tc>
                <w:tcPr>
                  <w:tcW w:w="671" w:type="pct"/>
                  <w:noWrap/>
                  <w:vAlign w:val="center"/>
                </w:tcPr>
                <w:p w14:paraId="7C4B046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Times New Roman" w:cs="Times New Roman"/>
                      <w:sz w:val="21"/>
                      <w:szCs w:val="21"/>
                    </w:rPr>
                    <w:t>m³</w:t>
                  </w:r>
                </w:p>
              </w:tc>
              <w:tc>
                <w:tcPr>
                  <w:tcW w:w="783" w:type="pct"/>
                  <w:noWrap/>
                  <w:vAlign w:val="center"/>
                </w:tcPr>
                <w:p w14:paraId="38941E7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Times New Roman" w:cs="Times New Roman"/>
                      <w:spacing w:val="-4"/>
                      <w:sz w:val="21"/>
                      <w:szCs w:val="21"/>
                    </w:rPr>
                    <w:t>17655</w:t>
                  </w:r>
                </w:p>
              </w:tc>
              <w:tc>
                <w:tcPr>
                  <w:tcW w:w="519" w:type="pct"/>
                  <w:noWrap/>
                  <w:vAlign w:val="center"/>
                </w:tcPr>
                <w:p w14:paraId="36EAA67A">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p>
              </w:tc>
            </w:tr>
            <w:tr w14:paraId="384784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3EAC8D52">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1</w:t>
                  </w:r>
                </w:p>
              </w:tc>
              <w:tc>
                <w:tcPr>
                  <w:tcW w:w="2504" w:type="pct"/>
                  <w:noWrap/>
                  <w:vAlign w:val="center"/>
                </w:tcPr>
                <w:p w14:paraId="55C3A0FE">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spacing w:val="-2"/>
                      <w:sz w:val="21"/>
                      <w:szCs w:val="21"/>
                    </w:rPr>
                    <w:t>泥结石路面厚</w:t>
                  </w:r>
                  <w:r>
                    <w:rPr>
                      <w:rFonts w:hint="default" w:ascii="Times New Roman" w:hAnsi="Times New Roman" w:cs="Times New Roman"/>
                      <w:spacing w:val="-35"/>
                      <w:sz w:val="21"/>
                      <w:szCs w:val="21"/>
                    </w:rPr>
                    <w:t xml:space="preserve"> </w:t>
                  </w:r>
                  <w:r>
                    <w:rPr>
                      <w:rFonts w:hint="default" w:ascii="Times New Roman" w:hAnsi="Times New Roman" w:eastAsia="Times New Roman" w:cs="Times New Roman"/>
                      <w:spacing w:val="-2"/>
                      <w:sz w:val="21"/>
                      <w:szCs w:val="21"/>
                    </w:rPr>
                    <w:t>20cm</w:t>
                  </w:r>
                </w:p>
              </w:tc>
              <w:tc>
                <w:tcPr>
                  <w:tcW w:w="671" w:type="pct"/>
                  <w:noWrap/>
                  <w:vAlign w:val="center"/>
                </w:tcPr>
                <w:p w14:paraId="295898F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Times New Roman" w:cs="Times New Roman"/>
                      <w:sz w:val="21"/>
                      <w:szCs w:val="21"/>
                    </w:rPr>
                    <w:t>m²</w:t>
                  </w:r>
                </w:p>
              </w:tc>
              <w:tc>
                <w:tcPr>
                  <w:tcW w:w="783" w:type="pct"/>
                  <w:noWrap/>
                  <w:vAlign w:val="center"/>
                </w:tcPr>
                <w:p w14:paraId="68329A3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Times New Roman" w:cs="Times New Roman"/>
                      <w:spacing w:val="-2"/>
                      <w:sz w:val="21"/>
                      <w:szCs w:val="21"/>
                    </w:rPr>
                    <w:t>5138</w:t>
                  </w:r>
                </w:p>
              </w:tc>
              <w:tc>
                <w:tcPr>
                  <w:tcW w:w="519" w:type="pct"/>
                  <w:noWrap/>
                  <w:vAlign w:val="center"/>
                </w:tcPr>
                <w:p w14:paraId="41DD9F5F">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p>
              </w:tc>
            </w:tr>
            <w:tr w14:paraId="16FEE3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68A5AA7D">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2</w:t>
                  </w:r>
                </w:p>
              </w:tc>
              <w:tc>
                <w:tcPr>
                  <w:tcW w:w="2504" w:type="pct"/>
                  <w:noWrap/>
                  <w:vAlign w:val="center"/>
                </w:tcPr>
                <w:p w14:paraId="6BC8F32B">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spacing w:val="-3"/>
                      <w:sz w:val="21"/>
                      <w:szCs w:val="21"/>
                    </w:rPr>
                    <w:t>草皮护坡</w:t>
                  </w:r>
                </w:p>
              </w:tc>
              <w:tc>
                <w:tcPr>
                  <w:tcW w:w="671" w:type="pct"/>
                  <w:noWrap/>
                  <w:vAlign w:val="center"/>
                </w:tcPr>
                <w:p w14:paraId="7C9757D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Times New Roman" w:cs="Times New Roman"/>
                      <w:sz w:val="21"/>
                      <w:szCs w:val="21"/>
                    </w:rPr>
                    <w:t>m²</w:t>
                  </w:r>
                </w:p>
              </w:tc>
              <w:tc>
                <w:tcPr>
                  <w:tcW w:w="783" w:type="pct"/>
                  <w:noWrap/>
                  <w:vAlign w:val="center"/>
                </w:tcPr>
                <w:p w14:paraId="48D01CB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Times New Roman" w:cs="Times New Roman"/>
                      <w:spacing w:val="-2"/>
                      <w:sz w:val="21"/>
                      <w:szCs w:val="21"/>
                    </w:rPr>
                    <w:t>7057</w:t>
                  </w:r>
                </w:p>
              </w:tc>
              <w:tc>
                <w:tcPr>
                  <w:tcW w:w="519" w:type="pct"/>
                  <w:noWrap/>
                  <w:vAlign w:val="center"/>
                </w:tcPr>
                <w:p w14:paraId="5090922E">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p>
              </w:tc>
            </w:tr>
            <w:tr w14:paraId="72327D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10F540FA">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3</w:t>
                  </w:r>
                </w:p>
              </w:tc>
              <w:tc>
                <w:tcPr>
                  <w:tcW w:w="2504" w:type="pct"/>
                  <w:noWrap/>
                  <w:vAlign w:val="center"/>
                </w:tcPr>
                <w:p w14:paraId="2555E18E">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spacing w:val="-2"/>
                      <w:sz w:val="21"/>
                      <w:szCs w:val="21"/>
                    </w:rPr>
                    <w:t>建筑物工程</w:t>
                  </w:r>
                </w:p>
              </w:tc>
              <w:tc>
                <w:tcPr>
                  <w:tcW w:w="671" w:type="pct"/>
                  <w:noWrap/>
                  <w:vAlign w:val="center"/>
                </w:tcPr>
                <w:p w14:paraId="1FDAA84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p>
              </w:tc>
              <w:tc>
                <w:tcPr>
                  <w:tcW w:w="783" w:type="pct"/>
                  <w:noWrap/>
                  <w:vAlign w:val="center"/>
                </w:tcPr>
                <w:p w14:paraId="4D7E639D">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p>
              </w:tc>
              <w:tc>
                <w:tcPr>
                  <w:tcW w:w="519" w:type="pct"/>
                  <w:noWrap/>
                  <w:vAlign w:val="center"/>
                </w:tcPr>
                <w:p w14:paraId="302E6401">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p>
              </w:tc>
            </w:tr>
            <w:tr w14:paraId="0782D0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1A3FBEA3">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4</w:t>
                  </w:r>
                </w:p>
              </w:tc>
              <w:tc>
                <w:tcPr>
                  <w:tcW w:w="2504" w:type="pct"/>
                  <w:noWrap/>
                  <w:vAlign w:val="center"/>
                </w:tcPr>
                <w:p w14:paraId="2589D441">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spacing w:val="-3"/>
                      <w:sz w:val="21"/>
                      <w:szCs w:val="21"/>
                    </w:rPr>
                    <w:t>排涝涵管</w:t>
                  </w:r>
                  <w:r>
                    <w:rPr>
                      <w:rFonts w:hint="default" w:ascii="Times New Roman" w:hAnsi="Times New Roman" w:cs="Times New Roman"/>
                      <w:spacing w:val="-20"/>
                      <w:sz w:val="21"/>
                      <w:szCs w:val="21"/>
                    </w:rPr>
                    <w:t xml:space="preserve"> </w:t>
                  </w:r>
                  <w:r>
                    <w:rPr>
                      <w:rFonts w:hint="default" w:ascii="Times New Roman" w:hAnsi="Times New Roman" w:eastAsia="Times New Roman" w:cs="Times New Roman"/>
                      <w:spacing w:val="-3"/>
                      <w:sz w:val="21"/>
                      <w:szCs w:val="21"/>
                    </w:rPr>
                    <w:t xml:space="preserve">12 </w:t>
                  </w:r>
                  <w:r>
                    <w:rPr>
                      <w:rFonts w:hint="default" w:ascii="Times New Roman" w:hAnsi="Times New Roman" w:cs="Times New Roman"/>
                      <w:spacing w:val="-3"/>
                      <w:sz w:val="21"/>
                      <w:szCs w:val="21"/>
                    </w:rPr>
                    <w:t>处</w:t>
                  </w:r>
                </w:p>
              </w:tc>
              <w:tc>
                <w:tcPr>
                  <w:tcW w:w="671" w:type="pct"/>
                  <w:noWrap/>
                  <w:vAlign w:val="center"/>
                </w:tcPr>
                <w:p w14:paraId="2317952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p>
              </w:tc>
              <w:tc>
                <w:tcPr>
                  <w:tcW w:w="783" w:type="pct"/>
                  <w:noWrap/>
                  <w:vAlign w:val="center"/>
                </w:tcPr>
                <w:p w14:paraId="6C8BE77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p>
              </w:tc>
              <w:tc>
                <w:tcPr>
                  <w:tcW w:w="519" w:type="pct"/>
                  <w:noWrap/>
                  <w:vAlign w:val="center"/>
                </w:tcPr>
                <w:p w14:paraId="682CA33E">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p>
              </w:tc>
            </w:tr>
            <w:tr w14:paraId="7C2E8F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521" w:type="pct"/>
                  <w:noWrap/>
                  <w:vAlign w:val="center"/>
                </w:tcPr>
                <w:p w14:paraId="0E336D9E">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5</w:t>
                  </w:r>
                </w:p>
              </w:tc>
              <w:tc>
                <w:tcPr>
                  <w:tcW w:w="2504" w:type="pct"/>
                  <w:noWrap/>
                  <w:vAlign w:val="center"/>
                </w:tcPr>
                <w:p w14:paraId="0DD45F55">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spacing w:val="-2"/>
                      <w:sz w:val="21"/>
                      <w:szCs w:val="21"/>
                    </w:rPr>
                    <w:t>土方开挖</w:t>
                  </w:r>
                </w:p>
              </w:tc>
              <w:tc>
                <w:tcPr>
                  <w:tcW w:w="671" w:type="pct"/>
                  <w:noWrap/>
                  <w:vAlign w:val="center"/>
                </w:tcPr>
                <w:p w14:paraId="70BA24D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Times New Roman" w:cs="Times New Roman"/>
                      <w:sz w:val="21"/>
                      <w:szCs w:val="21"/>
                    </w:rPr>
                    <w:t>m³</w:t>
                  </w:r>
                </w:p>
              </w:tc>
              <w:tc>
                <w:tcPr>
                  <w:tcW w:w="783" w:type="pct"/>
                  <w:noWrap/>
                  <w:vAlign w:val="center"/>
                </w:tcPr>
                <w:p w14:paraId="7788D5C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Times New Roman" w:cs="Times New Roman"/>
                      <w:spacing w:val="-3"/>
                      <w:sz w:val="21"/>
                      <w:szCs w:val="21"/>
                    </w:rPr>
                    <w:t>504</w:t>
                  </w:r>
                </w:p>
              </w:tc>
              <w:tc>
                <w:tcPr>
                  <w:tcW w:w="519" w:type="pct"/>
                  <w:noWrap/>
                  <w:vAlign w:val="center"/>
                </w:tcPr>
                <w:p w14:paraId="549DEB6D">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p>
              </w:tc>
            </w:tr>
            <w:tr w14:paraId="05F167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531F99AC">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lang w:val="en-US" w:eastAsia="zh-CN"/>
                    </w:rPr>
                  </w:pPr>
                </w:p>
              </w:tc>
              <w:tc>
                <w:tcPr>
                  <w:tcW w:w="2504" w:type="pct"/>
                  <w:noWrap/>
                  <w:vAlign w:val="center"/>
                </w:tcPr>
                <w:p w14:paraId="728153B7">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cs="Times New Roman"/>
                      <w:spacing w:val="-2"/>
                      <w:sz w:val="21"/>
                      <w:szCs w:val="21"/>
                    </w:rPr>
                    <w:t>土方回填</w:t>
                  </w:r>
                </w:p>
              </w:tc>
              <w:tc>
                <w:tcPr>
                  <w:tcW w:w="671" w:type="pct"/>
                  <w:noWrap/>
                  <w:vAlign w:val="center"/>
                </w:tcPr>
                <w:p w14:paraId="78D9378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z w:val="21"/>
                      <w:szCs w:val="21"/>
                    </w:rPr>
                    <w:t>m³</w:t>
                  </w:r>
                </w:p>
              </w:tc>
              <w:tc>
                <w:tcPr>
                  <w:tcW w:w="783" w:type="pct"/>
                  <w:noWrap/>
                  <w:vAlign w:val="center"/>
                </w:tcPr>
                <w:p w14:paraId="7791E67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428</w:t>
                  </w:r>
                </w:p>
              </w:tc>
              <w:tc>
                <w:tcPr>
                  <w:tcW w:w="519" w:type="pct"/>
                  <w:noWrap/>
                  <w:vAlign w:val="center"/>
                </w:tcPr>
                <w:p w14:paraId="22722C60">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p>
              </w:tc>
            </w:tr>
            <w:tr w14:paraId="50DF77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593ABDBD">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lang w:val="en-US" w:eastAsia="zh-CN"/>
                    </w:rPr>
                  </w:pPr>
                </w:p>
              </w:tc>
              <w:tc>
                <w:tcPr>
                  <w:tcW w:w="2504" w:type="pct"/>
                  <w:noWrap/>
                  <w:vAlign w:val="center"/>
                </w:tcPr>
                <w:p w14:paraId="7E3AF12D">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1"/>
                      <w:sz w:val="21"/>
                      <w:szCs w:val="21"/>
                    </w:rPr>
                    <w:t xml:space="preserve">M7.5 </w:t>
                  </w:r>
                  <w:r>
                    <w:rPr>
                      <w:rFonts w:hint="default" w:ascii="Times New Roman" w:hAnsi="Times New Roman" w:cs="Times New Roman"/>
                      <w:spacing w:val="-1"/>
                      <w:sz w:val="21"/>
                      <w:szCs w:val="21"/>
                    </w:rPr>
                    <w:t>浆砌石</w:t>
                  </w:r>
                </w:p>
              </w:tc>
              <w:tc>
                <w:tcPr>
                  <w:tcW w:w="671" w:type="pct"/>
                  <w:noWrap/>
                  <w:vAlign w:val="center"/>
                </w:tcPr>
                <w:p w14:paraId="592AD5F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z w:val="21"/>
                      <w:szCs w:val="21"/>
                    </w:rPr>
                    <w:t>m³</w:t>
                  </w:r>
                </w:p>
              </w:tc>
              <w:tc>
                <w:tcPr>
                  <w:tcW w:w="783" w:type="pct"/>
                  <w:noWrap/>
                  <w:vAlign w:val="center"/>
                </w:tcPr>
                <w:p w14:paraId="5E07405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1"/>
                      <w:sz w:val="21"/>
                      <w:szCs w:val="21"/>
                    </w:rPr>
                    <w:t>428</w:t>
                  </w:r>
                </w:p>
              </w:tc>
              <w:tc>
                <w:tcPr>
                  <w:tcW w:w="519" w:type="pct"/>
                  <w:noWrap/>
                  <w:vAlign w:val="center"/>
                </w:tcPr>
                <w:p w14:paraId="6E89A1D5">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p>
              </w:tc>
            </w:tr>
            <w:tr w14:paraId="47E5CB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21" w:type="pct"/>
                  <w:noWrap/>
                  <w:vAlign w:val="center"/>
                </w:tcPr>
                <w:p w14:paraId="6F441A27">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lang w:val="en-US" w:eastAsia="zh-CN"/>
                    </w:rPr>
                  </w:pPr>
                </w:p>
              </w:tc>
              <w:tc>
                <w:tcPr>
                  <w:tcW w:w="2504" w:type="pct"/>
                  <w:noWrap/>
                  <w:vAlign w:val="center"/>
                </w:tcPr>
                <w:p w14:paraId="7162D7D8">
                  <w:pPr>
                    <w:pStyle w:val="6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lang w:val="en-US" w:eastAsia="en-US" w:bidi="ar-SA"/>
                      <w14:textFill>
                        <w14:solidFill>
                          <w14:schemeClr w14:val="tx1"/>
                        </w14:solidFill>
                      </w14:textFill>
                    </w:rPr>
                  </w:pPr>
                  <w:r>
                    <w:rPr>
                      <w:rFonts w:hint="default" w:ascii="Times New Roman" w:hAnsi="Times New Roman" w:eastAsia="Times New Roman" w:cs="Times New Roman"/>
                      <w:spacing w:val="-1"/>
                      <w:sz w:val="21"/>
                      <w:szCs w:val="21"/>
                    </w:rPr>
                    <w:t xml:space="preserve">φ600 </w:t>
                  </w:r>
                  <w:r>
                    <w:rPr>
                      <w:rFonts w:hint="default" w:ascii="Times New Roman" w:hAnsi="Times New Roman" w:cs="Times New Roman"/>
                      <w:spacing w:val="-1"/>
                      <w:sz w:val="21"/>
                      <w:szCs w:val="21"/>
                    </w:rPr>
                    <w:t>预制混凝土管</w:t>
                  </w:r>
                </w:p>
              </w:tc>
              <w:tc>
                <w:tcPr>
                  <w:tcW w:w="671" w:type="pct"/>
                  <w:noWrap/>
                  <w:vAlign w:val="center"/>
                </w:tcPr>
                <w:p w14:paraId="3A973CD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z w:val="21"/>
                      <w:szCs w:val="21"/>
                    </w:rPr>
                    <w:t>m</w:t>
                  </w:r>
                </w:p>
              </w:tc>
              <w:tc>
                <w:tcPr>
                  <w:tcW w:w="783" w:type="pct"/>
                  <w:noWrap/>
                  <w:vAlign w:val="center"/>
                </w:tcPr>
                <w:p w14:paraId="246DAAD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spacing w:val="-7"/>
                      <w:sz w:val="21"/>
                      <w:szCs w:val="21"/>
                    </w:rPr>
                    <w:t>151</w:t>
                  </w:r>
                </w:p>
              </w:tc>
              <w:tc>
                <w:tcPr>
                  <w:tcW w:w="519" w:type="pct"/>
                  <w:noWrap/>
                  <w:vAlign w:val="center"/>
                </w:tcPr>
                <w:p w14:paraId="683EB604">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rPr>
                  </w:pPr>
                </w:p>
              </w:tc>
            </w:tr>
          </w:tbl>
          <w:p w14:paraId="4A5BE0D2">
            <w:pPr>
              <w:pStyle w:val="36"/>
              <w:bidi w:val="0"/>
              <w:rPr>
                <w:rFonts w:hint="eastAsia"/>
                <w:b/>
                <w:bCs/>
                <w:color w:val="auto"/>
                <w:lang w:eastAsia="zh-CN"/>
              </w:rPr>
            </w:pPr>
            <w:r>
              <w:rPr>
                <w:rFonts w:hint="eastAsia"/>
                <w:b/>
                <w:bCs/>
                <w:color w:val="auto"/>
                <w:lang w:eastAsia="zh-CN"/>
              </w:rPr>
              <w:t>十三、工程占地</w:t>
            </w:r>
          </w:p>
          <w:p w14:paraId="5DC9A356">
            <w:pPr>
              <w:pStyle w:val="36"/>
              <w:bidi w:val="0"/>
              <w:rPr>
                <w:rFonts w:hint="eastAsia"/>
                <w:color w:val="auto"/>
              </w:rPr>
            </w:pPr>
            <w:r>
              <w:rPr>
                <w:color w:val="auto"/>
              </w:rPr>
              <w:t>通过实地查勘和对工程布置图的分析，根据工程总体平面布置图及管理范围进行量算，</w:t>
            </w:r>
            <w:r>
              <w:rPr>
                <w:rFonts w:hint="eastAsia"/>
                <w:color w:val="auto"/>
              </w:rPr>
              <w:t>工程总占地23.63hm</w:t>
            </w:r>
            <w:r>
              <w:rPr>
                <w:rFonts w:hint="eastAsia"/>
                <w:color w:val="auto"/>
                <w:vertAlign w:val="superscript"/>
              </w:rPr>
              <w:t>2</w:t>
            </w:r>
            <w:r>
              <w:rPr>
                <w:rFonts w:hint="eastAsia"/>
                <w:color w:val="auto"/>
              </w:rPr>
              <w:t>，包括工程永久占地、施工临时占地两部分组成。工程永久占地4.83hm</w:t>
            </w:r>
            <w:r>
              <w:rPr>
                <w:rFonts w:hint="eastAsia"/>
                <w:color w:val="auto"/>
                <w:vertAlign w:val="superscript"/>
              </w:rPr>
              <w:t>2</w:t>
            </w:r>
            <w:r>
              <w:rPr>
                <w:rFonts w:hint="eastAsia"/>
                <w:color w:val="auto"/>
              </w:rPr>
              <w:t>，主要为工程建设区的永久征地；临时占地18.80hm</w:t>
            </w:r>
            <w:r>
              <w:rPr>
                <w:rFonts w:hint="eastAsia"/>
                <w:color w:val="auto"/>
                <w:vertAlign w:val="superscript"/>
              </w:rPr>
              <w:t>2</w:t>
            </w:r>
            <w:r>
              <w:rPr>
                <w:rFonts w:hint="eastAsia"/>
                <w:color w:val="auto"/>
              </w:rPr>
              <w:t>，包括工程建设施工区、施工临时道路区及施工营地区等占地。占用水田3.30hm</w:t>
            </w:r>
            <w:r>
              <w:rPr>
                <w:rFonts w:hint="eastAsia"/>
                <w:color w:val="auto"/>
                <w:vertAlign w:val="superscript"/>
              </w:rPr>
              <w:t>2</w:t>
            </w:r>
            <w:r>
              <w:rPr>
                <w:rFonts w:hint="eastAsia"/>
                <w:color w:val="auto"/>
              </w:rPr>
              <w:t>，旱地0.26hm</w:t>
            </w:r>
            <w:r>
              <w:rPr>
                <w:rFonts w:hint="eastAsia"/>
                <w:color w:val="auto"/>
                <w:vertAlign w:val="superscript"/>
              </w:rPr>
              <w:t>2</w:t>
            </w:r>
            <w:r>
              <w:rPr>
                <w:rFonts w:hint="eastAsia"/>
                <w:color w:val="auto"/>
              </w:rPr>
              <w:t>，园地0.20hm</w:t>
            </w:r>
            <w:r>
              <w:rPr>
                <w:rFonts w:hint="eastAsia"/>
                <w:color w:val="auto"/>
                <w:vertAlign w:val="superscript"/>
              </w:rPr>
              <w:t>2</w:t>
            </w:r>
            <w:r>
              <w:rPr>
                <w:rFonts w:hint="eastAsia"/>
                <w:color w:val="auto"/>
              </w:rPr>
              <w:t>，林地1.70hm</w:t>
            </w:r>
            <w:r>
              <w:rPr>
                <w:rFonts w:hint="eastAsia"/>
                <w:color w:val="auto"/>
                <w:vertAlign w:val="superscript"/>
              </w:rPr>
              <w:t>2</w:t>
            </w:r>
            <w:r>
              <w:rPr>
                <w:rFonts w:hint="eastAsia"/>
                <w:color w:val="auto"/>
              </w:rPr>
              <w:t>，交通运输用地2.97hm</w:t>
            </w:r>
            <w:r>
              <w:rPr>
                <w:rFonts w:hint="eastAsia"/>
                <w:color w:val="auto"/>
                <w:vertAlign w:val="superscript"/>
              </w:rPr>
              <w:t>2</w:t>
            </w:r>
            <w:r>
              <w:rPr>
                <w:rFonts w:hint="eastAsia"/>
                <w:color w:val="auto"/>
              </w:rPr>
              <w:t>，水域及水利设施用地10.37hm</w:t>
            </w:r>
            <w:r>
              <w:rPr>
                <w:rFonts w:hint="eastAsia"/>
                <w:color w:val="auto"/>
                <w:vertAlign w:val="superscript"/>
              </w:rPr>
              <w:t>2</w:t>
            </w:r>
            <w:r>
              <w:rPr>
                <w:rFonts w:hint="eastAsia"/>
                <w:color w:val="auto"/>
              </w:rPr>
              <w:t>。工程征占地及水土流失防治责任范围面积见表</w:t>
            </w:r>
            <w:r>
              <w:rPr>
                <w:rFonts w:hint="eastAsia"/>
                <w:color w:val="auto"/>
                <w:lang w:val="en-US" w:eastAsia="zh-CN"/>
              </w:rPr>
              <w:t>2-9</w:t>
            </w:r>
            <w:r>
              <w:rPr>
                <w:rFonts w:hint="eastAsia"/>
                <w:color w:val="auto"/>
              </w:rPr>
              <w:t>。</w:t>
            </w:r>
          </w:p>
          <w:p w14:paraId="5F6C2F22">
            <w:pPr>
              <w:pStyle w:val="36"/>
              <w:bidi w:val="0"/>
              <w:ind w:left="0" w:leftChars="0" w:firstLine="0" w:firstLineChars="0"/>
              <w:jc w:val="center"/>
              <w:rPr>
                <w:rStyle w:val="68"/>
                <w:rFonts w:hint="eastAsia" w:eastAsia="宋体"/>
                <w:b/>
                <w:bCs/>
                <w:sz w:val="21"/>
                <w:szCs w:val="21"/>
                <w:lang w:val="en-US" w:eastAsia="zh-CN"/>
              </w:rPr>
            </w:pPr>
            <w:r>
              <w:rPr>
                <w:rFonts w:hint="eastAsia"/>
                <w:b/>
                <w:bCs/>
                <w:color w:val="auto"/>
                <w:sz w:val="21"/>
                <w:szCs w:val="21"/>
              </w:rPr>
              <w:t xml:space="preserve">表 </w:t>
            </w:r>
            <w:r>
              <w:rPr>
                <w:rFonts w:hint="eastAsia"/>
                <w:b/>
                <w:bCs/>
                <w:color w:val="auto"/>
                <w:sz w:val="21"/>
                <w:szCs w:val="21"/>
                <w:lang w:val="en-US" w:eastAsia="zh-CN"/>
              </w:rPr>
              <w:t>2-9</w:t>
            </w:r>
            <w:r>
              <w:rPr>
                <w:rFonts w:hint="eastAsia"/>
                <w:b/>
                <w:bCs/>
                <w:color w:val="auto"/>
                <w:sz w:val="21"/>
                <w:szCs w:val="21"/>
              </w:rPr>
              <w:t xml:space="preserve"> 工程占地及水土流失防治责任范围统计汇总表    单位：hm</w:t>
            </w:r>
            <w:r>
              <w:rPr>
                <w:rFonts w:hint="eastAsia"/>
                <w:b/>
                <w:bCs/>
                <w:color w:val="auto"/>
                <w:sz w:val="21"/>
                <w:szCs w:val="21"/>
                <w:vertAlign w:val="superscript"/>
              </w:rPr>
              <w:t>2</w:t>
            </w:r>
          </w:p>
          <w:tbl>
            <w:tblPr>
              <w:tblStyle w:val="46"/>
              <w:tblW w:w="7615"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31"/>
              <w:gridCol w:w="1442"/>
              <w:gridCol w:w="759"/>
              <w:gridCol w:w="660"/>
              <w:gridCol w:w="623"/>
              <w:gridCol w:w="660"/>
              <w:gridCol w:w="746"/>
              <w:gridCol w:w="1103"/>
              <w:gridCol w:w="991"/>
            </w:tblGrid>
            <w:tr w14:paraId="1E2D4C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7" w:hRule="atLeast"/>
              </w:trPr>
              <w:tc>
                <w:tcPr>
                  <w:tcW w:w="631" w:type="dxa"/>
                  <w:vAlign w:val="center"/>
                </w:tcPr>
                <w:p w14:paraId="0055B8F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5"/>
                      <w:sz w:val="21"/>
                      <w:szCs w:val="21"/>
                    </w:rPr>
                    <w:t>序号</w:t>
                  </w:r>
                </w:p>
              </w:tc>
              <w:tc>
                <w:tcPr>
                  <w:tcW w:w="1442" w:type="dxa"/>
                  <w:vAlign w:val="center"/>
                </w:tcPr>
                <w:p w14:paraId="66EC0BC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5"/>
                      <w:sz w:val="21"/>
                      <w:szCs w:val="21"/>
                    </w:rPr>
                    <w:t>项目区</w:t>
                  </w:r>
                </w:p>
              </w:tc>
              <w:tc>
                <w:tcPr>
                  <w:tcW w:w="759" w:type="dxa"/>
                  <w:vAlign w:val="center"/>
                </w:tcPr>
                <w:p w14:paraId="1751AE6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3"/>
                      <w:sz w:val="21"/>
                      <w:szCs w:val="21"/>
                    </w:rPr>
                    <w:t>水田</w:t>
                  </w:r>
                </w:p>
              </w:tc>
              <w:tc>
                <w:tcPr>
                  <w:tcW w:w="660" w:type="dxa"/>
                  <w:vAlign w:val="center"/>
                </w:tcPr>
                <w:p w14:paraId="2EA8611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3"/>
                      <w:sz w:val="21"/>
                      <w:szCs w:val="21"/>
                    </w:rPr>
                    <w:t>旱地</w:t>
                  </w:r>
                </w:p>
              </w:tc>
              <w:tc>
                <w:tcPr>
                  <w:tcW w:w="623" w:type="dxa"/>
                  <w:vAlign w:val="center"/>
                </w:tcPr>
                <w:p w14:paraId="5A3448E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园地</w:t>
                  </w:r>
                </w:p>
              </w:tc>
              <w:tc>
                <w:tcPr>
                  <w:tcW w:w="660" w:type="dxa"/>
                  <w:vAlign w:val="center"/>
                </w:tcPr>
                <w:p w14:paraId="7C13F587">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林地</w:t>
                  </w:r>
                </w:p>
              </w:tc>
              <w:tc>
                <w:tcPr>
                  <w:tcW w:w="746" w:type="dxa"/>
                  <w:vAlign w:val="center"/>
                </w:tcPr>
                <w:p w14:paraId="61A911A2">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5"/>
                      <w:sz w:val="21"/>
                      <w:szCs w:val="21"/>
                    </w:rPr>
                    <w:t>交通</w:t>
                  </w:r>
                  <w:r>
                    <w:rPr>
                      <w:rFonts w:hint="eastAsia"/>
                      <w:spacing w:val="5"/>
                      <w:sz w:val="21"/>
                      <w:szCs w:val="21"/>
                      <w:lang w:val="en-US" w:eastAsia="zh-CN"/>
                    </w:rPr>
                    <w:t>运</w:t>
                  </w:r>
                  <w:r>
                    <w:rPr>
                      <w:spacing w:val="7"/>
                      <w:sz w:val="21"/>
                      <w:szCs w:val="21"/>
                    </w:rPr>
                    <w:t>输用地</w:t>
                  </w:r>
                </w:p>
              </w:tc>
              <w:tc>
                <w:tcPr>
                  <w:tcW w:w="1103" w:type="dxa"/>
                  <w:vAlign w:val="center"/>
                </w:tcPr>
                <w:p w14:paraId="6AB91D07">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7"/>
                      <w:sz w:val="21"/>
                      <w:szCs w:val="21"/>
                    </w:rPr>
                    <w:t>水域及水利</w:t>
                  </w:r>
                  <w:r>
                    <w:rPr>
                      <w:spacing w:val="6"/>
                      <w:sz w:val="21"/>
                      <w:szCs w:val="21"/>
                    </w:rPr>
                    <w:t>设施用地</w:t>
                  </w:r>
                </w:p>
              </w:tc>
              <w:tc>
                <w:tcPr>
                  <w:tcW w:w="991" w:type="dxa"/>
                  <w:vAlign w:val="center"/>
                </w:tcPr>
                <w:p w14:paraId="6724E43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eastAsia="宋体"/>
                      <w:sz w:val="21"/>
                      <w:szCs w:val="21"/>
                      <w:lang w:eastAsia="zh-CN"/>
                    </w:rPr>
                  </w:pPr>
                  <w:r>
                    <w:rPr>
                      <w:rFonts w:hint="eastAsia"/>
                      <w:sz w:val="21"/>
                      <w:szCs w:val="21"/>
                      <w:lang w:eastAsia="zh-CN"/>
                    </w:rPr>
                    <w:t>小计</w:t>
                  </w:r>
                </w:p>
              </w:tc>
            </w:tr>
            <w:tr w14:paraId="047A93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2" w:hRule="atLeast"/>
              </w:trPr>
              <w:tc>
                <w:tcPr>
                  <w:tcW w:w="631" w:type="dxa"/>
                  <w:vAlign w:val="center"/>
                </w:tcPr>
                <w:p w14:paraId="55C5E554">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position w:val="-4"/>
                      <w:sz w:val="21"/>
                      <w:szCs w:val="21"/>
                    </w:rPr>
                    <w:t>一</w:t>
                  </w:r>
                </w:p>
              </w:tc>
              <w:tc>
                <w:tcPr>
                  <w:tcW w:w="1442" w:type="dxa"/>
                  <w:vAlign w:val="center"/>
                </w:tcPr>
                <w:p w14:paraId="3338D985">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6"/>
                      <w:sz w:val="21"/>
                      <w:szCs w:val="21"/>
                    </w:rPr>
                    <w:t>永久占地</w:t>
                  </w:r>
                </w:p>
              </w:tc>
              <w:tc>
                <w:tcPr>
                  <w:tcW w:w="759" w:type="dxa"/>
                  <w:vAlign w:val="center"/>
                </w:tcPr>
                <w:p w14:paraId="75FA420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660" w:type="dxa"/>
                  <w:vAlign w:val="center"/>
                </w:tcPr>
                <w:p w14:paraId="2F318B1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623" w:type="dxa"/>
                  <w:vAlign w:val="center"/>
                </w:tcPr>
                <w:p w14:paraId="32A453F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660" w:type="dxa"/>
                  <w:vAlign w:val="center"/>
                </w:tcPr>
                <w:p w14:paraId="08CDF86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746" w:type="dxa"/>
                  <w:vAlign w:val="center"/>
                </w:tcPr>
                <w:p w14:paraId="1F10DDE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103" w:type="dxa"/>
                  <w:vAlign w:val="center"/>
                </w:tcPr>
                <w:p w14:paraId="243F9F2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4.83</w:t>
                  </w:r>
                </w:p>
              </w:tc>
              <w:tc>
                <w:tcPr>
                  <w:tcW w:w="991" w:type="dxa"/>
                  <w:vAlign w:val="center"/>
                </w:tcPr>
                <w:p w14:paraId="19941B5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4.83</w:t>
                  </w:r>
                </w:p>
              </w:tc>
            </w:tr>
            <w:tr w14:paraId="213E8E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3" w:hRule="atLeast"/>
              </w:trPr>
              <w:tc>
                <w:tcPr>
                  <w:tcW w:w="631" w:type="dxa"/>
                  <w:vAlign w:val="center"/>
                </w:tcPr>
                <w:p w14:paraId="7367C05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1442" w:type="dxa"/>
                  <w:vAlign w:val="center"/>
                </w:tcPr>
                <w:p w14:paraId="003AE4A9">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7"/>
                      <w:sz w:val="21"/>
                      <w:szCs w:val="21"/>
                    </w:rPr>
                    <w:t>工程建设区</w:t>
                  </w:r>
                </w:p>
              </w:tc>
              <w:tc>
                <w:tcPr>
                  <w:tcW w:w="759" w:type="dxa"/>
                  <w:vAlign w:val="center"/>
                </w:tcPr>
                <w:p w14:paraId="315AD7F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660" w:type="dxa"/>
                  <w:vAlign w:val="center"/>
                </w:tcPr>
                <w:p w14:paraId="644386F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623" w:type="dxa"/>
                  <w:vAlign w:val="center"/>
                </w:tcPr>
                <w:p w14:paraId="7672587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660" w:type="dxa"/>
                  <w:vAlign w:val="center"/>
                </w:tcPr>
                <w:p w14:paraId="13B3519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746" w:type="dxa"/>
                  <w:vAlign w:val="center"/>
                </w:tcPr>
                <w:p w14:paraId="4FE2753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1103" w:type="dxa"/>
                  <w:vAlign w:val="center"/>
                </w:tcPr>
                <w:p w14:paraId="0B808F0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4.83</w:t>
                  </w:r>
                </w:p>
              </w:tc>
              <w:tc>
                <w:tcPr>
                  <w:tcW w:w="991" w:type="dxa"/>
                  <w:vAlign w:val="center"/>
                </w:tcPr>
                <w:p w14:paraId="0270889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4.83</w:t>
                  </w:r>
                </w:p>
              </w:tc>
            </w:tr>
            <w:tr w14:paraId="53149E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2" w:hRule="atLeast"/>
              </w:trPr>
              <w:tc>
                <w:tcPr>
                  <w:tcW w:w="631" w:type="dxa"/>
                  <w:vAlign w:val="center"/>
                </w:tcPr>
                <w:p w14:paraId="3B733D62">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z w:val="21"/>
                      <w:szCs w:val="21"/>
                    </w:rPr>
                    <w:t>二</w:t>
                  </w:r>
                </w:p>
              </w:tc>
              <w:tc>
                <w:tcPr>
                  <w:tcW w:w="1442" w:type="dxa"/>
                  <w:vAlign w:val="center"/>
                </w:tcPr>
                <w:p w14:paraId="0695A94E">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临时占地</w:t>
                  </w:r>
                </w:p>
              </w:tc>
              <w:tc>
                <w:tcPr>
                  <w:tcW w:w="759" w:type="dxa"/>
                  <w:vAlign w:val="center"/>
                </w:tcPr>
                <w:p w14:paraId="40FBB45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3.30</w:t>
                  </w:r>
                </w:p>
              </w:tc>
              <w:tc>
                <w:tcPr>
                  <w:tcW w:w="660" w:type="dxa"/>
                  <w:vAlign w:val="center"/>
                </w:tcPr>
                <w:p w14:paraId="1398223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0.26</w:t>
                  </w:r>
                </w:p>
              </w:tc>
              <w:tc>
                <w:tcPr>
                  <w:tcW w:w="623" w:type="dxa"/>
                  <w:vAlign w:val="center"/>
                </w:tcPr>
                <w:p w14:paraId="0F29E13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0.20</w:t>
                  </w:r>
                </w:p>
              </w:tc>
              <w:tc>
                <w:tcPr>
                  <w:tcW w:w="660" w:type="dxa"/>
                  <w:vAlign w:val="center"/>
                </w:tcPr>
                <w:p w14:paraId="05BB200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1.70</w:t>
                  </w:r>
                </w:p>
              </w:tc>
              <w:tc>
                <w:tcPr>
                  <w:tcW w:w="746" w:type="dxa"/>
                  <w:vAlign w:val="center"/>
                </w:tcPr>
                <w:p w14:paraId="735CA3E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2.97</w:t>
                  </w:r>
                </w:p>
              </w:tc>
              <w:tc>
                <w:tcPr>
                  <w:tcW w:w="1103" w:type="dxa"/>
                  <w:vAlign w:val="center"/>
                </w:tcPr>
                <w:p w14:paraId="421A2E1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10.37</w:t>
                  </w:r>
                </w:p>
              </w:tc>
              <w:tc>
                <w:tcPr>
                  <w:tcW w:w="991" w:type="dxa"/>
                  <w:vAlign w:val="center"/>
                </w:tcPr>
                <w:p w14:paraId="107F7EA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18.80</w:t>
                  </w:r>
                </w:p>
              </w:tc>
            </w:tr>
            <w:tr w14:paraId="6D7653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3" w:hRule="atLeast"/>
              </w:trPr>
              <w:tc>
                <w:tcPr>
                  <w:tcW w:w="631" w:type="dxa"/>
                  <w:vAlign w:val="center"/>
                </w:tcPr>
                <w:p w14:paraId="451E314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1442" w:type="dxa"/>
                  <w:vAlign w:val="center"/>
                </w:tcPr>
                <w:p w14:paraId="1763873A">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8"/>
                      <w:sz w:val="21"/>
                      <w:szCs w:val="21"/>
                    </w:rPr>
                    <w:t>工程建设施工区</w:t>
                  </w:r>
                </w:p>
              </w:tc>
              <w:tc>
                <w:tcPr>
                  <w:tcW w:w="759" w:type="dxa"/>
                  <w:vAlign w:val="center"/>
                </w:tcPr>
                <w:p w14:paraId="1177D0E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660" w:type="dxa"/>
                  <w:vAlign w:val="center"/>
                </w:tcPr>
                <w:p w14:paraId="702AE65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623" w:type="dxa"/>
                  <w:vAlign w:val="center"/>
                </w:tcPr>
                <w:p w14:paraId="6FC292F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660" w:type="dxa"/>
                  <w:vAlign w:val="center"/>
                </w:tcPr>
                <w:p w14:paraId="728FCAA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746" w:type="dxa"/>
                  <w:vAlign w:val="center"/>
                </w:tcPr>
                <w:p w14:paraId="65AA630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1103" w:type="dxa"/>
                  <w:vAlign w:val="center"/>
                </w:tcPr>
                <w:p w14:paraId="0CDF0EA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9.72</w:t>
                  </w:r>
                </w:p>
              </w:tc>
              <w:tc>
                <w:tcPr>
                  <w:tcW w:w="991" w:type="dxa"/>
                  <w:vAlign w:val="center"/>
                </w:tcPr>
                <w:p w14:paraId="06E56C2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9.72</w:t>
                  </w:r>
                </w:p>
              </w:tc>
            </w:tr>
            <w:tr w14:paraId="080F19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2" w:hRule="atLeast"/>
              </w:trPr>
              <w:tc>
                <w:tcPr>
                  <w:tcW w:w="631" w:type="dxa"/>
                  <w:vAlign w:val="center"/>
                </w:tcPr>
                <w:p w14:paraId="5E84ADC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2</w:t>
                  </w:r>
                </w:p>
              </w:tc>
              <w:tc>
                <w:tcPr>
                  <w:tcW w:w="1442" w:type="dxa"/>
                  <w:vAlign w:val="center"/>
                </w:tcPr>
                <w:p w14:paraId="16622F2B">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8"/>
                      <w:sz w:val="21"/>
                      <w:szCs w:val="21"/>
                    </w:rPr>
                    <w:t>施工临时道路区</w:t>
                  </w:r>
                </w:p>
              </w:tc>
              <w:tc>
                <w:tcPr>
                  <w:tcW w:w="759" w:type="dxa"/>
                  <w:vAlign w:val="center"/>
                </w:tcPr>
                <w:p w14:paraId="1DE011D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3.30</w:t>
                  </w:r>
                </w:p>
              </w:tc>
              <w:tc>
                <w:tcPr>
                  <w:tcW w:w="660" w:type="dxa"/>
                  <w:vAlign w:val="center"/>
                </w:tcPr>
                <w:p w14:paraId="69FA846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0.26</w:t>
                  </w:r>
                </w:p>
              </w:tc>
              <w:tc>
                <w:tcPr>
                  <w:tcW w:w="623" w:type="dxa"/>
                  <w:vAlign w:val="center"/>
                </w:tcPr>
                <w:p w14:paraId="53AC8D6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0.20</w:t>
                  </w:r>
                </w:p>
              </w:tc>
              <w:tc>
                <w:tcPr>
                  <w:tcW w:w="660" w:type="dxa"/>
                  <w:vAlign w:val="center"/>
                </w:tcPr>
                <w:p w14:paraId="62FEE47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1.46</w:t>
                  </w:r>
                </w:p>
              </w:tc>
              <w:tc>
                <w:tcPr>
                  <w:tcW w:w="746" w:type="dxa"/>
                  <w:vAlign w:val="center"/>
                </w:tcPr>
                <w:p w14:paraId="2374A60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2.97</w:t>
                  </w:r>
                </w:p>
              </w:tc>
              <w:tc>
                <w:tcPr>
                  <w:tcW w:w="1103" w:type="dxa"/>
                  <w:vAlign w:val="center"/>
                </w:tcPr>
                <w:p w14:paraId="2E571B1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0.65</w:t>
                  </w:r>
                </w:p>
              </w:tc>
              <w:tc>
                <w:tcPr>
                  <w:tcW w:w="991" w:type="dxa"/>
                  <w:vAlign w:val="center"/>
                </w:tcPr>
                <w:p w14:paraId="144D2E4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8.84</w:t>
                  </w:r>
                </w:p>
              </w:tc>
            </w:tr>
            <w:tr w14:paraId="1DC4D9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2" w:hRule="atLeast"/>
              </w:trPr>
              <w:tc>
                <w:tcPr>
                  <w:tcW w:w="631" w:type="dxa"/>
                  <w:vAlign w:val="center"/>
                </w:tcPr>
                <w:p w14:paraId="38CADC6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1442" w:type="dxa"/>
                  <w:vAlign w:val="center"/>
                </w:tcPr>
                <w:p w14:paraId="7E656537">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8"/>
                      <w:sz w:val="21"/>
                      <w:szCs w:val="21"/>
                    </w:rPr>
                    <w:t>施工营地区</w:t>
                  </w:r>
                </w:p>
              </w:tc>
              <w:tc>
                <w:tcPr>
                  <w:tcW w:w="759" w:type="dxa"/>
                  <w:vAlign w:val="center"/>
                </w:tcPr>
                <w:p w14:paraId="6CCE5B6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660" w:type="dxa"/>
                  <w:vAlign w:val="center"/>
                </w:tcPr>
                <w:p w14:paraId="5AEDCA7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623" w:type="dxa"/>
                  <w:vAlign w:val="center"/>
                </w:tcPr>
                <w:p w14:paraId="1463EBB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660" w:type="dxa"/>
                  <w:vAlign w:val="center"/>
                </w:tcPr>
                <w:p w14:paraId="17F6E4D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0.24</w:t>
                  </w:r>
                </w:p>
              </w:tc>
              <w:tc>
                <w:tcPr>
                  <w:tcW w:w="746" w:type="dxa"/>
                  <w:vAlign w:val="center"/>
                </w:tcPr>
                <w:p w14:paraId="48B4FAB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1103" w:type="dxa"/>
                  <w:vAlign w:val="center"/>
                </w:tcPr>
                <w:p w14:paraId="5AEE492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991" w:type="dxa"/>
                  <w:vAlign w:val="center"/>
                </w:tcPr>
                <w:p w14:paraId="325F6CB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0.24</w:t>
                  </w:r>
                </w:p>
              </w:tc>
            </w:tr>
            <w:tr w14:paraId="2FFE23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2" w:hRule="atLeast"/>
              </w:trPr>
              <w:tc>
                <w:tcPr>
                  <w:tcW w:w="2073" w:type="dxa"/>
                  <w:gridSpan w:val="2"/>
                  <w:vAlign w:val="center"/>
                </w:tcPr>
                <w:p w14:paraId="11BDB84C">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z w:val="21"/>
                      <w:szCs w:val="21"/>
                    </w:rPr>
                    <w:t>合</w:t>
                  </w:r>
                  <w:r>
                    <w:rPr>
                      <w:spacing w:val="8"/>
                      <w:sz w:val="21"/>
                      <w:szCs w:val="21"/>
                    </w:rPr>
                    <w:t xml:space="preserve">   </w:t>
                  </w:r>
                  <w:r>
                    <w:rPr>
                      <w:sz w:val="21"/>
                      <w:szCs w:val="21"/>
                    </w:rPr>
                    <w:t>计</w:t>
                  </w:r>
                </w:p>
              </w:tc>
              <w:tc>
                <w:tcPr>
                  <w:tcW w:w="759" w:type="dxa"/>
                  <w:vAlign w:val="center"/>
                </w:tcPr>
                <w:p w14:paraId="7366069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3.30</w:t>
                  </w:r>
                </w:p>
              </w:tc>
              <w:tc>
                <w:tcPr>
                  <w:tcW w:w="660" w:type="dxa"/>
                  <w:vAlign w:val="center"/>
                </w:tcPr>
                <w:p w14:paraId="7B5A33D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0.26</w:t>
                  </w:r>
                </w:p>
              </w:tc>
              <w:tc>
                <w:tcPr>
                  <w:tcW w:w="623" w:type="dxa"/>
                  <w:vAlign w:val="center"/>
                </w:tcPr>
                <w:p w14:paraId="16A6457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0.20</w:t>
                  </w:r>
                </w:p>
              </w:tc>
              <w:tc>
                <w:tcPr>
                  <w:tcW w:w="660" w:type="dxa"/>
                  <w:vAlign w:val="center"/>
                </w:tcPr>
                <w:p w14:paraId="1B06F9E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1.70</w:t>
                  </w:r>
                </w:p>
              </w:tc>
              <w:tc>
                <w:tcPr>
                  <w:tcW w:w="746" w:type="dxa"/>
                  <w:vAlign w:val="center"/>
                </w:tcPr>
                <w:p w14:paraId="67FC507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2.97</w:t>
                  </w:r>
                </w:p>
              </w:tc>
              <w:tc>
                <w:tcPr>
                  <w:tcW w:w="1103" w:type="dxa"/>
                  <w:vAlign w:val="center"/>
                </w:tcPr>
                <w:p w14:paraId="5877AF8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15.20</w:t>
                  </w:r>
                </w:p>
              </w:tc>
              <w:tc>
                <w:tcPr>
                  <w:tcW w:w="991" w:type="dxa"/>
                  <w:vAlign w:val="center"/>
                </w:tcPr>
                <w:p w14:paraId="07AB21B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23.63</w:t>
                  </w:r>
                </w:p>
              </w:tc>
            </w:tr>
          </w:tbl>
          <w:p w14:paraId="4BF84EAF">
            <w:pPr>
              <w:pStyle w:val="36"/>
              <w:bidi w:val="0"/>
              <w:ind w:left="0" w:leftChars="0" w:firstLine="0" w:firstLineChars="0"/>
              <w:rPr>
                <w:rFonts w:hint="default" w:eastAsia="宋体"/>
                <w:lang w:val="en-US" w:eastAsia="zh-CN"/>
              </w:rPr>
            </w:pPr>
          </w:p>
        </w:tc>
      </w:tr>
      <w:tr w14:paraId="4AC92F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5" w:type="pct"/>
            <w:vAlign w:val="center"/>
          </w:tcPr>
          <w:p w14:paraId="4F1A2C6F">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auto"/>
              </w:rPr>
            </w:pPr>
            <w:r>
              <w:rPr>
                <w:rFonts w:hint="default"/>
                <w:color w:val="auto"/>
              </w:rPr>
              <w:t>总平面及现场布置</w:t>
            </w:r>
          </w:p>
        </w:tc>
        <w:tc>
          <w:tcPr>
            <w:tcW w:w="4654" w:type="pct"/>
            <w:vAlign w:val="center"/>
          </w:tcPr>
          <w:p w14:paraId="79B2AC73">
            <w:pPr>
              <w:pStyle w:val="36"/>
              <w:bidi w:val="0"/>
              <w:rPr>
                <w:rFonts w:hint="default"/>
                <w:b/>
                <w:bCs/>
                <w:color w:val="auto"/>
              </w:rPr>
            </w:pPr>
            <w:r>
              <w:rPr>
                <w:rFonts w:hint="eastAsia"/>
                <w:b/>
                <w:bCs/>
                <w:color w:val="auto"/>
                <w:lang w:val="en-US" w:eastAsia="zh-CN"/>
              </w:rPr>
              <w:t>一、</w:t>
            </w:r>
            <w:r>
              <w:rPr>
                <w:rFonts w:hint="default"/>
                <w:b/>
                <w:bCs/>
                <w:color w:val="auto"/>
              </w:rPr>
              <w:t>工程布置</w:t>
            </w:r>
          </w:p>
          <w:p w14:paraId="25FF5E17">
            <w:pPr>
              <w:numPr>
                <w:ilvl w:val="0"/>
                <w:numId w:val="0"/>
              </w:numPr>
              <w:bidi w:val="0"/>
              <w:ind w:firstLine="480" w:firstLineChars="200"/>
              <w:rPr>
                <w:rFonts w:hint="default"/>
                <w:b/>
                <w:bCs/>
                <w:color w:val="auto"/>
              </w:rPr>
            </w:pPr>
            <w:r>
              <w:rPr>
                <w:rFonts w:hint="eastAsia"/>
                <w:color w:val="auto"/>
              </w:rPr>
              <w:t>根据工程轴线布置原则综合考虑河道现状，并结合生态治河理念，在尽量满足河道排涝水流、行洪要求及护岸工程安全的前堤下，为节省工程量，增加保护耕地面积，减少征地补偿费及征地协调问题，本次治理段河道断面拟定如下：护岸及堤防工程基本沿现状河岸布置，保持原有河道的蜿蜒、曲折，以缓解洪峰，消减流水能量，控制流速，减少对河岸的冲刷，并为水生生物提供繁衍及洪峰来临时的避难场所，增加了河道的生物多样性，体现“人水相亲，自然和谐”的生态治河理念。</w:t>
            </w:r>
          </w:p>
          <w:p w14:paraId="4BD1E890">
            <w:pPr>
              <w:pStyle w:val="36"/>
              <w:bidi w:val="0"/>
              <w:rPr>
                <w:rFonts w:hint="default"/>
                <w:b/>
                <w:bCs/>
                <w:color w:val="auto"/>
              </w:rPr>
            </w:pPr>
            <w:r>
              <w:rPr>
                <w:rFonts w:hint="eastAsia"/>
                <w:b/>
                <w:bCs/>
                <w:color w:val="auto"/>
                <w:lang w:val="en-US" w:eastAsia="zh-CN"/>
              </w:rPr>
              <w:t>二、</w:t>
            </w:r>
            <w:r>
              <w:rPr>
                <w:rFonts w:hint="default"/>
                <w:b/>
                <w:bCs/>
                <w:color w:val="auto"/>
              </w:rPr>
              <w:t>施工总布置</w:t>
            </w:r>
          </w:p>
          <w:p w14:paraId="0EEB4EB4">
            <w:pPr>
              <w:pStyle w:val="36"/>
              <w:bidi w:val="0"/>
              <w:rPr>
                <w:rFonts w:hint="eastAsia"/>
                <w:b/>
                <w:bCs/>
                <w:color w:val="auto"/>
              </w:rPr>
            </w:pPr>
            <w:r>
              <w:rPr>
                <w:rFonts w:hint="eastAsia"/>
                <w:b/>
                <w:bCs/>
                <w:color w:val="auto"/>
                <w:lang w:val="en-US" w:eastAsia="zh-CN"/>
              </w:rPr>
              <w:t>1、</w:t>
            </w:r>
            <w:r>
              <w:rPr>
                <w:rFonts w:hint="eastAsia"/>
                <w:b/>
                <w:bCs/>
                <w:color w:val="auto"/>
              </w:rPr>
              <w:t>施工总布置规划原则</w:t>
            </w:r>
          </w:p>
          <w:p w14:paraId="19EECE7E">
            <w:pPr>
              <w:pStyle w:val="36"/>
              <w:bidi w:val="0"/>
              <w:rPr>
                <w:rFonts w:hint="default" w:ascii="Times New Roman" w:hAnsi="Times New Roman" w:cs="Times New Roman"/>
                <w:color w:val="auto"/>
              </w:rPr>
            </w:pPr>
            <w:r>
              <w:rPr>
                <w:rFonts w:hint="default" w:ascii="Times New Roman" w:hAnsi="Times New Roman" w:cs="Times New Roman"/>
                <w:color w:val="auto"/>
              </w:rPr>
              <w:t>（1）结合工程施工特点及工期，尽量简化施工程序、减少临建工程规模，减少占用土地和环境污染等。</w:t>
            </w:r>
          </w:p>
          <w:p w14:paraId="56E8C866">
            <w:pPr>
              <w:pStyle w:val="36"/>
              <w:bidi w:val="0"/>
              <w:rPr>
                <w:rFonts w:hint="default" w:ascii="Times New Roman" w:hAnsi="Times New Roman" w:cs="Times New Roman"/>
                <w:color w:val="auto"/>
              </w:rPr>
            </w:pPr>
            <w:r>
              <w:rPr>
                <w:rFonts w:hint="default" w:ascii="Times New Roman" w:hAnsi="Times New Roman" w:cs="Times New Roman"/>
                <w:color w:val="auto"/>
              </w:rPr>
              <w:t>（2）以主体工程施工需要为中心，统筹兼顾，全面规划，布置紧凑，少占耕地，便于管理，方便生产和生活，减少相互干扰。</w:t>
            </w:r>
          </w:p>
          <w:p w14:paraId="0049BCF2">
            <w:pPr>
              <w:pStyle w:val="36"/>
              <w:bidi w:val="0"/>
              <w:rPr>
                <w:rFonts w:hint="default" w:ascii="Times New Roman" w:hAnsi="Times New Roman" w:cs="Times New Roman"/>
                <w:color w:val="auto"/>
              </w:rPr>
            </w:pPr>
            <w:r>
              <w:rPr>
                <w:rFonts w:hint="default" w:ascii="Times New Roman" w:hAnsi="Times New Roman" w:cs="Times New Roman"/>
                <w:color w:val="auto"/>
              </w:rPr>
              <w:t>（3）根据工程特性，结合施工程序及工程进度安排，合理分区布置临建项目。</w:t>
            </w:r>
          </w:p>
          <w:p w14:paraId="500BDB6C">
            <w:pPr>
              <w:pStyle w:val="36"/>
              <w:bidi w:val="0"/>
              <w:rPr>
                <w:rFonts w:hint="default" w:ascii="Times New Roman" w:hAnsi="Times New Roman" w:cs="Times New Roman"/>
                <w:color w:val="auto"/>
              </w:rPr>
            </w:pPr>
            <w:r>
              <w:rPr>
                <w:rFonts w:hint="default" w:ascii="Times New Roman" w:hAnsi="Times New Roman" w:cs="Times New Roman"/>
                <w:color w:val="auto"/>
              </w:rPr>
              <w:t>（4）施工场地布置应靠近工程区，便于工程施工要求，避免和减少物料的重复倒运。</w:t>
            </w:r>
          </w:p>
          <w:p w14:paraId="600AA3B2">
            <w:pPr>
              <w:pStyle w:val="36"/>
              <w:bidi w:val="0"/>
              <w:rPr>
                <w:rFonts w:hint="default" w:ascii="Times New Roman" w:hAnsi="Times New Roman" w:cs="Times New Roman"/>
                <w:color w:val="auto"/>
                <w:lang w:eastAsia="zh-CN"/>
              </w:rPr>
            </w:pPr>
            <w:r>
              <w:rPr>
                <w:rFonts w:hint="default" w:ascii="Times New Roman" w:hAnsi="Times New Roman" w:cs="Times New Roman"/>
                <w:color w:val="auto"/>
              </w:rPr>
              <w:t>（5）开挖土石方就近堆放于河道沿岸，用于临时施工道路及后期护岸回填</w:t>
            </w:r>
            <w:r>
              <w:rPr>
                <w:rFonts w:hint="default" w:ascii="Times New Roman" w:hAnsi="Times New Roman" w:cs="Times New Roman"/>
                <w:color w:val="auto"/>
                <w:lang w:eastAsia="zh-CN"/>
              </w:rPr>
              <w:t>。</w:t>
            </w:r>
          </w:p>
          <w:p w14:paraId="034F8847">
            <w:pPr>
              <w:pStyle w:val="36"/>
              <w:bidi w:val="0"/>
              <w:rPr>
                <w:b/>
                <w:bCs/>
                <w:color w:val="auto"/>
              </w:rPr>
            </w:pPr>
            <w:r>
              <w:rPr>
                <w:rFonts w:hint="eastAsia"/>
                <w:b/>
                <w:bCs/>
                <w:color w:val="auto"/>
                <w:lang w:val="en-US" w:eastAsia="zh-CN"/>
              </w:rPr>
              <w:t>2、</w:t>
            </w:r>
            <w:r>
              <w:rPr>
                <w:rFonts w:hint="eastAsia"/>
                <w:b/>
                <w:bCs/>
                <w:color w:val="auto"/>
              </w:rPr>
              <w:t>施工分区布置规划</w:t>
            </w:r>
          </w:p>
          <w:p w14:paraId="1EFDF861">
            <w:pPr>
              <w:pStyle w:val="36"/>
              <w:bidi w:val="0"/>
              <w:rPr>
                <w:rFonts w:hint="eastAsia"/>
                <w:color w:val="auto"/>
              </w:rPr>
            </w:pPr>
            <w:r>
              <w:rPr>
                <w:rFonts w:hint="eastAsia"/>
                <w:color w:val="auto"/>
              </w:rPr>
              <w:t>工程建设单位总管理机构办公室设在水利局，由有关负责人及技术人员组成。由于本工程地形平缓、开阔，便于施工布置，施工总布置根据工程特性，施工单位</w:t>
            </w:r>
          </w:p>
          <w:p w14:paraId="35C21479">
            <w:pPr>
              <w:pStyle w:val="36"/>
              <w:bidi w:val="0"/>
              <w:rPr>
                <w:rFonts w:hint="eastAsia"/>
                <w:color w:val="auto"/>
              </w:rPr>
            </w:pPr>
            <w:r>
              <w:rPr>
                <w:rFonts w:hint="eastAsia"/>
                <w:color w:val="auto"/>
              </w:rPr>
              <w:t>管理机构办公及生活区沿河岸布置，共布置4个施工生产生活区。</w:t>
            </w:r>
          </w:p>
          <w:p w14:paraId="21547A24">
            <w:pPr>
              <w:pStyle w:val="36"/>
              <w:bidi w:val="0"/>
              <w:rPr>
                <w:rFonts w:hint="eastAsia"/>
                <w:color w:val="auto"/>
              </w:rPr>
            </w:pPr>
            <w:r>
              <w:rPr>
                <w:rFonts w:hint="eastAsia"/>
                <w:color w:val="auto"/>
              </w:rPr>
              <w:t>工程区施工供电、通讯、机械修理等主要利用当地已有设施，施工现场不另设施工机械及汽车维修和保养厂，现场仅设水泥、钢筋、石料、砂料备料场、施工机械及汽车停放场、施工人员及管理人员宿舍等。</w:t>
            </w:r>
          </w:p>
          <w:p w14:paraId="67164585">
            <w:pPr>
              <w:pStyle w:val="36"/>
              <w:bidi w:val="0"/>
              <w:rPr>
                <w:rFonts w:hint="eastAsia"/>
                <w:color w:val="auto"/>
              </w:rPr>
            </w:pPr>
            <w:r>
              <w:rPr>
                <w:rFonts w:hint="eastAsia"/>
                <w:color w:val="auto"/>
              </w:rPr>
              <w:t>根据场地现有条件，工程区施工要求及布置原则，布置场内临时施工道路16.36km，宽4.0m；沿治理河段布置材料堆存场及施工生产生活营地4个，生产生活营地内设置办公生活区、综合仓库、机械停放场，总占地面积600m</w:t>
            </w:r>
            <w:r>
              <w:rPr>
                <w:rFonts w:hint="eastAsia"/>
                <w:color w:val="auto"/>
                <w:vertAlign w:val="superscript"/>
              </w:rPr>
              <w:t>2</w:t>
            </w:r>
            <w:r>
              <w:rPr>
                <w:rFonts w:hint="eastAsia"/>
                <w:color w:val="auto"/>
              </w:rPr>
              <w:t xml:space="preserve"> ，其中材料堆放场占地300m</w:t>
            </w:r>
            <w:r>
              <w:rPr>
                <w:rFonts w:hint="eastAsia"/>
                <w:color w:val="auto"/>
                <w:vertAlign w:val="superscript"/>
              </w:rPr>
              <w:t>2</w:t>
            </w:r>
            <w:r>
              <w:rPr>
                <w:rFonts w:hint="eastAsia"/>
                <w:color w:val="auto"/>
              </w:rPr>
              <w:t>，机械停放场占地130m</w:t>
            </w:r>
            <w:r>
              <w:rPr>
                <w:rFonts w:hint="eastAsia"/>
                <w:color w:val="auto"/>
                <w:vertAlign w:val="superscript"/>
              </w:rPr>
              <w:t>2</w:t>
            </w:r>
            <w:r>
              <w:rPr>
                <w:rFonts w:hint="eastAsia"/>
                <w:color w:val="auto"/>
              </w:rPr>
              <w:t>，综合仓库占地 80m</w:t>
            </w:r>
            <w:r>
              <w:rPr>
                <w:rFonts w:hint="eastAsia"/>
                <w:color w:val="auto"/>
                <w:vertAlign w:val="superscript"/>
              </w:rPr>
              <w:t>2</w:t>
            </w:r>
            <w:r>
              <w:rPr>
                <w:rFonts w:hint="eastAsia"/>
                <w:color w:val="auto"/>
              </w:rPr>
              <w:t>，办公生活区占地90m</w:t>
            </w:r>
            <w:r>
              <w:rPr>
                <w:rFonts w:hint="eastAsia"/>
                <w:color w:val="auto"/>
                <w:vertAlign w:val="superscript"/>
              </w:rPr>
              <w:t>2</w:t>
            </w:r>
            <w:r>
              <w:rPr>
                <w:rFonts w:hint="eastAsia"/>
                <w:color w:val="auto"/>
              </w:rPr>
              <w:t>。</w:t>
            </w:r>
          </w:p>
          <w:p w14:paraId="2038F1EE">
            <w:pPr>
              <w:pStyle w:val="36"/>
              <w:bidi w:val="0"/>
              <w:rPr>
                <w:b/>
                <w:bCs/>
                <w:color w:val="auto"/>
              </w:rPr>
            </w:pPr>
            <w:r>
              <w:rPr>
                <w:rFonts w:hint="eastAsia"/>
                <w:b/>
                <w:bCs/>
                <w:color w:val="auto"/>
                <w:lang w:val="en-US" w:eastAsia="zh-CN"/>
              </w:rPr>
              <w:t>3、</w:t>
            </w:r>
            <w:r>
              <w:rPr>
                <w:rFonts w:hint="eastAsia"/>
                <w:b/>
                <w:bCs/>
                <w:color w:val="auto"/>
              </w:rPr>
              <w:t>施工</w:t>
            </w:r>
            <w:r>
              <w:rPr>
                <w:rFonts w:hint="eastAsia"/>
                <w:b/>
                <w:bCs/>
                <w:color w:val="auto"/>
                <w:lang w:eastAsia="zh-CN"/>
              </w:rPr>
              <w:t>场地</w:t>
            </w:r>
            <w:r>
              <w:rPr>
                <w:rFonts w:hint="eastAsia"/>
                <w:b/>
                <w:bCs/>
                <w:color w:val="auto"/>
              </w:rPr>
              <w:t>及临建设施规划</w:t>
            </w:r>
          </w:p>
          <w:p w14:paraId="7D6CAB1B">
            <w:pPr>
              <w:pStyle w:val="36"/>
              <w:bidi w:val="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rFonts w:hint="eastAsia"/>
                <w:color w:val="auto"/>
              </w:rPr>
              <w:t>机械修配及综合加工系统</w:t>
            </w:r>
          </w:p>
          <w:p w14:paraId="2E0E592A">
            <w:pPr>
              <w:pStyle w:val="36"/>
              <w:bidi w:val="0"/>
              <w:rPr>
                <w:color w:val="auto"/>
              </w:rPr>
            </w:pPr>
            <w:r>
              <w:rPr>
                <w:rFonts w:hint="eastAsia"/>
                <w:color w:val="auto"/>
              </w:rPr>
              <w:t>由于项目地条件简陋，工地距离县城不远，可利用县城的修配、加工条件，工地不再设大型机修厂。</w:t>
            </w:r>
          </w:p>
          <w:p w14:paraId="08439F63">
            <w:pPr>
              <w:pStyle w:val="36"/>
              <w:bidi w:val="0"/>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rFonts w:hint="eastAsia"/>
                <w:color w:val="auto"/>
              </w:rPr>
              <w:t>砂石加工系统</w:t>
            </w:r>
          </w:p>
          <w:p w14:paraId="7352563B">
            <w:pPr>
              <w:pStyle w:val="36"/>
              <w:bidi w:val="0"/>
              <w:rPr>
                <w:color w:val="auto"/>
              </w:rPr>
            </w:pPr>
            <w:r>
              <w:rPr>
                <w:rFonts w:hint="eastAsia"/>
                <w:color w:val="auto"/>
              </w:rPr>
              <w:t>本工程砂石料全部外购，不设置砂石料加工系统。</w:t>
            </w:r>
          </w:p>
          <w:p w14:paraId="7525595E">
            <w:pPr>
              <w:pStyle w:val="36"/>
              <w:bidi w:val="0"/>
              <w:rPr>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rFonts w:hint="eastAsia"/>
                <w:color w:val="auto"/>
              </w:rPr>
              <w:t>混凝土加工系统</w:t>
            </w:r>
          </w:p>
          <w:p w14:paraId="0985BE2C">
            <w:pPr>
              <w:pStyle w:val="36"/>
              <w:bidi w:val="0"/>
              <w:rPr>
                <w:color w:val="auto"/>
              </w:rPr>
            </w:pPr>
            <w:r>
              <w:rPr>
                <w:rFonts w:hint="eastAsia"/>
                <w:color w:val="auto"/>
              </w:rPr>
              <w:t>本</w:t>
            </w:r>
            <w:r>
              <w:rPr>
                <w:color w:val="auto"/>
              </w:rPr>
              <w:t>工程混凝土用于</w:t>
            </w:r>
            <w:r>
              <w:rPr>
                <w:rFonts w:hint="eastAsia"/>
                <w:color w:val="auto"/>
              </w:rPr>
              <w:t>框格梁及蹬脚等</w:t>
            </w:r>
            <w:r>
              <w:rPr>
                <w:color w:val="auto"/>
              </w:rPr>
              <w:t>的浇筑，</w:t>
            </w:r>
            <w:r>
              <w:rPr>
                <w:rFonts w:hint="eastAsia"/>
                <w:color w:val="auto"/>
              </w:rPr>
              <w:t>使用</w:t>
            </w:r>
            <w:r>
              <w:rPr>
                <w:color w:val="auto"/>
              </w:rPr>
              <w:t>位置较为分散，因此，混凝土拌和设施</w:t>
            </w:r>
            <w:r>
              <w:rPr>
                <w:rFonts w:hint="eastAsia"/>
                <w:color w:val="auto"/>
              </w:rPr>
              <w:t>采用</w:t>
            </w:r>
            <w:r>
              <w:rPr>
                <w:color w:val="auto"/>
              </w:rPr>
              <w:t>分散布置</w:t>
            </w:r>
            <w:r>
              <w:rPr>
                <w:rFonts w:hint="eastAsia"/>
                <w:color w:val="auto"/>
              </w:rPr>
              <w:t>、</w:t>
            </w:r>
            <w:r>
              <w:rPr>
                <w:color w:val="auto"/>
              </w:rPr>
              <w:t>分散拌和、分散供料的原则</w:t>
            </w:r>
            <w:r>
              <w:rPr>
                <w:rFonts w:hint="eastAsia"/>
                <w:color w:val="auto"/>
              </w:rPr>
              <w:t>。</w:t>
            </w:r>
            <w:r>
              <w:rPr>
                <w:color w:val="auto"/>
              </w:rPr>
              <w:t>混凝土拌和站</w:t>
            </w:r>
            <w:r>
              <w:rPr>
                <w:rFonts w:hint="eastAsia"/>
                <w:color w:val="auto"/>
              </w:rPr>
              <w:t>及</w:t>
            </w:r>
            <w:r>
              <w:rPr>
                <w:color w:val="auto"/>
              </w:rPr>
              <w:t>相应的</w:t>
            </w:r>
            <w:r>
              <w:rPr>
                <w:rFonts w:hint="eastAsia"/>
                <w:color w:val="auto"/>
              </w:rPr>
              <w:t>骨料</w:t>
            </w:r>
            <w:r>
              <w:rPr>
                <w:color w:val="auto"/>
              </w:rPr>
              <w:t>堆放场均布置在</w:t>
            </w:r>
            <w:r>
              <w:rPr>
                <w:rFonts w:hint="eastAsia"/>
                <w:color w:val="auto"/>
              </w:rPr>
              <w:t>河岸公路边</w:t>
            </w:r>
            <w:r>
              <w:rPr>
                <w:color w:val="auto"/>
              </w:rPr>
              <w:t>，根据堤线长度，均衡布置，采用移动式混凝土</w:t>
            </w:r>
            <w:r>
              <w:rPr>
                <w:rFonts w:hint="eastAsia"/>
                <w:color w:val="auto"/>
                <w:lang w:eastAsia="zh-CN"/>
              </w:rPr>
              <w:t>拌和站</w:t>
            </w:r>
            <w:r>
              <w:rPr>
                <w:color w:val="auto"/>
              </w:rPr>
              <w:t>，每个</w:t>
            </w:r>
            <w:r>
              <w:rPr>
                <w:rFonts w:hint="eastAsia"/>
                <w:color w:val="auto"/>
                <w:lang w:eastAsia="zh-CN"/>
              </w:rPr>
              <w:t>拌和站</w:t>
            </w:r>
            <w:r>
              <w:rPr>
                <w:rFonts w:hint="eastAsia"/>
                <w:color w:val="auto"/>
              </w:rPr>
              <w:t>设</w:t>
            </w:r>
            <w:r>
              <w:rPr>
                <w:color w:val="auto"/>
              </w:rPr>
              <w:t>1</w:t>
            </w:r>
            <w:r>
              <w:rPr>
                <w:rFonts w:hint="eastAsia"/>
                <w:color w:val="auto"/>
              </w:rPr>
              <w:t>台0.</w:t>
            </w:r>
            <w:r>
              <w:rPr>
                <w:color w:val="auto"/>
              </w:rPr>
              <w:t>4m</w:t>
            </w:r>
            <w:r>
              <w:rPr>
                <w:color w:val="auto"/>
                <w:vertAlign w:val="superscript"/>
              </w:rPr>
              <w:t>3</w:t>
            </w:r>
            <w:r>
              <w:rPr>
                <w:rFonts w:hint="eastAsia"/>
                <w:color w:val="auto"/>
              </w:rPr>
              <w:t>混凝土</w:t>
            </w:r>
            <w:r>
              <w:rPr>
                <w:color w:val="auto"/>
              </w:rPr>
              <w:t>搅拌机。</w:t>
            </w:r>
          </w:p>
          <w:p w14:paraId="549E8764">
            <w:pPr>
              <w:pStyle w:val="36"/>
              <w:bidi w:val="0"/>
              <w:rPr>
                <w:color w:val="auto"/>
              </w:rPr>
            </w:pPr>
            <w:r>
              <w:rPr>
                <w:rFonts w:hint="eastAsia"/>
                <w:color w:val="auto"/>
                <w:lang w:eastAsia="zh-CN"/>
              </w:rPr>
              <w:t>（</w:t>
            </w:r>
            <w:r>
              <w:rPr>
                <w:rFonts w:hint="eastAsia"/>
                <w:color w:val="auto"/>
                <w:lang w:val="en-US" w:eastAsia="zh-CN"/>
              </w:rPr>
              <w:t>4</w:t>
            </w:r>
            <w:r>
              <w:rPr>
                <w:rFonts w:hint="eastAsia"/>
                <w:color w:val="auto"/>
                <w:lang w:eastAsia="zh-CN"/>
              </w:rPr>
              <w:t>）</w:t>
            </w:r>
            <w:r>
              <w:rPr>
                <w:rFonts w:hint="eastAsia"/>
                <w:color w:val="auto"/>
              </w:rPr>
              <w:t>施工供水系统</w:t>
            </w:r>
          </w:p>
          <w:p w14:paraId="765644E0">
            <w:pPr>
              <w:pStyle w:val="36"/>
              <w:bidi w:val="0"/>
              <w:rPr>
                <w:color w:val="auto"/>
              </w:rPr>
            </w:pPr>
            <w:r>
              <w:rPr>
                <w:rFonts w:hint="eastAsia"/>
                <w:color w:val="auto"/>
              </w:rPr>
              <w:t>施工用水主要为混凝土和砂浆</w:t>
            </w:r>
            <w:r>
              <w:rPr>
                <w:rFonts w:hint="eastAsia"/>
                <w:color w:val="auto"/>
                <w:lang w:eastAsia="zh-CN"/>
              </w:rPr>
              <w:t>拌和</w:t>
            </w:r>
            <w:r>
              <w:rPr>
                <w:rFonts w:hint="eastAsia"/>
                <w:color w:val="auto"/>
              </w:rPr>
              <w:t>用水，可直接从河中抽取供给。生活用水由附近村庄饮水水源供给。</w:t>
            </w:r>
          </w:p>
          <w:p w14:paraId="29AA8F12">
            <w:pPr>
              <w:pStyle w:val="36"/>
              <w:bidi w:val="0"/>
              <w:rPr>
                <w:color w:val="auto"/>
              </w:rPr>
            </w:pPr>
            <w:r>
              <w:rPr>
                <w:rFonts w:hint="eastAsia"/>
                <w:color w:val="auto"/>
                <w:lang w:eastAsia="zh-CN"/>
              </w:rPr>
              <w:t>（</w:t>
            </w:r>
            <w:r>
              <w:rPr>
                <w:rFonts w:hint="eastAsia"/>
                <w:color w:val="auto"/>
                <w:lang w:val="en-US" w:eastAsia="zh-CN"/>
              </w:rPr>
              <w:t>5</w:t>
            </w:r>
            <w:r>
              <w:rPr>
                <w:rFonts w:hint="eastAsia"/>
                <w:color w:val="auto"/>
                <w:lang w:eastAsia="zh-CN"/>
              </w:rPr>
              <w:t>）</w:t>
            </w:r>
            <w:r>
              <w:rPr>
                <w:rFonts w:hint="eastAsia"/>
                <w:color w:val="auto"/>
              </w:rPr>
              <w:t>施工供电系统</w:t>
            </w:r>
          </w:p>
          <w:p w14:paraId="6E1377C3">
            <w:pPr>
              <w:pStyle w:val="36"/>
              <w:bidi w:val="0"/>
              <w:rPr>
                <w:color w:val="auto"/>
              </w:rPr>
            </w:pPr>
            <w:r>
              <w:rPr>
                <w:rFonts w:hint="eastAsia"/>
                <w:color w:val="auto"/>
              </w:rPr>
              <w:t>施工现场距村寨输电线路较</w:t>
            </w:r>
            <w:r>
              <w:rPr>
                <w:rFonts w:hint="eastAsia"/>
                <w:color w:val="auto"/>
                <w:lang w:eastAsia="zh-CN"/>
              </w:rPr>
              <w:t>近的</w:t>
            </w:r>
            <w:r>
              <w:rPr>
                <w:rFonts w:hint="eastAsia"/>
                <w:color w:val="auto"/>
              </w:rPr>
              <w:t>工程区施工用电可就近从村落农网引接。</w:t>
            </w:r>
            <w:r>
              <w:rPr>
                <w:rFonts w:hint="eastAsia"/>
                <w:color w:val="auto"/>
                <w:lang w:eastAsia="zh-CN"/>
              </w:rPr>
              <w:t>条件不便利的工程区施工</w:t>
            </w:r>
            <w:r>
              <w:rPr>
                <w:color w:val="auto"/>
              </w:rPr>
              <w:t>用电采用100%的柴油发电机供电</w:t>
            </w:r>
            <w:r>
              <w:rPr>
                <w:rFonts w:hint="eastAsia"/>
                <w:color w:val="auto"/>
              </w:rPr>
              <w:t>。</w:t>
            </w:r>
          </w:p>
          <w:p w14:paraId="7B61241A">
            <w:pPr>
              <w:pStyle w:val="36"/>
              <w:bidi w:val="0"/>
              <w:rPr>
                <w:color w:val="auto"/>
              </w:rPr>
            </w:pPr>
            <w:r>
              <w:rPr>
                <w:rFonts w:hint="eastAsia"/>
                <w:color w:val="auto"/>
                <w:lang w:eastAsia="zh-CN"/>
              </w:rPr>
              <w:t>（</w:t>
            </w:r>
            <w:r>
              <w:rPr>
                <w:rFonts w:hint="eastAsia"/>
                <w:color w:val="auto"/>
                <w:lang w:val="en-US" w:eastAsia="zh-CN"/>
              </w:rPr>
              <w:t>6</w:t>
            </w:r>
            <w:r>
              <w:rPr>
                <w:rFonts w:hint="eastAsia"/>
                <w:color w:val="auto"/>
                <w:lang w:eastAsia="zh-CN"/>
              </w:rPr>
              <w:t>）</w:t>
            </w:r>
            <w:r>
              <w:rPr>
                <w:rFonts w:hint="eastAsia"/>
                <w:color w:val="auto"/>
              </w:rPr>
              <w:t>施工通讯系统</w:t>
            </w:r>
          </w:p>
          <w:p w14:paraId="48423B80">
            <w:pPr>
              <w:pStyle w:val="36"/>
              <w:bidi w:val="0"/>
              <w:rPr>
                <w:rFonts w:hint="eastAsia"/>
                <w:color w:val="auto"/>
              </w:rPr>
            </w:pPr>
            <w:r>
              <w:rPr>
                <w:rFonts w:hint="eastAsia"/>
                <w:color w:val="auto"/>
              </w:rPr>
              <w:t>工程区已有移动通信基站，通信发达，对外及内部联系可采用移动电话进行联系</w:t>
            </w:r>
          </w:p>
          <w:p w14:paraId="23709AD2">
            <w:pPr>
              <w:pStyle w:val="36"/>
              <w:bidi w:val="0"/>
              <w:rPr>
                <w:rFonts w:hint="eastAsia" w:eastAsia="宋体"/>
                <w:color w:val="auto"/>
                <w:lang w:eastAsia="zh-CN"/>
              </w:rPr>
            </w:pPr>
            <w:r>
              <w:rPr>
                <w:rFonts w:hint="eastAsia"/>
                <w:b/>
                <w:bCs/>
                <w:color w:val="auto"/>
                <w:lang w:val="en-US" w:eastAsia="zh-CN"/>
              </w:rPr>
              <w:t>4、</w:t>
            </w:r>
            <w:r>
              <w:rPr>
                <w:rFonts w:hint="eastAsia"/>
                <w:b/>
                <w:bCs/>
                <w:color w:val="auto"/>
              </w:rPr>
              <w:t>施工</w:t>
            </w:r>
            <w:r>
              <w:rPr>
                <w:b/>
                <w:bCs/>
                <w:color w:val="auto"/>
              </w:rPr>
              <w:t>交通运输</w:t>
            </w:r>
          </w:p>
          <w:p w14:paraId="5178760B">
            <w:pPr>
              <w:pStyle w:val="36"/>
              <w:bidi w:val="0"/>
              <w:rPr>
                <w:rFonts w:hint="eastAsia"/>
                <w:b/>
                <w:bCs/>
                <w:color w:val="auto"/>
                <w:lang w:val="en-US" w:eastAsia="zh-CN"/>
              </w:rPr>
            </w:pPr>
            <w:r>
              <w:rPr>
                <w:rFonts w:hint="eastAsia"/>
                <w:b/>
                <w:bCs/>
                <w:color w:val="auto"/>
                <w:lang w:val="en-US" w:eastAsia="zh-CN"/>
              </w:rPr>
              <w:t>（1）对外交通</w:t>
            </w:r>
          </w:p>
          <w:p w14:paraId="01797213">
            <w:pPr>
              <w:pStyle w:val="36"/>
              <w:bidi w:val="0"/>
              <w:rPr>
                <w:rFonts w:hint="eastAsia"/>
                <w:b w:val="0"/>
                <w:bCs w:val="0"/>
                <w:color w:val="auto"/>
                <w:lang w:val="en-US" w:eastAsia="zh-CN"/>
              </w:rPr>
            </w:pPr>
            <w:r>
              <w:rPr>
                <w:rFonts w:hint="eastAsia"/>
                <w:b w:val="0"/>
                <w:bCs w:val="0"/>
                <w:color w:val="auto"/>
                <w:lang w:val="en-US" w:eastAsia="zh-CN"/>
              </w:rPr>
              <w:t>芒市果朗河大新寨至芒里大桥段治理工程位于云南省德宏州芒市境内，治理起点为勐戛镇大新寨村，治理终点为风平镇芒里村芒里大桥，项目区距离勐戛镇最近0.5km，距离风平镇10.2km，距离芒市10km～35km，距离昆明市689km～714km，工程区现有乡村公路及机耕路通达，施工交通运输较为方便。</w:t>
            </w:r>
          </w:p>
          <w:p w14:paraId="4B848BCA">
            <w:pPr>
              <w:pStyle w:val="36"/>
              <w:numPr>
                <w:ilvl w:val="0"/>
                <w:numId w:val="4"/>
              </w:numPr>
              <w:bidi w:val="0"/>
              <w:rPr>
                <w:rFonts w:hint="eastAsia"/>
                <w:b/>
                <w:bCs/>
                <w:color w:val="auto"/>
                <w:lang w:val="en-US" w:eastAsia="zh-CN"/>
              </w:rPr>
            </w:pPr>
            <w:r>
              <w:rPr>
                <w:rFonts w:hint="eastAsia"/>
                <w:b/>
                <w:bCs/>
                <w:color w:val="auto"/>
                <w:lang w:val="en-US" w:eastAsia="zh-CN"/>
              </w:rPr>
              <w:t>对内交通</w:t>
            </w:r>
          </w:p>
          <w:p w14:paraId="32F5DA93">
            <w:pPr>
              <w:pStyle w:val="36"/>
              <w:keepNext w:val="0"/>
              <w:keepLines w:val="0"/>
              <w:pageBreakBefore w:val="0"/>
              <w:widowControl w:val="0"/>
              <w:numPr>
                <w:ilvl w:val="0"/>
                <w:numId w:val="0"/>
              </w:numPr>
              <w:kinsoku/>
              <w:wordWrap/>
              <w:overflowPunct/>
              <w:topLinePunct w:val="0"/>
              <w:autoSpaceDE/>
              <w:autoSpaceDN/>
              <w:bidi w:val="0"/>
              <w:adjustRightInd w:val="0"/>
              <w:snapToGrid/>
              <w:ind w:leftChars="0" w:right="0" w:rightChars="0" w:firstLine="480" w:firstLineChars="200"/>
              <w:textAlignment w:val="baseline"/>
              <w:rPr>
                <w:rFonts w:hint="eastAsia"/>
                <w:b w:val="0"/>
                <w:bCs w:val="0"/>
                <w:color w:val="auto"/>
                <w:lang w:val="en-US" w:eastAsia="zh-CN"/>
              </w:rPr>
            </w:pPr>
            <w:r>
              <w:rPr>
                <w:rFonts w:hint="eastAsia"/>
                <w:b w:val="0"/>
                <w:bCs w:val="0"/>
                <w:color w:val="auto"/>
                <w:lang w:val="en-US" w:eastAsia="zh-CN"/>
              </w:rPr>
              <w:t>根据工程区内现有道路，需新建16.36km临时施工道路，组成施工道路网，以保证工程建设物资运输和施工的顺利进行。新建临时施工道路宽4.0m，根据现场实际情况沿河道沿岸布设。</w:t>
            </w:r>
          </w:p>
          <w:p w14:paraId="411E0271">
            <w:pPr>
              <w:pStyle w:val="36"/>
              <w:bidi w:val="0"/>
              <w:rPr>
                <w:b/>
                <w:bCs/>
                <w:color w:val="auto"/>
              </w:rPr>
            </w:pPr>
            <w:r>
              <w:rPr>
                <w:rFonts w:hint="eastAsia"/>
                <w:b/>
                <w:bCs/>
                <w:color w:val="auto"/>
                <w:lang w:val="en-US" w:eastAsia="zh-CN"/>
              </w:rPr>
              <w:t>5、</w:t>
            </w:r>
            <w:r>
              <w:rPr>
                <w:rFonts w:hint="eastAsia"/>
                <w:b/>
                <w:bCs/>
                <w:color w:val="auto"/>
              </w:rPr>
              <w:t>土石方平衡利用</w:t>
            </w:r>
          </w:p>
          <w:p w14:paraId="396BA312">
            <w:pPr>
              <w:pStyle w:val="36"/>
              <w:bidi w:val="0"/>
              <w:rPr>
                <w:color w:val="auto"/>
              </w:rPr>
            </w:pPr>
            <w:r>
              <w:rPr>
                <w:rFonts w:hint="eastAsia"/>
                <w:b/>
                <w:bCs/>
                <w:color w:val="auto"/>
              </w:rPr>
              <w:t>分析原则及方法</w:t>
            </w:r>
            <w:r>
              <w:rPr>
                <w:rFonts w:hint="eastAsia"/>
                <w:b/>
                <w:bCs/>
                <w:color w:val="auto"/>
                <w:lang w:eastAsia="zh-CN"/>
              </w:rPr>
              <w:t>：</w:t>
            </w:r>
            <w:r>
              <w:rPr>
                <w:color w:val="auto"/>
              </w:rPr>
              <w:t>根据本项目所在区域的地形地貌、施工工序、施工进度安排等，本项目的土石方工程主要产生在项目的施工期，因此，本项目的土石方平衡分析主要针对施工期进行。施工期的土石方工程按河道治理开挖断面等进行计算。</w:t>
            </w:r>
          </w:p>
          <w:p w14:paraId="5D8FA1DD">
            <w:pPr>
              <w:pStyle w:val="36"/>
              <w:numPr>
                <w:ilvl w:val="0"/>
                <w:numId w:val="0"/>
              </w:numPr>
              <w:bidi w:val="0"/>
              <w:ind w:left="-2" w:leftChars="0" w:right="0" w:rightChars="0" w:firstLine="482" w:firstLineChars="0"/>
              <w:rPr>
                <w:rFonts w:hint="eastAsia"/>
                <w:b/>
                <w:bCs/>
                <w:color w:val="auto"/>
                <w:lang w:val="en-US" w:eastAsia="zh-CN"/>
              </w:rPr>
            </w:pPr>
            <w:r>
              <w:rPr>
                <w:rFonts w:hint="eastAsia" w:ascii="Times New Roman" w:hAnsi="Times New Roman" w:eastAsia="宋体" w:cs="Times New Roman"/>
                <w:b/>
                <w:bCs/>
                <w:color w:val="auto"/>
                <w:kern w:val="0"/>
                <w:sz w:val="24"/>
                <w:szCs w:val="24"/>
                <w:lang w:val="en-US" w:eastAsia="zh-CN" w:bidi="ar-SA"/>
              </w:rPr>
              <w:t>（1）</w:t>
            </w:r>
            <w:r>
              <w:rPr>
                <w:rFonts w:hint="eastAsia"/>
                <w:b/>
                <w:bCs/>
                <w:color w:val="auto"/>
                <w:lang w:val="en-US" w:eastAsia="zh-CN"/>
              </w:rPr>
              <w:t>表土平衡及堆存</w:t>
            </w:r>
          </w:p>
          <w:p w14:paraId="07853E56">
            <w:pPr>
              <w:pStyle w:val="36"/>
              <w:numPr>
                <w:ilvl w:val="0"/>
                <w:numId w:val="0"/>
              </w:numPr>
              <w:bidi w:val="0"/>
              <w:ind w:left="480" w:leftChars="0" w:right="0" w:rightChars="0"/>
              <w:rPr>
                <w:rFonts w:hint="default"/>
                <w:b/>
                <w:bCs/>
                <w:color w:val="auto"/>
                <w:lang w:val="en-US" w:eastAsia="zh-CN"/>
              </w:rPr>
            </w:pPr>
            <w:r>
              <w:rPr>
                <w:rFonts w:hint="eastAsia"/>
                <w:b/>
                <w:bCs/>
                <w:color w:val="auto"/>
                <w:lang w:val="en-US" w:eastAsia="zh-CN"/>
              </w:rPr>
              <w:t>1）表土平衡分析</w:t>
            </w:r>
          </w:p>
          <w:p w14:paraId="4947CA7B">
            <w:pPr>
              <w:pStyle w:val="36"/>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right="0" w:rightChars="0" w:firstLine="480" w:firstLineChars="200"/>
              <w:jc w:val="both"/>
              <w:textAlignment w:val="baseline"/>
              <w:rPr>
                <w:rFonts w:hint="eastAsia"/>
                <w:b w:val="0"/>
                <w:bCs w:val="0"/>
                <w:color w:val="auto"/>
                <w:lang w:val="en-US" w:eastAsia="zh-CN"/>
              </w:rPr>
            </w:pPr>
            <w:r>
              <w:rPr>
                <w:rFonts w:hint="eastAsia"/>
                <w:b w:val="0"/>
                <w:bCs w:val="0"/>
                <w:color w:val="auto"/>
                <w:lang w:val="en-US" w:eastAsia="zh-CN"/>
              </w:rPr>
              <w:t>为保护珍贵的国土资源，利于后期复耕，本方案对可剥离表土的地类进行表土剥离并集中堆放进行保护。本工程可剥离原始地类有水田、旱地、园地及林地，占地面积为5.46hm</w:t>
            </w:r>
            <w:r>
              <w:rPr>
                <w:rFonts w:hint="eastAsia"/>
                <w:b w:val="0"/>
                <w:bCs w:val="0"/>
                <w:color w:val="auto"/>
                <w:vertAlign w:val="superscript"/>
                <w:lang w:val="en-US" w:eastAsia="zh-CN"/>
              </w:rPr>
              <w:t>2</w:t>
            </w:r>
            <w:r>
              <w:rPr>
                <w:rFonts w:hint="eastAsia"/>
                <w:b w:val="0"/>
                <w:bCs w:val="0"/>
                <w:color w:val="auto"/>
                <w:lang w:val="en-US" w:eastAsia="zh-CN"/>
              </w:rPr>
              <w:t>（其中：施工临时道路区5.22hm</w:t>
            </w:r>
            <w:r>
              <w:rPr>
                <w:rFonts w:hint="eastAsia"/>
                <w:b w:val="0"/>
                <w:bCs w:val="0"/>
                <w:color w:val="auto"/>
                <w:vertAlign w:val="superscript"/>
                <w:lang w:val="en-US" w:eastAsia="zh-CN"/>
              </w:rPr>
              <w:t>2</w:t>
            </w:r>
            <w:r>
              <w:rPr>
                <w:rFonts w:hint="eastAsia"/>
                <w:b w:val="0"/>
                <w:bCs w:val="0"/>
                <w:color w:val="auto"/>
                <w:lang w:val="en-US" w:eastAsia="zh-CN"/>
              </w:rPr>
              <w:t>，施工营地区0.24hm</w:t>
            </w:r>
            <w:r>
              <w:rPr>
                <w:rFonts w:hint="eastAsia"/>
                <w:b w:val="0"/>
                <w:bCs w:val="0"/>
                <w:color w:val="auto"/>
                <w:vertAlign w:val="superscript"/>
                <w:lang w:val="en-US" w:eastAsia="zh-CN"/>
              </w:rPr>
              <w:t>2</w:t>
            </w:r>
            <w:r>
              <w:rPr>
                <w:rFonts w:hint="eastAsia"/>
                <w:b w:val="0"/>
                <w:bCs w:val="0"/>
                <w:color w:val="auto"/>
                <w:lang w:val="en-US" w:eastAsia="zh-CN"/>
              </w:rPr>
              <w:t>）。结合现场勘察及地质钻孔资料分析，工程建设区及工程建设施工区表层大部分均为砂土，不具备后期作为复耕覆土的优良表土条件，因此，不对工程建设区表土进行剥离，仅对施工临时道路区和施工营地区所占的水田、旱地、园地及林地进行表土剥离。</w:t>
            </w:r>
          </w:p>
          <w:p w14:paraId="5657139B">
            <w:pPr>
              <w:pStyle w:val="36"/>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right="0" w:rightChars="0" w:firstLine="480" w:firstLineChars="200"/>
              <w:jc w:val="both"/>
              <w:textAlignment w:val="baseline"/>
              <w:rPr>
                <w:rFonts w:hint="eastAsia"/>
                <w:b w:val="0"/>
                <w:bCs w:val="0"/>
                <w:color w:val="auto"/>
                <w:lang w:val="en-US" w:eastAsia="zh-CN"/>
              </w:rPr>
            </w:pPr>
            <w:r>
              <w:rPr>
                <w:rFonts w:hint="eastAsia"/>
                <w:b w:val="0"/>
                <w:bCs w:val="0"/>
                <w:color w:val="auto"/>
                <w:lang w:val="en-US" w:eastAsia="zh-CN"/>
              </w:rPr>
              <w:t>本工程施工结束后，对施工临时道路区和施工营地区进行全面复耕，复耕面积9.69hm</w:t>
            </w:r>
            <w:r>
              <w:rPr>
                <w:rFonts w:hint="eastAsia"/>
                <w:b w:val="0"/>
                <w:bCs w:val="0"/>
                <w:color w:val="auto"/>
                <w:vertAlign w:val="superscript"/>
                <w:lang w:val="en-US" w:eastAsia="zh-CN"/>
              </w:rPr>
              <w:t>2</w:t>
            </w:r>
            <w:r>
              <w:rPr>
                <w:rFonts w:hint="eastAsia"/>
                <w:b w:val="0"/>
                <w:bCs w:val="0"/>
                <w:color w:val="auto"/>
                <w:lang w:val="en-US" w:eastAsia="zh-CN"/>
              </w:rPr>
              <w:t>，覆土厚度平均约20cm，经计算确定后期覆土量为1.64万m</w:t>
            </w:r>
            <w:r>
              <w:rPr>
                <w:rFonts w:hint="eastAsia"/>
                <w:b w:val="0"/>
                <w:bCs w:val="0"/>
                <w:color w:val="auto"/>
                <w:vertAlign w:val="superscript"/>
                <w:lang w:val="en-US" w:eastAsia="zh-CN"/>
              </w:rPr>
              <w:t>3</w:t>
            </w:r>
            <w:r>
              <w:rPr>
                <w:rFonts w:hint="eastAsia"/>
                <w:b w:val="0"/>
                <w:bCs w:val="0"/>
                <w:color w:val="auto"/>
                <w:lang w:val="en-US" w:eastAsia="zh-CN"/>
              </w:rPr>
              <w:t>。表土平衡及流向分析见表 2-10。</w:t>
            </w:r>
          </w:p>
          <w:p w14:paraId="67FB01B5">
            <w:pPr>
              <w:pStyle w:val="36"/>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right="0" w:rightChars="0"/>
              <w:jc w:val="center"/>
              <w:textAlignment w:val="baseline"/>
              <w:rPr>
                <w:rFonts w:hint="eastAsia"/>
                <w:b/>
                <w:bCs/>
                <w:color w:val="auto"/>
                <w:sz w:val="21"/>
                <w:szCs w:val="21"/>
                <w:vertAlign w:val="superscript"/>
                <w:lang w:val="en-US" w:eastAsia="zh-CN"/>
              </w:rPr>
            </w:pPr>
            <w:r>
              <w:rPr>
                <w:rFonts w:hint="eastAsia"/>
                <w:b/>
                <w:bCs/>
                <w:color w:val="auto"/>
                <w:sz w:val="21"/>
                <w:szCs w:val="21"/>
                <w:lang w:val="en-US" w:eastAsia="zh-CN"/>
              </w:rPr>
              <w:t>表2-10  表土平衡及流向分析表    单位：万m</w:t>
            </w:r>
            <w:r>
              <w:rPr>
                <w:rFonts w:hint="eastAsia"/>
                <w:b/>
                <w:bCs/>
                <w:color w:val="auto"/>
                <w:sz w:val="21"/>
                <w:szCs w:val="21"/>
                <w:vertAlign w:val="superscript"/>
                <w:lang w:val="en-US" w:eastAsia="zh-CN"/>
              </w:rPr>
              <w:t>3</w:t>
            </w:r>
          </w:p>
          <w:tbl>
            <w:tblPr>
              <w:tblStyle w:val="46"/>
              <w:tblW w:w="7617" w:type="dxa"/>
              <w:tblInd w:w="3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75"/>
              <w:gridCol w:w="961"/>
              <w:gridCol w:w="866"/>
              <w:gridCol w:w="708"/>
              <w:gridCol w:w="728"/>
              <w:gridCol w:w="715"/>
              <w:gridCol w:w="589"/>
              <w:gridCol w:w="524"/>
              <w:gridCol w:w="523"/>
              <w:gridCol w:w="528"/>
            </w:tblGrid>
            <w:tr w14:paraId="5190F3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1475" w:type="dxa"/>
                  <w:vMerge w:val="restart"/>
                  <w:tcBorders>
                    <w:bottom w:val="nil"/>
                  </w:tcBorders>
                  <w:vAlign w:val="center"/>
                </w:tcPr>
                <w:p w14:paraId="141B697C">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位置</w:t>
                  </w:r>
                </w:p>
              </w:tc>
              <w:tc>
                <w:tcPr>
                  <w:tcW w:w="961" w:type="dxa"/>
                  <w:vMerge w:val="restart"/>
                  <w:tcBorders>
                    <w:bottom w:val="nil"/>
                  </w:tcBorders>
                  <w:vAlign w:val="center"/>
                </w:tcPr>
                <w:p w14:paraId="502B02C3">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10"/>
                      <w:sz w:val="21"/>
                      <w:szCs w:val="21"/>
                    </w:rPr>
                    <w:t>占地类型</w:t>
                  </w:r>
                </w:p>
              </w:tc>
              <w:tc>
                <w:tcPr>
                  <w:tcW w:w="866" w:type="dxa"/>
                  <w:vMerge w:val="restart"/>
                  <w:tcBorders>
                    <w:bottom w:val="nil"/>
                  </w:tcBorders>
                  <w:vAlign w:val="center"/>
                </w:tcPr>
                <w:p w14:paraId="5C3FE2A0">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5"/>
                      <w:sz w:val="21"/>
                      <w:szCs w:val="21"/>
                    </w:rPr>
                    <w:t>可剥离表土</w:t>
                  </w:r>
                  <w:r>
                    <w:rPr>
                      <w:spacing w:val="-6"/>
                      <w:sz w:val="21"/>
                      <w:szCs w:val="21"/>
                    </w:rPr>
                    <w:t>面积（</w:t>
                  </w:r>
                  <w:r>
                    <w:rPr>
                      <w:rFonts w:ascii="Times New Roman" w:hAnsi="Times New Roman" w:eastAsia="Times New Roman" w:cs="Times New Roman"/>
                      <w:spacing w:val="-6"/>
                      <w:sz w:val="21"/>
                      <w:szCs w:val="21"/>
                    </w:rPr>
                    <w:t>hm</w:t>
                  </w:r>
                  <w:r>
                    <w:rPr>
                      <w:rFonts w:hint="eastAsia" w:ascii="Times New Roman" w:hAnsi="Times New Roman" w:eastAsia="宋体" w:cs="Times New Roman"/>
                      <w:spacing w:val="-6"/>
                      <w:sz w:val="21"/>
                      <w:szCs w:val="21"/>
                      <w:vertAlign w:val="superscript"/>
                      <w:lang w:val="en-US" w:eastAsia="zh-CN"/>
                    </w:rPr>
                    <w:t>2</w:t>
                  </w:r>
                  <w:r>
                    <w:rPr>
                      <w:spacing w:val="-6"/>
                      <w:sz w:val="21"/>
                      <w:szCs w:val="21"/>
                    </w:rPr>
                    <w:t>）</w:t>
                  </w:r>
                </w:p>
              </w:tc>
              <w:tc>
                <w:tcPr>
                  <w:tcW w:w="708" w:type="dxa"/>
                  <w:vMerge w:val="restart"/>
                  <w:tcBorders>
                    <w:bottom w:val="nil"/>
                  </w:tcBorders>
                  <w:vAlign w:val="center"/>
                </w:tcPr>
                <w:p w14:paraId="344184B0">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17"/>
                      <w:sz w:val="21"/>
                      <w:szCs w:val="21"/>
                    </w:rPr>
                    <w:t>表土剥离</w:t>
                  </w:r>
                  <w:r>
                    <w:rPr>
                      <w:sz w:val="21"/>
                      <w:szCs w:val="21"/>
                    </w:rPr>
                    <w:t xml:space="preserve">  </w:t>
                  </w:r>
                  <w:r>
                    <w:rPr>
                      <w:spacing w:val="-20"/>
                      <w:w w:val="91"/>
                      <w:sz w:val="21"/>
                      <w:szCs w:val="21"/>
                    </w:rPr>
                    <w:t>量（万</w:t>
                  </w:r>
                  <w:r>
                    <w:rPr>
                      <w:spacing w:val="-47"/>
                      <w:sz w:val="21"/>
                      <w:szCs w:val="21"/>
                    </w:rPr>
                    <w:t xml:space="preserve"> </w:t>
                  </w:r>
                  <w:r>
                    <w:rPr>
                      <w:rFonts w:ascii="Times New Roman" w:hAnsi="Times New Roman" w:eastAsia="Times New Roman" w:cs="Times New Roman"/>
                      <w:spacing w:val="-20"/>
                      <w:w w:val="91"/>
                      <w:sz w:val="21"/>
                      <w:szCs w:val="21"/>
                    </w:rPr>
                    <w:t>m</w:t>
                  </w:r>
                  <w:r>
                    <w:rPr>
                      <w:rFonts w:hint="eastAsia" w:ascii="Times New Roman" w:hAnsi="Times New Roman" w:eastAsia="宋体" w:cs="Times New Roman"/>
                      <w:spacing w:val="-20"/>
                      <w:w w:val="91"/>
                      <w:sz w:val="21"/>
                      <w:szCs w:val="21"/>
                      <w:vertAlign w:val="superscript"/>
                      <w:lang w:val="en-US" w:eastAsia="zh-CN"/>
                    </w:rPr>
                    <w:t>3</w:t>
                  </w:r>
                  <w:r>
                    <w:rPr>
                      <w:spacing w:val="-30"/>
                      <w:sz w:val="21"/>
                      <w:szCs w:val="21"/>
                    </w:rPr>
                    <w:t>）</w:t>
                  </w:r>
                </w:p>
              </w:tc>
              <w:tc>
                <w:tcPr>
                  <w:tcW w:w="728" w:type="dxa"/>
                  <w:vMerge w:val="restart"/>
                  <w:tcBorders>
                    <w:bottom w:val="nil"/>
                  </w:tcBorders>
                  <w:vAlign w:val="center"/>
                </w:tcPr>
                <w:p w14:paraId="57AC015C">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3"/>
                      <w:sz w:val="21"/>
                      <w:szCs w:val="21"/>
                    </w:rPr>
                    <w:t>复耕面积</w:t>
                  </w:r>
                  <w:r>
                    <w:rPr>
                      <w:spacing w:val="-4"/>
                      <w:sz w:val="21"/>
                      <w:szCs w:val="21"/>
                    </w:rPr>
                    <w:t>（</w:t>
                  </w:r>
                  <w:r>
                    <w:rPr>
                      <w:rFonts w:ascii="Times New Roman" w:hAnsi="Times New Roman" w:eastAsia="Times New Roman" w:cs="Times New Roman"/>
                      <w:spacing w:val="-4"/>
                      <w:sz w:val="21"/>
                      <w:szCs w:val="21"/>
                    </w:rPr>
                    <w:t>hm</w:t>
                  </w:r>
                  <w:r>
                    <w:rPr>
                      <w:rFonts w:hint="eastAsia" w:ascii="Times New Roman" w:hAnsi="Times New Roman" w:eastAsia="宋体" w:cs="Times New Roman"/>
                      <w:spacing w:val="-4"/>
                      <w:sz w:val="21"/>
                      <w:szCs w:val="21"/>
                      <w:vertAlign w:val="superscript"/>
                      <w:lang w:val="en-US" w:eastAsia="zh-CN"/>
                    </w:rPr>
                    <w:t>2</w:t>
                  </w:r>
                  <w:r>
                    <w:rPr>
                      <w:spacing w:val="-4"/>
                      <w:sz w:val="21"/>
                      <w:szCs w:val="21"/>
                    </w:rPr>
                    <w:t>）</w:t>
                  </w:r>
                </w:p>
              </w:tc>
              <w:tc>
                <w:tcPr>
                  <w:tcW w:w="715" w:type="dxa"/>
                  <w:vMerge w:val="restart"/>
                  <w:tcBorders>
                    <w:bottom w:val="nil"/>
                  </w:tcBorders>
                  <w:vAlign w:val="center"/>
                </w:tcPr>
                <w:p w14:paraId="1228B779">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3"/>
                      <w:sz w:val="21"/>
                      <w:szCs w:val="21"/>
                    </w:rPr>
                    <w:t>覆土量</w:t>
                  </w:r>
                  <w:r>
                    <w:rPr>
                      <w:sz w:val="21"/>
                      <w:szCs w:val="21"/>
                    </w:rPr>
                    <w:t xml:space="preserve">  </w:t>
                  </w:r>
                  <w:r>
                    <w:rPr>
                      <w:spacing w:val="-7"/>
                      <w:sz w:val="21"/>
                      <w:szCs w:val="21"/>
                    </w:rPr>
                    <w:t>（万</w:t>
                  </w:r>
                  <w:r>
                    <w:rPr>
                      <w:rFonts w:ascii="Times New Roman" w:hAnsi="Times New Roman" w:eastAsia="Times New Roman" w:cs="Times New Roman"/>
                      <w:spacing w:val="-7"/>
                      <w:sz w:val="21"/>
                      <w:szCs w:val="21"/>
                    </w:rPr>
                    <w:t>m</w:t>
                  </w:r>
                  <w:r>
                    <w:rPr>
                      <w:rFonts w:hint="eastAsia" w:ascii="Times New Roman" w:hAnsi="Times New Roman" w:eastAsia="宋体" w:cs="Times New Roman"/>
                      <w:spacing w:val="-7"/>
                      <w:sz w:val="21"/>
                      <w:szCs w:val="21"/>
                      <w:vertAlign w:val="superscript"/>
                      <w:lang w:val="en-US" w:eastAsia="zh-CN"/>
                    </w:rPr>
                    <w:t>3</w:t>
                  </w:r>
                  <w:r>
                    <w:rPr>
                      <w:spacing w:val="-7"/>
                      <w:sz w:val="21"/>
                      <w:szCs w:val="21"/>
                    </w:rPr>
                    <w:t>）</w:t>
                  </w:r>
                </w:p>
              </w:tc>
              <w:tc>
                <w:tcPr>
                  <w:tcW w:w="1113" w:type="dxa"/>
                  <w:gridSpan w:val="2"/>
                  <w:vAlign w:val="center"/>
                </w:tcPr>
                <w:p w14:paraId="6F1F66B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5"/>
                      <w:sz w:val="21"/>
                      <w:szCs w:val="21"/>
                    </w:rPr>
                    <w:t>调入</w:t>
                  </w:r>
                </w:p>
              </w:tc>
              <w:tc>
                <w:tcPr>
                  <w:tcW w:w="1051" w:type="dxa"/>
                  <w:gridSpan w:val="2"/>
                  <w:vAlign w:val="center"/>
                </w:tcPr>
                <w:p w14:paraId="49BB194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5"/>
                      <w:sz w:val="21"/>
                      <w:szCs w:val="21"/>
                    </w:rPr>
                    <w:t>调出</w:t>
                  </w:r>
                </w:p>
              </w:tc>
            </w:tr>
            <w:tr w14:paraId="79CBE6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1475" w:type="dxa"/>
                  <w:vMerge w:val="continue"/>
                  <w:tcBorders>
                    <w:top w:val="nil"/>
                  </w:tcBorders>
                  <w:vAlign w:val="center"/>
                </w:tcPr>
                <w:p w14:paraId="0BE7ABC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961" w:type="dxa"/>
                  <w:vMerge w:val="continue"/>
                  <w:tcBorders>
                    <w:top w:val="nil"/>
                  </w:tcBorders>
                  <w:vAlign w:val="center"/>
                </w:tcPr>
                <w:p w14:paraId="26BF13A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866" w:type="dxa"/>
                  <w:vMerge w:val="continue"/>
                  <w:tcBorders>
                    <w:top w:val="nil"/>
                  </w:tcBorders>
                  <w:vAlign w:val="center"/>
                </w:tcPr>
                <w:p w14:paraId="7AEB8B4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708" w:type="dxa"/>
                  <w:vMerge w:val="continue"/>
                  <w:tcBorders>
                    <w:top w:val="nil"/>
                  </w:tcBorders>
                  <w:vAlign w:val="center"/>
                </w:tcPr>
                <w:p w14:paraId="07C14A3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728" w:type="dxa"/>
                  <w:vMerge w:val="continue"/>
                  <w:tcBorders>
                    <w:top w:val="nil"/>
                  </w:tcBorders>
                  <w:vAlign w:val="center"/>
                </w:tcPr>
                <w:p w14:paraId="6A1D6E4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715" w:type="dxa"/>
                  <w:vMerge w:val="continue"/>
                  <w:tcBorders>
                    <w:top w:val="nil"/>
                  </w:tcBorders>
                  <w:vAlign w:val="center"/>
                </w:tcPr>
                <w:p w14:paraId="3FEE3F1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89" w:type="dxa"/>
                  <w:vAlign w:val="center"/>
                </w:tcPr>
                <w:p w14:paraId="2A8E64B0">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5"/>
                      <w:sz w:val="21"/>
                      <w:szCs w:val="21"/>
                    </w:rPr>
                    <w:t>数量</w:t>
                  </w:r>
                </w:p>
              </w:tc>
              <w:tc>
                <w:tcPr>
                  <w:tcW w:w="524" w:type="dxa"/>
                  <w:vAlign w:val="center"/>
                </w:tcPr>
                <w:p w14:paraId="3B001514">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来源</w:t>
                  </w:r>
                </w:p>
              </w:tc>
              <w:tc>
                <w:tcPr>
                  <w:tcW w:w="523" w:type="dxa"/>
                  <w:vAlign w:val="center"/>
                </w:tcPr>
                <w:p w14:paraId="30FE3A4E">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5"/>
                      <w:sz w:val="21"/>
                      <w:szCs w:val="21"/>
                    </w:rPr>
                    <w:t>数量</w:t>
                  </w:r>
                </w:p>
              </w:tc>
              <w:tc>
                <w:tcPr>
                  <w:tcW w:w="528" w:type="dxa"/>
                  <w:vAlign w:val="center"/>
                </w:tcPr>
                <w:p w14:paraId="3D1CCCA0">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5"/>
                      <w:sz w:val="21"/>
                      <w:szCs w:val="21"/>
                    </w:rPr>
                    <w:t>去向</w:t>
                  </w:r>
                </w:p>
              </w:tc>
            </w:tr>
            <w:tr w14:paraId="1C4AF9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1475" w:type="dxa"/>
                  <w:vMerge w:val="restart"/>
                  <w:tcBorders>
                    <w:bottom w:val="nil"/>
                  </w:tcBorders>
                  <w:vAlign w:val="center"/>
                </w:tcPr>
                <w:p w14:paraId="77E18CC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K5+000</w:t>
                  </w:r>
                  <w:r>
                    <w:rPr>
                      <w:spacing w:val="-1"/>
                      <w:sz w:val="21"/>
                      <w:szCs w:val="21"/>
                    </w:rPr>
                    <w:t>～</w:t>
                  </w:r>
                  <w:r>
                    <w:rPr>
                      <w:rFonts w:ascii="Times New Roman" w:hAnsi="Times New Roman" w:eastAsia="Times New Roman" w:cs="Times New Roman"/>
                      <w:spacing w:val="-1"/>
                      <w:sz w:val="21"/>
                      <w:szCs w:val="21"/>
                    </w:rPr>
                    <w:t>K12+350</w:t>
                  </w:r>
                </w:p>
                <w:p w14:paraId="6C23531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（勐戛村）</w:t>
                  </w:r>
                </w:p>
              </w:tc>
              <w:tc>
                <w:tcPr>
                  <w:tcW w:w="961" w:type="dxa"/>
                  <w:vAlign w:val="center"/>
                </w:tcPr>
                <w:p w14:paraId="4B73BC7F">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5"/>
                      <w:sz w:val="21"/>
                      <w:szCs w:val="21"/>
                    </w:rPr>
                    <w:t>水田</w:t>
                  </w:r>
                </w:p>
              </w:tc>
              <w:tc>
                <w:tcPr>
                  <w:tcW w:w="866" w:type="dxa"/>
                  <w:vAlign w:val="center"/>
                </w:tcPr>
                <w:p w14:paraId="16B1897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1.28</w:t>
                  </w:r>
                </w:p>
              </w:tc>
              <w:tc>
                <w:tcPr>
                  <w:tcW w:w="708" w:type="dxa"/>
                  <w:vAlign w:val="center"/>
                </w:tcPr>
                <w:p w14:paraId="198147F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0.38</w:t>
                  </w:r>
                </w:p>
              </w:tc>
              <w:tc>
                <w:tcPr>
                  <w:tcW w:w="728" w:type="dxa"/>
                  <w:vAlign w:val="center"/>
                </w:tcPr>
                <w:p w14:paraId="4187C77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1.28</w:t>
                  </w:r>
                </w:p>
              </w:tc>
              <w:tc>
                <w:tcPr>
                  <w:tcW w:w="715" w:type="dxa"/>
                  <w:vAlign w:val="center"/>
                </w:tcPr>
                <w:p w14:paraId="3D74694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0.38</w:t>
                  </w:r>
                </w:p>
              </w:tc>
              <w:tc>
                <w:tcPr>
                  <w:tcW w:w="589" w:type="dxa"/>
                  <w:vAlign w:val="center"/>
                </w:tcPr>
                <w:p w14:paraId="7393712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4" w:type="dxa"/>
                  <w:vAlign w:val="center"/>
                </w:tcPr>
                <w:p w14:paraId="526EB4A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3" w:type="dxa"/>
                  <w:vAlign w:val="center"/>
                </w:tcPr>
                <w:p w14:paraId="68DCEFC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8" w:type="dxa"/>
                  <w:vAlign w:val="center"/>
                </w:tcPr>
                <w:p w14:paraId="477AA6A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r>
            <w:tr w14:paraId="406E78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1475" w:type="dxa"/>
                  <w:vMerge w:val="continue"/>
                  <w:tcBorders>
                    <w:top w:val="nil"/>
                    <w:bottom w:val="nil"/>
                  </w:tcBorders>
                  <w:vAlign w:val="center"/>
                </w:tcPr>
                <w:p w14:paraId="0F481DC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961" w:type="dxa"/>
                  <w:vAlign w:val="center"/>
                </w:tcPr>
                <w:p w14:paraId="2DF3C8C7">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5"/>
                      <w:sz w:val="21"/>
                      <w:szCs w:val="21"/>
                    </w:rPr>
                    <w:t>旱地</w:t>
                  </w:r>
                </w:p>
              </w:tc>
              <w:tc>
                <w:tcPr>
                  <w:tcW w:w="866" w:type="dxa"/>
                  <w:vAlign w:val="center"/>
                </w:tcPr>
                <w:p w14:paraId="311E244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0.06</w:t>
                  </w:r>
                </w:p>
              </w:tc>
              <w:tc>
                <w:tcPr>
                  <w:tcW w:w="708" w:type="dxa"/>
                  <w:vAlign w:val="center"/>
                </w:tcPr>
                <w:p w14:paraId="57F6FAD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0.02</w:t>
                  </w:r>
                </w:p>
              </w:tc>
              <w:tc>
                <w:tcPr>
                  <w:tcW w:w="728" w:type="dxa"/>
                  <w:vAlign w:val="center"/>
                </w:tcPr>
                <w:p w14:paraId="67A43BB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0.06</w:t>
                  </w:r>
                </w:p>
              </w:tc>
              <w:tc>
                <w:tcPr>
                  <w:tcW w:w="715" w:type="dxa"/>
                  <w:vAlign w:val="center"/>
                </w:tcPr>
                <w:p w14:paraId="488D116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0.02</w:t>
                  </w:r>
                </w:p>
              </w:tc>
              <w:tc>
                <w:tcPr>
                  <w:tcW w:w="589" w:type="dxa"/>
                  <w:vAlign w:val="center"/>
                </w:tcPr>
                <w:p w14:paraId="1DAE63F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4" w:type="dxa"/>
                  <w:vAlign w:val="center"/>
                </w:tcPr>
                <w:p w14:paraId="01BD99A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3" w:type="dxa"/>
                  <w:vAlign w:val="center"/>
                </w:tcPr>
                <w:p w14:paraId="4583C78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8" w:type="dxa"/>
                  <w:vAlign w:val="center"/>
                </w:tcPr>
                <w:p w14:paraId="1ED1135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r>
            <w:tr w14:paraId="719073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475" w:type="dxa"/>
                  <w:vMerge w:val="continue"/>
                  <w:tcBorders>
                    <w:top w:val="nil"/>
                    <w:bottom w:val="nil"/>
                  </w:tcBorders>
                  <w:vAlign w:val="center"/>
                </w:tcPr>
                <w:p w14:paraId="2B40C4E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961" w:type="dxa"/>
                  <w:vAlign w:val="center"/>
                </w:tcPr>
                <w:p w14:paraId="33EC0382">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林地</w:t>
                  </w:r>
                </w:p>
              </w:tc>
              <w:tc>
                <w:tcPr>
                  <w:tcW w:w="866" w:type="dxa"/>
                  <w:vAlign w:val="center"/>
                </w:tcPr>
                <w:p w14:paraId="79CAA0F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0.11</w:t>
                  </w:r>
                </w:p>
              </w:tc>
              <w:tc>
                <w:tcPr>
                  <w:tcW w:w="708" w:type="dxa"/>
                  <w:vAlign w:val="center"/>
                </w:tcPr>
                <w:p w14:paraId="78AE592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0.03</w:t>
                  </w:r>
                </w:p>
              </w:tc>
              <w:tc>
                <w:tcPr>
                  <w:tcW w:w="728" w:type="dxa"/>
                  <w:vAlign w:val="center"/>
                </w:tcPr>
                <w:p w14:paraId="2437489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0.11</w:t>
                  </w:r>
                </w:p>
              </w:tc>
              <w:tc>
                <w:tcPr>
                  <w:tcW w:w="715" w:type="dxa"/>
                  <w:vAlign w:val="center"/>
                </w:tcPr>
                <w:p w14:paraId="00C8C94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0.03</w:t>
                  </w:r>
                </w:p>
              </w:tc>
              <w:tc>
                <w:tcPr>
                  <w:tcW w:w="589" w:type="dxa"/>
                  <w:vAlign w:val="center"/>
                </w:tcPr>
                <w:p w14:paraId="286F353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4" w:type="dxa"/>
                  <w:vAlign w:val="center"/>
                </w:tcPr>
                <w:p w14:paraId="09DD25E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3" w:type="dxa"/>
                  <w:vAlign w:val="center"/>
                </w:tcPr>
                <w:p w14:paraId="5489EE3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8" w:type="dxa"/>
                  <w:vAlign w:val="center"/>
                </w:tcPr>
                <w:p w14:paraId="5410E57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r>
            <w:tr w14:paraId="3CF9F3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475" w:type="dxa"/>
                  <w:vMerge w:val="continue"/>
                  <w:tcBorders>
                    <w:top w:val="nil"/>
                  </w:tcBorders>
                  <w:vAlign w:val="center"/>
                </w:tcPr>
                <w:p w14:paraId="51DA1DB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961" w:type="dxa"/>
                  <w:vAlign w:val="center"/>
                </w:tcPr>
                <w:p w14:paraId="5997C98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6"/>
                      <w:sz w:val="21"/>
                      <w:szCs w:val="21"/>
                    </w:rPr>
                    <w:t>小计</w:t>
                  </w:r>
                </w:p>
              </w:tc>
              <w:tc>
                <w:tcPr>
                  <w:tcW w:w="866" w:type="dxa"/>
                  <w:vAlign w:val="center"/>
                </w:tcPr>
                <w:p w14:paraId="4AA6BF2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1.45</w:t>
                  </w:r>
                </w:p>
              </w:tc>
              <w:tc>
                <w:tcPr>
                  <w:tcW w:w="708" w:type="dxa"/>
                  <w:vAlign w:val="center"/>
                </w:tcPr>
                <w:p w14:paraId="3371F00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0.43</w:t>
                  </w:r>
                </w:p>
              </w:tc>
              <w:tc>
                <w:tcPr>
                  <w:tcW w:w="728" w:type="dxa"/>
                  <w:vAlign w:val="center"/>
                </w:tcPr>
                <w:p w14:paraId="01ACC98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1.45</w:t>
                  </w:r>
                </w:p>
              </w:tc>
              <w:tc>
                <w:tcPr>
                  <w:tcW w:w="715" w:type="dxa"/>
                  <w:vAlign w:val="center"/>
                </w:tcPr>
                <w:p w14:paraId="2A31A61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0.43</w:t>
                  </w:r>
                </w:p>
              </w:tc>
              <w:tc>
                <w:tcPr>
                  <w:tcW w:w="589" w:type="dxa"/>
                  <w:vAlign w:val="center"/>
                </w:tcPr>
                <w:p w14:paraId="2722F71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4" w:type="dxa"/>
                  <w:vAlign w:val="center"/>
                </w:tcPr>
                <w:p w14:paraId="7C4E1BA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3" w:type="dxa"/>
                  <w:vAlign w:val="center"/>
                </w:tcPr>
                <w:p w14:paraId="5DACE1D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8" w:type="dxa"/>
                  <w:vAlign w:val="center"/>
                </w:tcPr>
                <w:p w14:paraId="4917830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r>
            <w:tr w14:paraId="4CE131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1475" w:type="dxa"/>
                  <w:vMerge w:val="restart"/>
                  <w:tcBorders>
                    <w:bottom w:val="nil"/>
                  </w:tcBorders>
                  <w:vAlign w:val="center"/>
                </w:tcPr>
                <w:p w14:paraId="0ADCD523">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rFonts w:ascii="Times New Roman" w:hAnsi="Times New Roman" w:eastAsia="Times New Roman" w:cs="Times New Roman"/>
                      <w:spacing w:val="-2"/>
                      <w:sz w:val="21"/>
                      <w:szCs w:val="21"/>
                    </w:rPr>
                    <w:t>K14+275</w:t>
                  </w:r>
                  <w:r>
                    <w:rPr>
                      <w:spacing w:val="-2"/>
                      <w:sz w:val="21"/>
                      <w:szCs w:val="21"/>
                    </w:rPr>
                    <w:t>～</w:t>
                  </w:r>
                  <w:r>
                    <w:rPr>
                      <w:rFonts w:ascii="Times New Roman" w:hAnsi="Times New Roman" w:eastAsia="Times New Roman" w:cs="Times New Roman"/>
                      <w:spacing w:val="-2"/>
                      <w:sz w:val="21"/>
                      <w:szCs w:val="21"/>
                    </w:rPr>
                    <w:t>K20+200</w:t>
                  </w:r>
                  <w:r>
                    <w:rPr>
                      <w:spacing w:val="-4"/>
                      <w:sz w:val="21"/>
                      <w:szCs w:val="21"/>
                    </w:rPr>
                    <w:t>（勐稳村）</w:t>
                  </w:r>
                </w:p>
              </w:tc>
              <w:tc>
                <w:tcPr>
                  <w:tcW w:w="961" w:type="dxa"/>
                  <w:vAlign w:val="center"/>
                </w:tcPr>
                <w:p w14:paraId="5D50EDD5">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5"/>
                      <w:sz w:val="21"/>
                      <w:szCs w:val="21"/>
                    </w:rPr>
                    <w:t>水田</w:t>
                  </w:r>
                </w:p>
              </w:tc>
              <w:tc>
                <w:tcPr>
                  <w:tcW w:w="866" w:type="dxa"/>
                  <w:vAlign w:val="center"/>
                </w:tcPr>
                <w:p w14:paraId="7699B4E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1.11</w:t>
                  </w:r>
                </w:p>
              </w:tc>
              <w:tc>
                <w:tcPr>
                  <w:tcW w:w="708" w:type="dxa"/>
                  <w:vAlign w:val="center"/>
                </w:tcPr>
                <w:p w14:paraId="0CC69A4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0.33</w:t>
                  </w:r>
                </w:p>
              </w:tc>
              <w:tc>
                <w:tcPr>
                  <w:tcW w:w="728" w:type="dxa"/>
                  <w:vAlign w:val="center"/>
                </w:tcPr>
                <w:p w14:paraId="677DF42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1.11</w:t>
                  </w:r>
                </w:p>
              </w:tc>
              <w:tc>
                <w:tcPr>
                  <w:tcW w:w="715" w:type="dxa"/>
                  <w:vAlign w:val="center"/>
                </w:tcPr>
                <w:p w14:paraId="3E87329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0.33</w:t>
                  </w:r>
                </w:p>
              </w:tc>
              <w:tc>
                <w:tcPr>
                  <w:tcW w:w="589" w:type="dxa"/>
                  <w:vAlign w:val="center"/>
                </w:tcPr>
                <w:p w14:paraId="7A3181E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4" w:type="dxa"/>
                  <w:vAlign w:val="center"/>
                </w:tcPr>
                <w:p w14:paraId="146A930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3" w:type="dxa"/>
                  <w:vAlign w:val="center"/>
                </w:tcPr>
                <w:p w14:paraId="69CAFCF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8" w:type="dxa"/>
                  <w:vAlign w:val="center"/>
                </w:tcPr>
                <w:p w14:paraId="2DC6AC0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r>
            <w:tr w14:paraId="03B701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475" w:type="dxa"/>
                  <w:vMerge w:val="continue"/>
                  <w:tcBorders>
                    <w:top w:val="nil"/>
                    <w:bottom w:val="nil"/>
                  </w:tcBorders>
                  <w:vAlign w:val="center"/>
                </w:tcPr>
                <w:p w14:paraId="367B576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961" w:type="dxa"/>
                  <w:vAlign w:val="center"/>
                </w:tcPr>
                <w:p w14:paraId="274DEC87">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5"/>
                      <w:sz w:val="21"/>
                      <w:szCs w:val="21"/>
                    </w:rPr>
                    <w:t>旱地</w:t>
                  </w:r>
                </w:p>
              </w:tc>
              <w:tc>
                <w:tcPr>
                  <w:tcW w:w="866" w:type="dxa"/>
                  <w:vAlign w:val="center"/>
                </w:tcPr>
                <w:p w14:paraId="1C25927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0.08</w:t>
                  </w:r>
                </w:p>
              </w:tc>
              <w:tc>
                <w:tcPr>
                  <w:tcW w:w="708" w:type="dxa"/>
                  <w:vAlign w:val="center"/>
                </w:tcPr>
                <w:p w14:paraId="22DCD80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0.02</w:t>
                  </w:r>
                </w:p>
              </w:tc>
              <w:tc>
                <w:tcPr>
                  <w:tcW w:w="728" w:type="dxa"/>
                  <w:vAlign w:val="center"/>
                </w:tcPr>
                <w:p w14:paraId="645717C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0.08</w:t>
                  </w:r>
                </w:p>
              </w:tc>
              <w:tc>
                <w:tcPr>
                  <w:tcW w:w="715" w:type="dxa"/>
                  <w:vAlign w:val="center"/>
                </w:tcPr>
                <w:p w14:paraId="20476EC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0.02</w:t>
                  </w:r>
                </w:p>
              </w:tc>
              <w:tc>
                <w:tcPr>
                  <w:tcW w:w="589" w:type="dxa"/>
                  <w:vAlign w:val="center"/>
                </w:tcPr>
                <w:p w14:paraId="319A962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4" w:type="dxa"/>
                  <w:vAlign w:val="center"/>
                </w:tcPr>
                <w:p w14:paraId="1947A3B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3" w:type="dxa"/>
                  <w:vAlign w:val="center"/>
                </w:tcPr>
                <w:p w14:paraId="67C84E9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8" w:type="dxa"/>
                  <w:vAlign w:val="center"/>
                </w:tcPr>
                <w:p w14:paraId="0A2D01A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r>
            <w:tr w14:paraId="758F2D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475" w:type="dxa"/>
                  <w:vMerge w:val="continue"/>
                  <w:tcBorders>
                    <w:top w:val="nil"/>
                    <w:bottom w:val="nil"/>
                  </w:tcBorders>
                  <w:vAlign w:val="center"/>
                </w:tcPr>
                <w:p w14:paraId="0D511CF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961" w:type="dxa"/>
                  <w:vAlign w:val="center"/>
                </w:tcPr>
                <w:p w14:paraId="6AC254C2">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11"/>
                      <w:sz w:val="21"/>
                      <w:szCs w:val="21"/>
                    </w:rPr>
                    <w:t>园地</w:t>
                  </w:r>
                </w:p>
              </w:tc>
              <w:tc>
                <w:tcPr>
                  <w:tcW w:w="866" w:type="dxa"/>
                  <w:vAlign w:val="center"/>
                </w:tcPr>
                <w:p w14:paraId="33FB4AE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0.20</w:t>
                  </w:r>
                </w:p>
              </w:tc>
              <w:tc>
                <w:tcPr>
                  <w:tcW w:w="708" w:type="dxa"/>
                  <w:vAlign w:val="center"/>
                </w:tcPr>
                <w:p w14:paraId="07E11C0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0.06</w:t>
                  </w:r>
                </w:p>
              </w:tc>
              <w:tc>
                <w:tcPr>
                  <w:tcW w:w="728" w:type="dxa"/>
                  <w:vAlign w:val="center"/>
                </w:tcPr>
                <w:p w14:paraId="2C7613D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0.20</w:t>
                  </w:r>
                </w:p>
              </w:tc>
              <w:tc>
                <w:tcPr>
                  <w:tcW w:w="715" w:type="dxa"/>
                  <w:vAlign w:val="center"/>
                </w:tcPr>
                <w:p w14:paraId="6094862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0.06</w:t>
                  </w:r>
                </w:p>
              </w:tc>
              <w:tc>
                <w:tcPr>
                  <w:tcW w:w="589" w:type="dxa"/>
                  <w:vAlign w:val="center"/>
                </w:tcPr>
                <w:p w14:paraId="7A07BD2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4" w:type="dxa"/>
                  <w:vAlign w:val="center"/>
                </w:tcPr>
                <w:p w14:paraId="032965E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3" w:type="dxa"/>
                  <w:vAlign w:val="center"/>
                </w:tcPr>
                <w:p w14:paraId="2ADE619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8" w:type="dxa"/>
                  <w:vAlign w:val="center"/>
                </w:tcPr>
                <w:p w14:paraId="3D523B1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r>
            <w:tr w14:paraId="13DD71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475" w:type="dxa"/>
                  <w:vMerge w:val="continue"/>
                  <w:tcBorders>
                    <w:top w:val="nil"/>
                    <w:bottom w:val="nil"/>
                  </w:tcBorders>
                  <w:vAlign w:val="center"/>
                </w:tcPr>
                <w:p w14:paraId="625C56E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961" w:type="dxa"/>
                  <w:vAlign w:val="center"/>
                </w:tcPr>
                <w:p w14:paraId="579AF2C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林地</w:t>
                  </w:r>
                </w:p>
              </w:tc>
              <w:tc>
                <w:tcPr>
                  <w:tcW w:w="866" w:type="dxa"/>
                  <w:vAlign w:val="center"/>
                </w:tcPr>
                <w:p w14:paraId="252A426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0.17</w:t>
                  </w:r>
                </w:p>
              </w:tc>
              <w:tc>
                <w:tcPr>
                  <w:tcW w:w="708" w:type="dxa"/>
                  <w:vAlign w:val="center"/>
                </w:tcPr>
                <w:p w14:paraId="30528DE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0.05</w:t>
                  </w:r>
                </w:p>
              </w:tc>
              <w:tc>
                <w:tcPr>
                  <w:tcW w:w="728" w:type="dxa"/>
                  <w:vAlign w:val="center"/>
                </w:tcPr>
                <w:p w14:paraId="5EE699A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0.17</w:t>
                  </w:r>
                </w:p>
              </w:tc>
              <w:tc>
                <w:tcPr>
                  <w:tcW w:w="715" w:type="dxa"/>
                  <w:vAlign w:val="center"/>
                </w:tcPr>
                <w:p w14:paraId="2762BB9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0.05</w:t>
                  </w:r>
                </w:p>
              </w:tc>
              <w:tc>
                <w:tcPr>
                  <w:tcW w:w="589" w:type="dxa"/>
                  <w:vAlign w:val="center"/>
                </w:tcPr>
                <w:p w14:paraId="0846140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4" w:type="dxa"/>
                  <w:vAlign w:val="center"/>
                </w:tcPr>
                <w:p w14:paraId="0D0CF38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3" w:type="dxa"/>
                  <w:vAlign w:val="center"/>
                </w:tcPr>
                <w:p w14:paraId="1EB4FCC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8" w:type="dxa"/>
                  <w:vAlign w:val="center"/>
                </w:tcPr>
                <w:p w14:paraId="257D78E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r>
            <w:tr w14:paraId="724EB0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475" w:type="dxa"/>
                  <w:vMerge w:val="continue"/>
                  <w:tcBorders>
                    <w:top w:val="nil"/>
                  </w:tcBorders>
                  <w:vAlign w:val="center"/>
                </w:tcPr>
                <w:p w14:paraId="2D95F9B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961" w:type="dxa"/>
                  <w:vAlign w:val="center"/>
                </w:tcPr>
                <w:p w14:paraId="19BCB287">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6"/>
                      <w:sz w:val="21"/>
                      <w:szCs w:val="21"/>
                    </w:rPr>
                    <w:t>小计</w:t>
                  </w:r>
                </w:p>
              </w:tc>
              <w:tc>
                <w:tcPr>
                  <w:tcW w:w="866" w:type="dxa"/>
                  <w:vAlign w:val="center"/>
                </w:tcPr>
                <w:p w14:paraId="205C0BE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1.56</w:t>
                  </w:r>
                </w:p>
              </w:tc>
              <w:tc>
                <w:tcPr>
                  <w:tcW w:w="708" w:type="dxa"/>
                  <w:vAlign w:val="center"/>
                </w:tcPr>
                <w:p w14:paraId="0400C7B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0.46</w:t>
                  </w:r>
                </w:p>
              </w:tc>
              <w:tc>
                <w:tcPr>
                  <w:tcW w:w="728" w:type="dxa"/>
                  <w:vAlign w:val="center"/>
                </w:tcPr>
                <w:p w14:paraId="140B7FB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1.56</w:t>
                  </w:r>
                </w:p>
              </w:tc>
              <w:tc>
                <w:tcPr>
                  <w:tcW w:w="715" w:type="dxa"/>
                  <w:vAlign w:val="center"/>
                </w:tcPr>
                <w:p w14:paraId="1D6F3AB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0.46</w:t>
                  </w:r>
                </w:p>
              </w:tc>
              <w:tc>
                <w:tcPr>
                  <w:tcW w:w="589" w:type="dxa"/>
                  <w:vAlign w:val="center"/>
                </w:tcPr>
                <w:p w14:paraId="1591500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4" w:type="dxa"/>
                  <w:vAlign w:val="center"/>
                </w:tcPr>
                <w:p w14:paraId="2560EED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3" w:type="dxa"/>
                  <w:vAlign w:val="center"/>
                </w:tcPr>
                <w:p w14:paraId="01B9BBE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8" w:type="dxa"/>
                  <w:vAlign w:val="center"/>
                </w:tcPr>
                <w:p w14:paraId="1DBE21F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r>
            <w:tr w14:paraId="0E3528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475" w:type="dxa"/>
                  <w:vMerge w:val="restart"/>
                  <w:tcBorders>
                    <w:bottom w:val="nil"/>
                  </w:tcBorders>
                  <w:vAlign w:val="center"/>
                </w:tcPr>
                <w:p w14:paraId="6D7F6E1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rFonts w:ascii="Times New Roman" w:hAnsi="Times New Roman" w:eastAsia="Times New Roman" w:cs="Times New Roman"/>
                      <w:spacing w:val="-2"/>
                      <w:sz w:val="21"/>
                      <w:szCs w:val="21"/>
                    </w:rPr>
                    <w:t>K24+250</w:t>
                  </w:r>
                  <w:r>
                    <w:rPr>
                      <w:spacing w:val="-2"/>
                      <w:sz w:val="21"/>
                      <w:szCs w:val="21"/>
                    </w:rPr>
                    <w:t>～</w:t>
                  </w:r>
                  <w:r>
                    <w:rPr>
                      <w:rFonts w:ascii="Times New Roman" w:hAnsi="Times New Roman" w:eastAsia="Times New Roman" w:cs="Times New Roman"/>
                      <w:spacing w:val="-2"/>
                      <w:sz w:val="21"/>
                      <w:szCs w:val="21"/>
                    </w:rPr>
                    <w:t>K29+460</w:t>
                  </w:r>
                  <w:r>
                    <w:rPr>
                      <w:spacing w:val="-4"/>
                      <w:sz w:val="21"/>
                      <w:szCs w:val="21"/>
                    </w:rPr>
                    <w:t>（勐旺村）</w:t>
                  </w:r>
                </w:p>
              </w:tc>
              <w:tc>
                <w:tcPr>
                  <w:tcW w:w="961" w:type="dxa"/>
                  <w:vAlign w:val="center"/>
                </w:tcPr>
                <w:p w14:paraId="2DF13E75">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5"/>
                      <w:sz w:val="21"/>
                      <w:szCs w:val="21"/>
                    </w:rPr>
                    <w:t>水田</w:t>
                  </w:r>
                </w:p>
              </w:tc>
              <w:tc>
                <w:tcPr>
                  <w:tcW w:w="866" w:type="dxa"/>
                  <w:vAlign w:val="center"/>
                </w:tcPr>
                <w:p w14:paraId="28E8893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0.76</w:t>
                  </w:r>
                </w:p>
              </w:tc>
              <w:tc>
                <w:tcPr>
                  <w:tcW w:w="708" w:type="dxa"/>
                  <w:vAlign w:val="center"/>
                </w:tcPr>
                <w:p w14:paraId="3D97D6B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0.23</w:t>
                  </w:r>
                </w:p>
              </w:tc>
              <w:tc>
                <w:tcPr>
                  <w:tcW w:w="728" w:type="dxa"/>
                  <w:vAlign w:val="center"/>
                </w:tcPr>
                <w:p w14:paraId="4225216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0.76</w:t>
                  </w:r>
                </w:p>
              </w:tc>
              <w:tc>
                <w:tcPr>
                  <w:tcW w:w="715" w:type="dxa"/>
                  <w:vAlign w:val="center"/>
                </w:tcPr>
                <w:p w14:paraId="0EAF8DF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0.23</w:t>
                  </w:r>
                </w:p>
              </w:tc>
              <w:tc>
                <w:tcPr>
                  <w:tcW w:w="589" w:type="dxa"/>
                  <w:vAlign w:val="center"/>
                </w:tcPr>
                <w:p w14:paraId="621009A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4" w:type="dxa"/>
                  <w:vAlign w:val="center"/>
                </w:tcPr>
                <w:p w14:paraId="5DD2253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3" w:type="dxa"/>
                  <w:vAlign w:val="center"/>
                </w:tcPr>
                <w:p w14:paraId="28423AC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8" w:type="dxa"/>
                  <w:vAlign w:val="center"/>
                </w:tcPr>
                <w:p w14:paraId="7E1B88E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r>
            <w:tr w14:paraId="462553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475" w:type="dxa"/>
                  <w:vMerge w:val="continue"/>
                  <w:tcBorders>
                    <w:top w:val="nil"/>
                    <w:bottom w:val="nil"/>
                  </w:tcBorders>
                  <w:vAlign w:val="center"/>
                </w:tcPr>
                <w:p w14:paraId="50E9446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961" w:type="dxa"/>
                  <w:vAlign w:val="center"/>
                </w:tcPr>
                <w:p w14:paraId="1307DBA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5"/>
                      <w:sz w:val="21"/>
                      <w:szCs w:val="21"/>
                    </w:rPr>
                    <w:t>旱地</w:t>
                  </w:r>
                </w:p>
              </w:tc>
              <w:tc>
                <w:tcPr>
                  <w:tcW w:w="866" w:type="dxa"/>
                  <w:vAlign w:val="center"/>
                </w:tcPr>
                <w:p w14:paraId="747173C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0.12</w:t>
                  </w:r>
                </w:p>
              </w:tc>
              <w:tc>
                <w:tcPr>
                  <w:tcW w:w="708" w:type="dxa"/>
                  <w:vAlign w:val="center"/>
                </w:tcPr>
                <w:p w14:paraId="7918439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0.04</w:t>
                  </w:r>
                </w:p>
              </w:tc>
              <w:tc>
                <w:tcPr>
                  <w:tcW w:w="728" w:type="dxa"/>
                  <w:vAlign w:val="center"/>
                </w:tcPr>
                <w:p w14:paraId="60CB065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0.12</w:t>
                  </w:r>
                </w:p>
              </w:tc>
              <w:tc>
                <w:tcPr>
                  <w:tcW w:w="715" w:type="dxa"/>
                  <w:vAlign w:val="center"/>
                </w:tcPr>
                <w:p w14:paraId="32C6DE1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0.04</w:t>
                  </w:r>
                </w:p>
              </w:tc>
              <w:tc>
                <w:tcPr>
                  <w:tcW w:w="589" w:type="dxa"/>
                  <w:vAlign w:val="center"/>
                </w:tcPr>
                <w:p w14:paraId="76DF71E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4" w:type="dxa"/>
                  <w:vAlign w:val="center"/>
                </w:tcPr>
                <w:p w14:paraId="1595CA6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3" w:type="dxa"/>
                  <w:vAlign w:val="center"/>
                </w:tcPr>
                <w:p w14:paraId="05EAFD5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8" w:type="dxa"/>
                  <w:vAlign w:val="center"/>
                </w:tcPr>
                <w:p w14:paraId="6CA4A98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r>
            <w:tr w14:paraId="6EB2FC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475" w:type="dxa"/>
                  <w:vMerge w:val="continue"/>
                  <w:tcBorders>
                    <w:top w:val="nil"/>
                    <w:bottom w:val="nil"/>
                  </w:tcBorders>
                  <w:vAlign w:val="center"/>
                </w:tcPr>
                <w:p w14:paraId="74053E2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961" w:type="dxa"/>
                  <w:vAlign w:val="center"/>
                </w:tcPr>
                <w:p w14:paraId="743C3D23">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林地</w:t>
                  </w:r>
                </w:p>
              </w:tc>
              <w:tc>
                <w:tcPr>
                  <w:tcW w:w="866" w:type="dxa"/>
                  <w:vAlign w:val="center"/>
                </w:tcPr>
                <w:p w14:paraId="246442B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0.27</w:t>
                  </w:r>
                </w:p>
              </w:tc>
              <w:tc>
                <w:tcPr>
                  <w:tcW w:w="708" w:type="dxa"/>
                  <w:vAlign w:val="center"/>
                </w:tcPr>
                <w:p w14:paraId="2ACB5BA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0.08</w:t>
                  </w:r>
                </w:p>
              </w:tc>
              <w:tc>
                <w:tcPr>
                  <w:tcW w:w="728" w:type="dxa"/>
                  <w:vAlign w:val="center"/>
                </w:tcPr>
                <w:p w14:paraId="3C3DD79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0.27</w:t>
                  </w:r>
                </w:p>
              </w:tc>
              <w:tc>
                <w:tcPr>
                  <w:tcW w:w="715" w:type="dxa"/>
                  <w:vAlign w:val="center"/>
                </w:tcPr>
                <w:p w14:paraId="675DBE1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0.08</w:t>
                  </w:r>
                </w:p>
              </w:tc>
              <w:tc>
                <w:tcPr>
                  <w:tcW w:w="589" w:type="dxa"/>
                  <w:vAlign w:val="center"/>
                </w:tcPr>
                <w:p w14:paraId="7E94A5C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4" w:type="dxa"/>
                  <w:vAlign w:val="center"/>
                </w:tcPr>
                <w:p w14:paraId="63A1429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3" w:type="dxa"/>
                  <w:vAlign w:val="center"/>
                </w:tcPr>
                <w:p w14:paraId="0734A08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8" w:type="dxa"/>
                  <w:vAlign w:val="center"/>
                </w:tcPr>
                <w:p w14:paraId="0A68D52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r>
            <w:tr w14:paraId="233CB7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475" w:type="dxa"/>
                  <w:vMerge w:val="continue"/>
                  <w:tcBorders>
                    <w:top w:val="nil"/>
                  </w:tcBorders>
                  <w:vAlign w:val="center"/>
                </w:tcPr>
                <w:p w14:paraId="35A774E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961" w:type="dxa"/>
                  <w:vAlign w:val="center"/>
                </w:tcPr>
                <w:p w14:paraId="4C48E44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6"/>
                      <w:sz w:val="21"/>
                      <w:szCs w:val="21"/>
                    </w:rPr>
                    <w:t>小计</w:t>
                  </w:r>
                </w:p>
              </w:tc>
              <w:tc>
                <w:tcPr>
                  <w:tcW w:w="866" w:type="dxa"/>
                  <w:vAlign w:val="center"/>
                </w:tcPr>
                <w:p w14:paraId="5AAB09C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1.15</w:t>
                  </w:r>
                </w:p>
              </w:tc>
              <w:tc>
                <w:tcPr>
                  <w:tcW w:w="708" w:type="dxa"/>
                  <w:vAlign w:val="center"/>
                </w:tcPr>
                <w:p w14:paraId="24F7AA1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0.35</w:t>
                  </w:r>
                </w:p>
              </w:tc>
              <w:tc>
                <w:tcPr>
                  <w:tcW w:w="728" w:type="dxa"/>
                  <w:vAlign w:val="center"/>
                </w:tcPr>
                <w:p w14:paraId="722A480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1.15</w:t>
                  </w:r>
                </w:p>
              </w:tc>
              <w:tc>
                <w:tcPr>
                  <w:tcW w:w="715" w:type="dxa"/>
                  <w:vAlign w:val="center"/>
                </w:tcPr>
                <w:p w14:paraId="1EB2E93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0.35</w:t>
                  </w:r>
                </w:p>
              </w:tc>
              <w:tc>
                <w:tcPr>
                  <w:tcW w:w="589" w:type="dxa"/>
                  <w:vAlign w:val="center"/>
                </w:tcPr>
                <w:p w14:paraId="5D8D430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4" w:type="dxa"/>
                  <w:vAlign w:val="center"/>
                </w:tcPr>
                <w:p w14:paraId="6865AB4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3" w:type="dxa"/>
                  <w:vAlign w:val="center"/>
                </w:tcPr>
                <w:p w14:paraId="20BD644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8" w:type="dxa"/>
                  <w:vAlign w:val="center"/>
                </w:tcPr>
                <w:p w14:paraId="1D90EC2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r>
            <w:tr w14:paraId="07A068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475" w:type="dxa"/>
                  <w:vMerge w:val="restart"/>
                  <w:tcBorders>
                    <w:bottom w:val="nil"/>
                  </w:tcBorders>
                  <w:vAlign w:val="center"/>
                </w:tcPr>
                <w:p w14:paraId="732F9CB4">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rFonts w:ascii="Times New Roman" w:hAnsi="Times New Roman" w:eastAsia="Times New Roman" w:cs="Times New Roman"/>
                      <w:spacing w:val="-2"/>
                      <w:sz w:val="21"/>
                      <w:szCs w:val="21"/>
                    </w:rPr>
                    <w:t>K31+870</w:t>
                  </w:r>
                  <w:r>
                    <w:rPr>
                      <w:spacing w:val="-2"/>
                      <w:sz w:val="21"/>
                      <w:szCs w:val="21"/>
                    </w:rPr>
                    <w:t>～</w:t>
                  </w:r>
                  <w:r>
                    <w:rPr>
                      <w:rFonts w:ascii="Times New Roman" w:hAnsi="Times New Roman" w:eastAsia="Times New Roman" w:cs="Times New Roman"/>
                      <w:spacing w:val="-2"/>
                      <w:sz w:val="21"/>
                      <w:szCs w:val="21"/>
                    </w:rPr>
                    <w:t>K34+435</w:t>
                  </w:r>
                  <w:r>
                    <w:rPr>
                      <w:spacing w:val="-4"/>
                      <w:sz w:val="21"/>
                      <w:szCs w:val="21"/>
                    </w:rPr>
                    <w:t>（芒里村）</w:t>
                  </w:r>
                </w:p>
              </w:tc>
              <w:tc>
                <w:tcPr>
                  <w:tcW w:w="961" w:type="dxa"/>
                  <w:vAlign w:val="center"/>
                </w:tcPr>
                <w:p w14:paraId="7049938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5"/>
                      <w:sz w:val="21"/>
                      <w:szCs w:val="21"/>
                    </w:rPr>
                    <w:t>水田</w:t>
                  </w:r>
                </w:p>
              </w:tc>
              <w:tc>
                <w:tcPr>
                  <w:tcW w:w="866" w:type="dxa"/>
                  <w:vAlign w:val="center"/>
                </w:tcPr>
                <w:p w14:paraId="7F51510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0.15</w:t>
                  </w:r>
                </w:p>
              </w:tc>
              <w:tc>
                <w:tcPr>
                  <w:tcW w:w="708" w:type="dxa"/>
                  <w:vAlign w:val="center"/>
                </w:tcPr>
                <w:p w14:paraId="4999DD8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0.05</w:t>
                  </w:r>
                </w:p>
              </w:tc>
              <w:tc>
                <w:tcPr>
                  <w:tcW w:w="728" w:type="dxa"/>
                  <w:vAlign w:val="center"/>
                </w:tcPr>
                <w:p w14:paraId="246867D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0.15</w:t>
                  </w:r>
                </w:p>
              </w:tc>
              <w:tc>
                <w:tcPr>
                  <w:tcW w:w="715" w:type="dxa"/>
                  <w:vAlign w:val="center"/>
                </w:tcPr>
                <w:p w14:paraId="4D374A4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0.05</w:t>
                  </w:r>
                </w:p>
              </w:tc>
              <w:tc>
                <w:tcPr>
                  <w:tcW w:w="589" w:type="dxa"/>
                  <w:vAlign w:val="center"/>
                </w:tcPr>
                <w:p w14:paraId="4CF6457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4" w:type="dxa"/>
                  <w:vAlign w:val="center"/>
                </w:tcPr>
                <w:p w14:paraId="57D3886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3" w:type="dxa"/>
                  <w:vAlign w:val="center"/>
                </w:tcPr>
                <w:p w14:paraId="1DF6567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8" w:type="dxa"/>
                  <w:vAlign w:val="center"/>
                </w:tcPr>
                <w:p w14:paraId="2283CD4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r>
            <w:tr w14:paraId="01B91A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475" w:type="dxa"/>
                  <w:vMerge w:val="continue"/>
                  <w:tcBorders>
                    <w:top w:val="nil"/>
                    <w:bottom w:val="nil"/>
                  </w:tcBorders>
                  <w:vAlign w:val="center"/>
                </w:tcPr>
                <w:p w14:paraId="2C0A187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961" w:type="dxa"/>
                  <w:vAlign w:val="center"/>
                </w:tcPr>
                <w:p w14:paraId="6E4CB09A">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林地</w:t>
                  </w:r>
                </w:p>
              </w:tc>
              <w:tc>
                <w:tcPr>
                  <w:tcW w:w="866" w:type="dxa"/>
                  <w:vAlign w:val="center"/>
                </w:tcPr>
                <w:p w14:paraId="05DA51E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1.15</w:t>
                  </w:r>
                </w:p>
              </w:tc>
              <w:tc>
                <w:tcPr>
                  <w:tcW w:w="708" w:type="dxa"/>
                  <w:vAlign w:val="center"/>
                </w:tcPr>
                <w:p w14:paraId="1F6A033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0.35</w:t>
                  </w:r>
                </w:p>
              </w:tc>
              <w:tc>
                <w:tcPr>
                  <w:tcW w:w="728" w:type="dxa"/>
                  <w:vAlign w:val="center"/>
                </w:tcPr>
                <w:p w14:paraId="3964047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1.15</w:t>
                  </w:r>
                </w:p>
              </w:tc>
              <w:tc>
                <w:tcPr>
                  <w:tcW w:w="715" w:type="dxa"/>
                  <w:vAlign w:val="center"/>
                </w:tcPr>
                <w:p w14:paraId="6DAB7C7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0.35</w:t>
                  </w:r>
                </w:p>
              </w:tc>
              <w:tc>
                <w:tcPr>
                  <w:tcW w:w="589" w:type="dxa"/>
                  <w:vAlign w:val="center"/>
                </w:tcPr>
                <w:p w14:paraId="7D60241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4" w:type="dxa"/>
                  <w:vAlign w:val="center"/>
                </w:tcPr>
                <w:p w14:paraId="719A976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3" w:type="dxa"/>
                  <w:vAlign w:val="center"/>
                </w:tcPr>
                <w:p w14:paraId="741C933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8" w:type="dxa"/>
                  <w:vAlign w:val="center"/>
                </w:tcPr>
                <w:p w14:paraId="5D9010E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r>
            <w:tr w14:paraId="4AF9F5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475" w:type="dxa"/>
                  <w:vMerge w:val="continue"/>
                  <w:tcBorders>
                    <w:top w:val="nil"/>
                  </w:tcBorders>
                  <w:vAlign w:val="center"/>
                </w:tcPr>
                <w:p w14:paraId="3945E93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961" w:type="dxa"/>
                  <w:vAlign w:val="center"/>
                </w:tcPr>
                <w:p w14:paraId="7B68151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6"/>
                      <w:sz w:val="21"/>
                      <w:szCs w:val="21"/>
                    </w:rPr>
                    <w:t>小计</w:t>
                  </w:r>
                </w:p>
              </w:tc>
              <w:tc>
                <w:tcPr>
                  <w:tcW w:w="866" w:type="dxa"/>
                  <w:vAlign w:val="center"/>
                </w:tcPr>
                <w:p w14:paraId="67DF2DB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1.30</w:t>
                  </w:r>
                </w:p>
              </w:tc>
              <w:tc>
                <w:tcPr>
                  <w:tcW w:w="708" w:type="dxa"/>
                  <w:vAlign w:val="center"/>
                </w:tcPr>
                <w:p w14:paraId="4BB22F3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0.40</w:t>
                  </w:r>
                </w:p>
              </w:tc>
              <w:tc>
                <w:tcPr>
                  <w:tcW w:w="728" w:type="dxa"/>
                  <w:vAlign w:val="center"/>
                </w:tcPr>
                <w:p w14:paraId="0C45A09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1.30</w:t>
                  </w:r>
                </w:p>
              </w:tc>
              <w:tc>
                <w:tcPr>
                  <w:tcW w:w="715" w:type="dxa"/>
                  <w:vAlign w:val="center"/>
                </w:tcPr>
                <w:p w14:paraId="481A7BF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0.40</w:t>
                  </w:r>
                </w:p>
              </w:tc>
              <w:tc>
                <w:tcPr>
                  <w:tcW w:w="589" w:type="dxa"/>
                  <w:vAlign w:val="center"/>
                </w:tcPr>
                <w:p w14:paraId="58E7042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4" w:type="dxa"/>
                  <w:vAlign w:val="center"/>
                </w:tcPr>
                <w:p w14:paraId="630335B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3" w:type="dxa"/>
                  <w:vAlign w:val="center"/>
                </w:tcPr>
                <w:p w14:paraId="122BCD1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8" w:type="dxa"/>
                  <w:vAlign w:val="center"/>
                </w:tcPr>
                <w:p w14:paraId="2B0DF3C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r>
            <w:tr w14:paraId="56DD3A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1475" w:type="dxa"/>
                  <w:vAlign w:val="center"/>
                </w:tcPr>
                <w:p w14:paraId="0A3674C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eastAsia="宋体"/>
                      <w:sz w:val="21"/>
                      <w:szCs w:val="21"/>
                      <w:lang w:val="en-US" w:eastAsia="zh-CN"/>
                    </w:rPr>
                  </w:pPr>
                  <w:r>
                    <w:rPr>
                      <w:rFonts w:hint="eastAsia"/>
                      <w:sz w:val="21"/>
                      <w:szCs w:val="21"/>
                      <w:lang w:val="en-US" w:eastAsia="zh-CN"/>
                    </w:rPr>
                    <w:t>合计</w:t>
                  </w:r>
                </w:p>
              </w:tc>
              <w:tc>
                <w:tcPr>
                  <w:tcW w:w="961" w:type="dxa"/>
                  <w:vAlign w:val="center"/>
                </w:tcPr>
                <w:p w14:paraId="7C37CBB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866" w:type="dxa"/>
                  <w:vAlign w:val="center"/>
                </w:tcPr>
                <w:p w14:paraId="2165A6A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b/>
                      <w:bCs/>
                      <w:spacing w:val="-2"/>
                      <w:sz w:val="21"/>
                      <w:szCs w:val="21"/>
                    </w:rPr>
                    <w:t>5.46</w:t>
                  </w:r>
                </w:p>
              </w:tc>
              <w:tc>
                <w:tcPr>
                  <w:tcW w:w="708" w:type="dxa"/>
                  <w:vAlign w:val="center"/>
                </w:tcPr>
                <w:p w14:paraId="5E8DB23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1.64</w:t>
                  </w:r>
                </w:p>
              </w:tc>
              <w:tc>
                <w:tcPr>
                  <w:tcW w:w="728" w:type="dxa"/>
                  <w:vAlign w:val="center"/>
                </w:tcPr>
                <w:p w14:paraId="41EA230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b/>
                      <w:bCs/>
                      <w:spacing w:val="-2"/>
                      <w:sz w:val="21"/>
                      <w:szCs w:val="21"/>
                    </w:rPr>
                    <w:t>5.46</w:t>
                  </w:r>
                </w:p>
              </w:tc>
              <w:tc>
                <w:tcPr>
                  <w:tcW w:w="715" w:type="dxa"/>
                  <w:vAlign w:val="center"/>
                </w:tcPr>
                <w:p w14:paraId="7C863F7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1.64</w:t>
                  </w:r>
                </w:p>
              </w:tc>
              <w:tc>
                <w:tcPr>
                  <w:tcW w:w="589" w:type="dxa"/>
                  <w:vAlign w:val="center"/>
                </w:tcPr>
                <w:p w14:paraId="56ABE52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4" w:type="dxa"/>
                  <w:vAlign w:val="center"/>
                </w:tcPr>
                <w:p w14:paraId="388C9A0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3" w:type="dxa"/>
                  <w:vAlign w:val="center"/>
                </w:tcPr>
                <w:p w14:paraId="7EC0606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28" w:type="dxa"/>
                  <w:vAlign w:val="center"/>
                </w:tcPr>
                <w:p w14:paraId="04CBD5F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r>
          </w:tbl>
          <w:p w14:paraId="4599EA4F">
            <w:pPr>
              <w:pStyle w:val="36"/>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right="0" w:rightChars="0" w:firstLine="482" w:firstLineChars="200"/>
              <w:jc w:val="both"/>
              <w:textAlignment w:val="baseline"/>
              <w:rPr>
                <w:rFonts w:hint="default"/>
                <w:b/>
                <w:bCs/>
                <w:color w:val="auto"/>
                <w:sz w:val="24"/>
                <w:szCs w:val="24"/>
                <w:vertAlign w:val="baseline"/>
                <w:lang w:val="en-US" w:eastAsia="zh-CN"/>
              </w:rPr>
            </w:pPr>
            <w:r>
              <w:rPr>
                <w:rFonts w:hint="eastAsia"/>
                <w:b/>
                <w:bCs/>
                <w:color w:val="auto"/>
                <w:sz w:val="24"/>
                <w:szCs w:val="24"/>
                <w:vertAlign w:val="baseline"/>
                <w:lang w:val="en-US" w:eastAsia="zh-CN"/>
              </w:rPr>
              <w:t>2）表土转存规划</w:t>
            </w:r>
          </w:p>
          <w:p w14:paraId="5A61D66C">
            <w:pPr>
              <w:pStyle w:val="36"/>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right="0" w:rightChars="0" w:firstLine="480" w:firstLineChars="200"/>
              <w:jc w:val="both"/>
              <w:textAlignment w:val="baseline"/>
              <w:rPr>
                <w:rFonts w:hint="eastAsia"/>
                <w:b w:val="0"/>
                <w:bCs w:val="0"/>
                <w:color w:val="auto"/>
                <w:lang w:val="en-US" w:eastAsia="zh-CN"/>
              </w:rPr>
            </w:pPr>
            <w:r>
              <w:rPr>
                <w:rFonts w:hint="default"/>
                <w:b w:val="0"/>
                <w:bCs w:val="0"/>
                <w:color w:val="auto"/>
                <w:lang w:val="en-US" w:eastAsia="zh-CN"/>
              </w:rPr>
              <w:t>本</w:t>
            </w:r>
            <w:r>
              <w:rPr>
                <w:rFonts w:hint="eastAsia"/>
                <w:b w:val="0"/>
                <w:bCs w:val="0"/>
                <w:color w:val="auto"/>
                <w:lang w:val="en-US" w:eastAsia="zh-CN"/>
              </w:rPr>
              <w:t>工程</w:t>
            </w:r>
            <w:r>
              <w:rPr>
                <w:rFonts w:hint="default"/>
                <w:b w:val="0"/>
                <w:bCs w:val="0"/>
                <w:color w:val="auto"/>
                <w:lang w:val="en-US" w:eastAsia="zh-CN"/>
              </w:rPr>
              <w:t>规划4个表土转存场，分别在K8+800处(勐戛村)、K17+600处（勐稳村）、K27+000 处（勐旺村）、K33+200处（芒里村）各设置一个表土转存场，表土转存场占地0.82hm</w:t>
            </w:r>
            <w:r>
              <w:rPr>
                <w:rFonts w:hint="default"/>
                <w:b w:val="0"/>
                <w:bCs w:val="0"/>
                <w:color w:val="auto"/>
                <w:vertAlign w:val="superscript"/>
                <w:lang w:val="en-US" w:eastAsia="zh-CN"/>
              </w:rPr>
              <w:t>2</w:t>
            </w:r>
            <w:r>
              <w:rPr>
                <w:rFonts w:hint="default"/>
                <w:b w:val="0"/>
                <w:bCs w:val="0"/>
                <w:color w:val="auto"/>
                <w:lang w:val="en-US" w:eastAsia="zh-CN"/>
              </w:rPr>
              <w:t>（占地面积已含于工程建设施工区内，占地不重复统计），可堆存表土2.46万m</w:t>
            </w:r>
            <w:r>
              <w:rPr>
                <w:rFonts w:hint="default"/>
                <w:b w:val="0"/>
                <w:bCs w:val="0"/>
                <w:color w:val="auto"/>
                <w:vertAlign w:val="superscript"/>
                <w:lang w:val="en-US" w:eastAsia="zh-CN"/>
              </w:rPr>
              <w:t>3</w:t>
            </w:r>
            <w:r>
              <w:rPr>
                <w:rFonts w:hint="default"/>
                <w:b w:val="0"/>
                <w:bCs w:val="0"/>
                <w:color w:val="auto"/>
                <w:lang w:val="en-US" w:eastAsia="zh-CN"/>
              </w:rPr>
              <w:t>，实际堆存表土2.06万m</w:t>
            </w:r>
            <w:r>
              <w:rPr>
                <w:rFonts w:hint="default"/>
                <w:b w:val="0"/>
                <w:bCs w:val="0"/>
                <w:color w:val="auto"/>
                <w:vertAlign w:val="superscript"/>
                <w:lang w:val="en-US" w:eastAsia="zh-CN"/>
              </w:rPr>
              <w:t>3</w:t>
            </w:r>
            <w:r>
              <w:rPr>
                <w:rFonts w:hint="default"/>
                <w:b w:val="0"/>
                <w:bCs w:val="0"/>
                <w:color w:val="auto"/>
                <w:lang w:val="en-US" w:eastAsia="zh-CN"/>
              </w:rPr>
              <w:t>，工程结束后将工程剥离的表土用于复耕覆土，预计临时堆土时间约为0.5年。</w:t>
            </w:r>
            <w:r>
              <w:rPr>
                <w:rFonts w:hint="eastAsia"/>
                <w:b w:val="0"/>
                <w:bCs w:val="0"/>
                <w:color w:val="auto"/>
                <w:lang w:val="en-US" w:eastAsia="zh-CN"/>
              </w:rPr>
              <w:t>表土转存场特性表见表2-11。</w:t>
            </w:r>
          </w:p>
          <w:p w14:paraId="3FCFD467">
            <w:pPr>
              <w:pStyle w:val="36"/>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right="0" w:rightChars="0"/>
              <w:jc w:val="center"/>
              <w:textAlignment w:val="baseline"/>
              <w:rPr>
                <w:rFonts w:hint="eastAsia"/>
                <w:b/>
                <w:bCs/>
                <w:color w:val="auto"/>
                <w:sz w:val="21"/>
                <w:szCs w:val="21"/>
                <w:vertAlign w:val="superscript"/>
                <w:lang w:val="en-US" w:eastAsia="zh-CN"/>
              </w:rPr>
            </w:pPr>
            <w:r>
              <w:rPr>
                <w:rFonts w:hint="eastAsia"/>
                <w:b/>
                <w:bCs/>
                <w:color w:val="auto"/>
                <w:sz w:val="21"/>
                <w:szCs w:val="21"/>
                <w:vertAlign w:val="baseline"/>
                <w:lang w:val="en-US" w:eastAsia="zh-CN"/>
              </w:rPr>
              <w:t>表2-11 表土转存特性表  单位：万m</w:t>
            </w:r>
            <w:r>
              <w:rPr>
                <w:rFonts w:hint="eastAsia"/>
                <w:b/>
                <w:bCs/>
                <w:color w:val="auto"/>
                <w:sz w:val="21"/>
                <w:szCs w:val="21"/>
                <w:vertAlign w:val="superscript"/>
                <w:lang w:val="en-US" w:eastAsia="zh-CN"/>
              </w:rPr>
              <w:t>3</w:t>
            </w:r>
          </w:p>
          <w:tbl>
            <w:tblPr>
              <w:tblStyle w:val="46"/>
              <w:tblW w:w="7635"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23"/>
              <w:gridCol w:w="876"/>
              <w:gridCol w:w="706"/>
              <w:gridCol w:w="650"/>
              <w:gridCol w:w="578"/>
              <w:gridCol w:w="695"/>
              <w:gridCol w:w="664"/>
              <w:gridCol w:w="803"/>
              <w:gridCol w:w="781"/>
              <w:gridCol w:w="859"/>
            </w:tblGrid>
            <w:tr w14:paraId="0F7B21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trPr>
              <w:tc>
                <w:tcPr>
                  <w:tcW w:w="1023" w:type="dxa"/>
                  <w:vMerge w:val="restart"/>
                  <w:tcBorders>
                    <w:bottom w:val="nil"/>
                  </w:tcBorders>
                  <w:vAlign w:val="center"/>
                </w:tcPr>
                <w:p w14:paraId="05376E7A">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5"/>
                      <w:sz w:val="21"/>
                      <w:szCs w:val="21"/>
                    </w:rPr>
                    <w:t>名称</w:t>
                  </w:r>
                </w:p>
              </w:tc>
              <w:tc>
                <w:tcPr>
                  <w:tcW w:w="876" w:type="dxa"/>
                  <w:vMerge w:val="restart"/>
                  <w:tcBorders>
                    <w:bottom w:val="nil"/>
                  </w:tcBorders>
                  <w:vAlign w:val="center"/>
                </w:tcPr>
                <w:p w14:paraId="167DDB62">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位置</w:t>
                  </w:r>
                </w:p>
              </w:tc>
              <w:tc>
                <w:tcPr>
                  <w:tcW w:w="706" w:type="dxa"/>
                  <w:vMerge w:val="restart"/>
                  <w:tcBorders>
                    <w:bottom w:val="nil"/>
                  </w:tcBorders>
                  <w:vAlign w:val="center"/>
                </w:tcPr>
                <w:p w14:paraId="4460C63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10"/>
                      <w:sz w:val="21"/>
                      <w:szCs w:val="21"/>
                    </w:rPr>
                    <w:t>占地面积</w:t>
                  </w:r>
                  <w:r>
                    <w:rPr>
                      <w:spacing w:val="2"/>
                      <w:sz w:val="21"/>
                      <w:szCs w:val="21"/>
                    </w:rPr>
                    <w:t xml:space="preserve"> </w:t>
                  </w:r>
                  <w:r>
                    <w:rPr>
                      <w:spacing w:val="-3"/>
                      <w:sz w:val="21"/>
                      <w:szCs w:val="21"/>
                    </w:rPr>
                    <w:t>（</w:t>
                  </w:r>
                  <w:r>
                    <w:rPr>
                      <w:rFonts w:ascii="Times New Roman" w:hAnsi="Times New Roman" w:eastAsia="Times New Roman" w:cs="Times New Roman"/>
                      <w:spacing w:val="-3"/>
                      <w:sz w:val="21"/>
                      <w:szCs w:val="21"/>
                    </w:rPr>
                    <w:t>hm</w:t>
                  </w:r>
                  <w:r>
                    <w:rPr>
                      <w:rFonts w:hint="eastAsia" w:ascii="Times New Roman" w:hAnsi="Times New Roman" w:eastAsia="宋体" w:cs="Times New Roman"/>
                      <w:spacing w:val="-3"/>
                      <w:sz w:val="21"/>
                      <w:szCs w:val="21"/>
                      <w:vertAlign w:val="superscript"/>
                      <w:lang w:val="en-US" w:eastAsia="zh-CN"/>
                    </w:rPr>
                    <w:t>2</w:t>
                  </w:r>
                  <w:r>
                    <w:rPr>
                      <w:spacing w:val="-3"/>
                      <w:sz w:val="21"/>
                      <w:szCs w:val="21"/>
                    </w:rPr>
                    <w:t>）</w:t>
                  </w:r>
                </w:p>
              </w:tc>
              <w:tc>
                <w:tcPr>
                  <w:tcW w:w="650" w:type="dxa"/>
                  <w:vMerge w:val="restart"/>
                  <w:tcBorders>
                    <w:bottom w:val="nil"/>
                  </w:tcBorders>
                  <w:vAlign w:val="center"/>
                </w:tcPr>
                <w:p w14:paraId="0B0D9AA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9"/>
                      <w:sz w:val="21"/>
                      <w:szCs w:val="21"/>
                    </w:rPr>
                    <w:t>容量</w:t>
                  </w:r>
                  <w:r>
                    <w:rPr>
                      <w:sz w:val="21"/>
                      <w:szCs w:val="21"/>
                    </w:rPr>
                    <w:t xml:space="preserve">  </w:t>
                  </w:r>
                  <w:r>
                    <w:rPr>
                      <w:spacing w:val="-7"/>
                      <w:sz w:val="21"/>
                      <w:szCs w:val="21"/>
                    </w:rPr>
                    <w:t>（万</w:t>
                  </w:r>
                  <w:r>
                    <w:rPr>
                      <w:spacing w:val="-44"/>
                      <w:sz w:val="21"/>
                      <w:szCs w:val="21"/>
                    </w:rPr>
                    <w:t xml:space="preserve"> </w:t>
                  </w:r>
                  <w:r>
                    <w:rPr>
                      <w:rFonts w:ascii="Times New Roman" w:hAnsi="Times New Roman" w:eastAsia="Times New Roman" w:cs="Times New Roman"/>
                      <w:spacing w:val="-7"/>
                      <w:sz w:val="21"/>
                      <w:szCs w:val="21"/>
                    </w:rPr>
                    <w:t>m</w:t>
                  </w:r>
                  <w:r>
                    <w:rPr>
                      <w:rFonts w:hint="eastAsia" w:ascii="Times New Roman" w:hAnsi="Times New Roman" w:eastAsia="宋体" w:cs="Times New Roman"/>
                      <w:spacing w:val="-7"/>
                      <w:sz w:val="21"/>
                      <w:szCs w:val="21"/>
                      <w:vertAlign w:val="superscript"/>
                      <w:lang w:val="en-US" w:eastAsia="zh-CN"/>
                    </w:rPr>
                    <w:t>3</w:t>
                  </w:r>
                  <w:r>
                    <w:rPr>
                      <w:spacing w:val="-21"/>
                      <w:sz w:val="21"/>
                      <w:szCs w:val="21"/>
                    </w:rPr>
                    <w:t>）</w:t>
                  </w:r>
                </w:p>
              </w:tc>
              <w:tc>
                <w:tcPr>
                  <w:tcW w:w="1273" w:type="dxa"/>
                  <w:gridSpan w:val="2"/>
                  <w:vAlign w:val="center"/>
                </w:tcPr>
                <w:p w14:paraId="28E78317">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2"/>
                      <w:sz w:val="21"/>
                      <w:szCs w:val="21"/>
                    </w:rPr>
                    <w:t>实际堆土量（万</w:t>
                  </w:r>
                  <w:r>
                    <w:rPr>
                      <w:spacing w:val="1"/>
                      <w:sz w:val="21"/>
                      <w:szCs w:val="21"/>
                    </w:rPr>
                    <w:t xml:space="preserve"> </w:t>
                  </w:r>
                  <w:r>
                    <w:rPr>
                      <w:rFonts w:ascii="Times New Roman" w:hAnsi="Times New Roman" w:eastAsia="Times New Roman" w:cs="Times New Roman"/>
                      <w:sz w:val="21"/>
                      <w:szCs w:val="21"/>
                    </w:rPr>
                    <w:t>m</w:t>
                  </w:r>
                  <w:r>
                    <w:rPr>
                      <w:rFonts w:hint="eastAsia" w:ascii="Times New Roman" w:hAnsi="Times New Roman" w:eastAsia="宋体" w:cs="Times New Roman"/>
                      <w:sz w:val="21"/>
                      <w:szCs w:val="21"/>
                      <w:vertAlign w:val="superscript"/>
                      <w:lang w:val="en-US" w:eastAsia="zh-CN"/>
                    </w:rPr>
                    <w:t>3</w:t>
                  </w:r>
                  <w:r>
                    <w:rPr>
                      <w:sz w:val="21"/>
                      <w:szCs w:val="21"/>
                    </w:rPr>
                    <w:t>）</w:t>
                  </w:r>
                </w:p>
              </w:tc>
              <w:tc>
                <w:tcPr>
                  <w:tcW w:w="664" w:type="dxa"/>
                  <w:vMerge w:val="restart"/>
                  <w:tcBorders>
                    <w:bottom w:val="nil"/>
                  </w:tcBorders>
                  <w:vAlign w:val="center"/>
                </w:tcPr>
                <w:p w14:paraId="27588A7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2"/>
                      <w:sz w:val="21"/>
                      <w:szCs w:val="21"/>
                    </w:rPr>
                    <w:t>平均堆高</w:t>
                  </w:r>
                </w:p>
                <w:p w14:paraId="48B1FE8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6"/>
                      <w:sz w:val="21"/>
                      <w:szCs w:val="21"/>
                    </w:rPr>
                    <w:t>（</w:t>
                  </w:r>
                  <w:r>
                    <w:rPr>
                      <w:rFonts w:ascii="Times New Roman" w:hAnsi="Times New Roman" w:eastAsia="Times New Roman" w:cs="Times New Roman"/>
                      <w:spacing w:val="-6"/>
                      <w:sz w:val="21"/>
                      <w:szCs w:val="21"/>
                    </w:rPr>
                    <w:t>m</w:t>
                  </w:r>
                  <w:r>
                    <w:rPr>
                      <w:spacing w:val="-6"/>
                      <w:sz w:val="21"/>
                      <w:szCs w:val="21"/>
                    </w:rPr>
                    <w:t>）</w:t>
                  </w:r>
                </w:p>
              </w:tc>
              <w:tc>
                <w:tcPr>
                  <w:tcW w:w="803" w:type="dxa"/>
                  <w:vMerge w:val="restart"/>
                  <w:tcBorders>
                    <w:bottom w:val="nil"/>
                  </w:tcBorders>
                  <w:vAlign w:val="center"/>
                </w:tcPr>
                <w:p w14:paraId="3A98942B">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2"/>
                      <w:sz w:val="21"/>
                      <w:szCs w:val="21"/>
                    </w:rPr>
                    <w:t>平均堆存时</w:t>
                  </w:r>
                  <w:r>
                    <w:rPr>
                      <w:spacing w:val="-6"/>
                      <w:sz w:val="21"/>
                      <w:szCs w:val="21"/>
                    </w:rPr>
                    <w:t>间（</w:t>
                  </w:r>
                  <w:r>
                    <w:rPr>
                      <w:rFonts w:ascii="Times New Roman" w:hAnsi="Times New Roman" w:eastAsia="Times New Roman" w:cs="Times New Roman"/>
                      <w:spacing w:val="-6"/>
                      <w:sz w:val="21"/>
                      <w:szCs w:val="21"/>
                    </w:rPr>
                    <w:t>a</w:t>
                  </w:r>
                  <w:r>
                    <w:rPr>
                      <w:spacing w:val="-6"/>
                      <w:sz w:val="21"/>
                      <w:szCs w:val="21"/>
                    </w:rPr>
                    <w:t>）</w:t>
                  </w:r>
                </w:p>
              </w:tc>
              <w:tc>
                <w:tcPr>
                  <w:tcW w:w="781" w:type="dxa"/>
                  <w:vMerge w:val="restart"/>
                  <w:tcBorders>
                    <w:bottom w:val="nil"/>
                  </w:tcBorders>
                  <w:vAlign w:val="center"/>
                </w:tcPr>
                <w:p w14:paraId="16C99362">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2"/>
                      <w:sz w:val="21"/>
                      <w:szCs w:val="21"/>
                    </w:rPr>
                    <w:t>堆放坡比</w:t>
                  </w:r>
                </w:p>
              </w:tc>
              <w:tc>
                <w:tcPr>
                  <w:tcW w:w="859" w:type="dxa"/>
                  <w:vMerge w:val="restart"/>
                  <w:tcBorders>
                    <w:bottom w:val="nil"/>
                  </w:tcBorders>
                  <w:vAlign w:val="center"/>
                </w:tcPr>
                <w:p w14:paraId="7D4353D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2"/>
                      <w:sz w:val="21"/>
                      <w:szCs w:val="21"/>
                    </w:rPr>
                    <w:t>表土来源</w:t>
                  </w:r>
                </w:p>
              </w:tc>
            </w:tr>
            <w:tr w14:paraId="38AF51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1023" w:type="dxa"/>
                  <w:vMerge w:val="continue"/>
                  <w:tcBorders>
                    <w:top w:val="nil"/>
                  </w:tcBorders>
                  <w:vAlign w:val="center"/>
                </w:tcPr>
                <w:p w14:paraId="6521EF3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876" w:type="dxa"/>
                  <w:vMerge w:val="continue"/>
                  <w:tcBorders>
                    <w:top w:val="nil"/>
                  </w:tcBorders>
                  <w:vAlign w:val="center"/>
                </w:tcPr>
                <w:p w14:paraId="118B50A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706" w:type="dxa"/>
                  <w:vMerge w:val="continue"/>
                  <w:tcBorders>
                    <w:top w:val="nil"/>
                  </w:tcBorders>
                  <w:vAlign w:val="center"/>
                </w:tcPr>
                <w:p w14:paraId="2C331E0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650" w:type="dxa"/>
                  <w:vMerge w:val="continue"/>
                  <w:tcBorders>
                    <w:top w:val="nil"/>
                  </w:tcBorders>
                  <w:vAlign w:val="center"/>
                </w:tcPr>
                <w:p w14:paraId="21F7C63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578" w:type="dxa"/>
                  <w:vAlign w:val="center"/>
                </w:tcPr>
                <w:p w14:paraId="6AC4EDBE">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13"/>
                      <w:sz w:val="21"/>
                      <w:szCs w:val="21"/>
                    </w:rPr>
                    <w:t>自然方</w:t>
                  </w:r>
                </w:p>
              </w:tc>
              <w:tc>
                <w:tcPr>
                  <w:tcW w:w="695" w:type="dxa"/>
                  <w:vAlign w:val="center"/>
                </w:tcPr>
                <w:p w14:paraId="280FF3D2">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松方</w:t>
                  </w:r>
                </w:p>
              </w:tc>
              <w:tc>
                <w:tcPr>
                  <w:tcW w:w="664" w:type="dxa"/>
                  <w:vMerge w:val="continue"/>
                  <w:tcBorders>
                    <w:top w:val="nil"/>
                  </w:tcBorders>
                  <w:vAlign w:val="center"/>
                </w:tcPr>
                <w:p w14:paraId="2FD1635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803" w:type="dxa"/>
                  <w:vMerge w:val="continue"/>
                  <w:tcBorders>
                    <w:top w:val="nil"/>
                  </w:tcBorders>
                  <w:vAlign w:val="center"/>
                </w:tcPr>
                <w:p w14:paraId="5D1F028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781" w:type="dxa"/>
                  <w:vMerge w:val="continue"/>
                  <w:tcBorders>
                    <w:top w:val="nil"/>
                  </w:tcBorders>
                  <w:vAlign w:val="center"/>
                </w:tcPr>
                <w:p w14:paraId="2B6DBC4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859" w:type="dxa"/>
                  <w:vMerge w:val="continue"/>
                  <w:tcBorders>
                    <w:top w:val="nil"/>
                  </w:tcBorders>
                  <w:vAlign w:val="center"/>
                </w:tcPr>
                <w:p w14:paraId="1F71B35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r>
            <w:tr w14:paraId="361264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1023" w:type="dxa"/>
                  <w:vAlign w:val="center"/>
                </w:tcPr>
                <w:p w14:paraId="602D7747">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rFonts w:ascii="Times New Roman" w:hAnsi="Times New Roman" w:eastAsia="Times New Roman" w:cs="Times New Roman"/>
                      <w:spacing w:val="-4"/>
                      <w:sz w:val="21"/>
                      <w:szCs w:val="21"/>
                    </w:rPr>
                    <w:t>1#</w:t>
                  </w:r>
                  <w:r>
                    <w:rPr>
                      <w:spacing w:val="-4"/>
                      <w:sz w:val="21"/>
                      <w:szCs w:val="21"/>
                    </w:rPr>
                    <w:t>表土转存场</w:t>
                  </w:r>
                </w:p>
              </w:tc>
              <w:tc>
                <w:tcPr>
                  <w:tcW w:w="876" w:type="dxa"/>
                  <w:vAlign w:val="center"/>
                </w:tcPr>
                <w:p w14:paraId="1DB34F4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K8+800</w:t>
                  </w:r>
                </w:p>
              </w:tc>
              <w:tc>
                <w:tcPr>
                  <w:tcW w:w="706" w:type="dxa"/>
                  <w:vAlign w:val="center"/>
                </w:tcPr>
                <w:p w14:paraId="2D8A8CA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0.22</w:t>
                  </w:r>
                </w:p>
              </w:tc>
              <w:tc>
                <w:tcPr>
                  <w:tcW w:w="650" w:type="dxa"/>
                  <w:vAlign w:val="center"/>
                </w:tcPr>
                <w:p w14:paraId="56A157E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0.66</w:t>
                  </w:r>
                </w:p>
              </w:tc>
              <w:tc>
                <w:tcPr>
                  <w:tcW w:w="578" w:type="dxa"/>
                  <w:vAlign w:val="center"/>
                </w:tcPr>
                <w:p w14:paraId="72E00A3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0.43</w:t>
                  </w:r>
                </w:p>
              </w:tc>
              <w:tc>
                <w:tcPr>
                  <w:tcW w:w="695" w:type="dxa"/>
                  <w:vAlign w:val="center"/>
                </w:tcPr>
                <w:p w14:paraId="697DCA7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0.54</w:t>
                  </w:r>
                </w:p>
              </w:tc>
              <w:tc>
                <w:tcPr>
                  <w:tcW w:w="664" w:type="dxa"/>
                  <w:vAlign w:val="center"/>
                </w:tcPr>
                <w:p w14:paraId="134BFF1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803" w:type="dxa"/>
                  <w:vAlign w:val="center"/>
                </w:tcPr>
                <w:p w14:paraId="5D04265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0.5</w:t>
                  </w:r>
                </w:p>
              </w:tc>
              <w:tc>
                <w:tcPr>
                  <w:tcW w:w="781" w:type="dxa"/>
                  <w:vAlign w:val="center"/>
                </w:tcPr>
                <w:p w14:paraId="4F26480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1:1.5</w:t>
                  </w:r>
                </w:p>
              </w:tc>
              <w:tc>
                <w:tcPr>
                  <w:tcW w:w="859" w:type="dxa"/>
                  <w:vAlign w:val="center"/>
                </w:tcPr>
                <w:p w14:paraId="3CCFA430">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2"/>
                      <w:sz w:val="21"/>
                      <w:szCs w:val="21"/>
                    </w:rPr>
                    <w:t>表土剥离</w:t>
                  </w:r>
                </w:p>
              </w:tc>
            </w:tr>
            <w:tr w14:paraId="791DC2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023" w:type="dxa"/>
                  <w:vAlign w:val="center"/>
                </w:tcPr>
                <w:p w14:paraId="03A24E3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rFonts w:ascii="Times New Roman" w:hAnsi="Times New Roman" w:eastAsia="Times New Roman" w:cs="Times New Roman"/>
                      <w:spacing w:val="-1"/>
                      <w:sz w:val="21"/>
                      <w:szCs w:val="21"/>
                    </w:rPr>
                    <w:t>2#</w:t>
                  </w:r>
                  <w:r>
                    <w:rPr>
                      <w:spacing w:val="-1"/>
                      <w:sz w:val="21"/>
                      <w:szCs w:val="21"/>
                    </w:rPr>
                    <w:t>表土转存场</w:t>
                  </w:r>
                </w:p>
              </w:tc>
              <w:tc>
                <w:tcPr>
                  <w:tcW w:w="876" w:type="dxa"/>
                  <w:vAlign w:val="center"/>
                </w:tcPr>
                <w:p w14:paraId="246B19D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K17+600</w:t>
                  </w:r>
                </w:p>
              </w:tc>
              <w:tc>
                <w:tcPr>
                  <w:tcW w:w="706" w:type="dxa"/>
                  <w:vAlign w:val="center"/>
                </w:tcPr>
                <w:p w14:paraId="1E61031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0.22</w:t>
                  </w:r>
                </w:p>
              </w:tc>
              <w:tc>
                <w:tcPr>
                  <w:tcW w:w="650" w:type="dxa"/>
                  <w:vAlign w:val="center"/>
                </w:tcPr>
                <w:p w14:paraId="76DB5E2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0.66</w:t>
                  </w:r>
                </w:p>
              </w:tc>
              <w:tc>
                <w:tcPr>
                  <w:tcW w:w="578" w:type="dxa"/>
                  <w:vAlign w:val="center"/>
                </w:tcPr>
                <w:p w14:paraId="28A42F2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0.46</w:t>
                  </w:r>
                </w:p>
              </w:tc>
              <w:tc>
                <w:tcPr>
                  <w:tcW w:w="695" w:type="dxa"/>
                  <w:vAlign w:val="center"/>
                </w:tcPr>
                <w:p w14:paraId="14D3C7A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0.58</w:t>
                  </w:r>
                </w:p>
              </w:tc>
              <w:tc>
                <w:tcPr>
                  <w:tcW w:w="664" w:type="dxa"/>
                  <w:vAlign w:val="center"/>
                </w:tcPr>
                <w:p w14:paraId="29854E8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803" w:type="dxa"/>
                  <w:vAlign w:val="center"/>
                </w:tcPr>
                <w:p w14:paraId="2D8422A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0.5</w:t>
                  </w:r>
                </w:p>
              </w:tc>
              <w:tc>
                <w:tcPr>
                  <w:tcW w:w="781" w:type="dxa"/>
                  <w:vAlign w:val="center"/>
                </w:tcPr>
                <w:p w14:paraId="5A48995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1:1.5</w:t>
                  </w:r>
                </w:p>
              </w:tc>
              <w:tc>
                <w:tcPr>
                  <w:tcW w:w="859" w:type="dxa"/>
                  <w:vAlign w:val="center"/>
                </w:tcPr>
                <w:p w14:paraId="3ECDA32A">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2"/>
                      <w:sz w:val="21"/>
                      <w:szCs w:val="21"/>
                    </w:rPr>
                    <w:t>表土剥离</w:t>
                  </w:r>
                </w:p>
              </w:tc>
            </w:tr>
            <w:tr w14:paraId="3ADFD9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1023" w:type="dxa"/>
                  <w:vAlign w:val="center"/>
                </w:tcPr>
                <w:p w14:paraId="2890079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rFonts w:ascii="Times New Roman" w:hAnsi="Times New Roman" w:eastAsia="Times New Roman" w:cs="Times New Roman"/>
                      <w:spacing w:val="-2"/>
                      <w:sz w:val="21"/>
                      <w:szCs w:val="21"/>
                    </w:rPr>
                    <w:t>3#</w:t>
                  </w:r>
                  <w:r>
                    <w:rPr>
                      <w:spacing w:val="-2"/>
                      <w:sz w:val="21"/>
                      <w:szCs w:val="21"/>
                    </w:rPr>
                    <w:t>表土转存场</w:t>
                  </w:r>
                </w:p>
              </w:tc>
              <w:tc>
                <w:tcPr>
                  <w:tcW w:w="876" w:type="dxa"/>
                  <w:vAlign w:val="center"/>
                </w:tcPr>
                <w:p w14:paraId="426D325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K27+000</w:t>
                  </w:r>
                </w:p>
              </w:tc>
              <w:tc>
                <w:tcPr>
                  <w:tcW w:w="706" w:type="dxa"/>
                  <w:vAlign w:val="center"/>
                </w:tcPr>
                <w:p w14:paraId="36E60A3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0.18</w:t>
                  </w:r>
                </w:p>
              </w:tc>
              <w:tc>
                <w:tcPr>
                  <w:tcW w:w="650" w:type="dxa"/>
                  <w:vAlign w:val="center"/>
                </w:tcPr>
                <w:p w14:paraId="1E63AD5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0.54</w:t>
                  </w:r>
                </w:p>
              </w:tc>
              <w:tc>
                <w:tcPr>
                  <w:tcW w:w="578" w:type="dxa"/>
                  <w:vAlign w:val="center"/>
                </w:tcPr>
                <w:p w14:paraId="3EC385D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0.35</w:t>
                  </w:r>
                </w:p>
              </w:tc>
              <w:tc>
                <w:tcPr>
                  <w:tcW w:w="695" w:type="dxa"/>
                  <w:vAlign w:val="center"/>
                </w:tcPr>
                <w:p w14:paraId="6534F3B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0.44</w:t>
                  </w:r>
                </w:p>
              </w:tc>
              <w:tc>
                <w:tcPr>
                  <w:tcW w:w="664" w:type="dxa"/>
                  <w:vAlign w:val="center"/>
                </w:tcPr>
                <w:p w14:paraId="468C092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803" w:type="dxa"/>
                  <w:vAlign w:val="center"/>
                </w:tcPr>
                <w:p w14:paraId="5BEA2FF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0.5</w:t>
                  </w:r>
                </w:p>
              </w:tc>
              <w:tc>
                <w:tcPr>
                  <w:tcW w:w="781" w:type="dxa"/>
                  <w:vAlign w:val="center"/>
                </w:tcPr>
                <w:p w14:paraId="79306F8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1:1.5</w:t>
                  </w:r>
                </w:p>
              </w:tc>
              <w:tc>
                <w:tcPr>
                  <w:tcW w:w="859" w:type="dxa"/>
                  <w:vAlign w:val="center"/>
                </w:tcPr>
                <w:p w14:paraId="745D720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2"/>
                      <w:sz w:val="21"/>
                      <w:szCs w:val="21"/>
                    </w:rPr>
                    <w:t>表土剥离</w:t>
                  </w:r>
                </w:p>
              </w:tc>
            </w:tr>
            <w:tr w14:paraId="420086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1023" w:type="dxa"/>
                  <w:vAlign w:val="center"/>
                </w:tcPr>
                <w:p w14:paraId="3D0AF11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rFonts w:ascii="Times New Roman" w:hAnsi="Times New Roman" w:eastAsia="Times New Roman" w:cs="Times New Roman"/>
                      <w:spacing w:val="-1"/>
                      <w:sz w:val="21"/>
                      <w:szCs w:val="21"/>
                    </w:rPr>
                    <w:t>4#</w:t>
                  </w:r>
                  <w:r>
                    <w:rPr>
                      <w:spacing w:val="-1"/>
                      <w:sz w:val="21"/>
                      <w:szCs w:val="21"/>
                    </w:rPr>
                    <w:t>表土转存场</w:t>
                  </w:r>
                </w:p>
              </w:tc>
              <w:tc>
                <w:tcPr>
                  <w:tcW w:w="876" w:type="dxa"/>
                  <w:vAlign w:val="center"/>
                </w:tcPr>
                <w:p w14:paraId="59167D9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K33+200</w:t>
                  </w:r>
                </w:p>
              </w:tc>
              <w:tc>
                <w:tcPr>
                  <w:tcW w:w="706" w:type="dxa"/>
                  <w:vAlign w:val="center"/>
                </w:tcPr>
                <w:p w14:paraId="7A6F029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0.20</w:t>
                  </w:r>
                </w:p>
              </w:tc>
              <w:tc>
                <w:tcPr>
                  <w:tcW w:w="650" w:type="dxa"/>
                  <w:vAlign w:val="center"/>
                </w:tcPr>
                <w:p w14:paraId="7917E85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0.60</w:t>
                  </w:r>
                </w:p>
              </w:tc>
              <w:tc>
                <w:tcPr>
                  <w:tcW w:w="578" w:type="dxa"/>
                  <w:vAlign w:val="center"/>
                </w:tcPr>
                <w:p w14:paraId="600E3F9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0.40</w:t>
                  </w:r>
                </w:p>
              </w:tc>
              <w:tc>
                <w:tcPr>
                  <w:tcW w:w="695" w:type="dxa"/>
                  <w:vAlign w:val="center"/>
                </w:tcPr>
                <w:p w14:paraId="331735F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0.50</w:t>
                  </w:r>
                </w:p>
              </w:tc>
              <w:tc>
                <w:tcPr>
                  <w:tcW w:w="664" w:type="dxa"/>
                  <w:vAlign w:val="center"/>
                </w:tcPr>
                <w:p w14:paraId="15F3D88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803" w:type="dxa"/>
                  <w:vAlign w:val="center"/>
                </w:tcPr>
                <w:p w14:paraId="5FA4948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0.5</w:t>
                  </w:r>
                </w:p>
              </w:tc>
              <w:tc>
                <w:tcPr>
                  <w:tcW w:w="781" w:type="dxa"/>
                  <w:vAlign w:val="center"/>
                </w:tcPr>
                <w:p w14:paraId="629EB80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1:1.5</w:t>
                  </w:r>
                </w:p>
              </w:tc>
              <w:tc>
                <w:tcPr>
                  <w:tcW w:w="859" w:type="dxa"/>
                  <w:vAlign w:val="center"/>
                </w:tcPr>
                <w:p w14:paraId="3702C40C">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2"/>
                      <w:sz w:val="21"/>
                      <w:szCs w:val="21"/>
                    </w:rPr>
                    <w:t>表土剥离</w:t>
                  </w:r>
                </w:p>
              </w:tc>
            </w:tr>
            <w:tr w14:paraId="7BB9DF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1899" w:type="dxa"/>
                  <w:gridSpan w:val="2"/>
                  <w:vAlign w:val="center"/>
                </w:tcPr>
                <w:p w14:paraId="0CA7DAE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eastAsia="宋体"/>
                      <w:sz w:val="21"/>
                      <w:szCs w:val="21"/>
                      <w:lang w:val="en-US" w:eastAsia="zh-CN"/>
                    </w:rPr>
                  </w:pPr>
                  <w:r>
                    <w:rPr>
                      <w:rFonts w:hint="eastAsia"/>
                      <w:sz w:val="21"/>
                      <w:szCs w:val="21"/>
                      <w:lang w:val="en-US" w:eastAsia="zh-CN"/>
                    </w:rPr>
                    <w:t>合计</w:t>
                  </w:r>
                </w:p>
              </w:tc>
              <w:tc>
                <w:tcPr>
                  <w:tcW w:w="706" w:type="dxa"/>
                  <w:vAlign w:val="center"/>
                </w:tcPr>
                <w:p w14:paraId="2F522D9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0.82</w:t>
                  </w:r>
                </w:p>
              </w:tc>
              <w:tc>
                <w:tcPr>
                  <w:tcW w:w="650" w:type="dxa"/>
                  <w:vAlign w:val="center"/>
                </w:tcPr>
                <w:p w14:paraId="44B40B4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2.46</w:t>
                  </w:r>
                </w:p>
              </w:tc>
              <w:tc>
                <w:tcPr>
                  <w:tcW w:w="578" w:type="dxa"/>
                  <w:vAlign w:val="center"/>
                </w:tcPr>
                <w:p w14:paraId="2AB376C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1.64</w:t>
                  </w:r>
                </w:p>
              </w:tc>
              <w:tc>
                <w:tcPr>
                  <w:tcW w:w="695" w:type="dxa"/>
                  <w:vAlign w:val="center"/>
                </w:tcPr>
                <w:p w14:paraId="0C27B77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2.06</w:t>
                  </w:r>
                </w:p>
              </w:tc>
              <w:tc>
                <w:tcPr>
                  <w:tcW w:w="664" w:type="dxa"/>
                  <w:vAlign w:val="center"/>
                </w:tcPr>
                <w:p w14:paraId="28B9D5B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803" w:type="dxa"/>
                  <w:vAlign w:val="center"/>
                </w:tcPr>
                <w:p w14:paraId="77B662A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781" w:type="dxa"/>
                  <w:vAlign w:val="center"/>
                </w:tcPr>
                <w:p w14:paraId="52CE9B2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859" w:type="dxa"/>
                  <w:vAlign w:val="center"/>
                </w:tcPr>
                <w:p w14:paraId="444D473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r>
          </w:tbl>
          <w:p w14:paraId="6725C77D">
            <w:pPr>
              <w:spacing w:before="110" w:line="219" w:lineRule="auto"/>
              <w:rPr>
                <w:rFonts w:hint="default"/>
                <w:b/>
                <w:bCs/>
                <w:color w:val="auto"/>
                <w:sz w:val="21"/>
                <w:szCs w:val="21"/>
                <w:vertAlign w:val="superscript"/>
                <w:lang w:val="en-US" w:eastAsia="zh-CN"/>
              </w:rPr>
            </w:pPr>
            <w:r>
              <w:rPr>
                <w:rFonts w:ascii="宋体" w:hAnsi="宋体" w:eastAsia="宋体" w:cs="宋体"/>
                <w:spacing w:val="-2"/>
                <w:sz w:val="18"/>
                <w:szCs w:val="18"/>
              </w:rPr>
              <w:t>备注：平均松方系数取</w:t>
            </w:r>
            <w:r>
              <w:rPr>
                <w:rFonts w:ascii="宋体" w:hAnsi="宋体" w:eastAsia="宋体" w:cs="宋体"/>
                <w:spacing w:val="-24"/>
                <w:sz w:val="18"/>
                <w:szCs w:val="18"/>
              </w:rPr>
              <w:t xml:space="preserve"> </w:t>
            </w:r>
            <w:r>
              <w:rPr>
                <w:rFonts w:ascii="Times New Roman" w:hAnsi="Times New Roman" w:eastAsia="Times New Roman" w:cs="Times New Roman"/>
                <w:spacing w:val="-2"/>
                <w:sz w:val="18"/>
                <w:szCs w:val="18"/>
              </w:rPr>
              <w:t>1.25</w:t>
            </w:r>
            <w:r>
              <w:rPr>
                <w:rFonts w:ascii="宋体" w:hAnsi="宋体" w:eastAsia="宋体" w:cs="宋体"/>
                <w:spacing w:val="-2"/>
                <w:sz w:val="18"/>
                <w:szCs w:val="18"/>
              </w:rPr>
              <w:t>。</w:t>
            </w:r>
          </w:p>
          <w:p w14:paraId="3D652F96">
            <w:pPr>
              <w:pStyle w:val="36"/>
              <w:keepNext w:val="0"/>
              <w:keepLines w:val="0"/>
              <w:pageBreakBefore w:val="0"/>
              <w:widowControl w:val="0"/>
              <w:numPr>
                <w:ilvl w:val="0"/>
                <w:numId w:val="0"/>
              </w:numPr>
              <w:kinsoku/>
              <w:wordWrap/>
              <w:overflowPunct/>
              <w:topLinePunct w:val="0"/>
              <w:autoSpaceDE/>
              <w:autoSpaceDN/>
              <w:bidi w:val="0"/>
              <w:snapToGrid/>
              <w:spacing w:line="360" w:lineRule="auto"/>
              <w:ind w:left="0" w:leftChars="0" w:right="0" w:rightChars="0" w:firstLine="482" w:firstLineChars="200"/>
              <w:rPr>
                <w:rFonts w:hint="eastAsia"/>
                <w:b/>
                <w:bCs/>
                <w:color w:val="auto"/>
                <w:spacing w:val="0"/>
                <w:position w:val="0"/>
                <w:lang w:eastAsia="zh-CN"/>
              </w:rPr>
            </w:pPr>
            <w:r>
              <w:rPr>
                <w:rFonts w:hint="eastAsia" w:ascii="Times New Roman" w:hAnsi="Times New Roman" w:eastAsia="宋体" w:cs="Times New Roman"/>
                <w:b/>
                <w:bCs/>
                <w:color w:val="auto"/>
                <w:spacing w:val="0"/>
                <w:kern w:val="0"/>
                <w:position w:val="0"/>
                <w:sz w:val="24"/>
                <w:szCs w:val="24"/>
                <w:lang w:val="en-US" w:eastAsia="zh-CN" w:bidi="ar-SA"/>
              </w:rPr>
              <w:t>（2）</w:t>
            </w:r>
            <w:r>
              <w:rPr>
                <w:rFonts w:hint="eastAsia"/>
                <w:b/>
                <w:bCs/>
                <w:color w:val="auto"/>
                <w:spacing w:val="0"/>
                <w:position w:val="0"/>
                <w:lang w:eastAsia="zh-CN"/>
              </w:rPr>
              <w:t>土石方平衡</w:t>
            </w:r>
          </w:p>
          <w:p w14:paraId="7510AD6E">
            <w:pPr>
              <w:pStyle w:val="36"/>
              <w:keepNext w:val="0"/>
              <w:keepLines w:val="0"/>
              <w:pageBreakBefore w:val="0"/>
              <w:widowControl w:val="0"/>
              <w:numPr>
                <w:ilvl w:val="0"/>
                <w:numId w:val="0"/>
              </w:numPr>
              <w:kinsoku/>
              <w:wordWrap/>
              <w:overflowPunct/>
              <w:topLinePunct w:val="0"/>
              <w:autoSpaceDE/>
              <w:autoSpaceDN/>
              <w:bidi w:val="0"/>
              <w:snapToGrid/>
              <w:spacing w:line="360" w:lineRule="auto"/>
              <w:ind w:left="0" w:leftChars="0" w:right="0" w:rightChars="0" w:firstLine="480" w:firstLineChars="200"/>
              <w:rPr>
                <w:rFonts w:hint="eastAsia"/>
                <w:color w:val="auto"/>
                <w:spacing w:val="0"/>
                <w:position w:val="0"/>
                <w:lang w:val="en-US" w:eastAsia="zh-CN"/>
              </w:rPr>
            </w:pPr>
            <w:r>
              <w:rPr>
                <w:rFonts w:hint="eastAsia"/>
                <w:color w:val="auto"/>
                <w:spacing w:val="0"/>
                <w:position w:val="0"/>
                <w:lang w:val="en-US" w:eastAsia="zh-CN"/>
              </w:rPr>
              <w:t>1）工程建设区土石方平衡及分析</w:t>
            </w:r>
          </w:p>
          <w:p w14:paraId="363DD949">
            <w:pPr>
              <w:keepNext w:val="0"/>
              <w:keepLines w:val="0"/>
              <w:pageBreakBefore w:val="0"/>
              <w:widowControl w:val="0"/>
              <w:kinsoku/>
              <w:wordWrap/>
              <w:overflowPunct/>
              <w:topLinePunct w:val="0"/>
              <w:autoSpaceDE/>
              <w:autoSpaceDN/>
              <w:bidi w:val="0"/>
              <w:snapToGrid/>
              <w:spacing w:line="360" w:lineRule="auto"/>
              <w:ind w:left="0" w:right="0" w:firstLine="480" w:firstLineChars="200"/>
              <w:rPr>
                <w:rFonts w:ascii="宋体" w:hAnsi="宋体" w:eastAsia="宋体" w:cs="宋体"/>
                <w:spacing w:val="0"/>
                <w:position w:val="0"/>
                <w:sz w:val="24"/>
                <w:szCs w:val="24"/>
              </w:rPr>
            </w:pPr>
            <w:r>
              <w:rPr>
                <w:rFonts w:ascii="宋体" w:hAnsi="宋体" w:eastAsia="宋体" w:cs="宋体"/>
                <w:spacing w:val="0"/>
                <w:position w:val="0"/>
                <w:sz w:val="24"/>
                <w:szCs w:val="24"/>
              </w:rPr>
              <w:t>工程建设区土石方主要来源于钢筋石笼开挖及回填。工程建设区开挖土石方量为</w:t>
            </w:r>
            <w:r>
              <w:rPr>
                <w:rFonts w:ascii="Times New Roman" w:hAnsi="Times New Roman" w:eastAsia="Times New Roman" w:cs="Times New Roman"/>
                <w:spacing w:val="0"/>
                <w:position w:val="0"/>
                <w:sz w:val="24"/>
                <w:szCs w:val="24"/>
              </w:rPr>
              <w:t>23.16</w:t>
            </w:r>
            <w:r>
              <w:rPr>
                <w:rFonts w:ascii="宋体" w:hAnsi="宋体" w:eastAsia="宋体" w:cs="宋体"/>
                <w:spacing w:val="0"/>
                <w:position w:val="0"/>
                <w:sz w:val="24"/>
                <w:szCs w:val="24"/>
              </w:rPr>
              <w:t>万</w:t>
            </w:r>
            <w:r>
              <w:rPr>
                <w:rFonts w:ascii="Times New Roman" w:hAnsi="Times New Roman" w:eastAsia="Times New Roman" w:cs="Times New Roman"/>
                <w:spacing w:val="0"/>
                <w:position w:val="0"/>
                <w:sz w:val="24"/>
                <w:szCs w:val="24"/>
              </w:rPr>
              <w:t>m</w:t>
            </w:r>
            <w:r>
              <w:rPr>
                <w:rFonts w:hint="eastAsia" w:ascii="Times New Roman" w:hAnsi="Times New Roman" w:eastAsia="宋体" w:cs="Times New Roman"/>
                <w:spacing w:val="0"/>
                <w:position w:val="0"/>
                <w:sz w:val="24"/>
                <w:szCs w:val="24"/>
                <w:vertAlign w:val="superscript"/>
                <w:lang w:val="en-US" w:eastAsia="zh-CN"/>
              </w:rPr>
              <w:t>3</w:t>
            </w:r>
            <w:r>
              <w:rPr>
                <w:rFonts w:ascii="宋体" w:hAnsi="宋体" w:eastAsia="宋体" w:cs="宋体"/>
                <w:spacing w:val="0"/>
                <w:position w:val="0"/>
                <w:sz w:val="24"/>
                <w:szCs w:val="24"/>
              </w:rPr>
              <w:t>，工程建设区回填</w:t>
            </w:r>
            <w:r>
              <w:rPr>
                <w:rFonts w:ascii="Times New Roman" w:hAnsi="Times New Roman" w:eastAsia="Times New Roman" w:cs="Times New Roman"/>
                <w:spacing w:val="0"/>
                <w:position w:val="0"/>
                <w:sz w:val="24"/>
                <w:szCs w:val="24"/>
              </w:rPr>
              <w:t>11.62</w:t>
            </w:r>
            <w:r>
              <w:rPr>
                <w:rFonts w:ascii="宋体" w:hAnsi="宋体" w:eastAsia="宋体" w:cs="宋体"/>
                <w:spacing w:val="0"/>
                <w:position w:val="0"/>
                <w:sz w:val="24"/>
                <w:szCs w:val="24"/>
              </w:rPr>
              <w:t>万</w:t>
            </w:r>
            <w:r>
              <w:rPr>
                <w:rFonts w:ascii="Times New Roman" w:hAnsi="Times New Roman" w:eastAsia="Times New Roman" w:cs="Times New Roman"/>
                <w:spacing w:val="0"/>
                <w:position w:val="0"/>
                <w:sz w:val="24"/>
                <w:szCs w:val="24"/>
              </w:rPr>
              <w:t>m</w:t>
            </w:r>
            <w:r>
              <w:rPr>
                <w:rFonts w:hint="eastAsia" w:ascii="Times New Roman" w:hAnsi="Times New Roman" w:eastAsia="宋体" w:cs="Times New Roman"/>
                <w:spacing w:val="0"/>
                <w:position w:val="0"/>
                <w:sz w:val="24"/>
                <w:szCs w:val="24"/>
                <w:vertAlign w:val="superscript"/>
                <w:lang w:val="en-US" w:eastAsia="zh-CN"/>
              </w:rPr>
              <w:t>3</w:t>
            </w:r>
            <w:r>
              <w:rPr>
                <w:rFonts w:ascii="宋体" w:hAnsi="宋体" w:eastAsia="宋体" w:cs="宋体"/>
                <w:spacing w:val="0"/>
                <w:position w:val="0"/>
                <w:sz w:val="24"/>
                <w:szCs w:val="24"/>
              </w:rPr>
              <w:t>，调出土石方</w:t>
            </w:r>
            <w:r>
              <w:rPr>
                <w:rFonts w:ascii="Times New Roman" w:hAnsi="Times New Roman" w:eastAsia="Times New Roman" w:cs="Times New Roman"/>
                <w:spacing w:val="0"/>
                <w:position w:val="0"/>
                <w:sz w:val="24"/>
                <w:szCs w:val="24"/>
              </w:rPr>
              <w:t>11.5</w:t>
            </w:r>
            <w:r>
              <w:rPr>
                <w:rFonts w:ascii="宋体" w:hAnsi="宋体" w:eastAsia="宋体" w:cs="宋体"/>
                <w:spacing w:val="0"/>
                <w:position w:val="0"/>
                <w:sz w:val="24"/>
                <w:szCs w:val="24"/>
              </w:rPr>
              <w:t>万</w:t>
            </w:r>
            <w:r>
              <w:rPr>
                <w:rFonts w:ascii="Times New Roman" w:hAnsi="Times New Roman" w:eastAsia="Times New Roman" w:cs="Times New Roman"/>
                <w:spacing w:val="0"/>
                <w:position w:val="0"/>
                <w:sz w:val="24"/>
                <w:szCs w:val="24"/>
              </w:rPr>
              <w:t>m</w:t>
            </w:r>
            <w:r>
              <w:rPr>
                <w:rFonts w:hint="eastAsia" w:ascii="Times New Roman" w:hAnsi="Times New Roman" w:eastAsia="宋体" w:cs="Times New Roman"/>
                <w:spacing w:val="0"/>
                <w:position w:val="0"/>
                <w:sz w:val="24"/>
                <w:szCs w:val="24"/>
                <w:vertAlign w:val="superscript"/>
                <w:lang w:val="en-US" w:eastAsia="zh-CN"/>
              </w:rPr>
              <w:t>3</w:t>
            </w:r>
            <w:r>
              <w:rPr>
                <w:rFonts w:ascii="Times New Roman" w:hAnsi="Times New Roman" w:eastAsia="Times New Roman" w:cs="Times New Roman"/>
                <w:spacing w:val="0"/>
                <w:position w:val="0"/>
                <w:sz w:val="15"/>
                <w:szCs w:val="15"/>
              </w:rPr>
              <w:t xml:space="preserve"> </w:t>
            </w:r>
            <w:r>
              <w:rPr>
                <w:rFonts w:ascii="宋体" w:hAnsi="宋体" w:eastAsia="宋体" w:cs="宋体"/>
                <w:spacing w:val="0"/>
                <w:position w:val="0"/>
                <w:sz w:val="24"/>
                <w:szCs w:val="24"/>
              </w:rPr>
              <w:t>至施工临时道路区铺填。</w:t>
            </w:r>
          </w:p>
          <w:p w14:paraId="70CDBEDF">
            <w:pPr>
              <w:keepNext w:val="0"/>
              <w:keepLines w:val="0"/>
              <w:pageBreakBefore w:val="0"/>
              <w:widowControl w:val="0"/>
              <w:kinsoku/>
              <w:wordWrap/>
              <w:overflowPunct/>
              <w:topLinePunct w:val="0"/>
              <w:autoSpaceDE/>
              <w:autoSpaceDN/>
              <w:bidi w:val="0"/>
              <w:snapToGrid/>
              <w:spacing w:line="360" w:lineRule="auto"/>
              <w:ind w:left="0" w:right="0" w:firstLine="480" w:firstLineChars="200"/>
              <w:rPr>
                <w:rFonts w:ascii="宋体" w:hAnsi="宋体" w:eastAsia="宋体" w:cs="宋体"/>
                <w:spacing w:val="0"/>
                <w:position w:val="0"/>
                <w:sz w:val="24"/>
                <w:szCs w:val="24"/>
              </w:rPr>
            </w:pPr>
            <w:r>
              <w:rPr>
                <w:rFonts w:ascii="Times New Roman" w:hAnsi="Times New Roman" w:eastAsia="Times New Roman" w:cs="Times New Roman"/>
                <w:spacing w:val="0"/>
                <w:position w:val="0"/>
                <w:sz w:val="24"/>
                <w:szCs w:val="24"/>
              </w:rPr>
              <w:t>2</w:t>
            </w:r>
            <w:r>
              <w:rPr>
                <w:rFonts w:ascii="宋体" w:hAnsi="宋体" w:eastAsia="宋体" w:cs="宋体"/>
                <w:spacing w:val="0"/>
                <w:position w:val="0"/>
                <w:sz w:val="24"/>
                <w:szCs w:val="24"/>
              </w:rPr>
              <w:t>）施工临时道路区土石方平衡及分析</w:t>
            </w:r>
          </w:p>
          <w:p w14:paraId="5DBF64A7">
            <w:pPr>
              <w:keepNext w:val="0"/>
              <w:keepLines w:val="0"/>
              <w:pageBreakBefore w:val="0"/>
              <w:widowControl w:val="0"/>
              <w:kinsoku/>
              <w:wordWrap/>
              <w:overflowPunct/>
              <w:topLinePunct w:val="0"/>
              <w:autoSpaceDE/>
              <w:autoSpaceDN/>
              <w:bidi w:val="0"/>
              <w:snapToGrid/>
              <w:spacing w:line="360" w:lineRule="auto"/>
              <w:ind w:left="0" w:right="0" w:firstLine="480" w:firstLineChars="200"/>
              <w:rPr>
                <w:rFonts w:ascii="宋体" w:hAnsi="宋体" w:eastAsia="宋体" w:cs="宋体"/>
                <w:spacing w:val="0"/>
                <w:position w:val="0"/>
                <w:sz w:val="24"/>
                <w:szCs w:val="24"/>
              </w:rPr>
            </w:pPr>
            <w:r>
              <w:rPr>
                <w:rFonts w:ascii="宋体" w:hAnsi="宋体" w:eastAsia="宋体" w:cs="宋体"/>
                <w:spacing w:val="0"/>
                <w:position w:val="0"/>
                <w:sz w:val="24"/>
                <w:szCs w:val="24"/>
              </w:rPr>
              <w:t>根据工程需要，本项目考虑将堤后</w:t>
            </w:r>
            <w:r>
              <w:rPr>
                <w:rFonts w:ascii="Times New Roman" w:hAnsi="Times New Roman" w:eastAsia="Times New Roman" w:cs="Times New Roman"/>
                <w:spacing w:val="0"/>
                <w:position w:val="0"/>
                <w:sz w:val="24"/>
                <w:szCs w:val="24"/>
              </w:rPr>
              <w:t>4m</w:t>
            </w:r>
            <w:r>
              <w:rPr>
                <w:rFonts w:ascii="宋体" w:hAnsi="宋体" w:eastAsia="宋体" w:cs="宋体"/>
                <w:spacing w:val="0"/>
                <w:position w:val="0"/>
                <w:sz w:val="24"/>
                <w:szCs w:val="24"/>
              </w:rPr>
              <w:t>范围作为临时施工道路，施工前需对本区域进行铺填，土方开挖为表土剥离</w:t>
            </w:r>
            <w:r>
              <w:rPr>
                <w:rFonts w:ascii="Times New Roman" w:hAnsi="Times New Roman" w:eastAsia="Times New Roman" w:cs="Times New Roman"/>
                <w:spacing w:val="0"/>
                <w:position w:val="0"/>
                <w:sz w:val="24"/>
                <w:szCs w:val="24"/>
              </w:rPr>
              <w:t>1.58</w:t>
            </w:r>
            <w:r>
              <w:rPr>
                <w:rFonts w:ascii="宋体" w:hAnsi="宋体" w:eastAsia="宋体" w:cs="宋体"/>
                <w:spacing w:val="0"/>
                <w:position w:val="0"/>
                <w:sz w:val="24"/>
                <w:szCs w:val="24"/>
              </w:rPr>
              <w:t>万</w:t>
            </w:r>
            <w:r>
              <w:rPr>
                <w:rFonts w:ascii="Times New Roman" w:hAnsi="Times New Roman" w:eastAsia="Times New Roman" w:cs="Times New Roman"/>
                <w:spacing w:val="0"/>
                <w:position w:val="0"/>
                <w:sz w:val="24"/>
                <w:szCs w:val="24"/>
              </w:rPr>
              <w:t>m</w:t>
            </w:r>
            <w:r>
              <w:rPr>
                <w:rFonts w:hint="eastAsia" w:ascii="Times New Roman" w:hAnsi="Times New Roman" w:eastAsia="宋体" w:cs="Times New Roman"/>
                <w:spacing w:val="0"/>
                <w:position w:val="0"/>
                <w:sz w:val="24"/>
                <w:szCs w:val="24"/>
                <w:vertAlign w:val="superscript"/>
                <w:lang w:val="en-US" w:eastAsia="zh-CN"/>
              </w:rPr>
              <w:t>3</w:t>
            </w:r>
            <w:r>
              <w:rPr>
                <w:rFonts w:ascii="宋体" w:hAnsi="宋体" w:eastAsia="宋体" w:cs="宋体"/>
                <w:spacing w:val="0"/>
                <w:position w:val="0"/>
                <w:sz w:val="24"/>
                <w:szCs w:val="24"/>
              </w:rPr>
              <w:t>，土石方铺填量为</w:t>
            </w:r>
            <w:r>
              <w:rPr>
                <w:rFonts w:ascii="Times New Roman" w:hAnsi="Times New Roman" w:eastAsia="Times New Roman" w:cs="Times New Roman"/>
                <w:spacing w:val="0"/>
                <w:position w:val="0"/>
                <w:sz w:val="24"/>
                <w:szCs w:val="24"/>
              </w:rPr>
              <w:t>13.12</w:t>
            </w:r>
            <w:r>
              <w:rPr>
                <w:rFonts w:ascii="宋体" w:hAnsi="宋体" w:eastAsia="宋体" w:cs="宋体"/>
                <w:spacing w:val="0"/>
                <w:position w:val="0"/>
                <w:sz w:val="24"/>
                <w:szCs w:val="24"/>
              </w:rPr>
              <w:t>万</w:t>
            </w:r>
            <w:r>
              <w:rPr>
                <w:rFonts w:ascii="Times New Roman" w:hAnsi="Times New Roman" w:eastAsia="Times New Roman" w:cs="Times New Roman"/>
                <w:spacing w:val="0"/>
                <w:position w:val="0"/>
                <w:sz w:val="24"/>
                <w:szCs w:val="24"/>
              </w:rPr>
              <w:t>m</w:t>
            </w:r>
            <w:r>
              <w:rPr>
                <w:rFonts w:hint="eastAsia" w:ascii="Times New Roman" w:hAnsi="Times New Roman" w:eastAsia="宋体" w:cs="Times New Roman"/>
                <w:spacing w:val="0"/>
                <w:position w:val="0"/>
                <w:sz w:val="24"/>
                <w:szCs w:val="24"/>
                <w:vertAlign w:val="superscript"/>
                <w:lang w:val="en-US" w:eastAsia="zh-CN"/>
              </w:rPr>
              <w:t>3</w:t>
            </w:r>
            <w:r>
              <w:rPr>
                <w:rFonts w:ascii="宋体" w:hAnsi="宋体" w:eastAsia="宋体" w:cs="宋体"/>
                <w:spacing w:val="0"/>
                <w:position w:val="0"/>
                <w:sz w:val="24"/>
                <w:szCs w:val="24"/>
              </w:rPr>
              <w:t>（其中：表土回填</w:t>
            </w:r>
            <w:r>
              <w:rPr>
                <w:rFonts w:ascii="Times New Roman" w:hAnsi="Times New Roman" w:eastAsia="Times New Roman" w:cs="Times New Roman"/>
                <w:spacing w:val="0"/>
                <w:position w:val="0"/>
                <w:sz w:val="24"/>
                <w:szCs w:val="24"/>
              </w:rPr>
              <w:t>1.5</w:t>
            </w:r>
            <w:r>
              <w:rPr>
                <w:rFonts w:hint="eastAsia" w:ascii="Times New Roman" w:hAnsi="Times New Roman" w:eastAsia="宋体" w:cs="Times New Roman"/>
                <w:spacing w:val="0"/>
                <w:position w:val="0"/>
                <w:sz w:val="24"/>
                <w:szCs w:val="24"/>
                <w:lang w:val="en-US" w:eastAsia="zh-CN"/>
              </w:rPr>
              <w:t>8</w:t>
            </w:r>
            <w:r>
              <w:rPr>
                <w:rFonts w:ascii="宋体" w:hAnsi="宋体" w:eastAsia="宋体" w:cs="宋体"/>
                <w:spacing w:val="0"/>
                <w:position w:val="0"/>
                <w:sz w:val="24"/>
                <w:szCs w:val="24"/>
              </w:rPr>
              <w:t>万</w:t>
            </w:r>
            <w:r>
              <w:rPr>
                <w:rFonts w:ascii="Times New Roman" w:hAnsi="Times New Roman" w:eastAsia="Times New Roman" w:cs="Times New Roman"/>
                <w:spacing w:val="0"/>
                <w:position w:val="0"/>
                <w:sz w:val="24"/>
                <w:szCs w:val="24"/>
              </w:rPr>
              <w:t>m</w:t>
            </w:r>
            <w:r>
              <w:rPr>
                <w:rFonts w:hint="eastAsia" w:ascii="Times New Roman" w:hAnsi="Times New Roman" w:eastAsia="宋体" w:cs="Times New Roman"/>
                <w:spacing w:val="0"/>
                <w:position w:val="0"/>
                <w:sz w:val="24"/>
                <w:szCs w:val="24"/>
                <w:vertAlign w:val="superscript"/>
                <w:lang w:val="en-US" w:eastAsia="zh-CN"/>
              </w:rPr>
              <w:t>3</w:t>
            </w:r>
            <w:r>
              <w:rPr>
                <w:rFonts w:hint="eastAsia" w:ascii="Times New Roman" w:hAnsi="Times New Roman" w:eastAsia="宋体" w:cs="Times New Roman"/>
                <w:spacing w:val="0"/>
                <w:position w:val="0"/>
                <w:sz w:val="24"/>
                <w:szCs w:val="24"/>
                <w:lang w:val="en-US" w:eastAsia="zh-CN"/>
              </w:rPr>
              <w:t>，</w:t>
            </w:r>
            <w:r>
              <w:rPr>
                <w:rFonts w:ascii="宋体" w:hAnsi="宋体" w:eastAsia="宋体" w:cs="宋体"/>
                <w:spacing w:val="0"/>
                <w:position w:val="0"/>
                <w:sz w:val="24"/>
                <w:szCs w:val="24"/>
              </w:rPr>
              <w:t>一般铺填量为</w:t>
            </w:r>
            <w:r>
              <w:rPr>
                <w:rFonts w:ascii="Times New Roman" w:hAnsi="Times New Roman" w:eastAsia="Times New Roman" w:cs="Times New Roman"/>
                <w:spacing w:val="0"/>
                <w:position w:val="0"/>
                <w:sz w:val="24"/>
                <w:szCs w:val="24"/>
              </w:rPr>
              <w:t>11.54</w:t>
            </w:r>
            <w:r>
              <w:rPr>
                <w:rFonts w:ascii="宋体" w:hAnsi="宋体" w:eastAsia="宋体" w:cs="宋体"/>
                <w:spacing w:val="0"/>
                <w:position w:val="0"/>
                <w:sz w:val="24"/>
                <w:szCs w:val="24"/>
              </w:rPr>
              <w:t>万</w:t>
            </w:r>
            <w:r>
              <w:rPr>
                <w:rFonts w:ascii="Times New Roman" w:hAnsi="Times New Roman" w:eastAsia="Times New Roman" w:cs="Times New Roman"/>
                <w:spacing w:val="0"/>
                <w:position w:val="0"/>
                <w:sz w:val="24"/>
                <w:szCs w:val="24"/>
              </w:rPr>
              <w:t>m</w:t>
            </w:r>
            <w:r>
              <w:rPr>
                <w:rFonts w:hint="eastAsia" w:ascii="Times New Roman" w:hAnsi="Times New Roman" w:eastAsia="宋体" w:cs="Times New Roman"/>
                <w:spacing w:val="0"/>
                <w:position w:val="0"/>
                <w:sz w:val="24"/>
                <w:szCs w:val="24"/>
                <w:vertAlign w:val="superscript"/>
                <w:lang w:val="en-US" w:eastAsia="zh-CN"/>
              </w:rPr>
              <w:t>3</w:t>
            </w:r>
            <w:r>
              <w:rPr>
                <w:rFonts w:ascii="宋体" w:hAnsi="宋体" w:eastAsia="宋体" w:cs="宋体"/>
                <w:spacing w:val="0"/>
                <w:position w:val="0"/>
                <w:sz w:val="24"/>
                <w:szCs w:val="24"/>
              </w:rPr>
              <w:t>），铺填土石方全部从工程建设区调入。施工结束后，本区域进行复耕。</w:t>
            </w:r>
          </w:p>
          <w:p w14:paraId="30F48B97">
            <w:pPr>
              <w:keepNext w:val="0"/>
              <w:keepLines w:val="0"/>
              <w:pageBreakBefore w:val="0"/>
              <w:widowControl w:val="0"/>
              <w:kinsoku/>
              <w:wordWrap/>
              <w:overflowPunct/>
              <w:topLinePunct w:val="0"/>
              <w:autoSpaceDE/>
              <w:autoSpaceDN/>
              <w:bidi w:val="0"/>
              <w:snapToGrid/>
              <w:spacing w:line="360" w:lineRule="auto"/>
              <w:ind w:left="0" w:right="0" w:firstLine="480" w:firstLineChars="200"/>
              <w:rPr>
                <w:rFonts w:ascii="宋体" w:hAnsi="宋体" w:eastAsia="宋体" w:cs="宋体"/>
                <w:spacing w:val="0"/>
                <w:position w:val="0"/>
                <w:sz w:val="24"/>
                <w:szCs w:val="24"/>
              </w:rPr>
            </w:pPr>
            <w:r>
              <w:rPr>
                <w:rFonts w:ascii="Times New Roman" w:hAnsi="Times New Roman" w:eastAsia="Times New Roman" w:cs="Times New Roman"/>
                <w:spacing w:val="0"/>
                <w:position w:val="0"/>
                <w:sz w:val="24"/>
                <w:szCs w:val="24"/>
              </w:rPr>
              <w:t>3</w:t>
            </w:r>
            <w:r>
              <w:rPr>
                <w:rFonts w:ascii="宋体" w:hAnsi="宋体" w:eastAsia="宋体" w:cs="宋体"/>
                <w:spacing w:val="0"/>
                <w:position w:val="0"/>
                <w:sz w:val="24"/>
                <w:szCs w:val="24"/>
              </w:rPr>
              <w:t>）施工营地区土石方平衡及分析</w:t>
            </w:r>
          </w:p>
          <w:p w14:paraId="7307D5FB">
            <w:pPr>
              <w:keepNext w:val="0"/>
              <w:keepLines w:val="0"/>
              <w:pageBreakBefore w:val="0"/>
              <w:widowControl w:val="0"/>
              <w:kinsoku/>
              <w:wordWrap/>
              <w:overflowPunct/>
              <w:topLinePunct w:val="0"/>
              <w:autoSpaceDE/>
              <w:autoSpaceDN/>
              <w:bidi w:val="0"/>
              <w:snapToGrid/>
              <w:spacing w:line="360" w:lineRule="auto"/>
              <w:ind w:left="0" w:right="0" w:firstLine="480" w:firstLineChars="200"/>
              <w:rPr>
                <w:rFonts w:hint="default" w:ascii="Times New Roman" w:hAnsi="Times New Roman" w:eastAsia="宋体" w:cs="Times New Roman"/>
                <w:sz w:val="24"/>
                <w:szCs w:val="24"/>
              </w:rPr>
            </w:pPr>
            <w:r>
              <w:rPr>
                <w:rFonts w:ascii="宋体" w:hAnsi="宋体" w:eastAsia="宋体" w:cs="宋体"/>
                <w:spacing w:val="0"/>
                <w:position w:val="0"/>
                <w:sz w:val="24"/>
                <w:szCs w:val="24"/>
              </w:rPr>
              <w:t>根据堤线布置及施工组织设计，芒市果朗河大新寨至芒里大桥段治理工程共布 置临时施工营地区</w:t>
            </w:r>
            <w:r>
              <w:rPr>
                <w:rFonts w:ascii="Times New Roman" w:hAnsi="Times New Roman" w:eastAsia="Times New Roman" w:cs="Times New Roman"/>
                <w:spacing w:val="0"/>
                <w:position w:val="0"/>
                <w:sz w:val="24"/>
                <w:szCs w:val="24"/>
              </w:rPr>
              <w:t>4</w:t>
            </w:r>
            <w:r>
              <w:rPr>
                <w:rFonts w:ascii="宋体" w:hAnsi="宋体" w:eastAsia="宋体" w:cs="宋体"/>
                <w:spacing w:val="0"/>
                <w:position w:val="0"/>
                <w:sz w:val="24"/>
                <w:szCs w:val="24"/>
              </w:rPr>
              <w:t>个，占地面积为</w:t>
            </w:r>
            <w:r>
              <w:rPr>
                <w:rFonts w:ascii="Times New Roman" w:hAnsi="Times New Roman" w:eastAsia="Times New Roman" w:cs="Times New Roman"/>
                <w:spacing w:val="0"/>
                <w:position w:val="0"/>
                <w:sz w:val="24"/>
                <w:szCs w:val="24"/>
              </w:rPr>
              <w:t>0.24hm</w:t>
            </w:r>
            <w:r>
              <w:rPr>
                <w:rFonts w:hint="eastAsia" w:ascii="Times New Roman" w:hAnsi="Times New Roman" w:eastAsia="宋体" w:cs="Times New Roman"/>
                <w:spacing w:val="0"/>
                <w:position w:val="0"/>
                <w:sz w:val="24"/>
                <w:szCs w:val="24"/>
                <w:vertAlign w:val="superscript"/>
                <w:lang w:val="en-US" w:eastAsia="zh-CN"/>
              </w:rPr>
              <w:t>2</w:t>
            </w:r>
            <w:r>
              <w:rPr>
                <w:rFonts w:ascii="宋体" w:hAnsi="宋体" w:eastAsia="宋体" w:cs="宋体"/>
                <w:spacing w:val="0"/>
                <w:position w:val="0"/>
                <w:sz w:val="24"/>
                <w:szCs w:val="24"/>
              </w:rPr>
              <w:t>。主要工程内容为场地平整，本区土石方开挖为表土剥离</w:t>
            </w:r>
            <w:r>
              <w:rPr>
                <w:rFonts w:ascii="Times New Roman" w:hAnsi="Times New Roman" w:eastAsia="Times New Roman" w:cs="Times New Roman"/>
                <w:spacing w:val="0"/>
                <w:position w:val="0"/>
                <w:sz w:val="24"/>
                <w:szCs w:val="24"/>
              </w:rPr>
              <w:t>0.06</w:t>
            </w:r>
            <w:r>
              <w:rPr>
                <w:rFonts w:ascii="宋体" w:hAnsi="宋体" w:eastAsia="宋体" w:cs="宋体"/>
                <w:spacing w:val="0"/>
                <w:position w:val="0"/>
                <w:sz w:val="24"/>
                <w:szCs w:val="24"/>
              </w:rPr>
              <w:t>万</w:t>
            </w:r>
            <w:r>
              <w:rPr>
                <w:rFonts w:ascii="Times New Roman" w:hAnsi="Times New Roman" w:eastAsia="Times New Roman" w:cs="Times New Roman"/>
                <w:spacing w:val="0"/>
                <w:position w:val="0"/>
                <w:sz w:val="24"/>
                <w:szCs w:val="24"/>
              </w:rPr>
              <w:t>m</w:t>
            </w:r>
            <w:r>
              <w:rPr>
                <w:rFonts w:hint="eastAsia" w:ascii="Times New Roman" w:hAnsi="Times New Roman" w:eastAsia="宋体" w:cs="Times New Roman"/>
                <w:spacing w:val="0"/>
                <w:position w:val="0"/>
                <w:sz w:val="24"/>
                <w:szCs w:val="24"/>
                <w:vertAlign w:val="superscript"/>
                <w:lang w:val="en-US" w:eastAsia="zh-CN"/>
              </w:rPr>
              <w:t>3</w:t>
            </w:r>
            <w:r>
              <w:rPr>
                <w:rFonts w:ascii="宋体" w:hAnsi="宋体" w:eastAsia="宋体" w:cs="宋体"/>
                <w:spacing w:val="0"/>
                <w:position w:val="0"/>
                <w:sz w:val="24"/>
                <w:szCs w:val="24"/>
              </w:rPr>
              <w:t>，复耕覆土回填</w:t>
            </w:r>
            <w:r>
              <w:rPr>
                <w:rFonts w:ascii="Times New Roman" w:hAnsi="Times New Roman" w:eastAsia="Times New Roman" w:cs="Times New Roman"/>
                <w:spacing w:val="0"/>
                <w:position w:val="0"/>
                <w:sz w:val="24"/>
                <w:szCs w:val="24"/>
              </w:rPr>
              <w:t>0.06</w:t>
            </w:r>
            <w:r>
              <w:rPr>
                <w:rFonts w:ascii="宋体" w:hAnsi="宋体" w:eastAsia="宋体" w:cs="宋体"/>
                <w:spacing w:val="0"/>
                <w:position w:val="0"/>
                <w:sz w:val="24"/>
                <w:szCs w:val="24"/>
              </w:rPr>
              <w:t>万</w:t>
            </w:r>
            <w:r>
              <w:rPr>
                <w:rFonts w:ascii="Times New Roman" w:hAnsi="Times New Roman" w:eastAsia="Times New Roman" w:cs="Times New Roman"/>
                <w:spacing w:val="0"/>
                <w:position w:val="0"/>
                <w:sz w:val="24"/>
                <w:szCs w:val="24"/>
              </w:rPr>
              <w:t>m</w:t>
            </w:r>
            <w:r>
              <w:rPr>
                <w:rFonts w:hint="eastAsia" w:ascii="Times New Roman" w:hAnsi="Times New Roman" w:eastAsia="宋体" w:cs="Times New Roman"/>
                <w:spacing w:val="0"/>
                <w:position w:val="0"/>
                <w:sz w:val="24"/>
                <w:szCs w:val="24"/>
                <w:vertAlign w:val="superscript"/>
                <w:lang w:val="en-US" w:eastAsia="zh-CN"/>
              </w:rPr>
              <w:t>3</w:t>
            </w:r>
            <w:r>
              <w:rPr>
                <w:rFonts w:ascii="宋体" w:hAnsi="宋体" w:eastAsia="宋体" w:cs="宋体"/>
                <w:spacing w:val="0"/>
                <w:position w:val="0"/>
                <w:sz w:val="24"/>
                <w:szCs w:val="24"/>
              </w:rPr>
              <w:t>。</w:t>
            </w:r>
            <w:r>
              <w:rPr>
                <w:rFonts w:hint="default" w:ascii="Times New Roman" w:hAnsi="Times New Roman" w:eastAsia="宋体" w:cs="Times New Roman"/>
                <w:spacing w:val="-4"/>
                <w:sz w:val="24"/>
                <w:szCs w:val="24"/>
              </w:rPr>
              <w:t>主体工程施工结束后，对</w:t>
            </w:r>
            <w:r>
              <w:rPr>
                <w:rFonts w:hint="default" w:ascii="Times New Roman" w:hAnsi="Times New Roman" w:eastAsia="宋体" w:cs="Times New Roman"/>
                <w:spacing w:val="-2"/>
                <w:sz w:val="24"/>
                <w:szCs w:val="24"/>
              </w:rPr>
              <w:t>本区域进行复耕。</w:t>
            </w:r>
          </w:p>
          <w:p w14:paraId="62100652">
            <w:pPr>
              <w:keepNext w:val="0"/>
              <w:keepLines w:val="0"/>
              <w:pageBreakBefore w:val="0"/>
              <w:widowControl w:val="0"/>
              <w:kinsoku/>
              <w:wordWrap/>
              <w:overflowPunct/>
              <w:topLinePunct w:val="0"/>
              <w:autoSpaceDE/>
              <w:autoSpaceDN/>
              <w:bidi w:val="0"/>
              <w:snapToGrid/>
              <w:spacing w:line="360" w:lineRule="auto"/>
              <w:ind w:left="0" w:right="0" w:firstLine="481"/>
              <w:rPr>
                <w:rFonts w:hint="eastAsia" w:ascii="Times New Roman" w:hAnsi="Times New Roman" w:eastAsia="宋体" w:cs="Times New Roman"/>
                <w:b/>
                <w:bCs/>
                <w:sz w:val="24"/>
                <w:szCs w:val="24"/>
                <w:lang w:eastAsia="zh-CN"/>
              </w:rPr>
            </w:pPr>
            <w:r>
              <w:rPr>
                <w:rFonts w:hint="eastAsia" w:ascii="Times New Roman" w:hAnsi="Times New Roman" w:cs="Times New Roman"/>
                <w:b/>
                <w:bCs/>
                <w:sz w:val="24"/>
                <w:szCs w:val="24"/>
                <w:lang w:eastAsia="zh-CN"/>
              </w:rPr>
              <w:t>（</w:t>
            </w:r>
            <w:r>
              <w:rPr>
                <w:rFonts w:hint="eastAsia" w:ascii="Times New Roman" w:hAnsi="Times New Roman" w:cs="Times New Roman"/>
                <w:b/>
                <w:bCs/>
                <w:sz w:val="24"/>
                <w:szCs w:val="24"/>
                <w:lang w:val="en-US" w:eastAsia="zh-CN"/>
              </w:rPr>
              <w:t>3</w:t>
            </w:r>
            <w:r>
              <w:rPr>
                <w:rFonts w:hint="eastAsia" w:ascii="Times New Roman" w:hAnsi="Times New Roman" w:cs="Times New Roman"/>
                <w:b/>
                <w:bCs/>
                <w:sz w:val="24"/>
                <w:szCs w:val="24"/>
                <w:lang w:eastAsia="zh-CN"/>
              </w:rPr>
              <w:t>）土石方汇总</w:t>
            </w:r>
          </w:p>
          <w:p w14:paraId="2F4DC6C3">
            <w:pPr>
              <w:keepNext w:val="0"/>
              <w:keepLines w:val="0"/>
              <w:pageBreakBefore w:val="0"/>
              <w:widowControl w:val="0"/>
              <w:kinsoku/>
              <w:wordWrap/>
              <w:overflowPunct/>
              <w:topLinePunct w:val="0"/>
              <w:autoSpaceDE/>
              <w:autoSpaceDN/>
              <w:bidi w:val="0"/>
              <w:snapToGrid/>
              <w:spacing w:line="360" w:lineRule="auto"/>
              <w:ind w:left="0" w:right="0" w:firstLine="481"/>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本项目建设过程中共产生开挖土石方24.80万m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（表土剥离1.64万m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rPr>
              <w:t>，一般开挖23.16万m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rPr>
              <w:t>），回填土石方24.80万m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rPr>
              <w:t>（其中：表土回填1.64万m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w:t>
            </w:r>
            <w:r>
              <w:rPr>
                <w:rFonts w:hint="default" w:ascii="Times New Roman" w:hAnsi="Times New Roman" w:eastAsia="宋体" w:cs="Times New Roman"/>
                <w:sz w:val="24"/>
                <w:szCs w:val="24"/>
              </w:rPr>
              <w:t>工程建设区回填11.62万m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rPr>
              <w:t>，施工临时道路区回填11.54万m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w:t>
            </w:r>
            <w:r>
              <w:rPr>
                <w:rFonts w:hint="default" w:ascii="Times New Roman" w:hAnsi="Times New Roman" w:eastAsia="宋体" w:cs="Times New Roman"/>
                <w:sz w:val="24"/>
                <w:szCs w:val="24"/>
              </w:rPr>
              <w:t>，内部调运土石方14.82万m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rPr>
              <w:t>，以上土石方均为自然方量。剥离表土用于后期土地复耕覆土。通过项目土石方平衡及内部调运，项目不产生永久弃渣。详见表</w:t>
            </w:r>
            <w:r>
              <w:rPr>
                <w:rFonts w:hint="eastAsia" w:ascii="Times New Roman" w:hAnsi="Times New Roman" w:cs="Times New Roman"/>
                <w:sz w:val="24"/>
                <w:szCs w:val="24"/>
                <w:lang w:val="en-US" w:eastAsia="zh-CN"/>
              </w:rPr>
              <w:t>2-1</w:t>
            </w:r>
            <w:r>
              <w:rPr>
                <w:rFonts w:hint="eastAsia" w:cs="Times New Roman"/>
                <w:sz w:val="24"/>
                <w:szCs w:val="24"/>
                <w:lang w:val="en-US" w:eastAsia="zh-CN"/>
              </w:rPr>
              <w:t>2</w:t>
            </w:r>
            <w:r>
              <w:rPr>
                <w:rFonts w:hint="default" w:ascii="Times New Roman" w:hAnsi="Times New Roman" w:eastAsia="宋体" w:cs="Times New Roman"/>
                <w:sz w:val="24"/>
                <w:szCs w:val="24"/>
              </w:rPr>
              <w:t>。</w:t>
            </w:r>
          </w:p>
          <w:p w14:paraId="41B5155B">
            <w:pPr>
              <w:pStyle w:val="36"/>
              <w:bidi w:val="0"/>
              <w:ind w:left="0" w:leftChars="0" w:firstLine="0" w:firstLineChars="0"/>
              <w:jc w:val="center"/>
              <w:rPr>
                <w:rFonts w:hint="default"/>
                <w:b/>
                <w:bCs/>
                <w:color w:val="auto"/>
                <w:sz w:val="21"/>
                <w:szCs w:val="21"/>
                <w:lang w:val="en-US" w:eastAsia="zh-CN"/>
              </w:rPr>
            </w:pPr>
            <w:r>
              <w:rPr>
                <w:rFonts w:hint="eastAsia"/>
                <w:b/>
                <w:bCs/>
                <w:color w:val="auto"/>
                <w:sz w:val="21"/>
                <w:szCs w:val="21"/>
                <w:lang w:val="en-US" w:eastAsia="zh-CN"/>
              </w:rPr>
              <w:t>表2-12 土石方平衡及弃渣流向表</w:t>
            </w:r>
          </w:p>
          <w:tbl>
            <w:tblPr>
              <w:tblStyle w:val="46"/>
              <w:tblW w:w="7605" w:type="dxa"/>
              <w:tblInd w:w="5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32"/>
              <w:gridCol w:w="1068"/>
              <w:gridCol w:w="552"/>
              <w:gridCol w:w="488"/>
              <w:gridCol w:w="617"/>
              <w:gridCol w:w="499"/>
              <w:gridCol w:w="710"/>
              <w:gridCol w:w="584"/>
              <w:gridCol w:w="664"/>
              <w:gridCol w:w="518"/>
              <w:gridCol w:w="540"/>
              <w:gridCol w:w="468"/>
              <w:gridCol w:w="465"/>
            </w:tblGrid>
            <w:tr w14:paraId="769BC2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0" w:hRule="atLeast"/>
              </w:trPr>
              <w:tc>
                <w:tcPr>
                  <w:tcW w:w="432" w:type="dxa"/>
                  <w:vMerge w:val="restart"/>
                  <w:tcBorders>
                    <w:bottom w:val="nil"/>
                  </w:tcBorders>
                  <w:vAlign w:val="center"/>
                </w:tcPr>
                <w:p w14:paraId="7D52B32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4"/>
                      <w:sz w:val="18"/>
                      <w:szCs w:val="18"/>
                    </w:rPr>
                    <w:t>序号</w:t>
                  </w:r>
                </w:p>
              </w:tc>
              <w:tc>
                <w:tcPr>
                  <w:tcW w:w="1068" w:type="dxa"/>
                  <w:vMerge w:val="restart"/>
                  <w:tcBorders>
                    <w:bottom w:val="nil"/>
                  </w:tcBorders>
                  <w:vAlign w:val="center"/>
                </w:tcPr>
                <w:p w14:paraId="7A0F1ADB">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3"/>
                      <w:sz w:val="18"/>
                      <w:szCs w:val="18"/>
                    </w:rPr>
                    <w:t>项目分区</w:t>
                  </w:r>
                </w:p>
              </w:tc>
              <w:tc>
                <w:tcPr>
                  <w:tcW w:w="1040" w:type="dxa"/>
                  <w:gridSpan w:val="2"/>
                  <w:vAlign w:val="center"/>
                </w:tcPr>
                <w:p w14:paraId="22657D7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4"/>
                      <w:sz w:val="18"/>
                      <w:szCs w:val="18"/>
                    </w:rPr>
                    <w:t>开挖</w:t>
                  </w:r>
                </w:p>
              </w:tc>
              <w:tc>
                <w:tcPr>
                  <w:tcW w:w="617" w:type="dxa"/>
                  <w:vMerge w:val="restart"/>
                  <w:tcBorders>
                    <w:bottom w:val="nil"/>
                  </w:tcBorders>
                  <w:vAlign w:val="center"/>
                </w:tcPr>
                <w:p w14:paraId="016EABB7">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7"/>
                      <w:sz w:val="18"/>
                      <w:szCs w:val="18"/>
                    </w:rPr>
                    <w:t>回填利用</w:t>
                  </w:r>
                </w:p>
              </w:tc>
              <w:tc>
                <w:tcPr>
                  <w:tcW w:w="1209" w:type="dxa"/>
                  <w:gridSpan w:val="2"/>
                  <w:vAlign w:val="center"/>
                </w:tcPr>
                <w:p w14:paraId="6D85ACDE">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5"/>
                      <w:sz w:val="18"/>
                      <w:szCs w:val="18"/>
                    </w:rPr>
                    <w:t>调入</w:t>
                  </w:r>
                </w:p>
              </w:tc>
              <w:tc>
                <w:tcPr>
                  <w:tcW w:w="1248" w:type="dxa"/>
                  <w:gridSpan w:val="2"/>
                  <w:vAlign w:val="center"/>
                </w:tcPr>
                <w:p w14:paraId="2AACF7E0">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5"/>
                      <w:sz w:val="18"/>
                      <w:szCs w:val="18"/>
                    </w:rPr>
                    <w:t>调出</w:t>
                  </w:r>
                </w:p>
              </w:tc>
              <w:tc>
                <w:tcPr>
                  <w:tcW w:w="1058" w:type="dxa"/>
                  <w:gridSpan w:val="2"/>
                  <w:vAlign w:val="center"/>
                </w:tcPr>
                <w:p w14:paraId="35D044F7">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6"/>
                      <w:sz w:val="18"/>
                      <w:szCs w:val="18"/>
                    </w:rPr>
                    <w:t>外借</w:t>
                  </w:r>
                </w:p>
              </w:tc>
              <w:tc>
                <w:tcPr>
                  <w:tcW w:w="933" w:type="dxa"/>
                  <w:gridSpan w:val="2"/>
                  <w:vAlign w:val="center"/>
                </w:tcPr>
                <w:p w14:paraId="02040D1F">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4"/>
                      <w:sz w:val="18"/>
                      <w:szCs w:val="18"/>
                    </w:rPr>
                    <w:t>废弃</w:t>
                  </w:r>
                </w:p>
              </w:tc>
            </w:tr>
            <w:tr w14:paraId="22EF80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9" w:hRule="atLeast"/>
              </w:trPr>
              <w:tc>
                <w:tcPr>
                  <w:tcW w:w="432" w:type="dxa"/>
                  <w:vMerge w:val="continue"/>
                  <w:tcBorders>
                    <w:top w:val="nil"/>
                  </w:tcBorders>
                  <w:vAlign w:val="center"/>
                </w:tcPr>
                <w:p w14:paraId="4FE5CF8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rPr>
                  </w:pPr>
                </w:p>
              </w:tc>
              <w:tc>
                <w:tcPr>
                  <w:tcW w:w="1068" w:type="dxa"/>
                  <w:vMerge w:val="continue"/>
                  <w:tcBorders>
                    <w:top w:val="nil"/>
                  </w:tcBorders>
                  <w:vAlign w:val="center"/>
                </w:tcPr>
                <w:p w14:paraId="20557D7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rPr>
                  </w:pPr>
                </w:p>
              </w:tc>
              <w:tc>
                <w:tcPr>
                  <w:tcW w:w="552" w:type="dxa"/>
                  <w:vAlign w:val="center"/>
                </w:tcPr>
                <w:p w14:paraId="572C2D59">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4"/>
                      <w:sz w:val="18"/>
                      <w:szCs w:val="18"/>
                    </w:rPr>
                    <w:t>土方</w:t>
                  </w:r>
                </w:p>
              </w:tc>
              <w:tc>
                <w:tcPr>
                  <w:tcW w:w="488" w:type="dxa"/>
                  <w:vAlign w:val="center"/>
                </w:tcPr>
                <w:p w14:paraId="54E1425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4"/>
                      <w:sz w:val="18"/>
                      <w:szCs w:val="18"/>
                    </w:rPr>
                    <w:t>表土</w:t>
                  </w:r>
                </w:p>
              </w:tc>
              <w:tc>
                <w:tcPr>
                  <w:tcW w:w="617" w:type="dxa"/>
                  <w:vMerge w:val="continue"/>
                  <w:tcBorders>
                    <w:top w:val="nil"/>
                  </w:tcBorders>
                  <w:vAlign w:val="center"/>
                </w:tcPr>
                <w:p w14:paraId="5542AE3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rPr>
                  </w:pPr>
                </w:p>
              </w:tc>
              <w:tc>
                <w:tcPr>
                  <w:tcW w:w="499" w:type="dxa"/>
                  <w:vAlign w:val="center"/>
                </w:tcPr>
                <w:p w14:paraId="545CE5F5">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5"/>
                      <w:sz w:val="18"/>
                      <w:szCs w:val="18"/>
                    </w:rPr>
                    <w:t>数量</w:t>
                  </w:r>
                </w:p>
              </w:tc>
              <w:tc>
                <w:tcPr>
                  <w:tcW w:w="710" w:type="dxa"/>
                  <w:vAlign w:val="center"/>
                </w:tcPr>
                <w:p w14:paraId="5FFC8E72">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4"/>
                      <w:sz w:val="18"/>
                      <w:szCs w:val="18"/>
                    </w:rPr>
                    <w:t>来源</w:t>
                  </w:r>
                </w:p>
              </w:tc>
              <w:tc>
                <w:tcPr>
                  <w:tcW w:w="584" w:type="dxa"/>
                  <w:vAlign w:val="center"/>
                </w:tcPr>
                <w:p w14:paraId="7B37C50C">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5"/>
                      <w:sz w:val="18"/>
                      <w:szCs w:val="18"/>
                    </w:rPr>
                    <w:t>数量</w:t>
                  </w:r>
                </w:p>
              </w:tc>
              <w:tc>
                <w:tcPr>
                  <w:tcW w:w="664" w:type="dxa"/>
                  <w:vAlign w:val="center"/>
                </w:tcPr>
                <w:p w14:paraId="07721C99">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5"/>
                      <w:sz w:val="18"/>
                      <w:szCs w:val="18"/>
                    </w:rPr>
                    <w:t>去向</w:t>
                  </w:r>
                </w:p>
              </w:tc>
              <w:tc>
                <w:tcPr>
                  <w:tcW w:w="518" w:type="dxa"/>
                  <w:vAlign w:val="center"/>
                </w:tcPr>
                <w:p w14:paraId="7BBA12A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5"/>
                      <w:sz w:val="18"/>
                      <w:szCs w:val="18"/>
                    </w:rPr>
                    <w:t>数量</w:t>
                  </w:r>
                </w:p>
              </w:tc>
              <w:tc>
                <w:tcPr>
                  <w:tcW w:w="540" w:type="dxa"/>
                  <w:vAlign w:val="center"/>
                </w:tcPr>
                <w:p w14:paraId="6C84572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4"/>
                      <w:sz w:val="18"/>
                      <w:szCs w:val="18"/>
                    </w:rPr>
                    <w:t>来源</w:t>
                  </w:r>
                </w:p>
              </w:tc>
              <w:tc>
                <w:tcPr>
                  <w:tcW w:w="468" w:type="dxa"/>
                  <w:vAlign w:val="center"/>
                </w:tcPr>
                <w:p w14:paraId="07F36750">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5"/>
                      <w:sz w:val="18"/>
                      <w:szCs w:val="18"/>
                    </w:rPr>
                    <w:t>数量</w:t>
                  </w:r>
                </w:p>
              </w:tc>
              <w:tc>
                <w:tcPr>
                  <w:tcW w:w="465" w:type="dxa"/>
                  <w:vAlign w:val="center"/>
                </w:tcPr>
                <w:p w14:paraId="7FDC8852">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5"/>
                      <w:sz w:val="18"/>
                      <w:szCs w:val="18"/>
                    </w:rPr>
                    <w:t>去向</w:t>
                  </w:r>
                </w:p>
              </w:tc>
            </w:tr>
            <w:tr w14:paraId="6EB88A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5" w:hRule="atLeast"/>
              </w:trPr>
              <w:tc>
                <w:tcPr>
                  <w:tcW w:w="432" w:type="dxa"/>
                  <w:vAlign w:val="center"/>
                </w:tcPr>
                <w:p w14:paraId="5EA03BA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tc>
              <w:tc>
                <w:tcPr>
                  <w:tcW w:w="1068" w:type="dxa"/>
                  <w:vAlign w:val="center"/>
                </w:tcPr>
                <w:p w14:paraId="62ED812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2"/>
                      <w:sz w:val="18"/>
                      <w:szCs w:val="18"/>
                    </w:rPr>
                    <w:t>工程建设区</w:t>
                  </w:r>
                </w:p>
              </w:tc>
              <w:tc>
                <w:tcPr>
                  <w:tcW w:w="552" w:type="dxa"/>
                  <w:vAlign w:val="center"/>
                </w:tcPr>
                <w:p w14:paraId="3BDD223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23.16</w:t>
                  </w:r>
                </w:p>
              </w:tc>
              <w:tc>
                <w:tcPr>
                  <w:tcW w:w="488" w:type="dxa"/>
                  <w:vAlign w:val="center"/>
                </w:tcPr>
                <w:p w14:paraId="44F4A31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lang w:val="en-US" w:eastAsia="zh-CN"/>
                    </w:rPr>
                  </w:pPr>
                  <w:r>
                    <w:rPr>
                      <w:rFonts w:hint="eastAsia" w:ascii="Arial"/>
                      <w:sz w:val="21"/>
                      <w:lang w:val="en-US" w:eastAsia="zh-CN"/>
                    </w:rPr>
                    <w:t>/</w:t>
                  </w:r>
                </w:p>
              </w:tc>
              <w:tc>
                <w:tcPr>
                  <w:tcW w:w="617" w:type="dxa"/>
                  <w:vAlign w:val="center"/>
                </w:tcPr>
                <w:p w14:paraId="4076115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11.62</w:t>
                  </w:r>
                </w:p>
              </w:tc>
              <w:tc>
                <w:tcPr>
                  <w:tcW w:w="499" w:type="dxa"/>
                  <w:vAlign w:val="center"/>
                </w:tcPr>
                <w:p w14:paraId="76857F9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lang w:val="en-US" w:eastAsia="zh-CN"/>
                    </w:rPr>
                  </w:pPr>
                  <w:r>
                    <w:rPr>
                      <w:rFonts w:hint="eastAsia" w:ascii="Arial"/>
                      <w:sz w:val="21"/>
                      <w:lang w:val="en-US" w:eastAsia="zh-CN"/>
                    </w:rPr>
                    <w:t>/</w:t>
                  </w:r>
                </w:p>
              </w:tc>
              <w:tc>
                <w:tcPr>
                  <w:tcW w:w="710" w:type="dxa"/>
                  <w:vAlign w:val="center"/>
                </w:tcPr>
                <w:p w14:paraId="749E8FD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lang w:val="en-US" w:eastAsia="zh-CN"/>
                    </w:rPr>
                  </w:pPr>
                  <w:r>
                    <w:rPr>
                      <w:rFonts w:hint="eastAsia" w:ascii="Arial"/>
                      <w:sz w:val="21"/>
                      <w:lang w:val="en-US" w:eastAsia="zh-CN"/>
                    </w:rPr>
                    <w:t>/</w:t>
                  </w:r>
                </w:p>
              </w:tc>
              <w:tc>
                <w:tcPr>
                  <w:tcW w:w="584" w:type="dxa"/>
                  <w:vAlign w:val="center"/>
                </w:tcPr>
                <w:p w14:paraId="0778729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11.54</w:t>
                  </w:r>
                </w:p>
              </w:tc>
              <w:tc>
                <w:tcPr>
                  <w:tcW w:w="664" w:type="dxa"/>
                  <w:vAlign w:val="center"/>
                </w:tcPr>
                <w:p w14:paraId="3DDB86A4">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4"/>
                      <w:sz w:val="18"/>
                      <w:szCs w:val="18"/>
                    </w:rPr>
                    <w:t>临时道路区</w:t>
                  </w:r>
                </w:p>
              </w:tc>
              <w:tc>
                <w:tcPr>
                  <w:tcW w:w="518" w:type="dxa"/>
                  <w:vAlign w:val="center"/>
                </w:tcPr>
                <w:p w14:paraId="5947F3F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rPr>
                  </w:pPr>
                </w:p>
              </w:tc>
              <w:tc>
                <w:tcPr>
                  <w:tcW w:w="540" w:type="dxa"/>
                  <w:vAlign w:val="center"/>
                </w:tcPr>
                <w:p w14:paraId="13ED776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rPr>
                  </w:pPr>
                </w:p>
              </w:tc>
              <w:tc>
                <w:tcPr>
                  <w:tcW w:w="468" w:type="dxa"/>
                  <w:vAlign w:val="center"/>
                </w:tcPr>
                <w:p w14:paraId="50EFFCE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rPr>
                  </w:pPr>
                </w:p>
              </w:tc>
              <w:tc>
                <w:tcPr>
                  <w:tcW w:w="465" w:type="dxa"/>
                  <w:vAlign w:val="center"/>
                </w:tcPr>
                <w:p w14:paraId="668CCC9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rPr>
                  </w:pPr>
                </w:p>
              </w:tc>
            </w:tr>
            <w:tr w14:paraId="2E550B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4" w:hRule="atLeast"/>
              </w:trPr>
              <w:tc>
                <w:tcPr>
                  <w:tcW w:w="432" w:type="dxa"/>
                  <w:vAlign w:val="center"/>
                </w:tcPr>
                <w:p w14:paraId="5C9B024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18"/>
                      <w:szCs w:val="18"/>
                    </w:rPr>
                  </w:pPr>
                  <w:r>
                    <w:rPr>
                      <w:rFonts w:ascii="Times New Roman" w:hAnsi="Times New Roman" w:eastAsia="Times New Roman" w:cs="Times New Roman"/>
                      <w:sz w:val="18"/>
                      <w:szCs w:val="18"/>
                    </w:rPr>
                    <w:t>2</w:t>
                  </w:r>
                </w:p>
              </w:tc>
              <w:tc>
                <w:tcPr>
                  <w:tcW w:w="1068" w:type="dxa"/>
                  <w:vAlign w:val="center"/>
                </w:tcPr>
                <w:p w14:paraId="54F4E387">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1"/>
                      <w:sz w:val="18"/>
                      <w:szCs w:val="18"/>
                    </w:rPr>
                    <w:t>施工临时道路区</w:t>
                  </w:r>
                </w:p>
              </w:tc>
              <w:tc>
                <w:tcPr>
                  <w:tcW w:w="552" w:type="dxa"/>
                  <w:vAlign w:val="center"/>
                </w:tcPr>
                <w:p w14:paraId="1C35142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lang w:val="en-US" w:eastAsia="zh-CN"/>
                    </w:rPr>
                  </w:pPr>
                  <w:r>
                    <w:rPr>
                      <w:rFonts w:hint="eastAsia" w:ascii="Arial"/>
                      <w:sz w:val="21"/>
                      <w:lang w:val="en-US" w:eastAsia="zh-CN"/>
                    </w:rPr>
                    <w:t>/</w:t>
                  </w:r>
                </w:p>
              </w:tc>
              <w:tc>
                <w:tcPr>
                  <w:tcW w:w="488" w:type="dxa"/>
                  <w:vAlign w:val="center"/>
                </w:tcPr>
                <w:p w14:paraId="5B3141B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1.58</w:t>
                  </w:r>
                </w:p>
              </w:tc>
              <w:tc>
                <w:tcPr>
                  <w:tcW w:w="617" w:type="dxa"/>
                  <w:vAlign w:val="center"/>
                </w:tcPr>
                <w:p w14:paraId="54BF404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13.12</w:t>
                  </w:r>
                </w:p>
              </w:tc>
              <w:tc>
                <w:tcPr>
                  <w:tcW w:w="499" w:type="dxa"/>
                  <w:vAlign w:val="center"/>
                </w:tcPr>
                <w:p w14:paraId="771ED8E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13.12</w:t>
                  </w:r>
                </w:p>
              </w:tc>
              <w:tc>
                <w:tcPr>
                  <w:tcW w:w="710" w:type="dxa"/>
                  <w:vAlign w:val="center"/>
                </w:tcPr>
                <w:p w14:paraId="574D924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7"/>
                      <w:sz w:val="18"/>
                      <w:szCs w:val="18"/>
                    </w:rPr>
                    <w:t>工程建设区、</w:t>
                  </w:r>
                  <w:r>
                    <w:rPr>
                      <w:spacing w:val="-2"/>
                      <w:sz w:val="18"/>
                      <w:szCs w:val="18"/>
                    </w:rPr>
                    <w:t>表土转存场</w:t>
                  </w:r>
                </w:p>
              </w:tc>
              <w:tc>
                <w:tcPr>
                  <w:tcW w:w="584" w:type="dxa"/>
                  <w:vAlign w:val="center"/>
                </w:tcPr>
                <w:p w14:paraId="386FA00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1.58</w:t>
                  </w:r>
                </w:p>
              </w:tc>
              <w:tc>
                <w:tcPr>
                  <w:tcW w:w="664" w:type="dxa"/>
                  <w:vAlign w:val="center"/>
                </w:tcPr>
                <w:p w14:paraId="18FC3E4F">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2"/>
                      <w:sz w:val="18"/>
                      <w:szCs w:val="18"/>
                    </w:rPr>
                    <w:t>表土转存场</w:t>
                  </w:r>
                </w:p>
              </w:tc>
              <w:tc>
                <w:tcPr>
                  <w:tcW w:w="518" w:type="dxa"/>
                  <w:vAlign w:val="center"/>
                </w:tcPr>
                <w:p w14:paraId="7D29062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rPr>
                  </w:pPr>
                </w:p>
              </w:tc>
              <w:tc>
                <w:tcPr>
                  <w:tcW w:w="540" w:type="dxa"/>
                  <w:vAlign w:val="center"/>
                </w:tcPr>
                <w:p w14:paraId="4E106AF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rPr>
                  </w:pPr>
                </w:p>
              </w:tc>
              <w:tc>
                <w:tcPr>
                  <w:tcW w:w="468" w:type="dxa"/>
                  <w:vAlign w:val="center"/>
                </w:tcPr>
                <w:p w14:paraId="5837592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rPr>
                  </w:pPr>
                </w:p>
              </w:tc>
              <w:tc>
                <w:tcPr>
                  <w:tcW w:w="465" w:type="dxa"/>
                  <w:vAlign w:val="center"/>
                </w:tcPr>
                <w:p w14:paraId="3907CEB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rPr>
                  </w:pPr>
                </w:p>
              </w:tc>
            </w:tr>
            <w:tr w14:paraId="0F83D8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5" w:hRule="atLeast"/>
              </w:trPr>
              <w:tc>
                <w:tcPr>
                  <w:tcW w:w="432" w:type="dxa"/>
                  <w:vAlign w:val="center"/>
                </w:tcPr>
                <w:p w14:paraId="64BA485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18"/>
                      <w:szCs w:val="18"/>
                    </w:rPr>
                  </w:pPr>
                  <w:r>
                    <w:rPr>
                      <w:rFonts w:ascii="Times New Roman" w:hAnsi="Times New Roman" w:eastAsia="Times New Roman" w:cs="Times New Roman"/>
                      <w:sz w:val="18"/>
                      <w:szCs w:val="18"/>
                    </w:rPr>
                    <w:t>3</w:t>
                  </w:r>
                </w:p>
              </w:tc>
              <w:tc>
                <w:tcPr>
                  <w:tcW w:w="1068" w:type="dxa"/>
                  <w:vAlign w:val="center"/>
                </w:tcPr>
                <w:p w14:paraId="09708B7E">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2"/>
                      <w:sz w:val="18"/>
                      <w:szCs w:val="18"/>
                    </w:rPr>
                    <w:t>施工营地区</w:t>
                  </w:r>
                </w:p>
              </w:tc>
              <w:tc>
                <w:tcPr>
                  <w:tcW w:w="552" w:type="dxa"/>
                  <w:vAlign w:val="center"/>
                </w:tcPr>
                <w:p w14:paraId="2FF77AB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lang w:val="en-US" w:eastAsia="zh-CN"/>
                    </w:rPr>
                  </w:pPr>
                  <w:r>
                    <w:rPr>
                      <w:rFonts w:hint="eastAsia" w:ascii="Arial"/>
                      <w:sz w:val="21"/>
                      <w:lang w:val="en-US" w:eastAsia="zh-CN"/>
                    </w:rPr>
                    <w:t>/</w:t>
                  </w:r>
                </w:p>
              </w:tc>
              <w:tc>
                <w:tcPr>
                  <w:tcW w:w="488" w:type="dxa"/>
                  <w:vAlign w:val="center"/>
                </w:tcPr>
                <w:p w14:paraId="41D09E0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0.06</w:t>
                  </w:r>
                </w:p>
              </w:tc>
              <w:tc>
                <w:tcPr>
                  <w:tcW w:w="617" w:type="dxa"/>
                  <w:vAlign w:val="center"/>
                </w:tcPr>
                <w:p w14:paraId="4D9A4E4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0.06</w:t>
                  </w:r>
                </w:p>
              </w:tc>
              <w:tc>
                <w:tcPr>
                  <w:tcW w:w="499" w:type="dxa"/>
                  <w:vAlign w:val="center"/>
                </w:tcPr>
                <w:p w14:paraId="0E4853D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0.06</w:t>
                  </w:r>
                </w:p>
              </w:tc>
              <w:tc>
                <w:tcPr>
                  <w:tcW w:w="710" w:type="dxa"/>
                  <w:vAlign w:val="center"/>
                </w:tcPr>
                <w:p w14:paraId="586DD792">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2"/>
                      <w:sz w:val="18"/>
                      <w:szCs w:val="18"/>
                    </w:rPr>
                    <w:t>表土转存场</w:t>
                  </w:r>
                </w:p>
              </w:tc>
              <w:tc>
                <w:tcPr>
                  <w:tcW w:w="584" w:type="dxa"/>
                  <w:vAlign w:val="center"/>
                </w:tcPr>
                <w:p w14:paraId="3369DD0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0.06</w:t>
                  </w:r>
                </w:p>
              </w:tc>
              <w:tc>
                <w:tcPr>
                  <w:tcW w:w="664" w:type="dxa"/>
                  <w:vAlign w:val="center"/>
                </w:tcPr>
                <w:p w14:paraId="18F60FD4">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2"/>
                      <w:sz w:val="18"/>
                      <w:szCs w:val="18"/>
                    </w:rPr>
                    <w:t>表土转存场</w:t>
                  </w:r>
                </w:p>
              </w:tc>
              <w:tc>
                <w:tcPr>
                  <w:tcW w:w="518" w:type="dxa"/>
                  <w:vAlign w:val="center"/>
                </w:tcPr>
                <w:p w14:paraId="1BD35DF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rPr>
                  </w:pPr>
                </w:p>
              </w:tc>
              <w:tc>
                <w:tcPr>
                  <w:tcW w:w="540" w:type="dxa"/>
                  <w:vAlign w:val="center"/>
                </w:tcPr>
                <w:p w14:paraId="4BA3321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rPr>
                  </w:pPr>
                </w:p>
              </w:tc>
              <w:tc>
                <w:tcPr>
                  <w:tcW w:w="468" w:type="dxa"/>
                  <w:vAlign w:val="center"/>
                </w:tcPr>
                <w:p w14:paraId="0208C85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rPr>
                  </w:pPr>
                </w:p>
              </w:tc>
              <w:tc>
                <w:tcPr>
                  <w:tcW w:w="465" w:type="dxa"/>
                  <w:vAlign w:val="center"/>
                </w:tcPr>
                <w:p w14:paraId="7A1355A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rPr>
                  </w:pPr>
                </w:p>
              </w:tc>
            </w:tr>
            <w:tr w14:paraId="0F6F0B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4" w:hRule="atLeast"/>
              </w:trPr>
              <w:tc>
                <w:tcPr>
                  <w:tcW w:w="432" w:type="dxa"/>
                  <w:vAlign w:val="center"/>
                </w:tcPr>
                <w:p w14:paraId="16186CA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18"/>
                      <w:szCs w:val="18"/>
                    </w:rPr>
                  </w:pPr>
                  <w:r>
                    <w:rPr>
                      <w:rFonts w:ascii="Times New Roman" w:hAnsi="Times New Roman" w:eastAsia="Times New Roman" w:cs="Times New Roman"/>
                      <w:sz w:val="18"/>
                      <w:szCs w:val="18"/>
                    </w:rPr>
                    <w:t>4</w:t>
                  </w:r>
                </w:p>
              </w:tc>
              <w:tc>
                <w:tcPr>
                  <w:tcW w:w="1068" w:type="dxa"/>
                  <w:vAlign w:val="center"/>
                </w:tcPr>
                <w:p w14:paraId="386EC093">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2"/>
                      <w:sz w:val="18"/>
                      <w:szCs w:val="18"/>
                    </w:rPr>
                    <w:t>表土转存场区</w:t>
                  </w:r>
                </w:p>
              </w:tc>
              <w:tc>
                <w:tcPr>
                  <w:tcW w:w="552" w:type="dxa"/>
                  <w:vAlign w:val="center"/>
                </w:tcPr>
                <w:p w14:paraId="4778BC9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lang w:val="en-US" w:eastAsia="zh-CN"/>
                    </w:rPr>
                  </w:pPr>
                  <w:r>
                    <w:rPr>
                      <w:rFonts w:hint="eastAsia" w:ascii="Arial"/>
                      <w:sz w:val="21"/>
                      <w:lang w:val="en-US" w:eastAsia="zh-CN"/>
                    </w:rPr>
                    <w:t>/</w:t>
                  </w:r>
                </w:p>
              </w:tc>
              <w:tc>
                <w:tcPr>
                  <w:tcW w:w="488" w:type="dxa"/>
                  <w:vAlign w:val="center"/>
                </w:tcPr>
                <w:p w14:paraId="7E7635C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lang w:val="en-US" w:eastAsia="zh-CN"/>
                    </w:rPr>
                  </w:pPr>
                  <w:r>
                    <w:rPr>
                      <w:rFonts w:hint="eastAsia" w:ascii="Arial"/>
                      <w:sz w:val="21"/>
                      <w:lang w:val="en-US" w:eastAsia="zh-CN"/>
                    </w:rPr>
                    <w:t>/</w:t>
                  </w:r>
                </w:p>
              </w:tc>
              <w:tc>
                <w:tcPr>
                  <w:tcW w:w="617" w:type="dxa"/>
                  <w:vAlign w:val="center"/>
                </w:tcPr>
                <w:p w14:paraId="2D3E0EA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lang w:val="en-US" w:eastAsia="zh-CN"/>
                    </w:rPr>
                  </w:pPr>
                  <w:r>
                    <w:rPr>
                      <w:rFonts w:hint="eastAsia" w:ascii="Arial"/>
                      <w:sz w:val="21"/>
                      <w:lang w:val="en-US" w:eastAsia="zh-CN"/>
                    </w:rPr>
                    <w:t>/</w:t>
                  </w:r>
                </w:p>
              </w:tc>
              <w:tc>
                <w:tcPr>
                  <w:tcW w:w="499" w:type="dxa"/>
                  <w:vAlign w:val="center"/>
                </w:tcPr>
                <w:p w14:paraId="396DE74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1.64</w:t>
                  </w:r>
                </w:p>
              </w:tc>
              <w:tc>
                <w:tcPr>
                  <w:tcW w:w="710" w:type="dxa"/>
                  <w:vAlign w:val="center"/>
                </w:tcPr>
                <w:p w14:paraId="7E66EF14">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16"/>
                      <w:sz w:val="18"/>
                      <w:szCs w:val="18"/>
                    </w:rPr>
                    <w:t>临时道路</w:t>
                  </w:r>
                  <w:r>
                    <w:rPr>
                      <w:rFonts w:hint="eastAsia"/>
                      <w:spacing w:val="16"/>
                      <w:sz w:val="18"/>
                      <w:szCs w:val="18"/>
                      <w:lang w:eastAsia="zh-CN"/>
                    </w:rPr>
                    <w:t>、</w:t>
                  </w:r>
                  <w:r>
                    <w:rPr>
                      <w:spacing w:val="-2"/>
                      <w:sz w:val="18"/>
                      <w:szCs w:val="18"/>
                    </w:rPr>
                    <w:t>施工营地</w:t>
                  </w:r>
                </w:p>
              </w:tc>
              <w:tc>
                <w:tcPr>
                  <w:tcW w:w="584" w:type="dxa"/>
                  <w:vAlign w:val="center"/>
                </w:tcPr>
                <w:p w14:paraId="52CA38C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18"/>
                      <w:szCs w:val="18"/>
                    </w:rPr>
                  </w:pPr>
                  <w:r>
                    <w:rPr>
                      <w:rFonts w:ascii="Times New Roman" w:hAnsi="Times New Roman" w:eastAsia="Times New Roman" w:cs="Times New Roman"/>
                      <w:spacing w:val="-6"/>
                      <w:sz w:val="18"/>
                      <w:szCs w:val="18"/>
                    </w:rPr>
                    <w:t>1.64</w:t>
                  </w:r>
                </w:p>
              </w:tc>
              <w:tc>
                <w:tcPr>
                  <w:tcW w:w="664" w:type="dxa"/>
                  <w:vAlign w:val="center"/>
                </w:tcPr>
                <w:p w14:paraId="10783AA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10"/>
                      <w:sz w:val="18"/>
                      <w:szCs w:val="18"/>
                    </w:rPr>
                    <w:t>临时道路、</w:t>
                  </w:r>
                  <w:r>
                    <w:rPr>
                      <w:spacing w:val="-2"/>
                      <w:sz w:val="18"/>
                      <w:szCs w:val="18"/>
                    </w:rPr>
                    <w:t>施工营地</w:t>
                  </w:r>
                </w:p>
              </w:tc>
              <w:tc>
                <w:tcPr>
                  <w:tcW w:w="518" w:type="dxa"/>
                  <w:vAlign w:val="center"/>
                </w:tcPr>
                <w:p w14:paraId="58F3B1C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rPr>
                  </w:pPr>
                </w:p>
              </w:tc>
              <w:tc>
                <w:tcPr>
                  <w:tcW w:w="540" w:type="dxa"/>
                  <w:vAlign w:val="center"/>
                </w:tcPr>
                <w:p w14:paraId="75FD173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rPr>
                  </w:pPr>
                </w:p>
              </w:tc>
              <w:tc>
                <w:tcPr>
                  <w:tcW w:w="468" w:type="dxa"/>
                  <w:vAlign w:val="center"/>
                </w:tcPr>
                <w:p w14:paraId="6FAE2D4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rPr>
                  </w:pPr>
                </w:p>
              </w:tc>
              <w:tc>
                <w:tcPr>
                  <w:tcW w:w="465" w:type="dxa"/>
                  <w:vAlign w:val="center"/>
                </w:tcPr>
                <w:p w14:paraId="2CF6DBE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rPr>
                  </w:pPr>
                </w:p>
              </w:tc>
            </w:tr>
            <w:tr w14:paraId="2BF4FA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1500" w:type="dxa"/>
                  <w:gridSpan w:val="2"/>
                  <w:vAlign w:val="center"/>
                </w:tcPr>
                <w:p w14:paraId="125CD80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18"/>
                      <w:szCs w:val="18"/>
                    </w:rPr>
                  </w:pPr>
                  <w:r>
                    <w:rPr>
                      <w:spacing w:val="-4"/>
                      <w:sz w:val="18"/>
                      <w:szCs w:val="18"/>
                    </w:rPr>
                    <w:t>合计</w:t>
                  </w:r>
                </w:p>
              </w:tc>
              <w:tc>
                <w:tcPr>
                  <w:tcW w:w="1040" w:type="dxa"/>
                  <w:gridSpan w:val="2"/>
                  <w:vAlign w:val="center"/>
                </w:tcPr>
                <w:p w14:paraId="56B0A04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24.80</w:t>
                  </w:r>
                </w:p>
              </w:tc>
              <w:tc>
                <w:tcPr>
                  <w:tcW w:w="617" w:type="dxa"/>
                  <w:vAlign w:val="center"/>
                </w:tcPr>
                <w:p w14:paraId="1389C93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24.80</w:t>
                  </w:r>
                </w:p>
              </w:tc>
              <w:tc>
                <w:tcPr>
                  <w:tcW w:w="1209" w:type="dxa"/>
                  <w:gridSpan w:val="2"/>
                  <w:vAlign w:val="center"/>
                </w:tcPr>
                <w:p w14:paraId="70750B1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14.82</w:t>
                  </w:r>
                </w:p>
              </w:tc>
              <w:tc>
                <w:tcPr>
                  <w:tcW w:w="1248" w:type="dxa"/>
                  <w:gridSpan w:val="2"/>
                  <w:vAlign w:val="center"/>
                </w:tcPr>
                <w:p w14:paraId="0BB20F9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14.82</w:t>
                  </w:r>
                </w:p>
              </w:tc>
              <w:tc>
                <w:tcPr>
                  <w:tcW w:w="1058" w:type="dxa"/>
                  <w:gridSpan w:val="2"/>
                  <w:vAlign w:val="center"/>
                </w:tcPr>
                <w:p w14:paraId="2436255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rPr>
                  </w:pPr>
                </w:p>
              </w:tc>
              <w:tc>
                <w:tcPr>
                  <w:tcW w:w="933" w:type="dxa"/>
                  <w:gridSpan w:val="2"/>
                  <w:vAlign w:val="center"/>
                </w:tcPr>
                <w:p w14:paraId="1768D3E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rPr>
                  </w:pPr>
                </w:p>
              </w:tc>
            </w:tr>
          </w:tbl>
          <w:p w14:paraId="3EDF6278">
            <w:pPr>
              <w:keepNext w:val="0"/>
              <w:keepLines w:val="0"/>
              <w:pageBreakBefore w:val="0"/>
              <w:widowControl w:val="0"/>
              <w:kinsoku/>
              <w:wordWrap/>
              <w:overflowPunct/>
              <w:topLinePunct w:val="0"/>
              <w:autoSpaceDE/>
              <w:autoSpaceDN/>
              <w:bidi w:val="0"/>
              <w:adjustRightInd/>
              <w:snapToGrid/>
              <w:spacing w:line="240" w:lineRule="auto"/>
              <w:ind w:left="113"/>
              <w:textAlignment w:val="auto"/>
              <w:rPr>
                <w:rFonts w:ascii="宋体" w:hAnsi="宋体" w:eastAsia="宋体" w:cs="宋体"/>
                <w:spacing w:val="0"/>
                <w:sz w:val="18"/>
                <w:szCs w:val="18"/>
              </w:rPr>
            </w:pPr>
            <w:r>
              <w:rPr>
                <w:rFonts w:ascii="宋体" w:hAnsi="宋体" w:eastAsia="宋体" w:cs="宋体"/>
                <w:spacing w:val="0"/>
                <w:sz w:val="18"/>
                <w:szCs w:val="18"/>
              </w:rPr>
              <w:t>注：</w:t>
            </w:r>
            <w:r>
              <w:rPr>
                <w:rFonts w:ascii="Times New Roman" w:hAnsi="Times New Roman" w:eastAsia="Times New Roman" w:cs="Times New Roman"/>
                <w:spacing w:val="0"/>
                <w:sz w:val="18"/>
                <w:szCs w:val="18"/>
              </w:rPr>
              <w:t>1</w:t>
            </w:r>
            <w:r>
              <w:rPr>
                <w:rFonts w:ascii="宋体" w:hAnsi="宋体" w:eastAsia="宋体" w:cs="宋体"/>
                <w:spacing w:val="0"/>
                <w:sz w:val="18"/>
                <w:szCs w:val="18"/>
              </w:rPr>
              <w:t>、各种土石方均为自然方；剥离表土临时堆放于表土转存场，用于土地复耕覆土；</w:t>
            </w:r>
          </w:p>
          <w:p w14:paraId="04B44E83">
            <w:pPr>
              <w:keepNext w:val="0"/>
              <w:keepLines w:val="0"/>
              <w:pageBreakBefore w:val="0"/>
              <w:widowControl w:val="0"/>
              <w:kinsoku/>
              <w:wordWrap/>
              <w:overflowPunct/>
              <w:topLinePunct w:val="0"/>
              <w:autoSpaceDE/>
              <w:autoSpaceDN/>
              <w:bidi w:val="0"/>
              <w:adjustRightInd/>
              <w:snapToGrid/>
              <w:spacing w:line="240" w:lineRule="auto"/>
              <w:ind w:left="424"/>
              <w:textAlignment w:val="auto"/>
              <w:rPr>
                <w:rFonts w:hint="eastAsia" w:eastAsia="宋体"/>
                <w:color w:val="auto"/>
                <w:lang w:val="en-US" w:eastAsia="zh-CN"/>
              </w:rPr>
            </w:pPr>
            <w:r>
              <w:rPr>
                <w:rFonts w:ascii="Times New Roman" w:hAnsi="Times New Roman" w:eastAsia="Times New Roman" w:cs="Times New Roman"/>
                <w:spacing w:val="0"/>
                <w:sz w:val="18"/>
                <w:szCs w:val="18"/>
              </w:rPr>
              <w:t>2</w:t>
            </w:r>
            <w:r>
              <w:rPr>
                <w:rFonts w:ascii="宋体" w:hAnsi="宋体" w:eastAsia="宋体" w:cs="宋体"/>
                <w:spacing w:val="0"/>
                <w:sz w:val="18"/>
                <w:szCs w:val="18"/>
              </w:rPr>
              <w:t>、开挖量（</w:t>
            </w:r>
            <w:r>
              <w:rPr>
                <w:rFonts w:ascii="Times New Roman" w:hAnsi="Times New Roman" w:eastAsia="Times New Roman" w:cs="Times New Roman"/>
                <w:spacing w:val="0"/>
                <w:sz w:val="18"/>
                <w:szCs w:val="18"/>
              </w:rPr>
              <w:t>24.80</w:t>
            </w:r>
            <w:r>
              <w:rPr>
                <w:rFonts w:ascii="宋体" w:hAnsi="宋体" w:eastAsia="宋体" w:cs="宋体"/>
                <w:spacing w:val="0"/>
                <w:sz w:val="18"/>
                <w:szCs w:val="18"/>
              </w:rPr>
              <w:t>）</w:t>
            </w:r>
            <w:r>
              <w:rPr>
                <w:rFonts w:ascii="Times New Roman" w:hAnsi="Times New Roman" w:eastAsia="Times New Roman" w:cs="Times New Roman"/>
                <w:spacing w:val="0"/>
                <w:sz w:val="18"/>
                <w:szCs w:val="18"/>
              </w:rPr>
              <w:t>+</w:t>
            </w:r>
            <w:r>
              <w:rPr>
                <w:rFonts w:ascii="宋体" w:hAnsi="宋体" w:eastAsia="宋体" w:cs="宋体"/>
                <w:spacing w:val="0"/>
                <w:sz w:val="18"/>
                <w:szCs w:val="18"/>
              </w:rPr>
              <w:t>调入（</w:t>
            </w:r>
            <w:r>
              <w:rPr>
                <w:rFonts w:ascii="Times New Roman" w:hAnsi="Times New Roman" w:eastAsia="Times New Roman" w:cs="Times New Roman"/>
                <w:spacing w:val="0"/>
                <w:sz w:val="18"/>
                <w:szCs w:val="18"/>
              </w:rPr>
              <w:t>14.82</w:t>
            </w:r>
            <w:r>
              <w:rPr>
                <w:rFonts w:ascii="宋体" w:hAnsi="宋体" w:eastAsia="宋体" w:cs="宋体"/>
                <w:spacing w:val="0"/>
                <w:sz w:val="18"/>
                <w:szCs w:val="18"/>
              </w:rPr>
              <w:t>）</w:t>
            </w:r>
            <w:r>
              <w:rPr>
                <w:rFonts w:ascii="Times New Roman" w:hAnsi="Times New Roman" w:eastAsia="Times New Roman" w:cs="Times New Roman"/>
                <w:spacing w:val="0"/>
                <w:sz w:val="18"/>
                <w:szCs w:val="18"/>
              </w:rPr>
              <w:t>+</w:t>
            </w:r>
            <w:r>
              <w:rPr>
                <w:rFonts w:ascii="宋体" w:hAnsi="宋体" w:eastAsia="宋体" w:cs="宋体"/>
                <w:spacing w:val="0"/>
                <w:sz w:val="18"/>
                <w:szCs w:val="18"/>
              </w:rPr>
              <w:t>外借（</w:t>
            </w:r>
            <w:r>
              <w:rPr>
                <w:rFonts w:ascii="Times New Roman" w:hAnsi="Times New Roman" w:eastAsia="Times New Roman" w:cs="Times New Roman"/>
                <w:spacing w:val="0"/>
                <w:sz w:val="18"/>
                <w:szCs w:val="18"/>
              </w:rPr>
              <w:t>0</w:t>
            </w:r>
            <w:r>
              <w:rPr>
                <w:rFonts w:ascii="宋体" w:hAnsi="宋体" w:eastAsia="宋体" w:cs="宋体"/>
                <w:spacing w:val="0"/>
                <w:sz w:val="18"/>
                <w:szCs w:val="18"/>
              </w:rPr>
              <w:t>）＝回填（</w:t>
            </w:r>
            <w:r>
              <w:rPr>
                <w:rFonts w:ascii="Times New Roman" w:hAnsi="Times New Roman" w:eastAsia="Times New Roman" w:cs="Times New Roman"/>
                <w:spacing w:val="0"/>
                <w:sz w:val="18"/>
                <w:szCs w:val="18"/>
              </w:rPr>
              <w:t>24.80</w:t>
            </w:r>
            <w:r>
              <w:rPr>
                <w:rFonts w:ascii="宋体" w:hAnsi="宋体" w:eastAsia="宋体" w:cs="宋体"/>
                <w:spacing w:val="0"/>
                <w:sz w:val="18"/>
                <w:szCs w:val="18"/>
              </w:rPr>
              <w:t>）</w:t>
            </w:r>
            <w:r>
              <w:rPr>
                <w:rFonts w:ascii="Times New Roman" w:hAnsi="Times New Roman" w:eastAsia="Times New Roman" w:cs="Times New Roman"/>
                <w:spacing w:val="0"/>
                <w:sz w:val="18"/>
                <w:szCs w:val="18"/>
              </w:rPr>
              <w:t>+</w:t>
            </w:r>
            <w:r>
              <w:rPr>
                <w:rFonts w:ascii="宋体" w:hAnsi="宋体" w:eastAsia="宋体" w:cs="宋体"/>
                <w:spacing w:val="0"/>
                <w:sz w:val="18"/>
                <w:szCs w:val="18"/>
              </w:rPr>
              <w:t>调出（</w:t>
            </w:r>
            <w:r>
              <w:rPr>
                <w:rFonts w:ascii="Times New Roman" w:hAnsi="Times New Roman" w:eastAsia="Times New Roman" w:cs="Times New Roman"/>
                <w:spacing w:val="0"/>
                <w:sz w:val="18"/>
                <w:szCs w:val="18"/>
              </w:rPr>
              <w:t>14.82</w:t>
            </w:r>
            <w:r>
              <w:rPr>
                <w:rFonts w:ascii="宋体" w:hAnsi="宋体" w:eastAsia="宋体" w:cs="宋体"/>
                <w:spacing w:val="0"/>
                <w:sz w:val="18"/>
                <w:szCs w:val="18"/>
              </w:rPr>
              <w:t>）</w:t>
            </w:r>
            <w:r>
              <w:rPr>
                <w:rFonts w:ascii="Times New Roman" w:hAnsi="Times New Roman" w:eastAsia="Times New Roman" w:cs="Times New Roman"/>
                <w:spacing w:val="0"/>
                <w:sz w:val="18"/>
                <w:szCs w:val="18"/>
              </w:rPr>
              <w:t>+</w:t>
            </w:r>
            <w:r>
              <w:rPr>
                <w:rFonts w:ascii="宋体" w:hAnsi="宋体" w:eastAsia="宋体" w:cs="宋体"/>
                <w:spacing w:val="0"/>
                <w:sz w:val="18"/>
                <w:szCs w:val="18"/>
              </w:rPr>
              <w:t>废弃（</w:t>
            </w:r>
            <w:r>
              <w:rPr>
                <w:rFonts w:ascii="Times New Roman" w:hAnsi="Times New Roman" w:eastAsia="Times New Roman" w:cs="Times New Roman"/>
                <w:spacing w:val="0"/>
                <w:sz w:val="18"/>
                <w:szCs w:val="18"/>
              </w:rPr>
              <w:t>0</w:t>
            </w:r>
            <w:r>
              <w:rPr>
                <w:rFonts w:ascii="宋体" w:hAnsi="宋体" w:eastAsia="宋体" w:cs="宋体"/>
                <w:spacing w:val="0"/>
                <w:sz w:val="18"/>
                <w:szCs w:val="18"/>
              </w:rPr>
              <w:t>）</w:t>
            </w:r>
          </w:p>
        </w:tc>
      </w:tr>
      <w:tr w14:paraId="6CF7A3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2" w:hRule="atLeast"/>
          <w:jc w:val="center"/>
        </w:trPr>
        <w:tc>
          <w:tcPr>
            <w:tcW w:w="345" w:type="pct"/>
            <w:vAlign w:val="center"/>
          </w:tcPr>
          <w:p w14:paraId="183C6340">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auto"/>
              </w:rPr>
            </w:pPr>
            <w:r>
              <w:rPr>
                <w:rFonts w:hint="default"/>
                <w:color w:val="auto"/>
              </w:rPr>
              <w:t>施工方案</w:t>
            </w:r>
          </w:p>
        </w:tc>
        <w:tc>
          <w:tcPr>
            <w:tcW w:w="4654" w:type="pct"/>
            <w:vAlign w:val="center"/>
          </w:tcPr>
          <w:p w14:paraId="02EFE73B">
            <w:pPr>
              <w:pStyle w:val="36"/>
              <w:numPr>
                <w:ilvl w:val="0"/>
                <w:numId w:val="0"/>
              </w:numPr>
              <w:bidi w:val="0"/>
              <w:ind w:left="0" w:leftChars="0" w:right="0" w:rightChars="0" w:firstLine="480" w:firstLineChars="200"/>
              <w:rPr>
                <w:rFonts w:hint="eastAsia"/>
                <w:b/>
                <w:bCs/>
                <w:color w:val="auto"/>
                <w:lang w:eastAsia="zh-CN"/>
              </w:rPr>
            </w:pPr>
            <w:r>
              <w:rPr>
                <w:rFonts w:hint="eastAsia"/>
                <w:color w:val="auto"/>
                <w:lang w:eastAsia="zh-CN"/>
              </w:rPr>
              <w:t>一</w:t>
            </w:r>
            <w:r>
              <w:rPr>
                <w:rFonts w:hint="eastAsia" w:ascii="Times New Roman" w:hAnsi="Times New Roman" w:eastAsia="宋体" w:cs="Times New Roman"/>
                <w:b/>
                <w:bCs/>
                <w:color w:val="auto"/>
                <w:kern w:val="0"/>
                <w:sz w:val="24"/>
                <w:szCs w:val="24"/>
                <w:lang w:val="en-US" w:eastAsia="zh-CN" w:bidi="ar-SA"/>
              </w:rPr>
              <w:t>、</w:t>
            </w:r>
            <w:r>
              <w:rPr>
                <w:rFonts w:hint="eastAsia"/>
                <w:b/>
                <w:bCs/>
                <w:color w:val="auto"/>
                <w:lang w:eastAsia="zh-CN"/>
              </w:rPr>
              <w:t>施工导流</w:t>
            </w:r>
          </w:p>
          <w:p w14:paraId="69AEC66C">
            <w:pPr>
              <w:ind w:firstLine="480"/>
              <w:rPr>
                <w:rFonts w:hint="eastAsia"/>
                <w:color w:val="auto"/>
              </w:rPr>
            </w:pPr>
            <w:r>
              <w:rPr>
                <w:rFonts w:hint="eastAsia"/>
                <w:color w:val="auto"/>
              </w:rPr>
              <w:t>钢筋石笼护岸施工可在水下作业完成，施工期为枯水期，无需施工导流。</w:t>
            </w:r>
          </w:p>
          <w:p w14:paraId="31C93DAF">
            <w:pPr>
              <w:ind w:firstLine="480"/>
              <w:rPr>
                <w:rFonts w:hint="eastAsia"/>
                <w:color w:val="auto"/>
              </w:rPr>
            </w:pPr>
            <w:r>
              <w:rPr>
                <w:rFonts w:hint="eastAsia"/>
                <w:color w:val="auto"/>
              </w:rPr>
              <w:t>交叉建筑物涵管基础为M7.5浆砌石，无法水下施工，需施工导流。因其工程规模较小，短时间内便能完成施工，施工期为枯水期，只需开挖回填临时土埂挡水，其临水面铺设复合土工膜防渗。临时挡水土埂断面型式为梯形，顶宽1.5m，两侧边坡均为1:1.5。</w:t>
            </w:r>
          </w:p>
          <w:p w14:paraId="52FF023D">
            <w:pPr>
              <w:pStyle w:val="36"/>
              <w:bidi w:val="0"/>
              <w:rPr>
                <w:rFonts w:hint="eastAsia"/>
                <w:b/>
                <w:bCs/>
                <w:color w:val="auto"/>
              </w:rPr>
            </w:pPr>
            <w:r>
              <w:rPr>
                <w:rFonts w:hint="eastAsia"/>
                <w:b/>
                <w:bCs/>
                <w:color w:val="auto"/>
                <w:lang w:val="en-US" w:eastAsia="zh-CN"/>
              </w:rPr>
              <w:t>二、</w:t>
            </w:r>
            <w:r>
              <w:rPr>
                <w:rFonts w:hint="eastAsia"/>
                <w:b/>
                <w:bCs/>
                <w:color w:val="auto"/>
              </w:rPr>
              <w:t>主体工程施工</w:t>
            </w:r>
          </w:p>
          <w:p w14:paraId="0A726219">
            <w:pPr>
              <w:pStyle w:val="36"/>
              <w:bidi w:val="0"/>
              <w:rPr>
                <w:rFonts w:hint="eastAsia"/>
                <w:color w:val="auto"/>
              </w:rPr>
            </w:pPr>
            <w:bookmarkStart w:id="15" w:name="_Toc100225066"/>
            <w:bookmarkStart w:id="16" w:name="_Toc324803789"/>
            <w:bookmarkStart w:id="17" w:name="_Toc370827976"/>
            <w:bookmarkStart w:id="18" w:name="_Toc500951642"/>
            <w:bookmarkStart w:id="19" w:name="_Toc367214098"/>
            <w:bookmarkStart w:id="20" w:name="_Toc372299520"/>
            <w:bookmarkStart w:id="21" w:name="_Toc319744880"/>
            <w:bookmarkStart w:id="22" w:name="_Toc246063992"/>
            <w:bookmarkStart w:id="23" w:name="_Toc246063694"/>
            <w:bookmarkStart w:id="24" w:name="_Toc245692466"/>
            <w:r>
              <w:rPr>
                <w:rFonts w:hint="eastAsia"/>
                <w:color w:val="auto"/>
              </w:rPr>
              <w:t>芒市果朗河大新寨至芒里大桥段治理工程施工项目主要包括钢筋石笼护岸工程、堤防工程及交叉建筑物工程。根据治理河段工程布置特点和工程施工条件，采取先主体后附属，先水下后水上的施工程序，主次分明、突出重点、统筹兼顾的施工程序。即按先完成临建工程，再进行主体工程施工，其次完成附属配套工程。</w:t>
            </w:r>
          </w:p>
          <w:p w14:paraId="78829005">
            <w:pPr>
              <w:pStyle w:val="36"/>
              <w:bidi w:val="0"/>
              <w:rPr>
                <w:rFonts w:hint="eastAsia" w:eastAsia="宋体"/>
                <w:b/>
                <w:bCs/>
                <w:color w:val="auto"/>
                <w:lang w:eastAsia="zh-CN"/>
              </w:rPr>
            </w:pPr>
            <w:r>
              <w:rPr>
                <w:rFonts w:hint="eastAsia"/>
                <w:b/>
                <w:bCs/>
                <w:color w:val="auto"/>
                <w:lang w:val="en-US" w:eastAsia="zh-CN"/>
              </w:rPr>
              <w:t>1、</w:t>
            </w:r>
            <w:bookmarkEnd w:id="15"/>
            <w:bookmarkEnd w:id="16"/>
            <w:bookmarkEnd w:id="17"/>
            <w:bookmarkEnd w:id="18"/>
            <w:bookmarkEnd w:id="19"/>
            <w:bookmarkEnd w:id="20"/>
            <w:bookmarkEnd w:id="21"/>
            <w:r>
              <w:rPr>
                <w:rFonts w:hint="eastAsia"/>
                <w:b/>
                <w:bCs/>
                <w:color w:val="auto"/>
                <w:lang w:eastAsia="zh-CN"/>
              </w:rPr>
              <w:t>土石方明挖</w:t>
            </w:r>
          </w:p>
          <w:p w14:paraId="719B91EF">
            <w:pPr>
              <w:pStyle w:val="36"/>
              <w:bidi w:val="0"/>
              <w:rPr>
                <w:rFonts w:hint="eastAsia"/>
                <w:color w:val="auto"/>
              </w:rPr>
            </w:pPr>
            <w:bookmarkStart w:id="25" w:name="_Toc324803790"/>
            <w:bookmarkStart w:id="26" w:name="_Toc367214099"/>
            <w:bookmarkStart w:id="27" w:name="_Toc500951643"/>
            <w:bookmarkStart w:id="28" w:name="_Toc370827977"/>
            <w:bookmarkStart w:id="29" w:name="_Toc319744881"/>
            <w:bookmarkStart w:id="30" w:name="_Toc100225067"/>
            <w:bookmarkStart w:id="31" w:name="_Toc372299521"/>
            <w:r>
              <w:rPr>
                <w:rFonts w:hint="eastAsia"/>
                <w:color w:val="auto"/>
              </w:rPr>
              <w:t>按测量放线范围进行开挖，土石方开挖尽量采用机械结合人工挖掘，对开挖的土方需利用的部分，临时堆放在施工区边沿合适位置，对表面的腐植土等可作为耕植的土料单独存放。</w:t>
            </w:r>
          </w:p>
          <w:p w14:paraId="611EA3E0">
            <w:pPr>
              <w:pStyle w:val="36"/>
              <w:bidi w:val="0"/>
              <w:rPr>
                <w:rFonts w:hint="eastAsia"/>
                <w:color w:val="auto"/>
              </w:rPr>
            </w:pPr>
            <w:r>
              <w:rPr>
                <w:rFonts w:hint="eastAsia"/>
                <w:color w:val="auto"/>
              </w:rPr>
              <w:t>开挖时表层植被的树、灌木采用人工进行砍伐，开挖程序采用自上而下分层开挖，采用1m</w:t>
            </w:r>
            <w:r>
              <w:rPr>
                <w:rFonts w:hint="eastAsia"/>
                <w:color w:val="auto"/>
                <w:vertAlign w:val="superscript"/>
              </w:rPr>
              <w:t>3</w:t>
            </w:r>
            <w:r>
              <w:rPr>
                <w:rFonts w:hint="eastAsia"/>
                <w:color w:val="auto"/>
              </w:rPr>
              <w:t>挖掘机开挖，103kw推土机推运，就近就地堆放。</w:t>
            </w:r>
          </w:p>
          <w:p w14:paraId="37578B13">
            <w:pPr>
              <w:pStyle w:val="36"/>
              <w:bidi w:val="0"/>
              <w:rPr>
                <w:rFonts w:hint="eastAsia"/>
                <w:b/>
                <w:bCs/>
                <w:color w:val="auto"/>
              </w:rPr>
            </w:pPr>
            <w:r>
              <w:rPr>
                <w:rFonts w:hint="eastAsia"/>
                <w:b/>
                <w:bCs/>
                <w:color w:val="auto"/>
                <w:lang w:val="en-US" w:eastAsia="zh-CN"/>
              </w:rPr>
              <w:t>2、</w:t>
            </w:r>
            <w:bookmarkEnd w:id="22"/>
            <w:bookmarkEnd w:id="23"/>
            <w:bookmarkEnd w:id="24"/>
            <w:bookmarkEnd w:id="25"/>
            <w:bookmarkEnd w:id="26"/>
            <w:bookmarkEnd w:id="27"/>
            <w:bookmarkEnd w:id="28"/>
            <w:bookmarkEnd w:id="29"/>
            <w:bookmarkEnd w:id="30"/>
            <w:bookmarkEnd w:id="31"/>
            <w:bookmarkStart w:id="32" w:name="_Toc246063693"/>
            <w:bookmarkStart w:id="33" w:name="_Toc245692464"/>
            <w:bookmarkStart w:id="34" w:name="_Toc307083315"/>
            <w:bookmarkStart w:id="35" w:name="_Toc246063991"/>
            <w:r>
              <w:rPr>
                <w:rFonts w:hint="eastAsia"/>
                <w:b/>
                <w:bCs/>
                <w:color w:val="auto"/>
              </w:rPr>
              <w:t>钢筋石笼施工</w:t>
            </w:r>
          </w:p>
          <w:p w14:paraId="4BEFFABC">
            <w:pPr>
              <w:pStyle w:val="36"/>
              <w:bidi w:val="0"/>
              <w:spacing w:line="360" w:lineRule="auto"/>
              <w:rPr>
                <w:rFonts w:hint="eastAsia" w:eastAsia="宋体"/>
                <w:b w:val="0"/>
                <w:bCs w:val="0"/>
                <w:color w:val="auto"/>
                <w:lang w:eastAsia="zh-CN"/>
              </w:rPr>
            </w:pPr>
            <w:r>
              <w:rPr>
                <w:rFonts w:hint="eastAsia"/>
                <w:b w:val="0"/>
                <w:bCs w:val="0"/>
                <w:color w:val="auto"/>
              </w:rPr>
              <w:t>钢筋笼采用Φ6@20cm×20cm钢筋双向铰结的菱形编制，水下、水上部分的钢筋网采用Φ6钢筋捆绑相连。钢筋石笼护岸工程分为两个阶段施工，第一阶段先完成水下部分，待沉陷稳定后，再完成水上部分。钢筋笼在钢筋编制厂编制完成后运至施工现场，采用挖机配合人工安放，支砌干砌石体，待干砌石体支砌完成后，用钢筋网将干砌石体包住，形成一个整体。石笼石料砌筑应采用人工砌筑四周，并辅助运输车辆抛填的方法施工</w:t>
            </w:r>
            <w:r>
              <w:rPr>
                <w:rFonts w:hint="eastAsia"/>
                <w:b w:val="0"/>
                <w:bCs w:val="0"/>
                <w:color w:val="auto"/>
                <w:lang w:eastAsia="zh-CN"/>
              </w:rPr>
              <w:t>。</w:t>
            </w:r>
          </w:p>
          <w:bookmarkEnd w:id="32"/>
          <w:bookmarkEnd w:id="33"/>
          <w:bookmarkEnd w:id="34"/>
          <w:bookmarkEnd w:id="35"/>
          <w:p w14:paraId="745363E8">
            <w:pPr>
              <w:pStyle w:val="36"/>
              <w:bidi w:val="0"/>
              <w:rPr>
                <w:rFonts w:hint="eastAsia"/>
                <w:b/>
                <w:bCs/>
                <w:color w:val="auto"/>
                <w:lang w:val="en-US" w:eastAsia="zh-CN"/>
              </w:rPr>
            </w:pPr>
            <w:r>
              <w:rPr>
                <w:rFonts w:hint="eastAsia"/>
                <w:b/>
                <w:bCs/>
                <w:color w:val="auto"/>
                <w:lang w:val="en-US" w:eastAsia="zh-CN"/>
              </w:rPr>
              <w:t>3、堤防填筑</w:t>
            </w:r>
          </w:p>
          <w:p w14:paraId="2C4114C6">
            <w:pPr>
              <w:pStyle w:val="36"/>
              <w:bidi w:val="0"/>
              <w:spacing w:line="360" w:lineRule="auto"/>
              <w:rPr>
                <w:rFonts w:hint="eastAsia"/>
                <w:b w:val="0"/>
                <w:bCs w:val="0"/>
                <w:color w:val="auto"/>
                <w:lang w:val="en-US" w:eastAsia="zh-CN"/>
              </w:rPr>
            </w:pPr>
            <w:r>
              <w:rPr>
                <w:rFonts w:hint="eastAsia"/>
                <w:b w:val="0"/>
                <w:bCs w:val="0"/>
                <w:color w:val="auto"/>
                <w:lang w:val="en-US" w:eastAsia="zh-CN"/>
              </w:rPr>
              <w:t>采用1.0m</w:t>
            </w:r>
            <w:r>
              <w:rPr>
                <w:rFonts w:hint="eastAsia"/>
                <w:b w:val="0"/>
                <w:bCs w:val="0"/>
                <w:color w:val="auto"/>
                <w:vertAlign w:val="superscript"/>
                <w:lang w:val="en-US" w:eastAsia="zh-CN"/>
              </w:rPr>
              <w:t>3</w:t>
            </w:r>
            <w:r>
              <w:rPr>
                <w:rFonts w:hint="eastAsia"/>
                <w:b w:val="0"/>
                <w:bCs w:val="0"/>
                <w:color w:val="auto"/>
                <w:lang w:val="en-US" w:eastAsia="zh-CN"/>
              </w:rPr>
              <w:t>反铲挖掘机挖装土料，10t自卸汽车运输至堤面，74KW推土机平土，凸块振动碾碾压。</w:t>
            </w:r>
          </w:p>
          <w:p w14:paraId="57586ADE">
            <w:pPr>
              <w:pStyle w:val="36"/>
              <w:bidi w:val="0"/>
              <w:spacing w:line="360" w:lineRule="auto"/>
              <w:rPr>
                <w:rFonts w:hint="eastAsia"/>
                <w:b w:val="0"/>
                <w:bCs w:val="0"/>
                <w:color w:val="auto"/>
                <w:lang w:val="en-US" w:eastAsia="zh-CN"/>
              </w:rPr>
            </w:pPr>
            <w:r>
              <w:rPr>
                <w:rFonts w:hint="eastAsia"/>
                <w:b w:val="0"/>
                <w:bCs w:val="0"/>
                <w:color w:val="auto"/>
                <w:lang w:val="en-US" w:eastAsia="zh-CN"/>
              </w:rPr>
              <w:t>根据防汛、管理、施工、交通等构造要求及堤防建筑物级别，土堤堤顶宽度为3.0m，采用开挖料填筑，堤防的内、外边坡均为1:1.5。根据《堤防工程设计规范》（GB50286—2013）规定，土堤的填筑标准为：粘土料按压实度确定，压实度不应小于0.91，最优含水率为25.48%，最大干密度为1.45g/m</w:t>
            </w:r>
            <w:r>
              <w:rPr>
                <w:rFonts w:hint="eastAsia"/>
                <w:b w:val="0"/>
                <w:bCs w:val="0"/>
                <w:color w:val="auto"/>
                <w:vertAlign w:val="superscript"/>
                <w:lang w:val="en-US" w:eastAsia="zh-CN"/>
              </w:rPr>
              <w:t>3</w:t>
            </w:r>
            <w:r>
              <w:rPr>
                <w:rFonts w:hint="eastAsia"/>
                <w:b w:val="0"/>
                <w:bCs w:val="0"/>
                <w:color w:val="auto"/>
                <w:lang w:val="en-US" w:eastAsia="zh-CN"/>
              </w:rPr>
              <w:t>；无黏性土按相对密度确定，相对密度不应小于0.60。</w:t>
            </w:r>
          </w:p>
          <w:p w14:paraId="395FE385">
            <w:pPr>
              <w:pStyle w:val="36"/>
              <w:bidi w:val="0"/>
              <w:spacing w:line="360" w:lineRule="auto"/>
              <w:rPr>
                <w:rFonts w:hint="eastAsia"/>
                <w:b/>
                <w:bCs/>
                <w:color w:val="auto"/>
                <w:lang w:val="en-US" w:eastAsia="zh-CN"/>
              </w:rPr>
            </w:pPr>
            <w:r>
              <w:rPr>
                <w:rFonts w:hint="eastAsia"/>
                <w:b/>
                <w:bCs/>
                <w:color w:val="auto"/>
                <w:lang w:val="en-US" w:eastAsia="zh-CN"/>
              </w:rPr>
              <w:t>4、土方回填</w:t>
            </w:r>
          </w:p>
          <w:p w14:paraId="7F68849A">
            <w:pPr>
              <w:pStyle w:val="36"/>
              <w:bidi w:val="0"/>
              <w:spacing w:line="360" w:lineRule="auto"/>
              <w:rPr>
                <w:rFonts w:hint="eastAsia"/>
                <w:b w:val="0"/>
                <w:bCs w:val="0"/>
                <w:color w:val="auto"/>
                <w:lang w:val="en-US" w:eastAsia="zh-CN"/>
              </w:rPr>
            </w:pPr>
            <w:r>
              <w:rPr>
                <w:rFonts w:hint="eastAsia"/>
                <w:b w:val="0"/>
                <w:bCs w:val="0"/>
                <w:color w:val="auto"/>
                <w:lang w:val="en-US" w:eastAsia="zh-CN"/>
              </w:rPr>
              <w:t>护岸迎水面用1m</w:t>
            </w:r>
            <w:r>
              <w:rPr>
                <w:rFonts w:hint="eastAsia"/>
                <w:b w:val="0"/>
                <w:bCs w:val="0"/>
                <w:color w:val="auto"/>
                <w:vertAlign w:val="superscript"/>
                <w:lang w:val="en-US" w:eastAsia="zh-CN"/>
              </w:rPr>
              <w:t>3</w:t>
            </w:r>
            <w:r>
              <w:rPr>
                <w:rFonts w:hint="eastAsia"/>
                <w:b w:val="0"/>
                <w:bCs w:val="0"/>
                <w:color w:val="auto"/>
                <w:lang w:val="en-US" w:eastAsia="zh-CN"/>
              </w:rPr>
              <w:t>挖掘机取土方回填，护岸背水面用1m</w:t>
            </w:r>
            <w:r>
              <w:rPr>
                <w:rFonts w:hint="eastAsia"/>
                <w:b w:val="0"/>
                <w:bCs w:val="0"/>
                <w:color w:val="auto"/>
                <w:vertAlign w:val="superscript"/>
                <w:lang w:val="en-US" w:eastAsia="zh-CN"/>
              </w:rPr>
              <w:t>3</w:t>
            </w:r>
            <w:r>
              <w:rPr>
                <w:rFonts w:hint="eastAsia"/>
                <w:b w:val="0"/>
                <w:bCs w:val="0"/>
                <w:color w:val="auto"/>
                <w:lang w:val="en-US" w:eastAsia="zh-CN"/>
              </w:rPr>
              <w:t>挖掘机取土回填，74kw推土机推运。</w:t>
            </w:r>
          </w:p>
          <w:p w14:paraId="09DD2730">
            <w:pPr>
              <w:pStyle w:val="36"/>
              <w:bidi w:val="0"/>
              <w:spacing w:line="360" w:lineRule="auto"/>
              <w:rPr>
                <w:rFonts w:hint="eastAsia"/>
                <w:b/>
                <w:bCs/>
                <w:color w:val="auto"/>
                <w:lang w:val="en-US" w:eastAsia="zh-CN"/>
              </w:rPr>
            </w:pPr>
            <w:r>
              <w:rPr>
                <w:rFonts w:hint="eastAsia"/>
                <w:b/>
                <w:bCs/>
                <w:color w:val="auto"/>
                <w:lang w:val="en-US" w:eastAsia="zh-CN"/>
              </w:rPr>
              <w:t>5、M7.5浆砌块石施工</w:t>
            </w:r>
          </w:p>
          <w:p w14:paraId="4AB03A6A">
            <w:pPr>
              <w:pStyle w:val="36"/>
              <w:bidi w:val="0"/>
              <w:spacing w:line="360" w:lineRule="auto"/>
              <w:rPr>
                <w:rFonts w:hint="default"/>
                <w:b w:val="0"/>
                <w:bCs w:val="0"/>
                <w:color w:val="auto"/>
                <w:lang w:val="en-US" w:eastAsia="zh-CN"/>
              </w:rPr>
            </w:pPr>
            <w:r>
              <w:rPr>
                <w:rFonts w:hint="eastAsia"/>
                <w:b w:val="0"/>
                <w:bCs w:val="0"/>
                <w:color w:val="auto"/>
                <w:lang w:val="en-US" w:eastAsia="zh-CN"/>
              </w:rPr>
              <w:t>浆砌石石料外购，石料必须选用质地坚硬，不易风化，无剥落层，没有裂纹的岩石。所用岩石宜采用上下两面大致平整，无尖角，块厚宜大于20cm。要求石料饱和抗压强度大于30MPa，软化系数不小于0.7。胶结材料采用M7.5水泥砂浆，砂浆采用磅秤计量，机械拌合，胶轮车运输。砌筑采用铺浆法施工，块石料拟采用斗车运至工作面，人工选石、修石、冲洗、拌浆、砌筑、勾缝。砂浆配合比要严格掌握，严禁对缝、通天缝、斜对缝的出现，石料在砌筑前要洗刷干净。</w:t>
            </w:r>
          </w:p>
          <w:p w14:paraId="341AA123">
            <w:pPr>
              <w:pStyle w:val="36"/>
              <w:bidi w:val="0"/>
              <w:rPr>
                <w:rFonts w:hint="eastAsia"/>
                <w:b/>
                <w:bCs/>
                <w:color w:val="auto"/>
                <w:lang w:eastAsia="zh-CN"/>
              </w:rPr>
            </w:pPr>
            <w:r>
              <w:rPr>
                <w:rFonts w:hint="eastAsia"/>
                <w:b/>
                <w:bCs/>
                <w:color w:val="auto"/>
                <w:lang w:eastAsia="zh-CN"/>
              </w:rPr>
              <w:t>三、</w:t>
            </w:r>
            <w:r>
              <w:rPr>
                <w:b/>
                <w:bCs/>
                <w:color w:val="auto"/>
              </w:rPr>
              <w:t>施工过程中污染因子</w:t>
            </w:r>
          </w:p>
          <w:p w14:paraId="00E9CDC6">
            <w:pPr>
              <w:pStyle w:val="36"/>
              <w:bidi w:val="0"/>
              <w:rPr>
                <w:color w:val="auto"/>
              </w:rPr>
            </w:pPr>
            <w:r>
              <w:rPr>
                <w:color w:val="auto"/>
              </w:rPr>
              <w:t>施工过程中产污节点见下表。</w:t>
            </w:r>
          </w:p>
          <w:p w14:paraId="548CDE41">
            <w:pPr>
              <w:pStyle w:val="31"/>
              <w:bidi w:val="0"/>
              <w:rPr>
                <w:color w:val="auto"/>
              </w:rPr>
            </w:pPr>
            <w:r>
              <w:rPr>
                <w:color w:val="auto"/>
              </w:rPr>
              <w:t>表</w:t>
            </w:r>
            <w:r>
              <w:rPr>
                <w:rFonts w:hint="eastAsia"/>
                <w:color w:val="auto"/>
                <w:lang w:val="en-US" w:eastAsia="zh-CN"/>
              </w:rPr>
              <w:t xml:space="preserve">2-13  </w:t>
            </w:r>
            <w:r>
              <w:rPr>
                <w:color w:val="auto"/>
              </w:rPr>
              <w:t>产污节点一览表</w:t>
            </w:r>
          </w:p>
          <w:tbl>
            <w:tblPr>
              <w:tblStyle w:val="46"/>
              <w:tblW w:w="7865"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62"/>
              <w:gridCol w:w="6703"/>
            </w:tblGrid>
            <w:tr w14:paraId="53266C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7" w:hRule="atLeast"/>
                <w:jc w:val="center"/>
              </w:trPr>
              <w:tc>
                <w:tcPr>
                  <w:tcW w:w="1162" w:type="dxa"/>
                  <w:vAlign w:val="center"/>
                </w:tcPr>
                <w:p w14:paraId="091BB1A0">
                  <w:pPr>
                    <w:pStyle w:val="34"/>
                    <w:bidi w:val="0"/>
                    <w:jc w:val="center"/>
                    <w:rPr>
                      <w:color w:val="auto"/>
                    </w:rPr>
                  </w:pPr>
                  <w:r>
                    <w:rPr>
                      <w:color w:val="auto"/>
                    </w:rPr>
                    <w:t>产污环节</w:t>
                  </w:r>
                </w:p>
              </w:tc>
              <w:tc>
                <w:tcPr>
                  <w:tcW w:w="6703" w:type="dxa"/>
                  <w:vAlign w:val="center"/>
                </w:tcPr>
                <w:p w14:paraId="778F6863">
                  <w:pPr>
                    <w:pStyle w:val="34"/>
                    <w:bidi w:val="0"/>
                    <w:jc w:val="center"/>
                    <w:rPr>
                      <w:color w:val="auto"/>
                    </w:rPr>
                  </w:pPr>
                  <w:r>
                    <w:rPr>
                      <w:color w:val="auto"/>
                    </w:rPr>
                    <w:t>污染源产生节点</w:t>
                  </w:r>
                </w:p>
              </w:tc>
            </w:tr>
            <w:tr w14:paraId="3868FD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4" w:hRule="atLeast"/>
                <w:jc w:val="center"/>
              </w:trPr>
              <w:tc>
                <w:tcPr>
                  <w:tcW w:w="1162" w:type="dxa"/>
                  <w:vAlign w:val="center"/>
                </w:tcPr>
                <w:p w14:paraId="56EBFC2A">
                  <w:pPr>
                    <w:pStyle w:val="34"/>
                    <w:bidi w:val="0"/>
                    <w:jc w:val="center"/>
                    <w:rPr>
                      <w:color w:val="auto"/>
                    </w:rPr>
                  </w:pPr>
                  <w:r>
                    <w:rPr>
                      <w:color w:val="auto"/>
                    </w:rPr>
                    <w:t>土石方开挖</w:t>
                  </w:r>
                </w:p>
              </w:tc>
              <w:tc>
                <w:tcPr>
                  <w:tcW w:w="6703" w:type="dxa"/>
                  <w:vAlign w:val="center"/>
                </w:tcPr>
                <w:p w14:paraId="4A4D0DAF">
                  <w:pPr>
                    <w:pStyle w:val="34"/>
                    <w:bidi w:val="0"/>
                    <w:jc w:val="center"/>
                    <w:rPr>
                      <w:color w:val="auto"/>
                    </w:rPr>
                  </w:pPr>
                  <w:r>
                    <w:rPr>
                      <w:color w:val="auto"/>
                    </w:rPr>
                    <w:t>各类施工机械设备及车辆噪声N1、扬尘G1、施工机械废气G2、表土S1</w:t>
                  </w:r>
                </w:p>
              </w:tc>
            </w:tr>
            <w:tr w14:paraId="773489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8" w:hRule="atLeast"/>
                <w:jc w:val="center"/>
              </w:trPr>
              <w:tc>
                <w:tcPr>
                  <w:tcW w:w="1162" w:type="dxa"/>
                  <w:vAlign w:val="center"/>
                </w:tcPr>
                <w:p w14:paraId="2C1397C3">
                  <w:pPr>
                    <w:pStyle w:val="34"/>
                    <w:bidi w:val="0"/>
                    <w:jc w:val="center"/>
                    <w:rPr>
                      <w:color w:val="auto"/>
                    </w:rPr>
                  </w:pPr>
                  <w:r>
                    <w:rPr>
                      <w:color w:val="auto"/>
                    </w:rPr>
                    <w:t>土石方回填</w:t>
                  </w:r>
                </w:p>
              </w:tc>
              <w:tc>
                <w:tcPr>
                  <w:tcW w:w="6703" w:type="dxa"/>
                  <w:vAlign w:val="center"/>
                </w:tcPr>
                <w:p w14:paraId="6E426157">
                  <w:pPr>
                    <w:pStyle w:val="34"/>
                    <w:bidi w:val="0"/>
                    <w:jc w:val="center"/>
                    <w:rPr>
                      <w:color w:val="auto"/>
                    </w:rPr>
                  </w:pPr>
                  <w:r>
                    <w:rPr>
                      <w:color w:val="auto"/>
                    </w:rPr>
                    <w:t>各类施工机械设备及车辆噪声N1、扬尘G1、施工机械废气G2、表土S1</w:t>
                  </w:r>
                </w:p>
              </w:tc>
            </w:tr>
            <w:tr w14:paraId="5FD51F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31" w:hRule="atLeast"/>
                <w:jc w:val="center"/>
              </w:trPr>
              <w:tc>
                <w:tcPr>
                  <w:tcW w:w="1162" w:type="dxa"/>
                  <w:vAlign w:val="center"/>
                </w:tcPr>
                <w:p w14:paraId="67AD9107">
                  <w:pPr>
                    <w:pStyle w:val="34"/>
                    <w:bidi w:val="0"/>
                    <w:jc w:val="center"/>
                    <w:rPr>
                      <w:color w:val="auto"/>
                    </w:rPr>
                  </w:pPr>
                  <w:r>
                    <w:rPr>
                      <w:color w:val="auto"/>
                    </w:rPr>
                    <w:t>混凝土浇筑</w:t>
                  </w:r>
                </w:p>
              </w:tc>
              <w:tc>
                <w:tcPr>
                  <w:tcW w:w="6703" w:type="dxa"/>
                  <w:vAlign w:val="center"/>
                </w:tcPr>
                <w:p w14:paraId="7D8F62A5">
                  <w:pPr>
                    <w:pStyle w:val="34"/>
                    <w:bidi w:val="0"/>
                    <w:jc w:val="center"/>
                    <w:rPr>
                      <w:color w:val="auto"/>
                    </w:rPr>
                  </w:pPr>
                  <w:r>
                    <w:rPr>
                      <w:color w:val="auto"/>
                    </w:rPr>
                    <w:t>各类施工机械设备及车辆噪声N1、扬尘G1、施工机械废气G2、混凝土拌和过程中清洗废水及养护废水W2、表土S1、浆砌石施工产生的废渣；水泥、</w:t>
                  </w:r>
                  <w:r>
                    <w:rPr>
                      <w:rFonts w:hint="eastAsia"/>
                      <w:color w:val="auto"/>
                      <w:lang w:eastAsia="zh-CN"/>
                    </w:rPr>
                    <w:t>钢筋石笼</w:t>
                  </w:r>
                  <w:r>
                    <w:rPr>
                      <w:color w:val="auto"/>
                    </w:rPr>
                    <w:t>等产生的包装袋S2</w:t>
                  </w:r>
                </w:p>
              </w:tc>
            </w:tr>
          </w:tbl>
          <w:p w14:paraId="1461082E">
            <w:pPr>
              <w:pStyle w:val="36"/>
              <w:numPr>
                <w:ilvl w:val="0"/>
                <w:numId w:val="0"/>
              </w:numPr>
              <w:bidi w:val="0"/>
              <w:ind w:left="0" w:leftChars="0" w:right="0" w:rightChars="0" w:firstLine="482" w:firstLineChars="200"/>
              <w:rPr>
                <w:b/>
                <w:bCs/>
                <w:color w:val="auto"/>
              </w:rPr>
            </w:pPr>
            <w:r>
              <w:rPr>
                <w:rFonts w:hint="eastAsia" w:cs="Times New Roman"/>
                <w:b/>
                <w:bCs/>
                <w:color w:val="auto"/>
                <w:kern w:val="0"/>
                <w:sz w:val="24"/>
                <w:szCs w:val="24"/>
                <w:lang w:val="en-US" w:eastAsia="zh-CN" w:bidi="ar-SA"/>
              </w:rPr>
              <w:t>四</w:t>
            </w:r>
            <w:r>
              <w:rPr>
                <w:rFonts w:hint="eastAsia" w:ascii="Times New Roman" w:hAnsi="Times New Roman" w:eastAsia="宋体" w:cs="Times New Roman"/>
                <w:b/>
                <w:bCs/>
                <w:color w:val="auto"/>
                <w:kern w:val="0"/>
                <w:sz w:val="24"/>
                <w:szCs w:val="24"/>
                <w:lang w:val="en-US" w:eastAsia="zh-CN" w:bidi="ar-SA"/>
              </w:rPr>
              <w:t>、</w:t>
            </w:r>
            <w:r>
              <w:rPr>
                <w:b/>
                <w:bCs/>
                <w:color w:val="auto"/>
              </w:rPr>
              <w:t>施工总进度</w:t>
            </w:r>
          </w:p>
          <w:p w14:paraId="090E6A65">
            <w:pPr>
              <w:pStyle w:val="36"/>
              <w:bidi w:val="0"/>
              <w:rPr>
                <w:rFonts w:hint="eastAsia"/>
                <w:color w:val="auto"/>
              </w:rPr>
            </w:pPr>
            <w:r>
              <w:rPr>
                <w:rFonts w:hint="eastAsia"/>
                <w:color w:val="auto"/>
              </w:rPr>
              <w:t>根据本工程所在地的水文气象条件、工程特点，参考类似工程的有关资料，对施工机械生产率和定额进行分析，确定合理的机械效率，作为安排施工进度的依据。施工总工期控制在12个月，工程分为施工准备期、主体工程施工期、工程完建期。</w:t>
            </w:r>
          </w:p>
          <w:p w14:paraId="16E9786B">
            <w:pPr>
              <w:pStyle w:val="36"/>
              <w:bidi w:val="0"/>
              <w:rPr>
                <w:rFonts w:hint="eastAsia"/>
                <w:color w:val="auto"/>
              </w:rPr>
            </w:pPr>
            <w:r>
              <w:rPr>
                <w:rFonts w:hint="eastAsia"/>
                <w:color w:val="auto"/>
              </w:rPr>
              <w:t>具体安排如下：</w:t>
            </w:r>
          </w:p>
          <w:p w14:paraId="23E8AED8">
            <w:pPr>
              <w:pStyle w:val="36"/>
              <w:bidi w:val="0"/>
              <w:rPr>
                <w:rFonts w:hint="eastAsia"/>
                <w:color w:val="auto"/>
              </w:rPr>
            </w:pPr>
            <w:r>
              <w:rPr>
                <w:rFonts w:hint="eastAsia"/>
                <w:color w:val="auto"/>
              </w:rPr>
              <w:t>施工准备期：2个月，主要完成进场后的施工道路、施工营地、水、电供应等“三通一平”施工准备工作。</w:t>
            </w:r>
          </w:p>
          <w:p w14:paraId="3CB7C190">
            <w:pPr>
              <w:pStyle w:val="36"/>
              <w:bidi w:val="0"/>
              <w:rPr>
                <w:rFonts w:hint="eastAsia"/>
                <w:color w:val="auto"/>
              </w:rPr>
            </w:pPr>
            <w:r>
              <w:rPr>
                <w:rFonts w:hint="eastAsia"/>
                <w:color w:val="auto"/>
              </w:rPr>
              <w:t>主体工程施工期：7个月，</w:t>
            </w:r>
            <w:r>
              <w:rPr>
                <w:rFonts w:hint="eastAsia"/>
                <w:color w:val="auto"/>
                <w:lang w:eastAsia="zh-CN"/>
              </w:rPr>
              <w:t>前五个月完</w:t>
            </w:r>
            <w:r>
              <w:rPr>
                <w:rFonts w:hint="eastAsia"/>
                <w:color w:val="auto"/>
              </w:rPr>
              <w:t>成土石方开挖、回填、钢筋石笼护岸、堤防填筑及交叉建筑物等主要利用旱季施工的工程部分。</w:t>
            </w:r>
            <w:r>
              <w:rPr>
                <w:rFonts w:hint="eastAsia"/>
                <w:color w:val="auto"/>
                <w:lang w:eastAsia="zh-CN"/>
              </w:rPr>
              <w:t>后两个月</w:t>
            </w:r>
            <w:r>
              <w:rPr>
                <w:rFonts w:hint="eastAsia"/>
                <w:color w:val="auto"/>
              </w:rPr>
              <w:t>完成场地复垦及植物措施等项目。</w:t>
            </w:r>
          </w:p>
          <w:p w14:paraId="10818487">
            <w:pPr>
              <w:pStyle w:val="36"/>
              <w:bidi w:val="0"/>
              <w:rPr>
                <w:rFonts w:hint="eastAsia"/>
                <w:color w:val="auto"/>
              </w:rPr>
            </w:pPr>
            <w:r>
              <w:rPr>
                <w:rFonts w:hint="eastAsia"/>
                <w:color w:val="auto"/>
              </w:rPr>
              <w:t>工程完建期：</w:t>
            </w:r>
            <w:r>
              <w:rPr>
                <w:rFonts w:hint="eastAsia"/>
                <w:color w:val="auto"/>
                <w:lang w:val="en-US" w:eastAsia="zh-CN"/>
              </w:rPr>
              <w:t>3个月，</w:t>
            </w:r>
            <w:r>
              <w:rPr>
                <w:rFonts w:hint="eastAsia"/>
                <w:color w:val="auto"/>
              </w:rPr>
              <w:t>主要对工程遗留问题进行处理，并整理竣工资料进行竣工验收。施工进度计划见表</w:t>
            </w:r>
            <w:r>
              <w:rPr>
                <w:rFonts w:hint="eastAsia"/>
                <w:color w:val="auto"/>
                <w:lang w:val="en-US" w:eastAsia="zh-CN"/>
              </w:rPr>
              <w:t>2</w:t>
            </w:r>
            <w:r>
              <w:rPr>
                <w:rFonts w:hint="eastAsia"/>
                <w:color w:val="auto"/>
              </w:rPr>
              <w:t>-</w:t>
            </w:r>
            <w:r>
              <w:rPr>
                <w:rFonts w:hint="eastAsia"/>
                <w:color w:val="auto"/>
                <w:lang w:val="en-US" w:eastAsia="zh-CN"/>
              </w:rPr>
              <w:t>14</w:t>
            </w:r>
            <w:r>
              <w:rPr>
                <w:rFonts w:hint="eastAsia"/>
                <w:color w:val="auto"/>
              </w:rPr>
              <w:t>。</w:t>
            </w:r>
          </w:p>
          <w:p w14:paraId="1DFC7D35">
            <w:pPr>
              <w:pStyle w:val="36"/>
              <w:bidi w:val="0"/>
              <w:ind w:left="0" w:leftChars="0" w:firstLine="0" w:firstLineChars="0"/>
              <w:jc w:val="center"/>
              <w:rPr>
                <w:rFonts w:hint="eastAsia"/>
                <w:b/>
                <w:bCs/>
                <w:color w:val="auto"/>
                <w:lang w:val="en-US" w:eastAsia="zh-CN"/>
              </w:rPr>
            </w:pPr>
            <w:r>
              <w:rPr>
                <w:rFonts w:hint="eastAsia"/>
                <w:b/>
                <w:bCs/>
                <w:color w:val="auto"/>
                <w:lang w:eastAsia="zh-CN"/>
              </w:rPr>
              <w:t>表</w:t>
            </w:r>
            <w:r>
              <w:rPr>
                <w:rFonts w:hint="eastAsia"/>
                <w:b/>
                <w:bCs/>
                <w:color w:val="auto"/>
                <w:lang w:val="en-US" w:eastAsia="zh-CN"/>
              </w:rPr>
              <w:t>2-14 施工进度计划表</w:t>
            </w:r>
          </w:p>
          <w:tbl>
            <w:tblPr>
              <w:tblStyle w:val="23"/>
              <w:tblW w:w="77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3"/>
              <w:gridCol w:w="1799"/>
              <w:gridCol w:w="1286"/>
              <w:gridCol w:w="1286"/>
              <w:gridCol w:w="1012"/>
              <w:gridCol w:w="1561"/>
            </w:tblGrid>
            <w:tr w14:paraId="16ADF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2" w:type="dxa"/>
                  <w:gridSpan w:val="2"/>
                  <w:vMerge w:val="restart"/>
                  <w:vAlign w:val="center"/>
                </w:tcPr>
                <w:p w14:paraId="64D49A43">
                  <w:pPr>
                    <w:pStyle w:val="36"/>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工程项目</w:t>
                  </w:r>
                </w:p>
              </w:tc>
              <w:tc>
                <w:tcPr>
                  <w:tcW w:w="2572" w:type="dxa"/>
                  <w:gridSpan w:val="2"/>
                  <w:vAlign w:val="center"/>
                </w:tcPr>
                <w:p w14:paraId="2EFB8DCC">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工程量</w:t>
                  </w:r>
                </w:p>
              </w:tc>
              <w:tc>
                <w:tcPr>
                  <w:tcW w:w="2573" w:type="dxa"/>
                  <w:gridSpan w:val="2"/>
                  <w:vAlign w:val="center"/>
                </w:tcPr>
                <w:p w14:paraId="2A8A0326">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施工进度</w:t>
                  </w:r>
                </w:p>
              </w:tc>
            </w:tr>
            <w:tr w14:paraId="6780B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2" w:type="dxa"/>
                  <w:gridSpan w:val="2"/>
                  <w:vMerge w:val="continue"/>
                  <w:vAlign w:val="center"/>
                </w:tcPr>
                <w:p w14:paraId="043F13C4">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p>
              </w:tc>
              <w:tc>
                <w:tcPr>
                  <w:tcW w:w="1286" w:type="dxa"/>
                  <w:vAlign w:val="center"/>
                </w:tcPr>
                <w:p w14:paraId="41AA499A">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单位</w:t>
                  </w:r>
                </w:p>
              </w:tc>
              <w:tc>
                <w:tcPr>
                  <w:tcW w:w="1286" w:type="dxa"/>
                  <w:vAlign w:val="center"/>
                </w:tcPr>
                <w:p w14:paraId="0299DBB2">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工程量</w:t>
                  </w:r>
                </w:p>
              </w:tc>
              <w:tc>
                <w:tcPr>
                  <w:tcW w:w="1012" w:type="dxa"/>
                  <w:vAlign w:val="center"/>
                </w:tcPr>
                <w:p w14:paraId="0A1D54ED">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月</w:t>
                  </w:r>
                </w:p>
              </w:tc>
              <w:tc>
                <w:tcPr>
                  <w:tcW w:w="1561" w:type="dxa"/>
                  <w:vAlign w:val="center"/>
                </w:tcPr>
                <w:p w14:paraId="6E67B3B9">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强度</w:t>
                  </w:r>
                </w:p>
              </w:tc>
            </w:tr>
            <w:tr w14:paraId="72974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2" w:type="dxa"/>
                  <w:gridSpan w:val="2"/>
                  <w:vAlign w:val="center"/>
                </w:tcPr>
                <w:p w14:paraId="10450D1D">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施工准备期</w:t>
                  </w:r>
                </w:p>
              </w:tc>
              <w:tc>
                <w:tcPr>
                  <w:tcW w:w="1286" w:type="dxa"/>
                  <w:vAlign w:val="center"/>
                </w:tcPr>
                <w:p w14:paraId="73431EC0">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项</w:t>
                  </w:r>
                </w:p>
              </w:tc>
              <w:tc>
                <w:tcPr>
                  <w:tcW w:w="1286" w:type="dxa"/>
                  <w:vAlign w:val="center"/>
                </w:tcPr>
                <w:p w14:paraId="6D554699">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1</w:t>
                  </w:r>
                </w:p>
              </w:tc>
              <w:tc>
                <w:tcPr>
                  <w:tcW w:w="1012" w:type="dxa"/>
                  <w:vAlign w:val="center"/>
                </w:tcPr>
                <w:p w14:paraId="3A699F03">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2</w:t>
                  </w:r>
                </w:p>
              </w:tc>
              <w:tc>
                <w:tcPr>
                  <w:tcW w:w="1561" w:type="dxa"/>
                  <w:vAlign w:val="center"/>
                </w:tcPr>
                <w:p w14:paraId="30DB847F">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w:t>
                  </w:r>
                </w:p>
              </w:tc>
            </w:tr>
            <w:tr w14:paraId="41EA3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vMerge w:val="restart"/>
                  <w:vAlign w:val="center"/>
                </w:tcPr>
                <w:p w14:paraId="26781F69">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主体工程</w:t>
                  </w:r>
                </w:p>
              </w:tc>
              <w:tc>
                <w:tcPr>
                  <w:tcW w:w="1799" w:type="dxa"/>
                  <w:vAlign w:val="center"/>
                </w:tcPr>
                <w:p w14:paraId="605DFE2E">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土方开挖</w:t>
                  </w:r>
                </w:p>
              </w:tc>
              <w:tc>
                <w:tcPr>
                  <w:tcW w:w="1286" w:type="dxa"/>
                  <w:vAlign w:val="center"/>
                </w:tcPr>
                <w:p w14:paraId="461871CA">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m</w:t>
                  </w:r>
                  <w:r>
                    <w:rPr>
                      <w:rFonts w:hint="eastAsia"/>
                      <w:color w:val="auto"/>
                      <w:vertAlign w:val="superscript"/>
                      <w:lang w:val="en-US" w:eastAsia="zh-CN"/>
                    </w:rPr>
                    <w:t>3</w:t>
                  </w:r>
                </w:p>
              </w:tc>
              <w:tc>
                <w:tcPr>
                  <w:tcW w:w="1286" w:type="dxa"/>
                  <w:vAlign w:val="center"/>
                </w:tcPr>
                <w:p w14:paraId="2B358375">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231632</w:t>
                  </w:r>
                </w:p>
              </w:tc>
              <w:tc>
                <w:tcPr>
                  <w:tcW w:w="1012" w:type="dxa"/>
                  <w:vAlign w:val="center"/>
                </w:tcPr>
                <w:p w14:paraId="3FB9492F">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5</w:t>
                  </w:r>
                </w:p>
              </w:tc>
              <w:tc>
                <w:tcPr>
                  <w:tcW w:w="1561" w:type="dxa"/>
                  <w:vAlign w:val="center"/>
                </w:tcPr>
                <w:p w14:paraId="0E5925F1">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46326m</w:t>
                  </w:r>
                  <w:r>
                    <w:rPr>
                      <w:rFonts w:hint="eastAsia"/>
                      <w:color w:val="auto"/>
                      <w:vertAlign w:val="superscript"/>
                      <w:lang w:val="en-US" w:eastAsia="zh-CN"/>
                    </w:rPr>
                    <w:t>3</w:t>
                  </w:r>
                  <w:r>
                    <w:rPr>
                      <w:rFonts w:hint="eastAsia"/>
                      <w:color w:val="auto"/>
                      <w:vertAlign w:val="baseline"/>
                      <w:lang w:val="en-US" w:eastAsia="zh-CN"/>
                    </w:rPr>
                    <w:t>/月</w:t>
                  </w:r>
                </w:p>
              </w:tc>
            </w:tr>
            <w:tr w14:paraId="1A43E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vMerge w:val="continue"/>
                  <w:vAlign w:val="center"/>
                </w:tcPr>
                <w:p w14:paraId="7B15A0AF">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p>
              </w:tc>
              <w:tc>
                <w:tcPr>
                  <w:tcW w:w="1799" w:type="dxa"/>
                  <w:vAlign w:val="center"/>
                </w:tcPr>
                <w:p w14:paraId="703E1247">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土方回填</w:t>
                  </w:r>
                </w:p>
              </w:tc>
              <w:tc>
                <w:tcPr>
                  <w:tcW w:w="1286" w:type="dxa"/>
                  <w:vAlign w:val="center"/>
                </w:tcPr>
                <w:p w14:paraId="31594F47">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m</w:t>
                  </w:r>
                  <w:r>
                    <w:rPr>
                      <w:rFonts w:hint="eastAsia"/>
                      <w:color w:val="auto"/>
                      <w:vertAlign w:val="superscript"/>
                      <w:lang w:val="en-US" w:eastAsia="zh-CN"/>
                    </w:rPr>
                    <w:t>3</w:t>
                  </w:r>
                </w:p>
              </w:tc>
              <w:tc>
                <w:tcPr>
                  <w:tcW w:w="1286" w:type="dxa"/>
                  <w:vAlign w:val="center"/>
                </w:tcPr>
                <w:p w14:paraId="0D912D06">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80863</w:t>
                  </w:r>
                </w:p>
              </w:tc>
              <w:tc>
                <w:tcPr>
                  <w:tcW w:w="1012" w:type="dxa"/>
                  <w:vAlign w:val="center"/>
                </w:tcPr>
                <w:p w14:paraId="38337A97">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4</w:t>
                  </w:r>
                </w:p>
              </w:tc>
              <w:tc>
                <w:tcPr>
                  <w:tcW w:w="1561" w:type="dxa"/>
                  <w:vAlign w:val="center"/>
                </w:tcPr>
                <w:p w14:paraId="7152B3F3">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20215m</w:t>
                  </w:r>
                  <w:r>
                    <w:rPr>
                      <w:rFonts w:hint="eastAsia"/>
                      <w:color w:val="auto"/>
                      <w:vertAlign w:val="superscript"/>
                      <w:lang w:val="en-US" w:eastAsia="zh-CN"/>
                    </w:rPr>
                    <w:t>3</w:t>
                  </w:r>
                  <w:r>
                    <w:rPr>
                      <w:rFonts w:hint="eastAsia"/>
                      <w:color w:val="auto"/>
                      <w:vertAlign w:val="baseline"/>
                      <w:lang w:val="en-US" w:eastAsia="zh-CN"/>
                    </w:rPr>
                    <w:t>/月</w:t>
                  </w:r>
                </w:p>
              </w:tc>
            </w:tr>
            <w:tr w14:paraId="47A0A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vMerge w:val="continue"/>
                  <w:vAlign w:val="center"/>
                </w:tcPr>
                <w:p w14:paraId="39A226B5">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p>
              </w:tc>
              <w:tc>
                <w:tcPr>
                  <w:tcW w:w="1799" w:type="dxa"/>
                  <w:vAlign w:val="center"/>
                </w:tcPr>
                <w:p w14:paraId="29F22CD6">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土方堤后摊平</w:t>
                  </w:r>
                </w:p>
              </w:tc>
              <w:tc>
                <w:tcPr>
                  <w:tcW w:w="1286" w:type="dxa"/>
                  <w:vAlign w:val="center"/>
                </w:tcPr>
                <w:p w14:paraId="728DA07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m</w:t>
                  </w:r>
                  <w:r>
                    <w:rPr>
                      <w:rFonts w:hint="eastAsia"/>
                      <w:color w:val="auto"/>
                      <w:vertAlign w:val="superscript"/>
                      <w:lang w:val="en-US" w:eastAsia="zh-CN"/>
                    </w:rPr>
                    <w:t>3</w:t>
                  </w:r>
                </w:p>
              </w:tc>
              <w:tc>
                <w:tcPr>
                  <w:tcW w:w="1286" w:type="dxa"/>
                  <w:vAlign w:val="center"/>
                </w:tcPr>
                <w:p w14:paraId="247EF5CE">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115399</w:t>
                  </w:r>
                </w:p>
              </w:tc>
              <w:tc>
                <w:tcPr>
                  <w:tcW w:w="1012" w:type="dxa"/>
                  <w:vAlign w:val="center"/>
                </w:tcPr>
                <w:p w14:paraId="17F01DE9">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4</w:t>
                  </w:r>
                </w:p>
              </w:tc>
              <w:tc>
                <w:tcPr>
                  <w:tcW w:w="1561" w:type="dxa"/>
                  <w:vAlign w:val="center"/>
                </w:tcPr>
                <w:p w14:paraId="29BC265C">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28850m</w:t>
                  </w:r>
                  <w:r>
                    <w:rPr>
                      <w:rFonts w:hint="eastAsia"/>
                      <w:color w:val="auto"/>
                      <w:vertAlign w:val="superscript"/>
                      <w:lang w:val="en-US" w:eastAsia="zh-CN"/>
                    </w:rPr>
                    <w:t>3</w:t>
                  </w:r>
                  <w:r>
                    <w:rPr>
                      <w:rFonts w:hint="eastAsia"/>
                      <w:color w:val="auto"/>
                      <w:vertAlign w:val="baseline"/>
                      <w:lang w:val="en-US" w:eastAsia="zh-CN"/>
                    </w:rPr>
                    <w:t>/月</w:t>
                  </w:r>
                </w:p>
              </w:tc>
            </w:tr>
            <w:tr w14:paraId="38759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vMerge w:val="continue"/>
                  <w:vAlign w:val="center"/>
                </w:tcPr>
                <w:p w14:paraId="35916B14">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p>
              </w:tc>
              <w:tc>
                <w:tcPr>
                  <w:tcW w:w="1799" w:type="dxa"/>
                  <w:vAlign w:val="center"/>
                </w:tcPr>
                <w:p w14:paraId="0C2517D0">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堤防填筑</w:t>
                  </w:r>
                </w:p>
              </w:tc>
              <w:tc>
                <w:tcPr>
                  <w:tcW w:w="1286" w:type="dxa"/>
                  <w:vAlign w:val="center"/>
                </w:tcPr>
                <w:p w14:paraId="0EDDB94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m</w:t>
                  </w:r>
                  <w:r>
                    <w:rPr>
                      <w:rFonts w:hint="eastAsia"/>
                      <w:color w:val="auto"/>
                      <w:vertAlign w:val="superscript"/>
                      <w:lang w:val="en-US" w:eastAsia="zh-CN"/>
                    </w:rPr>
                    <w:t>3</w:t>
                  </w:r>
                </w:p>
              </w:tc>
              <w:tc>
                <w:tcPr>
                  <w:tcW w:w="1286" w:type="dxa"/>
                  <w:vAlign w:val="center"/>
                </w:tcPr>
                <w:p w14:paraId="0362911F">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17655</w:t>
                  </w:r>
                </w:p>
              </w:tc>
              <w:tc>
                <w:tcPr>
                  <w:tcW w:w="1012" w:type="dxa"/>
                  <w:vAlign w:val="center"/>
                </w:tcPr>
                <w:p w14:paraId="2F127986">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3</w:t>
                  </w:r>
                </w:p>
              </w:tc>
              <w:tc>
                <w:tcPr>
                  <w:tcW w:w="1561" w:type="dxa"/>
                  <w:vAlign w:val="center"/>
                </w:tcPr>
                <w:p w14:paraId="387825F6">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5885m</w:t>
                  </w:r>
                  <w:r>
                    <w:rPr>
                      <w:rFonts w:hint="eastAsia"/>
                      <w:color w:val="auto"/>
                      <w:vertAlign w:val="superscript"/>
                      <w:lang w:val="en-US" w:eastAsia="zh-CN"/>
                    </w:rPr>
                    <w:t>3</w:t>
                  </w:r>
                  <w:r>
                    <w:rPr>
                      <w:rFonts w:hint="eastAsia"/>
                      <w:color w:val="auto"/>
                      <w:vertAlign w:val="baseline"/>
                      <w:lang w:val="en-US" w:eastAsia="zh-CN"/>
                    </w:rPr>
                    <w:t>/月</w:t>
                  </w:r>
                </w:p>
              </w:tc>
            </w:tr>
            <w:tr w14:paraId="0A6CF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vMerge w:val="continue"/>
                  <w:vAlign w:val="center"/>
                </w:tcPr>
                <w:p w14:paraId="1E4EB8F5">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p>
              </w:tc>
              <w:tc>
                <w:tcPr>
                  <w:tcW w:w="1799" w:type="dxa"/>
                  <w:vAlign w:val="center"/>
                </w:tcPr>
                <w:p w14:paraId="16E29738">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钢筋石笼</w:t>
                  </w:r>
                </w:p>
              </w:tc>
              <w:tc>
                <w:tcPr>
                  <w:tcW w:w="1286" w:type="dxa"/>
                  <w:vAlign w:val="center"/>
                </w:tcPr>
                <w:p w14:paraId="1A9ED6B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m</w:t>
                  </w:r>
                  <w:r>
                    <w:rPr>
                      <w:rFonts w:hint="eastAsia"/>
                      <w:color w:val="auto"/>
                      <w:vertAlign w:val="superscript"/>
                      <w:lang w:val="en-US" w:eastAsia="zh-CN"/>
                    </w:rPr>
                    <w:t>3</w:t>
                  </w:r>
                </w:p>
              </w:tc>
              <w:tc>
                <w:tcPr>
                  <w:tcW w:w="1286" w:type="dxa"/>
                  <w:vAlign w:val="center"/>
                </w:tcPr>
                <w:p w14:paraId="67BEBDFA">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137622</w:t>
                  </w:r>
                </w:p>
              </w:tc>
              <w:tc>
                <w:tcPr>
                  <w:tcW w:w="1012" w:type="dxa"/>
                  <w:vAlign w:val="center"/>
                </w:tcPr>
                <w:p w14:paraId="1FA964AB">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5</w:t>
                  </w:r>
                </w:p>
              </w:tc>
              <w:tc>
                <w:tcPr>
                  <w:tcW w:w="1561" w:type="dxa"/>
                  <w:vAlign w:val="center"/>
                </w:tcPr>
                <w:p w14:paraId="027C30FD">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27524m</w:t>
                  </w:r>
                  <w:r>
                    <w:rPr>
                      <w:rFonts w:hint="eastAsia"/>
                      <w:color w:val="auto"/>
                      <w:vertAlign w:val="superscript"/>
                      <w:lang w:val="en-US" w:eastAsia="zh-CN"/>
                    </w:rPr>
                    <w:t>3</w:t>
                  </w:r>
                  <w:r>
                    <w:rPr>
                      <w:rFonts w:hint="eastAsia"/>
                      <w:color w:val="auto"/>
                      <w:vertAlign w:val="baseline"/>
                      <w:lang w:val="en-US" w:eastAsia="zh-CN"/>
                    </w:rPr>
                    <w:t>/月</w:t>
                  </w:r>
                </w:p>
              </w:tc>
            </w:tr>
            <w:tr w14:paraId="0C56D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vMerge w:val="continue"/>
                  <w:vAlign w:val="center"/>
                </w:tcPr>
                <w:p w14:paraId="608F232A">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p>
              </w:tc>
              <w:tc>
                <w:tcPr>
                  <w:tcW w:w="1799" w:type="dxa"/>
                  <w:vAlign w:val="center"/>
                </w:tcPr>
                <w:p w14:paraId="6B481DA0">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M7.5浆砌石</w:t>
                  </w:r>
                </w:p>
              </w:tc>
              <w:tc>
                <w:tcPr>
                  <w:tcW w:w="1286" w:type="dxa"/>
                  <w:vAlign w:val="center"/>
                </w:tcPr>
                <w:p w14:paraId="659BF34B">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m</w:t>
                  </w:r>
                  <w:r>
                    <w:rPr>
                      <w:rFonts w:hint="eastAsia"/>
                      <w:color w:val="auto"/>
                      <w:vertAlign w:val="superscript"/>
                      <w:lang w:val="en-US" w:eastAsia="zh-CN"/>
                    </w:rPr>
                    <w:t>3</w:t>
                  </w:r>
                </w:p>
              </w:tc>
              <w:tc>
                <w:tcPr>
                  <w:tcW w:w="1286" w:type="dxa"/>
                  <w:vAlign w:val="center"/>
                </w:tcPr>
                <w:p w14:paraId="6A7ED5F6">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2617</w:t>
                  </w:r>
                </w:p>
              </w:tc>
              <w:tc>
                <w:tcPr>
                  <w:tcW w:w="1012" w:type="dxa"/>
                  <w:vAlign w:val="center"/>
                </w:tcPr>
                <w:p w14:paraId="2D8D1E8D">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4</w:t>
                  </w:r>
                </w:p>
              </w:tc>
              <w:tc>
                <w:tcPr>
                  <w:tcW w:w="1561" w:type="dxa"/>
                  <w:vAlign w:val="center"/>
                </w:tcPr>
                <w:p w14:paraId="7FCAB7E1">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654m</w:t>
                  </w:r>
                  <w:r>
                    <w:rPr>
                      <w:rFonts w:hint="eastAsia"/>
                      <w:color w:val="auto"/>
                      <w:vertAlign w:val="superscript"/>
                      <w:lang w:val="en-US" w:eastAsia="zh-CN"/>
                    </w:rPr>
                    <w:t>3</w:t>
                  </w:r>
                  <w:r>
                    <w:rPr>
                      <w:rFonts w:hint="eastAsia"/>
                      <w:color w:val="auto"/>
                      <w:vertAlign w:val="baseline"/>
                      <w:lang w:val="en-US" w:eastAsia="zh-CN"/>
                    </w:rPr>
                    <w:t>/月</w:t>
                  </w:r>
                </w:p>
              </w:tc>
            </w:tr>
            <w:tr w14:paraId="6ADEF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vMerge w:val="continue"/>
                  <w:vAlign w:val="center"/>
                </w:tcPr>
                <w:p w14:paraId="54A6185C">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p>
              </w:tc>
              <w:tc>
                <w:tcPr>
                  <w:tcW w:w="1799" w:type="dxa"/>
                  <w:vAlign w:val="center"/>
                </w:tcPr>
                <w:p w14:paraId="55908F29">
                  <w:pPr>
                    <w:pStyle w:val="36"/>
                    <w:keepNext w:val="0"/>
                    <w:keepLines w:val="0"/>
                    <w:pageBreakBefore w:val="0"/>
                    <w:widowControl w:val="0"/>
                    <w:kinsoku/>
                    <w:wordWrap/>
                    <w:overflowPunct/>
                    <w:topLinePunct w:val="0"/>
                    <w:autoSpaceDE/>
                    <w:autoSpaceDN/>
                    <w:bidi w:val="0"/>
                    <w:adjustRightInd w:val="0"/>
                    <w:snapToGrid/>
                    <w:spacing w:line="240" w:lineRule="auto"/>
                    <w:ind w:left="0" w:leftChars="0"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Φ600排涝涵管</w:t>
                  </w:r>
                </w:p>
              </w:tc>
              <w:tc>
                <w:tcPr>
                  <w:tcW w:w="1286" w:type="dxa"/>
                  <w:vAlign w:val="center"/>
                </w:tcPr>
                <w:p w14:paraId="0D1BBFE7">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m</w:t>
                  </w:r>
                </w:p>
              </w:tc>
              <w:tc>
                <w:tcPr>
                  <w:tcW w:w="1286" w:type="dxa"/>
                  <w:vAlign w:val="center"/>
                </w:tcPr>
                <w:p w14:paraId="2430F508">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923</w:t>
                  </w:r>
                </w:p>
              </w:tc>
              <w:tc>
                <w:tcPr>
                  <w:tcW w:w="1012" w:type="dxa"/>
                  <w:vAlign w:val="center"/>
                </w:tcPr>
                <w:p w14:paraId="2AA67DF7">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4</w:t>
                  </w:r>
                </w:p>
              </w:tc>
              <w:tc>
                <w:tcPr>
                  <w:tcW w:w="1561" w:type="dxa"/>
                  <w:vAlign w:val="center"/>
                </w:tcPr>
                <w:p w14:paraId="19523DC8">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231m</w:t>
                  </w:r>
                  <w:r>
                    <w:rPr>
                      <w:rFonts w:hint="eastAsia"/>
                      <w:color w:val="auto"/>
                      <w:vertAlign w:val="superscript"/>
                      <w:lang w:val="en-US" w:eastAsia="zh-CN"/>
                    </w:rPr>
                    <w:t>3</w:t>
                  </w:r>
                  <w:r>
                    <w:rPr>
                      <w:rFonts w:hint="eastAsia"/>
                      <w:color w:val="auto"/>
                      <w:vertAlign w:val="baseline"/>
                      <w:lang w:val="en-US" w:eastAsia="zh-CN"/>
                    </w:rPr>
                    <w:t>/月</w:t>
                  </w:r>
                </w:p>
              </w:tc>
            </w:tr>
            <w:tr w14:paraId="36638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vMerge w:val="continue"/>
                  <w:vAlign w:val="center"/>
                </w:tcPr>
                <w:p w14:paraId="46EC2EE7">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p>
              </w:tc>
              <w:tc>
                <w:tcPr>
                  <w:tcW w:w="1799" w:type="dxa"/>
                  <w:vAlign w:val="center"/>
                </w:tcPr>
                <w:p w14:paraId="53A62D6B">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泥结石路面</w:t>
                  </w:r>
                </w:p>
              </w:tc>
              <w:tc>
                <w:tcPr>
                  <w:tcW w:w="1286" w:type="dxa"/>
                  <w:vAlign w:val="center"/>
                </w:tcPr>
                <w:p w14:paraId="582C66E5">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m</w:t>
                  </w:r>
                  <w:r>
                    <w:rPr>
                      <w:rFonts w:hint="eastAsia"/>
                      <w:color w:val="auto"/>
                      <w:vertAlign w:val="superscript"/>
                      <w:lang w:val="en-US" w:eastAsia="zh-CN"/>
                    </w:rPr>
                    <w:t>2</w:t>
                  </w:r>
                </w:p>
              </w:tc>
              <w:tc>
                <w:tcPr>
                  <w:tcW w:w="1286" w:type="dxa"/>
                  <w:vAlign w:val="center"/>
                </w:tcPr>
                <w:p w14:paraId="027993E5">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5138</w:t>
                  </w:r>
                </w:p>
              </w:tc>
              <w:tc>
                <w:tcPr>
                  <w:tcW w:w="1012" w:type="dxa"/>
                  <w:vAlign w:val="center"/>
                </w:tcPr>
                <w:p w14:paraId="65FD9381">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3</w:t>
                  </w:r>
                </w:p>
              </w:tc>
              <w:tc>
                <w:tcPr>
                  <w:tcW w:w="1561" w:type="dxa"/>
                  <w:vAlign w:val="center"/>
                </w:tcPr>
                <w:p w14:paraId="42E5DEFA">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1713m</w:t>
                  </w:r>
                  <w:r>
                    <w:rPr>
                      <w:rFonts w:hint="eastAsia"/>
                      <w:color w:val="auto"/>
                      <w:vertAlign w:val="superscript"/>
                      <w:lang w:val="en-US" w:eastAsia="zh-CN"/>
                    </w:rPr>
                    <w:t>2</w:t>
                  </w:r>
                  <w:r>
                    <w:rPr>
                      <w:rFonts w:hint="eastAsia"/>
                      <w:color w:val="auto"/>
                      <w:vertAlign w:val="baseline"/>
                      <w:lang w:val="en-US" w:eastAsia="zh-CN"/>
                    </w:rPr>
                    <w:t>/月</w:t>
                  </w:r>
                </w:p>
              </w:tc>
            </w:tr>
            <w:tr w14:paraId="6C0B03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vMerge w:val="continue"/>
                  <w:vAlign w:val="center"/>
                </w:tcPr>
                <w:p w14:paraId="4E62A8D7">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p>
              </w:tc>
              <w:tc>
                <w:tcPr>
                  <w:tcW w:w="1799" w:type="dxa"/>
                  <w:vAlign w:val="center"/>
                </w:tcPr>
                <w:p w14:paraId="6ED21D11">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草皮护坡</w:t>
                  </w:r>
                </w:p>
              </w:tc>
              <w:tc>
                <w:tcPr>
                  <w:tcW w:w="1286" w:type="dxa"/>
                  <w:vAlign w:val="center"/>
                </w:tcPr>
                <w:p w14:paraId="43EF9DC9">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m</w:t>
                  </w:r>
                  <w:r>
                    <w:rPr>
                      <w:rFonts w:hint="eastAsia"/>
                      <w:color w:val="auto"/>
                      <w:vertAlign w:val="superscript"/>
                      <w:lang w:val="en-US" w:eastAsia="zh-CN"/>
                    </w:rPr>
                    <w:t>2</w:t>
                  </w:r>
                </w:p>
              </w:tc>
              <w:tc>
                <w:tcPr>
                  <w:tcW w:w="1286" w:type="dxa"/>
                  <w:vAlign w:val="center"/>
                </w:tcPr>
                <w:p w14:paraId="510A9631">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7057</w:t>
                  </w:r>
                </w:p>
              </w:tc>
              <w:tc>
                <w:tcPr>
                  <w:tcW w:w="1012" w:type="dxa"/>
                  <w:vAlign w:val="center"/>
                </w:tcPr>
                <w:p w14:paraId="2AC6DA00">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2</w:t>
                  </w:r>
                </w:p>
              </w:tc>
              <w:tc>
                <w:tcPr>
                  <w:tcW w:w="1561" w:type="dxa"/>
                  <w:vAlign w:val="center"/>
                </w:tcPr>
                <w:p w14:paraId="324719E0">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3529m</w:t>
                  </w:r>
                  <w:r>
                    <w:rPr>
                      <w:rFonts w:hint="eastAsia"/>
                      <w:color w:val="auto"/>
                      <w:vertAlign w:val="superscript"/>
                      <w:lang w:val="en-US" w:eastAsia="zh-CN"/>
                    </w:rPr>
                    <w:t>2</w:t>
                  </w:r>
                  <w:r>
                    <w:rPr>
                      <w:rFonts w:hint="eastAsia"/>
                      <w:color w:val="auto"/>
                      <w:vertAlign w:val="baseline"/>
                      <w:lang w:val="en-US" w:eastAsia="zh-CN"/>
                    </w:rPr>
                    <w:t>/月</w:t>
                  </w:r>
                </w:p>
              </w:tc>
            </w:tr>
            <w:tr w14:paraId="19F05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vMerge w:val="continue"/>
                  <w:vAlign w:val="center"/>
                </w:tcPr>
                <w:p w14:paraId="0AF4388F">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p>
              </w:tc>
              <w:tc>
                <w:tcPr>
                  <w:tcW w:w="1799" w:type="dxa"/>
                  <w:vAlign w:val="center"/>
                </w:tcPr>
                <w:p w14:paraId="37C47927">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color w:val="auto"/>
                      <w:vertAlign w:val="baseline"/>
                      <w:lang w:val="en-US" w:eastAsia="zh-CN"/>
                    </w:rPr>
                  </w:pPr>
                  <w:r>
                    <w:rPr>
                      <w:rFonts w:hint="eastAsia"/>
                      <w:color w:val="auto"/>
                      <w:vertAlign w:val="baseline"/>
                      <w:lang w:val="en-US" w:eastAsia="zh-CN"/>
                    </w:rPr>
                    <w:t>橘子树</w:t>
                  </w:r>
                </w:p>
              </w:tc>
              <w:tc>
                <w:tcPr>
                  <w:tcW w:w="1286" w:type="dxa"/>
                  <w:vAlign w:val="center"/>
                </w:tcPr>
                <w:p w14:paraId="4BC01765">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棵</w:t>
                  </w:r>
                </w:p>
              </w:tc>
              <w:tc>
                <w:tcPr>
                  <w:tcW w:w="1286" w:type="dxa"/>
                  <w:vAlign w:val="center"/>
                </w:tcPr>
                <w:p w14:paraId="6A529822">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5395</w:t>
                  </w:r>
                </w:p>
              </w:tc>
              <w:tc>
                <w:tcPr>
                  <w:tcW w:w="1012" w:type="dxa"/>
                  <w:vAlign w:val="center"/>
                </w:tcPr>
                <w:p w14:paraId="6D8A649D">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2</w:t>
                  </w:r>
                </w:p>
              </w:tc>
              <w:tc>
                <w:tcPr>
                  <w:tcW w:w="1561" w:type="dxa"/>
                  <w:vAlign w:val="center"/>
                </w:tcPr>
                <w:p w14:paraId="5060A5B4">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2697棵/月</w:t>
                  </w:r>
                </w:p>
              </w:tc>
            </w:tr>
            <w:tr w14:paraId="62A9F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2" w:type="dxa"/>
                  <w:gridSpan w:val="2"/>
                  <w:vAlign w:val="center"/>
                </w:tcPr>
                <w:p w14:paraId="7203B0BE">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color w:val="auto"/>
                      <w:vertAlign w:val="baseline"/>
                      <w:lang w:val="en-US" w:eastAsia="zh-CN"/>
                    </w:rPr>
                  </w:pPr>
                  <w:r>
                    <w:rPr>
                      <w:rFonts w:hint="eastAsia"/>
                      <w:color w:val="auto"/>
                      <w:vertAlign w:val="baseline"/>
                      <w:lang w:val="en-US" w:eastAsia="zh-CN"/>
                    </w:rPr>
                    <w:t>工程完建期</w:t>
                  </w:r>
                </w:p>
              </w:tc>
              <w:tc>
                <w:tcPr>
                  <w:tcW w:w="1286" w:type="dxa"/>
                  <w:vAlign w:val="center"/>
                </w:tcPr>
                <w:p w14:paraId="38CE9B9B">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项</w:t>
                  </w:r>
                </w:p>
              </w:tc>
              <w:tc>
                <w:tcPr>
                  <w:tcW w:w="1286" w:type="dxa"/>
                  <w:vAlign w:val="center"/>
                </w:tcPr>
                <w:p w14:paraId="4C269922">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1</w:t>
                  </w:r>
                </w:p>
              </w:tc>
              <w:tc>
                <w:tcPr>
                  <w:tcW w:w="1012" w:type="dxa"/>
                  <w:vAlign w:val="center"/>
                </w:tcPr>
                <w:p w14:paraId="44CF09C6">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3</w:t>
                  </w:r>
                </w:p>
              </w:tc>
              <w:tc>
                <w:tcPr>
                  <w:tcW w:w="1561" w:type="dxa"/>
                  <w:vAlign w:val="center"/>
                </w:tcPr>
                <w:p w14:paraId="1A6CEE05">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vertAlign w:val="baseline"/>
                      <w:lang w:val="en-US" w:eastAsia="zh-CN"/>
                    </w:rPr>
                  </w:pPr>
                  <w:r>
                    <w:rPr>
                      <w:rFonts w:hint="eastAsia"/>
                      <w:color w:val="auto"/>
                      <w:vertAlign w:val="baseline"/>
                      <w:lang w:val="en-US" w:eastAsia="zh-CN"/>
                    </w:rPr>
                    <w:t>/</w:t>
                  </w:r>
                </w:p>
              </w:tc>
            </w:tr>
          </w:tbl>
          <w:p w14:paraId="35D5C48E">
            <w:pPr>
              <w:bidi w:val="0"/>
              <w:rPr>
                <w:rFonts w:hint="eastAsia" w:eastAsia="宋体"/>
                <w:color w:val="auto"/>
                <w:lang w:eastAsia="zh-CN"/>
              </w:rPr>
            </w:pPr>
          </w:p>
        </w:tc>
      </w:tr>
      <w:tr w14:paraId="3F2EDA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345" w:type="pct"/>
            <w:vAlign w:val="center"/>
          </w:tcPr>
          <w:p w14:paraId="152B55AE">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auto"/>
              </w:rPr>
            </w:pPr>
            <w:r>
              <w:rPr>
                <w:rFonts w:hint="default"/>
                <w:color w:val="auto"/>
              </w:rPr>
              <w:t>其他</w:t>
            </w:r>
          </w:p>
        </w:tc>
        <w:tc>
          <w:tcPr>
            <w:tcW w:w="4654" w:type="pct"/>
            <w:vAlign w:val="center"/>
          </w:tcPr>
          <w:p w14:paraId="67CAE2D5">
            <w:pPr>
              <w:pStyle w:val="36"/>
              <w:bidi w:val="0"/>
              <w:rPr>
                <w:rFonts w:hint="eastAsia" w:eastAsia="宋体"/>
                <w:b/>
                <w:bCs/>
                <w:color w:val="auto"/>
                <w:lang w:eastAsia="zh-CN"/>
              </w:rPr>
            </w:pPr>
            <w:r>
              <w:rPr>
                <w:rFonts w:hint="eastAsia"/>
                <w:b/>
                <w:bCs/>
                <w:color w:val="auto"/>
                <w:lang w:eastAsia="zh-CN"/>
              </w:rPr>
              <w:t>一、护岸工程型式选择</w:t>
            </w:r>
          </w:p>
          <w:p w14:paraId="7E8C0360">
            <w:pPr>
              <w:pStyle w:val="36"/>
              <w:bidi w:val="0"/>
              <w:rPr>
                <w:rFonts w:hint="eastAsia" w:eastAsia="宋体"/>
                <w:b w:val="0"/>
                <w:bCs w:val="0"/>
                <w:color w:val="auto"/>
                <w:lang w:eastAsia="zh-CN"/>
              </w:rPr>
            </w:pPr>
            <w:r>
              <w:rPr>
                <w:rFonts w:hint="eastAsia"/>
                <w:b w:val="0"/>
                <w:bCs w:val="0"/>
                <w:color w:val="auto"/>
              </w:rPr>
              <w:t>根据德宏州相关河道治理经验及当地材料供应条件，结合果朗河治理工程实际情况，本次设计护岸工程型式的选择，以生态护岸优先设计的原则选择钢筋石笼护岸、格宾石笼护岸及浆砌石护岸等三种型式经过技术经济比较</w:t>
            </w:r>
            <w:r>
              <w:rPr>
                <w:rFonts w:hint="eastAsia"/>
                <w:b w:val="0"/>
                <w:bCs w:val="0"/>
                <w:color w:val="auto"/>
                <w:lang w:eastAsia="zh-CN"/>
              </w:rPr>
              <w:t>。</w:t>
            </w:r>
          </w:p>
          <w:p w14:paraId="015123B5">
            <w:pPr>
              <w:pStyle w:val="36"/>
              <w:bidi w:val="0"/>
              <w:rPr>
                <w:rFonts w:hint="eastAsia" w:eastAsia="宋体"/>
                <w:b/>
                <w:bCs/>
                <w:color w:val="auto"/>
                <w:lang w:val="en-US" w:eastAsia="zh-CN"/>
              </w:rPr>
            </w:pPr>
            <w:r>
              <w:rPr>
                <w:rFonts w:hint="eastAsia"/>
                <w:b/>
                <w:bCs/>
                <w:color w:val="auto"/>
                <w:lang w:val="en-US" w:eastAsia="zh-CN"/>
              </w:rPr>
              <w:t>1、钢筋石笼护岸</w:t>
            </w:r>
          </w:p>
          <w:p w14:paraId="20F94074">
            <w:pPr>
              <w:pStyle w:val="36"/>
              <w:bidi w:val="0"/>
              <w:rPr>
                <w:rFonts w:hint="eastAsia"/>
                <w:b w:val="0"/>
                <w:bCs w:val="0"/>
                <w:color w:val="auto"/>
              </w:rPr>
            </w:pPr>
            <w:r>
              <w:rPr>
                <w:rFonts w:hint="eastAsia"/>
                <w:b w:val="0"/>
                <w:bCs w:val="0"/>
                <w:color w:val="auto"/>
              </w:rPr>
              <w:t>钢筋石笼护岸采用Φ6@200×200 钢筋双向铰结，基础埋置于河道深泓以下0.5m，钢筋石笼护岸施工方便、使用寿命长、防冲能力强。断面型式为上部梯形，下部矩形，梯形顶宽1.0m，高1.5m，迎水坡及背水坡坡比均为1:0.2，下部矩形迎水面错台0.5m，背水面错台0.5m。</w:t>
            </w:r>
          </w:p>
          <w:p w14:paraId="59D0BAD2">
            <w:pPr>
              <w:pStyle w:val="36"/>
              <w:bidi w:val="0"/>
              <w:ind w:left="0" w:leftChars="0" w:firstLine="0" w:firstLineChars="0"/>
              <w:rPr>
                <w:color w:val="auto"/>
              </w:rPr>
            </w:pPr>
            <w:r>
              <w:rPr>
                <w:color w:val="auto"/>
              </w:rPr>
              <w:drawing>
                <wp:inline distT="0" distB="0" distL="114300" distR="114300">
                  <wp:extent cx="4900295" cy="1626870"/>
                  <wp:effectExtent l="0" t="0" r="6985" b="381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44"/>
                          <a:stretch>
                            <a:fillRect/>
                          </a:stretch>
                        </pic:blipFill>
                        <pic:spPr>
                          <a:xfrm>
                            <a:off x="0" y="0"/>
                            <a:ext cx="4900295" cy="1626870"/>
                          </a:xfrm>
                          <a:prstGeom prst="rect">
                            <a:avLst/>
                          </a:prstGeom>
                          <a:noFill/>
                          <a:ln>
                            <a:noFill/>
                          </a:ln>
                        </pic:spPr>
                      </pic:pic>
                    </a:graphicData>
                  </a:graphic>
                </wp:inline>
              </w:drawing>
            </w:r>
          </w:p>
          <w:p w14:paraId="236C4BE9">
            <w:pPr>
              <w:pStyle w:val="36"/>
              <w:bidi w:val="0"/>
              <w:ind w:left="0" w:leftChars="0" w:firstLine="0" w:firstLineChars="0"/>
              <w:jc w:val="center"/>
              <w:rPr>
                <w:rFonts w:hint="default" w:eastAsia="宋体"/>
                <w:b/>
                <w:bCs/>
                <w:color w:val="auto"/>
                <w:sz w:val="21"/>
                <w:szCs w:val="21"/>
                <w:lang w:val="en-US" w:eastAsia="zh-CN"/>
              </w:rPr>
            </w:pPr>
            <w:r>
              <w:rPr>
                <w:rFonts w:hint="eastAsia"/>
                <w:b/>
                <w:bCs/>
                <w:color w:val="auto"/>
                <w:sz w:val="21"/>
                <w:szCs w:val="21"/>
                <w:lang w:eastAsia="zh-CN"/>
              </w:rPr>
              <w:t>表</w:t>
            </w:r>
            <w:r>
              <w:rPr>
                <w:rFonts w:hint="eastAsia"/>
                <w:b/>
                <w:bCs/>
                <w:color w:val="auto"/>
                <w:sz w:val="21"/>
                <w:szCs w:val="21"/>
                <w:lang w:val="en-US" w:eastAsia="zh-CN"/>
              </w:rPr>
              <w:t>2-6 钢筋石笼护岸横断面图</w:t>
            </w:r>
          </w:p>
          <w:p w14:paraId="7BA186C9">
            <w:pPr>
              <w:pStyle w:val="36"/>
              <w:bidi w:val="0"/>
              <w:rPr>
                <w:rFonts w:hint="eastAsia" w:eastAsia="宋体"/>
                <w:b/>
                <w:bCs/>
                <w:color w:val="auto"/>
                <w:lang w:val="en-US" w:eastAsia="zh-CN"/>
              </w:rPr>
            </w:pPr>
            <w:r>
              <w:rPr>
                <w:rFonts w:hint="eastAsia"/>
                <w:b/>
                <w:bCs/>
                <w:color w:val="auto"/>
                <w:lang w:val="en-US" w:eastAsia="zh-CN"/>
              </w:rPr>
              <w:t>2、格宾石笼护岸</w:t>
            </w:r>
          </w:p>
          <w:p w14:paraId="4B8C5102">
            <w:pPr>
              <w:pStyle w:val="36"/>
              <w:bidi w:val="0"/>
              <w:rPr>
                <w:rFonts w:hint="eastAsia"/>
                <w:b w:val="0"/>
                <w:bCs w:val="0"/>
                <w:color w:val="auto"/>
              </w:rPr>
            </w:pPr>
            <w:r>
              <w:rPr>
                <w:rFonts w:hint="eastAsia"/>
                <w:b w:val="0"/>
                <w:bCs w:val="0"/>
                <w:color w:val="auto"/>
              </w:rPr>
              <w:t>格宾网是金属线材编织的角形网(六角网)制成的网箱，使用的金属线径是根据六角形的大小而不同。如果是金属镀层的金属线六角形，则使用线径为2.0mm到4.0mm的金属线，如果是PVC包覆的金属线编织的六角网，则使用外径为3.0mm到4.5mm的PVC(金属)线。外框边缘的线则使用比六角网线粗一号的线。</w:t>
            </w:r>
          </w:p>
          <w:p w14:paraId="6E078419">
            <w:pPr>
              <w:pStyle w:val="36"/>
              <w:bidi w:val="0"/>
              <w:rPr>
                <w:rFonts w:hint="eastAsia"/>
                <w:b w:val="0"/>
                <w:bCs w:val="0"/>
                <w:color w:val="auto"/>
              </w:rPr>
            </w:pPr>
            <w:r>
              <w:rPr>
                <w:rFonts w:hint="eastAsia"/>
                <w:b w:val="0"/>
                <w:bCs w:val="0"/>
                <w:color w:val="auto"/>
              </w:rPr>
              <w:t>格宾石笼护岸结构型式为分台式，台高1.0m，顶宽1.5m，迎水面及背水面错台0.5m。</w:t>
            </w:r>
          </w:p>
          <w:p w14:paraId="695D5C87">
            <w:pPr>
              <w:pStyle w:val="36"/>
              <w:bidi w:val="0"/>
              <w:ind w:left="0" w:leftChars="0" w:firstLine="0" w:firstLineChars="0"/>
              <w:rPr>
                <w:rFonts w:hint="eastAsia"/>
                <w:b/>
                <w:bCs/>
                <w:color w:val="auto"/>
              </w:rPr>
            </w:pPr>
            <w:r>
              <w:rPr>
                <w:color w:val="auto"/>
              </w:rPr>
              <w:drawing>
                <wp:inline distT="0" distB="0" distL="114300" distR="114300">
                  <wp:extent cx="4709160" cy="1539240"/>
                  <wp:effectExtent l="0" t="0" r="0" b="0"/>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45"/>
                          <a:stretch>
                            <a:fillRect/>
                          </a:stretch>
                        </pic:blipFill>
                        <pic:spPr>
                          <a:xfrm>
                            <a:off x="0" y="0"/>
                            <a:ext cx="4709160" cy="1539240"/>
                          </a:xfrm>
                          <a:prstGeom prst="rect">
                            <a:avLst/>
                          </a:prstGeom>
                          <a:noFill/>
                          <a:ln>
                            <a:noFill/>
                          </a:ln>
                        </pic:spPr>
                      </pic:pic>
                    </a:graphicData>
                  </a:graphic>
                </wp:inline>
              </w:drawing>
            </w:r>
          </w:p>
          <w:p w14:paraId="706DF289">
            <w:pPr>
              <w:pStyle w:val="36"/>
              <w:bidi w:val="0"/>
              <w:ind w:left="0" w:leftChars="0" w:firstLine="0" w:firstLineChars="0"/>
              <w:jc w:val="center"/>
              <w:rPr>
                <w:rFonts w:hint="eastAsia"/>
                <w:b/>
                <w:bCs/>
                <w:color w:val="auto"/>
              </w:rPr>
            </w:pPr>
            <w:r>
              <w:rPr>
                <w:rFonts w:hint="eastAsia"/>
                <w:b/>
                <w:bCs/>
                <w:color w:val="auto"/>
                <w:sz w:val="21"/>
                <w:szCs w:val="21"/>
                <w:lang w:eastAsia="zh-CN"/>
              </w:rPr>
              <w:t>表</w:t>
            </w:r>
            <w:r>
              <w:rPr>
                <w:rFonts w:hint="eastAsia"/>
                <w:b/>
                <w:bCs/>
                <w:color w:val="auto"/>
                <w:sz w:val="21"/>
                <w:szCs w:val="21"/>
                <w:lang w:val="en-US" w:eastAsia="zh-CN"/>
              </w:rPr>
              <w:t>2-7 格宾石笼护岸横断面图</w:t>
            </w:r>
          </w:p>
          <w:p w14:paraId="28103544">
            <w:pPr>
              <w:pStyle w:val="36"/>
              <w:bidi w:val="0"/>
              <w:rPr>
                <w:rFonts w:hint="eastAsia"/>
                <w:b/>
                <w:bCs/>
                <w:color w:val="auto"/>
                <w:lang w:val="en-US" w:eastAsia="zh-CN"/>
              </w:rPr>
            </w:pPr>
            <w:r>
              <w:rPr>
                <w:rFonts w:hint="eastAsia"/>
                <w:b/>
                <w:bCs/>
                <w:color w:val="auto"/>
                <w:lang w:val="en-US" w:eastAsia="zh-CN"/>
              </w:rPr>
              <w:t>3、浆砌石护岸</w:t>
            </w:r>
          </w:p>
          <w:p w14:paraId="0D3E9E67">
            <w:pPr>
              <w:pStyle w:val="36"/>
              <w:bidi w:val="0"/>
              <w:rPr>
                <w:rFonts w:hint="eastAsia"/>
                <w:b w:val="0"/>
                <w:bCs w:val="0"/>
                <w:color w:val="auto"/>
                <w:lang w:val="en-US" w:eastAsia="zh-CN"/>
              </w:rPr>
            </w:pPr>
            <w:r>
              <w:rPr>
                <w:rFonts w:hint="eastAsia"/>
                <w:b w:val="0"/>
                <w:bCs w:val="0"/>
                <w:color w:val="auto"/>
                <w:lang w:val="en-US" w:eastAsia="zh-CN"/>
              </w:rPr>
              <w:t>浆砌石为工程区老百姓使用最多，用途最广的一种建筑结构型式，因此纳入本次护岸结构型式比选。浆砌石护岸结构型式采用重力式结构，顶宽0.6m，迎水面坡铅直，背水坡1:0.4，基础高1.0m，墙踵及墙趾台阶高1.0m，宽0.5m。</w:t>
            </w:r>
          </w:p>
          <w:p w14:paraId="56DE4268">
            <w:pPr>
              <w:pStyle w:val="36"/>
              <w:bidi w:val="0"/>
              <w:ind w:left="0" w:leftChars="0" w:firstLine="0" w:firstLineChars="0"/>
              <w:rPr>
                <w:rFonts w:hint="eastAsia"/>
                <w:b w:val="0"/>
                <w:bCs w:val="0"/>
                <w:color w:val="auto"/>
                <w:lang w:val="en-US" w:eastAsia="zh-CN"/>
              </w:rPr>
            </w:pPr>
            <w:r>
              <w:rPr>
                <w:color w:val="auto"/>
              </w:rPr>
              <w:drawing>
                <wp:inline distT="0" distB="0" distL="114300" distR="114300">
                  <wp:extent cx="4900295" cy="1755775"/>
                  <wp:effectExtent l="0" t="0" r="6985" b="12065"/>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46"/>
                          <a:stretch>
                            <a:fillRect/>
                          </a:stretch>
                        </pic:blipFill>
                        <pic:spPr>
                          <a:xfrm>
                            <a:off x="0" y="0"/>
                            <a:ext cx="4900295" cy="1755775"/>
                          </a:xfrm>
                          <a:prstGeom prst="rect">
                            <a:avLst/>
                          </a:prstGeom>
                          <a:noFill/>
                          <a:ln>
                            <a:noFill/>
                          </a:ln>
                        </pic:spPr>
                      </pic:pic>
                    </a:graphicData>
                  </a:graphic>
                </wp:inline>
              </w:drawing>
            </w:r>
          </w:p>
          <w:p w14:paraId="04E24B78">
            <w:pPr>
              <w:pStyle w:val="36"/>
              <w:bidi w:val="0"/>
              <w:ind w:left="0" w:leftChars="0" w:firstLine="0" w:firstLineChars="0"/>
              <w:jc w:val="center"/>
              <w:rPr>
                <w:rFonts w:hint="eastAsia"/>
                <w:b/>
                <w:bCs/>
                <w:color w:val="auto"/>
                <w:sz w:val="21"/>
                <w:szCs w:val="21"/>
                <w:lang w:val="en-US" w:eastAsia="zh-CN"/>
              </w:rPr>
            </w:pPr>
            <w:r>
              <w:rPr>
                <w:rFonts w:hint="eastAsia"/>
                <w:b/>
                <w:bCs/>
                <w:color w:val="auto"/>
                <w:sz w:val="21"/>
                <w:szCs w:val="21"/>
                <w:lang w:eastAsia="zh-CN"/>
              </w:rPr>
              <w:t>表</w:t>
            </w:r>
            <w:r>
              <w:rPr>
                <w:rFonts w:hint="eastAsia"/>
                <w:b/>
                <w:bCs/>
                <w:color w:val="auto"/>
                <w:sz w:val="21"/>
                <w:szCs w:val="21"/>
                <w:lang w:val="en-US" w:eastAsia="zh-CN"/>
              </w:rPr>
              <w:t>2-8 浆砌石护岸横断面图</w:t>
            </w:r>
          </w:p>
          <w:p w14:paraId="14360976">
            <w:pPr>
              <w:pStyle w:val="36"/>
              <w:keepNext w:val="0"/>
              <w:keepLines w:val="0"/>
              <w:pageBreakBefore w:val="0"/>
              <w:widowControl w:val="0"/>
              <w:kinsoku/>
              <w:wordWrap/>
              <w:overflowPunct/>
              <w:topLinePunct w:val="0"/>
              <w:autoSpaceDE/>
              <w:autoSpaceDN/>
              <w:bidi w:val="0"/>
              <w:adjustRightInd w:val="0"/>
              <w:snapToGrid/>
              <w:ind w:left="0" w:leftChars="0" w:firstLine="482" w:firstLineChars="200"/>
              <w:jc w:val="both"/>
              <w:textAlignment w:val="baseline"/>
              <w:rPr>
                <w:rFonts w:hint="eastAsia"/>
                <w:b/>
                <w:bCs/>
                <w:color w:val="auto"/>
                <w:sz w:val="24"/>
                <w:szCs w:val="24"/>
                <w:lang w:val="en-US" w:eastAsia="zh-CN"/>
              </w:rPr>
            </w:pPr>
            <w:r>
              <w:rPr>
                <w:rFonts w:hint="eastAsia"/>
                <w:b/>
                <w:bCs/>
                <w:color w:val="auto"/>
                <w:sz w:val="24"/>
                <w:szCs w:val="24"/>
                <w:lang w:val="en-US" w:eastAsia="zh-CN"/>
              </w:rPr>
              <w:t>综合比较：</w:t>
            </w:r>
          </w:p>
          <w:p w14:paraId="1BCCF63E">
            <w:pPr>
              <w:pStyle w:val="36"/>
              <w:keepNext w:val="0"/>
              <w:keepLines w:val="0"/>
              <w:pageBreakBefore w:val="0"/>
              <w:widowControl w:val="0"/>
              <w:kinsoku/>
              <w:wordWrap/>
              <w:overflowPunct/>
              <w:topLinePunct w:val="0"/>
              <w:autoSpaceDE/>
              <w:autoSpaceDN/>
              <w:bidi w:val="0"/>
              <w:adjustRightInd w:val="0"/>
              <w:snapToGrid/>
              <w:ind w:left="0" w:leftChars="0" w:firstLine="480" w:firstLineChars="200"/>
              <w:jc w:val="both"/>
              <w:textAlignment w:val="baseline"/>
              <w:rPr>
                <w:rFonts w:hint="eastAsia"/>
                <w:b w:val="0"/>
                <w:bCs w:val="0"/>
                <w:color w:val="auto"/>
                <w:sz w:val="24"/>
                <w:szCs w:val="24"/>
                <w:lang w:val="en-US" w:eastAsia="zh-CN"/>
              </w:rPr>
            </w:pPr>
            <w:r>
              <w:rPr>
                <w:rFonts w:hint="eastAsia"/>
                <w:b w:val="0"/>
                <w:bCs w:val="0"/>
                <w:color w:val="auto"/>
                <w:sz w:val="24"/>
                <w:szCs w:val="24"/>
                <w:lang w:val="en-US" w:eastAsia="zh-CN"/>
              </w:rPr>
              <w:t>钢筋石笼护岸及格宾石笼护岸：钢筋石笼及格宾石笼为柔性结构，可以承受大范围的变形，而仍不坍塌。笼子石头缝隙间的淤泥有利于植物生长，河道内外水体可自然交换，水生动植物及两栖动物均有生存空间，可与周围自然环境融为一体。</w:t>
            </w:r>
          </w:p>
          <w:p w14:paraId="7C8DF701">
            <w:pPr>
              <w:pStyle w:val="36"/>
              <w:keepNext w:val="0"/>
              <w:keepLines w:val="0"/>
              <w:pageBreakBefore w:val="0"/>
              <w:widowControl w:val="0"/>
              <w:kinsoku/>
              <w:wordWrap/>
              <w:overflowPunct/>
              <w:topLinePunct w:val="0"/>
              <w:autoSpaceDE/>
              <w:autoSpaceDN/>
              <w:bidi w:val="0"/>
              <w:adjustRightInd w:val="0"/>
              <w:snapToGrid/>
              <w:ind w:left="0" w:leftChars="0" w:firstLine="480" w:firstLineChars="200"/>
              <w:jc w:val="both"/>
              <w:textAlignment w:val="baseline"/>
              <w:rPr>
                <w:rFonts w:hint="eastAsia"/>
                <w:b w:val="0"/>
                <w:bCs w:val="0"/>
                <w:color w:val="auto"/>
                <w:sz w:val="24"/>
                <w:szCs w:val="24"/>
                <w:lang w:val="en-US" w:eastAsia="zh-CN"/>
              </w:rPr>
            </w:pPr>
            <w:r>
              <w:rPr>
                <w:rFonts w:hint="eastAsia"/>
                <w:b w:val="0"/>
                <w:bCs w:val="0"/>
                <w:color w:val="auto"/>
                <w:sz w:val="24"/>
                <w:szCs w:val="24"/>
                <w:lang w:val="en-US" w:eastAsia="zh-CN"/>
              </w:rPr>
              <w:t>结合当地的治理经验，钢筋石笼的抗冲刷性及耐久性比格宾石笼好得多。</w:t>
            </w:r>
          </w:p>
          <w:p w14:paraId="368ABE1C">
            <w:pPr>
              <w:pStyle w:val="36"/>
              <w:keepNext w:val="0"/>
              <w:keepLines w:val="0"/>
              <w:pageBreakBefore w:val="0"/>
              <w:widowControl w:val="0"/>
              <w:kinsoku/>
              <w:wordWrap/>
              <w:overflowPunct/>
              <w:topLinePunct w:val="0"/>
              <w:autoSpaceDE/>
              <w:autoSpaceDN/>
              <w:bidi w:val="0"/>
              <w:adjustRightInd w:val="0"/>
              <w:snapToGrid/>
              <w:ind w:left="0" w:leftChars="0" w:firstLine="480" w:firstLineChars="200"/>
              <w:jc w:val="both"/>
              <w:textAlignment w:val="baseline"/>
              <w:rPr>
                <w:rFonts w:hint="eastAsia"/>
                <w:b w:val="0"/>
                <w:bCs w:val="0"/>
                <w:color w:val="auto"/>
                <w:sz w:val="24"/>
                <w:szCs w:val="24"/>
                <w:lang w:val="en-US" w:eastAsia="zh-CN"/>
              </w:rPr>
            </w:pPr>
            <w:r>
              <w:rPr>
                <w:rFonts w:hint="eastAsia"/>
                <w:b w:val="0"/>
                <w:bCs w:val="0"/>
                <w:color w:val="auto"/>
                <w:sz w:val="24"/>
                <w:szCs w:val="24"/>
                <w:lang w:val="en-US" w:eastAsia="zh-CN"/>
              </w:rPr>
              <w:t>浆砌石护岸：浆砌石护岸为刚性结构，其优点是施工简单，抗冲刷能力强，占地小，深受当地群众喜爱；缺点是刚性结构，对基础要求高，对于河道工程，水下部分不宜施工，需施工导流及抽排水，其整体性结构阻断了河道内外水体交换，不利于水生生物生存，不利于河道生态景观。</w:t>
            </w:r>
          </w:p>
          <w:p w14:paraId="1DA1F67A">
            <w:pPr>
              <w:pStyle w:val="36"/>
              <w:keepNext w:val="0"/>
              <w:keepLines w:val="0"/>
              <w:pageBreakBefore w:val="0"/>
              <w:widowControl w:val="0"/>
              <w:kinsoku/>
              <w:wordWrap/>
              <w:overflowPunct/>
              <w:topLinePunct w:val="0"/>
              <w:autoSpaceDE/>
              <w:autoSpaceDN/>
              <w:bidi w:val="0"/>
              <w:adjustRightInd w:val="0"/>
              <w:snapToGrid/>
              <w:ind w:left="0" w:leftChars="0" w:firstLine="480" w:firstLineChars="200"/>
              <w:jc w:val="both"/>
              <w:textAlignment w:val="baseline"/>
              <w:rPr>
                <w:rFonts w:hint="eastAsia"/>
                <w:b w:val="0"/>
                <w:bCs w:val="0"/>
                <w:color w:val="auto"/>
                <w:sz w:val="24"/>
                <w:szCs w:val="24"/>
                <w:lang w:val="en-US" w:eastAsia="zh-CN"/>
              </w:rPr>
            </w:pPr>
            <w:r>
              <w:rPr>
                <w:rFonts w:hint="eastAsia"/>
                <w:b w:val="0"/>
                <w:bCs w:val="0"/>
                <w:color w:val="auto"/>
                <w:sz w:val="24"/>
                <w:szCs w:val="24"/>
                <w:lang w:val="en-US" w:eastAsia="zh-CN"/>
              </w:rPr>
              <w:t>投资比较：本次设计选取果朗河K14+700断面1m长护岸进行工程量及投资比较，经计算比较，钢筋石笼护岸每米投资较格宾石笼护岸、浆砌石护岸少502.21元及493.39元。</w:t>
            </w:r>
          </w:p>
          <w:p w14:paraId="4D065749">
            <w:pPr>
              <w:pStyle w:val="36"/>
              <w:keepNext w:val="0"/>
              <w:keepLines w:val="0"/>
              <w:pageBreakBefore w:val="0"/>
              <w:widowControl w:val="0"/>
              <w:kinsoku/>
              <w:wordWrap/>
              <w:overflowPunct/>
              <w:topLinePunct w:val="0"/>
              <w:autoSpaceDE/>
              <w:autoSpaceDN/>
              <w:bidi w:val="0"/>
              <w:adjustRightInd w:val="0"/>
              <w:snapToGrid/>
              <w:ind w:left="0" w:leftChars="0" w:firstLine="0" w:firstLineChars="0"/>
              <w:jc w:val="center"/>
              <w:textAlignment w:val="baseline"/>
              <w:rPr>
                <w:rFonts w:hint="default"/>
                <w:b/>
                <w:bCs/>
                <w:color w:val="auto"/>
                <w:sz w:val="21"/>
                <w:szCs w:val="21"/>
                <w:lang w:val="en-US" w:eastAsia="zh-CN"/>
              </w:rPr>
            </w:pPr>
            <w:r>
              <w:rPr>
                <w:rFonts w:hint="eastAsia"/>
                <w:b/>
                <w:bCs/>
                <w:color w:val="auto"/>
                <w:sz w:val="21"/>
                <w:szCs w:val="21"/>
                <w:lang w:val="en-US" w:eastAsia="zh-CN"/>
              </w:rPr>
              <w:t>表2-15  护岸工程单位工程量及投资比较表</w:t>
            </w:r>
          </w:p>
          <w:tbl>
            <w:tblPr>
              <w:tblStyle w:val="46"/>
              <w:tblW w:w="7497" w:type="dxa"/>
              <w:tblInd w:w="11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089"/>
              <w:gridCol w:w="1530"/>
              <w:gridCol w:w="1530"/>
              <w:gridCol w:w="1281"/>
              <w:gridCol w:w="1067"/>
            </w:tblGrid>
            <w:tr w14:paraId="69F3D7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2" w:hRule="atLeast"/>
              </w:trPr>
              <w:tc>
                <w:tcPr>
                  <w:tcW w:w="2089" w:type="dxa"/>
                  <w:vMerge w:val="restart"/>
                  <w:tcBorders>
                    <w:bottom w:val="nil"/>
                  </w:tcBorders>
                  <w:vAlign w:val="center"/>
                </w:tcPr>
                <w:p w14:paraId="471BB462">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color w:val="auto"/>
                      <w:spacing w:val="3"/>
                      <w:sz w:val="21"/>
                      <w:szCs w:val="21"/>
                    </w:rPr>
                    <w:t>项目</w:t>
                  </w:r>
                </w:p>
              </w:tc>
              <w:tc>
                <w:tcPr>
                  <w:tcW w:w="4341" w:type="dxa"/>
                  <w:gridSpan w:val="3"/>
                  <w:vAlign w:val="center"/>
                </w:tcPr>
                <w:p w14:paraId="04792C0B">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color w:val="auto"/>
                      <w:spacing w:val="8"/>
                      <w:sz w:val="21"/>
                      <w:szCs w:val="21"/>
                    </w:rPr>
                    <w:t>护岸型式及工程量</w:t>
                  </w:r>
                </w:p>
              </w:tc>
              <w:tc>
                <w:tcPr>
                  <w:tcW w:w="1067" w:type="dxa"/>
                  <w:vMerge w:val="restart"/>
                  <w:tcBorders>
                    <w:bottom w:val="nil"/>
                  </w:tcBorders>
                  <w:vAlign w:val="center"/>
                </w:tcPr>
                <w:p w14:paraId="11DEAE40">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color w:val="auto"/>
                      <w:spacing w:val="5"/>
                      <w:sz w:val="21"/>
                      <w:szCs w:val="21"/>
                    </w:rPr>
                    <w:t>单价（元）</w:t>
                  </w:r>
                </w:p>
              </w:tc>
            </w:tr>
            <w:tr w14:paraId="582ACA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7" w:hRule="atLeast"/>
              </w:trPr>
              <w:tc>
                <w:tcPr>
                  <w:tcW w:w="2089" w:type="dxa"/>
                  <w:vMerge w:val="continue"/>
                  <w:tcBorders>
                    <w:top w:val="nil"/>
                  </w:tcBorders>
                  <w:vAlign w:val="center"/>
                </w:tcPr>
                <w:p w14:paraId="23A846C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Arial"/>
                      <w:color w:val="auto"/>
                      <w:sz w:val="21"/>
                      <w:szCs w:val="21"/>
                    </w:rPr>
                  </w:pPr>
                </w:p>
              </w:tc>
              <w:tc>
                <w:tcPr>
                  <w:tcW w:w="1530" w:type="dxa"/>
                  <w:vAlign w:val="center"/>
                </w:tcPr>
                <w:p w14:paraId="4982BA37">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color w:val="auto"/>
                      <w:spacing w:val="8"/>
                      <w:sz w:val="21"/>
                      <w:szCs w:val="21"/>
                    </w:rPr>
                    <w:t>钢筋石笼护岸</w:t>
                  </w:r>
                </w:p>
              </w:tc>
              <w:tc>
                <w:tcPr>
                  <w:tcW w:w="1530" w:type="dxa"/>
                  <w:vAlign w:val="center"/>
                </w:tcPr>
                <w:p w14:paraId="39A46781">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color w:val="auto"/>
                      <w:spacing w:val="8"/>
                      <w:sz w:val="21"/>
                      <w:szCs w:val="21"/>
                    </w:rPr>
                    <w:t>格宾石笼护岸</w:t>
                  </w:r>
                </w:p>
              </w:tc>
              <w:tc>
                <w:tcPr>
                  <w:tcW w:w="1281" w:type="dxa"/>
                  <w:vAlign w:val="center"/>
                </w:tcPr>
                <w:p w14:paraId="6AD1AAD5">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color w:val="auto"/>
                      <w:spacing w:val="8"/>
                      <w:sz w:val="21"/>
                      <w:szCs w:val="21"/>
                    </w:rPr>
                    <w:t>浆砌石护岸</w:t>
                  </w:r>
                </w:p>
              </w:tc>
              <w:tc>
                <w:tcPr>
                  <w:tcW w:w="1067" w:type="dxa"/>
                  <w:vMerge w:val="continue"/>
                  <w:tcBorders>
                    <w:top w:val="nil"/>
                  </w:tcBorders>
                  <w:vAlign w:val="center"/>
                </w:tcPr>
                <w:p w14:paraId="7DDB931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Arial"/>
                      <w:color w:val="auto"/>
                      <w:sz w:val="21"/>
                      <w:szCs w:val="21"/>
                    </w:rPr>
                  </w:pPr>
                </w:p>
              </w:tc>
            </w:tr>
            <w:tr w14:paraId="467689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8" w:hRule="atLeast"/>
              </w:trPr>
              <w:tc>
                <w:tcPr>
                  <w:tcW w:w="2089" w:type="dxa"/>
                  <w:vAlign w:val="center"/>
                </w:tcPr>
                <w:p w14:paraId="3C69CB86">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color w:val="auto"/>
                      <w:spacing w:val="6"/>
                      <w:sz w:val="21"/>
                      <w:szCs w:val="21"/>
                    </w:rPr>
                    <w:t>土方开挖（</w:t>
                  </w:r>
                  <w:r>
                    <w:rPr>
                      <w:rFonts w:ascii="Times New Roman" w:hAnsi="Times New Roman" w:eastAsia="Times New Roman" w:cs="Times New Roman"/>
                      <w:color w:val="auto"/>
                      <w:spacing w:val="6"/>
                      <w:sz w:val="21"/>
                      <w:szCs w:val="21"/>
                    </w:rPr>
                    <w:t>m</w:t>
                  </w:r>
                  <w:r>
                    <w:rPr>
                      <w:rFonts w:ascii="Times New Roman" w:hAnsi="Times New Roman" w:eastAsia="Times New Roman" w:cs="Times New Roman"/>
                      <w:color w:val="auto"/>
                      <w:spacing w:val="6"/>
                      <w:position w:val="6"/>
                      <w:sz w:val="21"/>
                      <w:szCs w:val="21"/>
                    </w:rPr>
                    <w:t>3</w:t>
                  </w:r>
                  <w:r>
                    <w:rPr>
                      <w:color w:val="auto"/>
                      <w:spacing w:val="6"/>
                      <w:sz w:val="21"/>
                      <w:szCs w:val="21"/>
                    </w:rPr>
                    <w:t>）</w:t>
                  </w:r>
                </w:p>
              </w:tc>
              <w:tc>
                <w:tcPr>
                  <w:tcW w:w="1530" w:type="dxa"/>
                  <w:vAlign w:val="center"/>
                </w:tcPr>
                <w:p w14:paraId="2064C19D">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20.44</w:t>
                  </w:r>
                </w:p>
              </w:tc>
              <w:tc>
                <w:tcPr>
                  <w:tcW w:w="1530" w:type="dxa"/>
                  <w:vAlign w:val="center"/>
                </w:tcPr>
                <w:p w14:paraId="414A256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25.25</w:t>
                  </w:r>
                </w:p>
              </w:tc>
              <w:tc>
                <w:tcPr>
                  <w:tcW w:w="1281" w:type="dxa"/>
                  <w:vAlign w:val="center"/>
                </w:tcPr>
                <w:p w14:paraId="469F9D2D">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19.55</w:t>
                  </w:r>
                </w:p>
              </w:tc>
              <w:tc>
                <w:tcPr>
                  <w:tcW w:w="1067" w:type="dxa"/>
                  <w:vAlign w:val="center"/>
                </w:tcPr>
                <w:p w14:paraId="2C3EA07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8.93</w:t>
                  </w:r>
                </w:p>
              </w:tc>
            </w:tr>
            <w:tr w14:paraId="5227DE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7" w:hRule="atLeast"/>
              </w:trPr>
              <w:tc>
                <w:tcPr>
                  <w:tcW w:w="2089" w:type="dxa"/>
                  <w:vAlign w:val="center"/>
                </w:tcPr>
                <w:p w14:paraId="210FD914">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color w:val="auto"/>
                      <w:spacing w:val="6"/>
                      <w:sz w:val="21"/>
                      <w:szCs w:val="21"/>
                    </w:rPr>
                    <w:t>土方回填（</w:t>
                  </w:r>
                  <w:r>
                    <w:rPr>
                      <w:rFonts w:ascii="Times New Roman" w:hAnsi="Times New Roman" w:eastAsia="Times New Roman" w:cs="Times New Roman"/>
                      <w:color w:val="auto"/>
                      <w:spacing w:val="6"/>
                      <w:sz w:val="21"/>
                      <w:szCs w:val="21"/>
                    </w:rPr>
                    <w:t>m</w:t>
                  </w:r>
                  <w:r>
                    <w:rPr>
                      <w:rFonts w:ascii="Times New Roman" w:hAnsi="Times New Roman" w:eastAsia="Times New Roman" w:cs="Times New Roman"/>
                      <w:color w:val="auto"/>
                      <w:spacing w:val="6"/>
                      <w:position w:val="6"/>
                      <w:sz w:val="21"/>
                      <w:szCs w:val="21"/>
                    </w:rPr>
                    <w:t>3</w:t>
                  </w:r>
                  <w:r>
                    <w:rPr>
                      <w:color w:val="auto"/>
                      <w:spacing w:val="6"/>
                      <w:sz w:val="21"/>
                      <w:szCs w:val="21"/>
                    </w:rPr>
                    <w:t>）</w:t>
                  </w:r>
                </w:p>
              </w:tc>
              <w:tc>
                <w:tcPr>
                  <w:tcW w:w="1530" w:type="dxa"/>
                  <w:vAlign w:val="center"/>
                </w:tcPr>
                <w:p w14:paraId="3351670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8.19</w:t>
                  </w:r>
                </w:p>
              </w:tc>
              <w:tc>
                <w:tcPr>
                  <w:tcW w:w="1530" w:type="dxa"/>
                  <w:vAlign w:val="center"/>
                </w:tcPr>
                <w:p w14:paraId="18CC16BC">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9.55</w:t>
                  </w:r>
                </w:p>
              </w:tc>
              <w:tc>
                <w:tcPr>
                  <w:tcW w:w="1281" w:type="dxa"/>
                  <w:vAlign w:val="center"/>
                </w:tcPr>
                <w:p w14:paraId="5B9B4174">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9.00</w:t>
                  </w:r>
                </w:p>
              </w:tc>
              <w:tc>
                <w:tcPr>
                  <w:tcW w:w="1067" w:type="dxa"/>
                  <w:vAlign w:val="center"/>
                </w:tcPr>
                <w:p w14:paraId="4567190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9.29</w:t>
                  </w:r>
                </w:p>
              </w:tc>
            </w:tr>
            <w:tr w14:paraId="3EE434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8" w:hRule="atLeast"/>
              </w:trPr>
              <w:tc>
                <w:tcPr>
                  <w:tcW w:w="2089" w:type="dxa"/>
                  <w:vAlign w:val="center"/>
                </w:tcPr>
                <w:p w14:paraId="20E2EAC6">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color w:val="auto"/>
                      <w:spacing w:val="6"/>
                      <w:sz w:val="21"/>
                      <w:szCs w:val="21"/>
                    </w:rPr>
                    <w:t>钢筋石笼（</w:t>
                  </w:r>
                  <w:r>
                    <w:rPr>
                      <w:rFonts w:ascii="Times New Roman" w:hAnsi="Times New Roman" w:eastAsia="Times New Roman" w:cs="Times New Roman"/>
                      <w:color w:val="auto"/>
                      <w:spacing w:val="6"/>
                      <w:sz w:val="21"/>
                      <w:szCs w:val="21"/>
                    </w:rPr>
                    <w:t>m</w:t>
                  </w:r>
                  <w:r>
                    <w:rPr>
                      <w:rFonts w:ascii="Times New Roman" w:hAnsi="Times New Roman" w:eastAsia="Times New Roman" w:cs="Times New Roman"/>
                      <w:color w:val="auto"/>
                      <w:spacing w:val="6"/>
                      <w:position w:val="6"/>
                      <w:sz w:val="21"/>
                      <w:szCs w:val="21"/>
                    </w:rPr>
                    <w:t>3</w:t>
                  </w:r>
                  <w:r>
                    <w:rPr>
                      <w:color w:val="auto"/>
                      <w:spacing w:val="6"/>
                      <w:sz w:val="21"/>
                      <w:szCs w:val="21"/>
                    </w:rPr>
                    <w:t>）</w:t>
                  </w:r>
                </w:p>
              </w:tc>
              <w:tc>
                <w:tcPr>
                  <w:tcW w:w="1530" w:type="dxa"/>
                  <w:vAlign w:val="center"/>
                </w:tcPr>
                <w:p w14:paraId="0E01F7E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9.10</w:t>
                  </w:r>
                </w:p>
              </w:tc>
              <w:tc>
                <w:tcPr>
                  <w:tcW w:w="1530" w:type="dxa"/>
                  <w:vAlign w:val="center"/>
                </w:tcPr>
                <w:p w14:paraId="7BA8D53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Arial"/>
                      <w:color w:val="auto"/>
                      <w:sz w:val="21"/>
                      <w:szCs w:val="21"/>
                    </w:rPr>
                  </w:pPr>
                </w:p>
              </w:tc>
              <w:tc>
                <w:tcPr>
                  <w:tcW w:w="1281" w:type="dxa"/>
                  <w:vAlign w:val="center"/>
                </w:tcPr>
                <w:p w14:paraId="34B7305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Arial"/>
                      <w:color w:val="auto"/>
                      <w:sz w:val="21"/>
                      <w:szCs w:val="21"/>
                    </w:rPr>
                  </w:pPr>
                </w:p>
              </w:tc>
              <w:tc>
                <w:tcPr>
                  <w:tcW w:w="1067" w:type="dxa"/>
                  <w:vAlign w:val="center"/>
                </w:tcPr>
                <w:p w14:paraId="25E3910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347.18</w:t>
                  </w:r>
                </w:p>
              </w:tc>
            </w:tr>
            <w:tr w14:paraId="6F22F8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7" w:hRule="atLeast"/>
              </w:trPr>
              <w:tc>
                <w:tcPr>
                  <w:tcW w:w="2089" w:type="dxa"/>
                  <w:vAlign w:val="center"/>
                </w:tcPr>
                <w:p w14:paraId="45146DFC">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color w:val="auto"/>
                      <w:spacing w:val="6"/>
                      <w:sz w:val="21"/>
                      <w:szCs w:val="21"/>
                    </w:rPr>
                    <w:t>格宾石笼（</w:t>
                  </w:r>
                  <w:r>
                    <w:rPr>
                      <w:rFonts w:ascii="Times New Roman" w:hAnsi="Times New Roman" w:eastAsia="Times New Roman" w:cs="Times New Roman"/>
                      <w:color w:val="auto"/>
                      <w:spacing w:val="6"/>
                      <w:sz w:val="21"/>
                      <w:szCs w:val="21"/>
                    </w:rPr>
                    <w:t>m</w:t>
                  </w:r>
                  <w:r>
                    <w:rPr>
                      <w:rFonts w:ascii="Times New Roman" w:hAnsi="Times New Roman" w:eastAsia="Times New Roman" w:cs="Times New Roman"/>
                      <w:color w:val="auto"/>
                      <w:spacing w:val="6"/>
                      <w:position w:val="6"/>
                      <w:sz w:val="21"/>
                      <w:szCs w:val="21"/>
                    </w:rPr>
                    <w:t>3</w:t>
                  </w:r>
                  <w:r>
                    <w:rPr>
                      <w:color w:val="auto"/>
                      <w:spacing w:val="6"/>
                      <w:sz w:val="21"/>
                      <w:szCs w:val="21"/>
                    </w:rPr>
                    <w:t>）</w:t>
                  </w:r>
                </w:p>
              </w:tc>
              <w:tc>
                <w:tcPr>
                  <w:tcW w:w="1530" w:type="dxa"/>
                  <w:vAlign w:val="center"/>
                </w:tcPr>
                <w:p w14:paraId="4F53224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Arial"/>
                      <w:color w:val="auto"/>
                      <w:sz w:val="21"/>
                      <w:szCs w:val="21"/>
                    </w:rPr>
                  </w:pPr>
                </w:p>
              </w:tc>
              <w:tc>
                <w:tcPr>
                  <w:tcW w:w="1530" w:type="dxa"/>
                  <w:vAlign w:val="center"/>
                </w:tcPr>
                <w:p w14:paraId="63FFC02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11.50</w:t>
                  </w:r>
                </w:p>
              </w:tc>
              <w:tc>
                <w:tcPr>
                  <w:tcW w:w="1281" w:type="dxa"/>
                  <w:vAlign w:val="center"/>
                </w:tcPr>
                <w:p w14:paraId="666C8D7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Arial"/>
                      <w:color w:val="auto"/>
                      <w:sz w:val="21"/>
                      <w:szCs w:val="21"/>
                    </w:rPr>
                  </w:pPr>
                </w:p>
              </w:tc>
              <w:tc>
                <w:tcPr>
                  <w:tcW w:w="1067" w:type="dxa"/>
                  <w:vAlign w:val="center"/>
                </w:tcPr>
                <w:p w14:paraId="7044843D">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313.56</w:t>
                  </w:r>
                </w:p>
              </w:tc>
            </w:tr>
            <w:tr w14:paraId="60BA7D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8" w:hRule="atLeast"/>
              </w:trPr>
              <w:tc>
                <w:tcPr>
                  <w:tcW w:w="2089" w:type="dxa"/>
                  <w:vAlign w:val="center"/>
                </w:tcPr>
                <w:p w14:paraId="50CBCFD5">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rFonts w:ascii="Times New Roman" w:hAnsi="Times New Roman" w:eastAsia="Times New Roman" w:cs="Times New Roman"/>
                      <w:color w:val="auto"/>
                      <w:spacing w:val="5"/>
                      <w:sz w:val="21"/>
                      <w:szCs w:val="21"/>
                    </w:rPr>
                    <w:t xml:space="preserve">M7.5 </w:t>
                  </w:r>
                  <w:r>
                    <w:rPr>
                      <w:color w:val="auto"/>
                      <w:spacing w:val="5"/>
                      <w:sz w:val="21"/>
                      <w:szCs w:val="21"/>
                    </w:rPr>
                    <w:t>浆砌石（</w:t>
                  </w:r>
                  <w:r>
                    <w:rPr>
                      <w:rFonts w:ascii="Times New Roman" w:hAnsi="Times New Roman" w:eastAsia="Times New Roman" w:cs="Times New Roman"/>
                      <w:color w:val="auto"/>
                      <w:spacing w:val="5"/>
                      <w:sz w:val="21"/>
                      <w:szCs w:val="21"/>
                    </w:rPr>
                    <w:t>m</w:t>
                  </w:r>
                  <w:r>
                    <w:rPr>
                      <w:rFonts w:ascii="Times New Roman" w:hAnsi="Times New Roman" w:eastAsia="Times New Roman" w:cs="Times New Roman"/>
                      <w:color w:val="auto"/>
                      <w:spacing w:val="5"/>
                      <w:position w:val="6"/>
                      <w:sz w:val="21"/>
                      <w:szCs w:val="21"/>
                    </w:rPr>
                    <w:t>3</w:t>
                  </w:r>
                  <w:r>
                    <w:rPr>
                      <w:color w:val="auto"/>
                      <w:spacing w:val="5"/>
                      <w:sz w:val="21"/>
                      <w:szCs w:val="21"/>
                    </w:rPr>
                    <w:t>）</w:t>
                  </w:r>
                </w:p>
              </w:tc>
              <w:tc>
                <w:tcPr>
                  <w:tcW w:w="1530" w:type="dxa"/>
                  <w:vAlign w:val="center"/>
                </w:tcPr>
                <w:p w14:paraId="79EB16A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Arial"/>
                      <w:color w:val="auto"/>
                      <w:sz w:val="21"/>
                      <w:szCs w:val="21"/>
                    </w:rPr>
                  </w:pPr>
                </w:p>
              </w:tc>
              <w:tc>
                <w:tcPr>
                  <w:tcW w:w="1530" w:type="dxa"/>
                  <w:vAlign w:val="center"/>
                </w:tcPr>
                <w:p w14:paraId="5D3BD2BD">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Arial"/>
                      <w:color w:val="auto"/>
                      <w:sz w:val="21"/>
                      <w:szCs w:val="21"/>
                    </w:rPr>
                  </w:pPr>
                </w:p>
              </w:tc>
              <w:tc>
                <w:tcPr>
                  <w:tcW w:w="1281" w:type="dxa"/>
                  <w:vAlign w:val="center"/>
                </w:tcPr>
                <w:p w14:paraId="5DDA758C">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7.10</w:t>
                  </w:r>
                </w:p>
              </w:tc>
              <w:tc>
                <w:tcPr>
                  <w:tcW w:w="1067" w:type="dxa"/>
                  <w:vAlign w:val="center"/>
                </w:tcPr>
                <w:p w14:paraId="38DE97D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365.02</w:t>
                  </w:r>
                </w:p>
              </w:tc>
            </w:tr>
            <w:tr w14:paraId="29DB55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7" w:hRule="atLeast"/>
              </w:trPr>
              <w:tc>
                <w:tcPr>
                  <w:tcW w:w="2089" w:type="dxa"/>
                  <w:vAlign w:val="center"/>
                </w:tcPr>
                <w:p w14:paraId="691001F6">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color w:val="auto"/>
                      <w:spacing w:val="5"/>
                      <w:sz w:val="21"/>
                      <w:szCs w:val="21"/>
                    </w:rPr>
                    <w:t>围堰填筑拆除（</w:t>
                  </w:r>
                  <w:r>
                    <w:rPr>
                      <w:rFonts w:ascii="Times New Roman" w:hAnsi="Times New Roman" w:eastAsia="Times New Roman" w:cs="Times New Roman"/>
                      <w:color w:val="auto"/>
                      <w:spacing w:val="5"/>
                      <w:sz w:val="21"/>
                      <w:szCs w:val="21"/>
                    </w:rPr>
                    <w:t>m</w:t>
                  </w:r>
                  <w:r>
                    <w:rPr>
                      <w:rFonts w:ascii="Times New Roman" w:hAnsi="Times New Roman" w:eastAsia="Times New Roman" w:cs="Times New Roman"/>
                      <w:color w:val="auto"/>
                      <w:spacing w:val="5"/>
                      <w:position w:val="6"/>
                      <w:sz w:val="21"/>
                      <w:szCs w:val="21"/>
                    </w:rPr>
                    <w:t>3</w:t>
                  </w:r>
                  <w:r>
                    <w:rPr>
                      <w:color w:val="auto"/>
                      <w:spacing w:val="5"/>
                      <w:sz w:val="21"/>
                      <w:szCs w:val="21"/>
                    </w:rPr>
                    <w:t>）</w:t>
                  </w:r>
                </w:p>
              </w:tc>
              <w:tc>
                <w:tcPr>
                  <w:tcW w:w="1530" w:type="dxa"/>
                  <w:vAlign w:val="center"/>
                </w:tcPr>
                <w:p w14:paraId="7966FEB4">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Arial"/>
                      <w:color w:val="auto"/>
                      <w:sz w:val="21"/>
                      <w:szCs w:val="21"/>
                    </w:rPr>
                  </w:pPr>
                </w:p>
              </w:tc>
              <w:tc>
                <w:tcPr>
                  <w:tcW w:w="1530" w:type="dxa"/>
                  <w:vAlign w:val="center"/>
                </w:tcPr>
                <w:p w14:paraId="48437E5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Arial"/>
                      <w:color w:val="auto"/>
                      <w:sz w:val="21"/>
                      <w:szCs w:val="21"/>
                    </w:rPr>
                  </w:pPr>
                </w:p>
              </w:tc>
              <w:tc>
                <w:tcPr>
                  <w:tcW w:w="1281" w:type="dxa"/>
                  <w:vAlign w:val="center"/>
                </w:tcPr>
                <w:p w14:paraId="42C0EC2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11.25</w:t>
                  </w:r>
                </w:p>
              </w:tc>
              <w:tc>
                <w:tcPr>
                  <w:tcW w:w="1067" w:type="dxa"/>
                  <w:vAlign w:val="center"/>
                </w:tcPr>
                <w:p w14:paraId="1B7E4166">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94.36</w:t>
                  </w:r>
                </w:p>
              </w:tc>
            </w:tr>
            <w:tr w14:paraId="444877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8" w:hRule="atLeast"/>
              </w:trPr>
              <w:tc>
                <w:tcPr>
                  <w:tcW w:w="2089" w:type="dxa"/>
                  <w:vAlign w:val="center"/>
                </w:tcPr>
                <w:p w14:paraId="4068C574">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color w:val="auto"/>
                      <w:sz w:val="21"/>
                      <w:szCs w:val="21"/>
                    </w:rPr>
                  </w:pPr>
                  <w:r>
                    <w:rPr>
                      <w:color w:val="auto"/>
                      <w:spacing w:val="6"/>
                      <w:sz w:val="21"/>
                      <w:szCs w:val="21"/>
                    </w:rPr>
                    <w:t>单位投资（元）</w:t>
                  </w:r>
                </w:p>
              </w:tc>
              <w:tc>
                <w:tcPr>
                  <w:tcW w:w="1530" w:type="dxa"/>
                  <w:vAlign w:val="center"/>
                </w:tcPr>
                <w:p w14:paraId="74F52824">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3417.93</w:t>
                  </w:r>
                </w:p>
              </w:tc>
              <w:tc>
                <w:tcPr>
                  <w:tcW w:w="1530" w:type="dxa"/>
                  <w:vAlign w:val="center"/>
                </w:tcPr>
                <w:p w14:paraId="1CCF485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3920.13</w:t>
                  </w:r>
                </w:p>
              </w:tc>
              <w:tc>
                <w:tcPr>
                  <w:tcW w:w="1281" w:type="dxa"/>
                  <w:vAlign w:val="center"/>
                </w:tcPr>
                <w:p w14:paraId="4BED544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3911.32</w:t>
                  </w:r>
                </w:p>
              </w:tc>
              <w:tc>
                <w:tcPr>
                  <w:tcW w:w="1067" w:type="dxa"/>
                  <w:vAlign w:val="center"/>
                </w:tcPr>
                <w:p w14:paraId="6B5A0A9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Arial"/>
                      <w:color w:val="auto"/>
                      <w:sz w:val="21"/>
                      <w:szCs w:val="21"/>
                    </w:rPr>
                  </w:pPr>
                </w:p>
              </w:tc>
            </w:tr>
          </w:tbl>
          <w:p w14:paraId="7FECEF4C">
            <w:pPr>
              <w:pStyle w:val="36"/>
              <w:keepNext w:val="0"/>
              <w:keepLines w:val="0"/>
              <w:pageBreakBefore w:val="0"/>
              <w:widowControl w:val="0"/>
              <w:kinsoku/>
              <w:wordWrap/>
              <w:overflowPunct/>
              <w:topLinePunct w:val="0"/>
              <w:autoSpaceDE/>
              <w:autoSpaceDN/>
              <w:bidi w:val="0"/>
              <w:adjustRightInd w:val="0"/>
              <w:snapToGrid/>
              <w:ind w:left="0" w:leftChars="0" w:firstLine="480" w:firstLineChars="200"/>
              <w:jc w:val="both"/>
              <w:textAlignment w:val="baseline"/>
              <w:rPr>
                <w:rFonts w:hint="eastAsia"/>
                <w:b w:val="0"/>
                <w:bCs w:val="0"/>
                <w:color w:val="auto"/>
                <w:sz w:val="21"/>
                <w:szCs w:val="21"/>
                <w:lang w:val="en-US" w:eastAsia="zh-CN"/>
              </w:rPr>
            </w:pPr>
            <w:r>
              <w:rPr>
                <w:rFonts w:hint="eastAsia"/>
                <w:b w:val="0"/>
                <w:bCs w:val="0"/>
                <w:color w:val="auto"/>
                <w:sz w:val="24"/>
                <w:szCs w:val="24"/>
                <w:lang w:val="en-US" w:eastAsia="zh-CN"/>
              </w:rPr>
              <w:t>经综合比较，钢筋石笼护岸及格宾石笼护岸都存在施工不需导流、抽排水，可水下抛投，防冲能力强，有很强的抵御自然破坏及耐腐蚀和抗恶劣气候影响的能力，可以承受大范围的变形，而仍不坍塌，笼子石头缝隙间的淤泥有利于植物生产，可与周围自然环境融为一体，钢筋石笼和格宾石笼两种型式的工程量及性能基本相同，投资钢筋石笼少502.21元。本次治理河道大部分为山区河道工程，洪水汇流速度快，暴涨暴落，其流速快，抗冲刷要求高，结合州内河道治理经验，钢筋石笼的耐久性及抗冲刷性比格宾石笼强，推荐采用钢筋石笼护岸型式</w:t>
            </w:r>
            <w:r>
              <w:rPr>
                <w:rFonts w:hint="eastAsia"/>
                <w:b w:val="0"/>
                <w:bCs w:val="0"/>
                <w:color w:val="auto"/>
                <w:sz w:val="21"/>
                <w:szCs w:val="21"/>
                <w:lang w:val="en-US" w:eastAsia="zh-CN"/>
              </w:rPr>
              <w:t>。</w:t>
            </w:r>
          </w:p>
          <w:p w14:paraId="28E70D2A">
            <w:pPr>
              <w:pStyle w:val="36"/>
              <w:bidi w:val="0"/>
              <w:rPr>
                <w:rFonts w:hint="eastAsia"/>
                <w:b/>
                <w:bCs/>
                <w:color w:val="auto"/>
                <w:lang w:eastAsia="zh-CN"/>
              </w:rPr>
            </w:pPr>
            <w:r>
              <w:rPr>
                <w:rFonts w:hint="eastAsia"/>
                <w:b/>
                <w:bCs/>
                <w:color w:val="auto"/>
                <w:lang w:eastAsia="zh-CN"/>
              </w:rPr>
              <w:t>二、</w:t>
            </w:r>
            <w:r>
              <w:rPr>
                <w:rFonts w:hint="eastAsia"/>
                <w:b/>
                <w:bCs/>
                <w:color w:val="auto"/>
              </w:rPr>
              <w:t>堤型</w:t>
            </w:r>
            <w:r>
              <w:rPr>
                <w:rFonts w:hint="eastAsia"/>
                <w:b/>
                <w:bCs/>
                <w:color w:val="auto"/>
                <w:lang w:eastAsia="zh-CN"/>
              </w:rPr>
              <w:t>方案比选</w:t>
            </w:r>
          </w:p>
          <w:p w14:paraId="182004E7">
            <w:pPr>
              <w:pStyle w:val="36"/>
              <w:bidi w:val="0"/>
              <w:rPr>
                <w:rFonts w:hint="eastAsia"/>
                <w:color w:val="auto"/>
              </w:rPr>
            </w:pPr>
            <w:r>
              <w:rPr>
                <w:rFonts w:hint="eastAsia"/>
                <w:color w:val="auto"/>
              </w:rPr>
              <w:t>根据德宏州江河治理的经验和当地材料供应条件，本次堤防工程选择的主要型式有土堤、浆砌石堤、重力式埋石混凝土堤、钢筋混凝土防洪墙等四种型式，针对以上堤型经比较后择优选用。</w:t>
            </w:r>
          </w:p>
          <w:p w14:paraId="2CCB5FD0">
            <w:pPr>
              <w:pStyle w:val="36"/>
              <w:numPr>
                <w:ilvl w:val="0"/>
                <w:numId w:val="5"/>
              </w:numPr>
              <w:bidi w:val="0"/>
              <w:rPr>
                <w:rFonts w:hint="eastAsia"/>
                <w:color w:val="auto"/>
                <w:lang w:val="en-US" w:eastAsia="zh-CN"/>
              </w:rPr>
            </w:pPr>
            <w:r>
              <w:rPr>
                <w:rFonts w:hint="eastAsia"/>
                <w:color w:val="auto"/>
                <w:lang w:val="en-US" w:eastAsia="zh-CN"/>
              </w:rPr>
              <w:t>土堤</w:t>
            </w:r>
          </w:p>
          <w:p w14:paraId="693D2226">
            <w:pPr>
              <w:pStyle w:val="36"/>
              <w:keepNext w:val="0"/>
              <w:keepLines w:val="0"/>
              <w:pageBreakBefore w:val="0"/>
              <w:widowControl w:val="0"/>
              <w:numPr>
                <w:ilvl w:val="0"/>
                <w:numId w:val="0"/>
              </w:numPr>
              <w:kinsoku/>
              <w:wordWrap/>
              <w:overflowPunct/>
              <w:topLinePunct w:val="0"/>
              <w:autoSpaceDE/>
              <w:autoSpaceDN/>
              <w:bidi w:val="0"/>
              <w:adjustRightInd w:val="0"/>
              <w:snapToGrid/>
              <w:ind w:leftChars="0" w:right="0" w:rightChars="0" w:firstLine="480" w:firstLineChars="200"/>
              <w:textAlignment w:val="baseline"/>
              <w:rPr>
                <w:rFonts w:hint="eastAsia"/>
                <w:color w:val="auto"/>
                <w:lang w:val="en-US" w:eastAsia="zh-CN"/>
              </w:rPr>
            </w:pPr>
            <w:r>
              <w:rPr>
                <w:rFonts w:hint="eastAsia"/>
                <w:color w:val="auto"/>
                <w:lang w:val="en-US" w:eastAsia="zh-CN"/>
              </w:rPr>
              <w:t>根据当地材料情况和交通要求，结合《堤防工程设计规范》（GB50286-2013）的规定，拟定土堤堤顶宽2.5m，为防止水流对岸坡的冲刷、掏脚，迎水坡2年一遇常水位以下采用钢筋石笼挡墙防护，钢筋石笼共设置2层，上层钢筋石笼顶宽1.0m，迎水面与背水面坡比为1:0.2，下层为基础层，矩形断面，深入河床以下1.2m，与上层居中对齐，错台宽0.2m，钢筋石笼纵向10m设置一道结构缝，钢筋石笼后采用开挖料回填。钢筋石笼以上采用开挖料填筑至设计堤顶高程，迎水面坡比为1:1.5，钢筋石笼以上采用草皮护坡。背水坡坡比为1:1.5，采用草坪护坡。本次选择堤防高度为4m左右的断面进行比较计算，经抗滑稳定计算，满足稳定要求。</w:t>
            </w:r>
          </w:p>
          <w:p w14:paraId="158262BD">
            <w:pPr>
              <w:pStyle w:val="36"/>
              <w:keepNext w:val="0"/>
              <w:keepLines w:val="0"/>
              <w:pageBreakBefore w:val="0"/>
              <w:widowControl w:val="0"/>
              <w:numPr>
                <w:ilvl w:val="0"/>
                <w:numId w:val="0"/>
              </w:numPr>
              <w:kinsoku/>
              <w:wordWrap/>
              <w:overflowPunct/>
              <w:topLinePunct w:val="0"/>
              <w:autoSpaceDE/>
              <w:autoSpaceDN/>
              <w:bidi w:val="0"/>
              <w:adjustRightInd w:val="0"/>
              <w:snapToGrid/>
              <w:ind w:right="0" w:rightChars="0"/>
              <w:jc w:val="center"/>
              <w:textAlignment w:val="baseline"/>
              <w:rPr>
                <w:rFonts w:hint="eastAsia"/>
                <w:color w:val="auto"/>
                <w:lang w:val="en-US" w:eastAsia="zh-CN"/>
              </w:rPr>
            </w:pPr>
            <w:r>
              <w:rPr>
                <w:color w:val="auto"/>
              </w:rPr>
              <w:drawing>
                <wp:inline distT="0" distB="0" distL="114300" distR="114300">
                  <wp:extent cx="4504055" cy="3085465"/>
                  <wp:effectExtent l="0" t="0" r="6985" b="8255"/>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47"/>
                          <a:stretch>
                            <a:fillRect/>
                          </a:stretch>
                        </pic:blipFill>
                        <pic:spPr>
                          <a:xfrm>
                            <a:off x="0" y="0"/>
                            <a:ext cx="4504055" cy="3085465"/>
                          </a:xfrm>
                          <a:prstGeom prst="rect">
                            <a:avLst/>
                          </a:prstGeom>
                          <a:noFill/>
                          <a:ln>
                            <a:noFill/>
                          </a:ln>
                        </pic:spPr>
                      </pic:pic>
                    </a:graphicData>
                  </a:graphic>
                </wp:inline>
              </w:drawing>
            </w:r>
          </w:p>
          <w:p w14:paraId="72BD0A0E">
            <w:pPr>
              <w:pStyle w:val="36"/>
              <w:keepNext w:val="0"/>
              <w:keepLines w:val="0"/>
              <w:pageBreakBefore w:val="0"/>
              <w:widowControl w:val="0"/>
              <w:numPr>
                <w:ilvl w:val="0"/>
                <w:numId w:val="0"/>
              </w:numPr>
              <w:kinsoku/>
              <w:wordWrap/>
              <w:overflowPunct/>
              <w:topLinePunct w:val="0"/>
              <w:autoSpaceDE/>
              <w:autoSpaceDN/>
              <w:bidi w:val="0"/>
              <w:adjustRightInd w:val="0"/>
              <w:snapToGrid/>
              <w:ind w:right="0" w:rightChars="0"/>
              <w:jc w:val="center"/>
              <w:textAlignment w:val="baseline"/>
              <w:rPr>
                <w:rFonts w:hint="eastAsia"/>
                <w:color w:val="auto"/>
                <w:lang w:val="en-US" w:eastAsia="zh-CN"/>
              </w:rPr>
            </w:pPr>
            <w:r>
              <w:rPr>
                <w:rFonts w:hint="eastAsia"/>
                <w:b/>
                <w:bCs/>
                <w:color w:val="auto"/>
                <w:sz w:val="21"/>
                <w:szCs w:val="21"/>
                <w:lang w:val="en-US" w:eastAsia="zh-CN"/>
              </w:rPr>
              <w:t>图2-9   土堤横断面图</w:t>
            </w:r>
          </w:p>
          <w:p w14:paraId="1AD9E1A2">
            <w:pPr>
              <w:pStyle w:val="36"/>
              <w:bidi w:val="0"/>
              <w:rPr>
                <w:rFonts w:hint="eastAsia"/>
                <w:color w:val="auto"/>
              </w:rPr>
            </w:pPr>
            <w:r>
              <w:rPr>
                <w:rFonts w:hint="eastAsia"/>
                <w:color w:val="auto"/>
                <w:lang w:val="en-US" w:eastAsia="zh-CN"/>
              </w:rPr>
              <w:t>2、</w:t>
            </w:r>
            <w:r>
              <w:rPr>
                <w:rFonts w:hint="eastAsia"/>
                <w:color w:val="auto"/>
              </w:rPr>
              <w:t>浆砌石堤</w:t>
            </w:r>
          </w:p>
          <w:p w14:paraId="4AD7F121">
            <w:pPr>
              <w:pStyle w:val="36"/>
              <w:bidi w:val="0"/>
              <w:rPr>
                <w:rFonts w:hint="eastAsia"/>
                <w:color w:val="auto"/>
              </w:rPr>
            </w:pPr>
            <w:r>
              <w:rPr>
                <w:rFonts w:hint="eastAsia"/>
                <w:color w:val="auto"/>
              </w:rPr>
              <w:t>浆砌石堤采用重力式，顶宽为0.7m ，高度按5.3m ，基础埋深1.2m计算，迎水面垂直，背坡1:0.3 ，基础设置0.4m厚钢筋混凝土垫层增加地基承载力，结构尺寸见图</w:t>
            </w:r>
            <w:r>
              <w:rPr>
                <w:rFonts w:hint="eastAsia"/>
                <w:color w:val="auto"/>
                <w:lang w:val="en-US" w:eastAsia="zh-CN"/>
              </w:rPr>
              <w:t>2-10</w:t>
            </w:r>
            <w:r>
              <w:rPr>
                <w:rFonts w:hint="eastAsia"/>
                <w:color w:val="auto"/>
              </w:rPr>
              <w:t>。</w:t>
            </w:r>
          </w:p>
          <w:p w14:paraId="2D839D9A">
            <w:pPr>
              <w:pStyle w:val="36"/>
              <w:bidi w:val="0"/>
              <w:ind w:left="0" w:leftChars="0" w:firstLine="0" w:firstLineChars="0"/>
              <w:jc w:val="center"/>
              <w:rPr>
                <w:rFonts w:hint="eastAsia"/>
                <w:color w:val="auto"/>
              </w:rPr>
            </w:pPr>
            <w:r>
              <w:rPr>
                <w:color w:val="auto"/>
              </w:rPr>
              <w:drawing>
                <wp:inline distT="0" distB="0" distL="114300" distR="114300">
                  <wp:extent cx="3368040" cy="2825115"/>
                  <wp:effectExtent l="0" t="0" r="0" b="9525"/>
                  <wp:docPr id="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pic:cNvPicPr>
                            <a:picLocks noChangeAspect="1"/>
                          </pic:cNvPicPr>
                        </pic:nvPicPr>
                        <pic:blipFill>
                          <a:blip r:embed="rId48"/>
                          <a:stretch>
                            <a:fillRect/>
                          </a:stretch>
                        </pic:blipFill>
                        <pic:spPr>
                          <a:xfrm>
                            <a:off x="0" y="0"/>
                            <a:ext cx="3368040" cy="2825115"/>
                          </a:xfrm>
                          <a:prstGeom prst="rect">
                            <a:avLst/>
                          </a:prstGeom>
                          <a:noFill/>
                          <a:ln>
                            <a:noFill/>
                          </a:ln>
                        </pic:spPr>
                      </pic:pic>
                    </a:graphicData>
                  </a:graphic>
                </wp:inline>
              </w:drawing>
            </w:r>
          </w:p>
          <w:p w14:paraId="2127D74A">
            <w:pPr>
              <w:pStyle w:val="36"/>
              <w:bidi w:val="0"/>
              <w:ind w:left="0" w:leftChars="0" w:firstLine="0" w:firstLineChars="0"/>
              <w:jc w:val="center"/>
              <w:rPr>
                <w:rFonts w:hint="default" w:eastAsia="宋体"/>
                <w:b/>
                <w:bCs/>
                <w:color w:val="auto"/>
                <w:sz w:val="21"/>
                <w:szCs w:val="21"/>
                <w:lang w:val="en-US" w:eastAsia="zh-CN"/>
              </w:rPr>
            </w:pPr>
            <w:r>
              <w:rPr>
                <w:rFonts w:hint="eastAsia"/>
                <w:b/>
                <w:bCs/>
                <w:color w:val="auto"/>
                <w:sz w:val="21"/>
                <w:szCs w:val="21"/>
                <w:lang w:eastAsia="zh-CN"/>
              </w:rPr>
              <w:t>图</w:t>
            </w:r>
            <w:r>
              <w:rPr>
                <w:rFonts w:hint="eastAsia"/>
                <w:b/>
                <w:bCs/>
                <w:color w:val="auto"/>
                <w:sz w:val="21"/>
                <w:szCs w:val="21"/>
                <w:lang w:val="en-US" w:eastAsia="zh-CN"/>
              </w:rPr>
              <w:t>2-10  浆砌石断面图</w:t>
            </w:r>
          </w:p>
          <w:p w14:paraId="6549867A">
            <w:pPr>
              <w:pStyle w:val="36"/>
              <w:bidi w:val="0"/>
              <w:rPr>
                <w:rFonts w:hint="eastAsia"/>
                <w:color w:val="auto"/>
              </w:rPr>
            </w:pPr>
            <w:r>
              <w:rPr>
                <w:rFonts w:hint="eastAsia"/>
                <w:color w:val="auto"/>
              </w:rPr>
              <w:t>3、重力式埋石混凝土堤</w:t>
            </w:r>
          </w:p>
          <w:p w14:paraId="5E650305">
            <w:pPr>
              <w:pStyle w:val="36"/>
              <w:bidi w:val="0"/>
              <w:rPr>
                <w:rFonts w:hint="eastAsia"/>
                <w:color w:val="auto"/>
              </w:rPr>
            </w:pPr>
            <w:r>
              <w:rPr>
                <w:rFonts w:hint="eastAsia"/>
                <w:color w:val="auto"/>
              </w:rPr>
              <w:t>埋石混凝土堤顶宽0.7m，高度按5.3m，基础埋深1.2m计算，迎水面坡度为1:0.1，背坡1:0.1，基础设置0.4m厚钢筋混凝土垫层增加地基承载力，结构见图</w:t>
            </w:r>
            <w:r>
              <w:rPr>
                <w:rFonts w:hint="eastAsia"/>
                <w:color w:val="auto"/>
                <w:lang w:val="en-US" w:eastAsia="zh-CN"/>
              </w:rPr>
              <w:t>2-11</w:t>
            </w:r>
            <w:r>
              <w:rPr>
                <w:rFonts w:hint="eastAsia"/>
                <w:color w:val="auto"/>
              </w:rPr>
              <w:t>。</w:t>
            </w:r>
          </w:p>
          <w:p w14:paraId="4300B1BC">
            <w:pPr>
              <w:pStyle w:val="36"/>
              <w:bidi w:val="0"/>
              <w:ind w:left="0" w:leftChars="0" w:firstLine="0" w:firstLineChars="0"/>
              <w:jc w:val="center"/>
              <w:rPr>
                <w:rFonts w:hint="eastAsia"/>
                <w:color w:val="auto"/>
              </w:rPr>
            </w:pPr>
            <w:r>
              <w:rPr>
                <w:color w:val="auto"/>
              </w:rPr>
              <w:drawing>
                <wp:inline distT="0" distB="0" distL="114300" distR="114300">
                  <wp:extent cx="4119245" cy="3340735"/>
                  <wp:effectExtent l="0" t="0" r="10795" b="12065"/>
                  <wp:docPr id="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pic:cNvPicPr>
                            <a:picLocks noChangeAspect="1"/>
                          </pic:cNvPicPr>
                        </pic:nvPicPr>
                        <pic:blipFill>
                          <a:blip r:embed="rId49"/>
                          <a:stretch>
                            <a:fillRect/>
                          </a:stretch>
                        </pic:blipFill>
                        <pic:spPr>
                          <a:xfrm>
                            <a:off x="0" y="0"/>
                            <a:ext cx="4119245" cy="3340735"/>
                          </a:xfrm>
                          <a:prstGeom prst="rect">
                            <a:avLst/>
                          </a:prstGeom>
                          <a:noFill/>
                          <a:ln>
                            <a:noFill/>
                          </a:ln>
                        </pic:spPr>
                      </pic:pic>
                    </a:graphicData>
                  </a:graphic>
                </wp:inline>
              </w:drawing>
            </w:r>
          </w:p>
          <w:p w14:paraId="21C0A52D">
            <w:pPr>
              <w:pStyle w:val="36"/>
              <w:bidi w:val="0"/>
              <w:ind w:left="0" w:leftChars="0" w:firstLine="0" w:firstLineChars="0"/>
              <w:jc w:val="center"/>
              <w:rPr>
                <w:rFonts w:hint="default" w:eastAsia="宋体"/>
                <w:b/>
                <w:bCs/>
                <w:color w:val="auto"/>
                <w:sz w:val="21"/>
                <w:szCs w:val="21"/>
                <w:lang w:val="en-US" w:eastAsia="zh-CN"/>
              </w:rPr>
            </w:pPr>
            <w:r>
              <w:rPr>
                <w:rFonts w:hint="eastAsia"/>
                <w:b/>
                <w:bCs/>
                <w:color w:val="auto"/>
                <w:sz w:val="21"/>
                <w:szCs w:val="21"/>
                <w:lang w:eastAsia="zh-CN"/>
              </w:rPr>
              <w:t>图</w:t>
            </w:r>
            <w:r>
              <w:rPr>
                <w:rFonts w:hint="eastAsia"/>
                <w:b/>
                <w:bCs/>
                <w:color w:val="auto"/>
                <w:sz w:val="21"/>
                <w:szCs w:val="21"/>
                <w:lang w:val="en-US" w:eastAsia="zh-CN"/>
              </w:rPr>
              <w:t xml:space="preserve"> 2-11 埋石混凝土堤</w:t>
            </w:r>
          </w:p>
          <w:p w14:paraId="2D9FA942">
            <w:pPr>
              <w:pStyle w:val="36"/>
              <w:bidi w:val="0"/>
              <w:rPr>
                <w:rFonts w:hint="eastAsia"/>
                <w:color w:val="auto"/>
              </w:rPr>
            </w:pPr>
            <w:r>
              <w:rPr>
                <w:rFonts w:hint="eastAsia"/>
                <w:color w:val="auto"/>
              </w:rPr>
              <w:t>4、钢筋混凝土防洪墙</w:t>
            </w:r>
          </w:p>
          <w:p w14:paraId="40713EF0">
            <w:pPr>
              <w:pStyle w:val="36"/>
              <w:bidi w:val="0"/>
              <w:rPr>
                <w:rFonts w:hint="eastAsia"/>
                <w:color w:val="auto"/>
              </w:rPr>
            </w:pPr>
            <w:r>
              <w:rPr>
                <w:rFonts w:hint="eastAsia"/>
                <w:color w:val="auto"/>
              </w:rPr>
              <w:t>钢筋混凝土防洪墙顶宽0.4m ，高度按5.3m，基础埋深1.2m计算，迎水面1:0.1，背水面垂直，底部设置0.5m厚钢筋混凝土悬挑结构，面坡及背坡均设置0.5×0.5m的腋板，结构尺寸见图</w:t>
            </w:r>
            <w:r>
              <w:rPr>
                <w:rFonts w:hint="eastAsia"/>
                <w:color w:val="auto"/>
                <w:lang w:val="en-US" w:eastAsia="zh-CN"/>
              </w:rPr>
              <w:t>2-12</w:t>
            </w:r>
            <w:r>
              <w:rPr>
                <w:rFonts w:hint="eastAsia"/>
                <w:color w:val="auto"/>
              </w:rPr>
              <w:t>。</w:t>
            </w:r>
          </w:p>
          <w:p w14:paraId="15634DF2">
            <w:pPr>
              <w:pStyle w:val="36"/>
              <w:keepNext w:val="0"/>
              <w:keepLines w:val="0"/>
              <w:pageBreakBefore w:val="0"/>
              <w:widowControl w:val="0"/>
              <w:kinsoku/>
              <w:wordWrap/>
              <w:overflowPunct/>
              <w:topLinePunct w:val="0"/>
              <w:autoSpaceDE/>
              <w:autoSpaceDN/>
              <w:bidi w:val="0"/>
              <w:adjustRightInd w:val="0"/>
              <w:snapToGrid/>
              <w:ind w:firstLine="0" w:firstLineChars="0"/>
              <w:jc w:val="center"/>
              <w:textAlignment w:val="baseline"/>
              <w:rPr>
                <w:color w:val="auto"/>
              </w:rPr>
            </w:pPr>
            <w:r>
              <w:rPr>
                <w:color w:val="auto"/>
              </w:rPr>
              <w:drawing>
                <wp:inline distT="0" distB="0" distL="114300" distR="114300">
                  <wp:extent cx="4892675" cy="2395855"/>
                  <wp:effectExtent l="0" t="0" r="14605" b="12065"/>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pic:cNvPicPr>
                        </pic:nvPicPr>
                        <pic:blipFill>
                          <a:blip r:embed="rId50"/>
                          <a:stretch>
                            <a:fillRect/>
                          </a:stretch>
                        </pic:blipFill>
                        <pic:spPr>
                          <a:xfrm>
                            <a:off x="0" y="0"/>
                            <a:ext cx="4892675" cy="2395855"/>
                          </a:xfrm>
                          <a:prstGeom prst="rect">
                            <a:avLst/>
                          </a:prstGeom>
                          <a:noFill/>
                          <a:ln>
                            <a:noFill/>
                          </a:ln>
                        </pic:spPr>
                      </pic:pic>
                    </a:graphicData>
                  </a:graphic>
                </wp:inline>
              </w:drawing>
            </w:r>
          </w:p>
          <w:p w14:paraId="35EE30B7">
            <w:pPr>
              <w:pStyle w:val="36"/>
              <w:keepNext w:val="0"/>
              <w:keepLines w:val="0"/>
              <w:pageBreakBefore w:val="0"/>
              <w:widowControl w:val="0"/>
              <w:kinsoku/>
              <w:wordWrap/>
              <w:overflowPunct/>
              <w:topLinePunct w:val="0"/>
              <w:autoSpaceDE/>
              <w:autoSpaceDN/>
              <w:bidi w:val="0"/>
              <w:adjustRightInd w:val="0"/>
              <w:snapToGrid/>
              <w:ind w:firstLine="0" w:firstLineChars="0"/>
              <w:jc w:val="center"/>
              <w:textAlignment w:val="baseline"/>
              <w:rPr>
                <w:rFonts w:hint="default" w:eastAsia="宋体"/>
                <w:b/>
                <w:bCs/>
                <w:color w:val="auto"/>
                <w:sz w:val="21"/>
                <w:szCs w:val="21"/>
                <w:lang w:val="en-US" w:eastAsia="zh-CN"/>
              </w:rPr>
            </w:pPr>
            <w:r>
              <w:rPr>
                <w:rFonts w:hint="eastAsia"/>
                <w:b/>
                <w:bCs/>
                <w:color w:val="auto"/>
                <w:sz w:val="21"/>
                <w:szCs w:val="21"/>
                <w:lang w:eastAsia="zh-CN"/>
              </w:rPr>
              <w:t>图</w:t>
            </w:r>
            <w:r>
              <w:rPr>
                <w:rFonts w:hint="eastAsia"/>
                <w:b/>
                <w:bCs/>
                <w:color w:val="auto"/>
                <w:sz w:val="21"/>
                <w:szCs w:val="21"/>
                <w:lang w:val="en-US" w:eastAsia="zh-CN"/>
              </w:rPr>
              <w:t>2-12  钢筋混凝土堤</w:t>
            </w:r>
          </w:p>
          <w:p w14:paraId="458D2023">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以上四个方案每延米的主要工程量及投资对比</w:t>
            </w:r>
            <w:r>
              <w:rPr>
                <w:rFonts w:hint="default" w:ascii="Times New Roman" w:hAnsi="Times New Roman" w:eastAsia="宋体" w:cs="Times New Roman"/>
                <w:color w:val="auto"/>
                <w:kern w:val="0"/>
                <w:sz w:val="24"/>
                <w:szCs w:val="24"/>
                <w:lang w:val="en-US" w:eastAsia="zh-CN" w:bidi="ar"/>
              </w:rPr>
              <w:t>详见表2-1</w:t>
            </w:r>
            <w:r>
              <w:rPr>
                <w:rFonts w:hint="eastAsia" w:cs="Times New Roman"/>
                <w:color w:val="auto"/>
                <w:kern w:val="0"/>
                <w:sz w:val="24"/>
                <w:szCs w:val="24"/>
                <w:lang w:val="en-US" w:eastAsia="zh-CN" w:bidi="ar"/>
              </w:rPr>
              <w:t>6</w:t>
            </w:r>
            <w:r>
              <w:rPr>
                <w:rFonts w:hint="eastAsia" w:ascii="宋体" w:hAnsi="宋体" w:eastAsia="宋体" w:cs="宋体"/>
                <w:color w:val="auto"/>
                <w:kern w:val="0"/>
                <w:sz w:val="24"/>
                <w:szCs w:val="24"/>
                <w:lang w:val="en-US" w:eastAsia="zh-CN" w:bidi="ar"/>
              </w:rPr>
              <w:t>。</w:t>
            </w:r>
          </w:p>
          <w:p w14:paraId="0AC5C62A">
            <w:pPr>
              <w:keepNext w:val="0"/>
              <w:keepLines w:val="0"/>
              <w:widowControl/>
              <w:suppressLineNumbers w:val="0"/>
              <w:ind w:left="0" w:leftChars="0" w:firstLine="0" w:firstLineChars="0"/>
              <w:jc w:val="center"/>
              <w:rPr>
                <w:rFonts w:hint="default" w:eastAsia="宋体"/>
                <w:color w:val="auto"/>
                <w:lang w:val="en-US" w:eastAsia="zh-CN"/>
              </w:rPr>
            </w:pPr>
            <w:r>
              <w:rPr>
                <w:rFonts w:hint="eastAsia"/>
                <w:b/>
                <w:bCs/>
                <w:color w:val="auto"/>
                <w:sz w:val="21"/>
                <w:szCs w:val="21"/>
                <w:lang w:eastAsia="zh-CN"/>
              </w:rPr>
              <w:t>表</w:t>
            </w:r>
            <w:r>
              <w:rPr>
                <w:rFonts w:hint="eastAsia"/>
                <w:b/>
                <w:bCs/>
                <w:color w:val="auto"/>
                <w:sz w:val="21"/>
                <w:szCs w:val="21"/>
                <w:lang w:val="en-US" w:eastAsia="zh-CN"/>
              </w:rPr>
              <w:t>2-16 各</w:t>
            </w:r>
            <w:r>
              <w:rPr>
                <w:rFonts w:hint="eastAsia" w:ascii="宋体" w:hAnsi="宋体" w:eastAsia="宋体" w:cs="宋体"/>
                <w:b/>
                <w:bCs/>
                <w:color w:val="auto"/>
                <w:kern w:val="0"/>
                <w:sz w:val="21"/>
                <w:szCs w:val="21"/>
                <w:lang w:val="en-US" w:eastAsia="zh-CN" w:bidi="ar"/>
              </w:rPr>
              <w:t>种堤型工程量及每米投资比较表</w:t>
            </w:r>
          </w:p>
          <w:tbl>
            <w:tblPr>
              <w:tblStyle w:val="46"/>
              <w:tblW w:w="8889"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35"/>
              <w:gridCol w:w="2449"/>
              <w:gridCol w:w="578"/>
              <w:gridCol w:w="856"/>
              <w:gridCol w:w="1133"/>
              <w:gridCol w:w="909"/>
              <w:gridCol w:w="1379"/>
              <w:gridCol w:w="1150"/>
            </w:tblGrid>
            <w:tr w14:paraId="0F8228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435" w:type="dxa"/>
                  <w:textDirection w:val="tbRlV"/>
                  <w:vAlign w:val="center"/>
                </w:tcPr>
                <w:p w14:paraId="5BF7AD97">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6"/>
                      <w:sz w:val="21"/>
                      <w:szCs w:val="21"/>
                    </w:rPr>
                    <w:t>序号</w:t>
                  </w:r>
                </w:p>
              </w:tc>
              <w:tc>
                <w:tcPr>
                  <w:tcW w:w="2449" w:type="dxa"/>
                  <w:vAlign w:val="center"/>
                </w:tcPr>
                <w:p w14:paraId="3893FA85">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项目</w:t>
                  </w:r>
                </w:p>
              </w:tc>
              <w:tc>
                <w:tcPr>
                  <w:tcW w:w="578" w:type="dxa"/>
                  <w:textDirection w:val="tbRlV"/>
                  <w:vAlign w:val="center"/>
                </w:tcPr>
                <w:p w14:paraId="26D013A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6"/>
                      <w:sz w:val="21"/>
                      <w:szCs w:val="21"/>
                    </w:rPr>
                    <w:t>单位</w:t>
                  </w:r>
                </w:p>
              </w:tc>
              <w:tc>
                <w:tcPr>
                  <w:tcW w:w="856" w:type="dxa"/>
                  <w:vAlign w:val="center"/>
                </w:tcPr>
                <w:p w14:paraId="3E6D0962">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单价</w:t>
                  </w:r>
                </w:p>
                <w:p w14:paraId="53009AD5">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（元）</w:t>
                  </w:r>
                </w:p>
              </w:tc>
              <w:tc>
                <w:tcPr>
                  <w:tcW w:w="1133" w:type="dxa"/>
                  <w:vAlign w:val="center"/>
                </w:tcPr>
                <w:p w14:paraId="592AE6C9">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钢筋石笼</w:t>
                  </w:r>
                  <w:r>
                    <w:rPr>
                      <w:rFonts w:hint="default" w:ascii="Times New Roman" w:hAnsi="Times New Roman" w:eastAsia="Times New Roman" w:cs="Times New Roman"/>
                      <w:color w:val="auto"/>
                      <w:spacing w:val="-2"/>
                      <w:sz w:val="21"/>
                      <w:szCs w:val="21"/>
                    </w:rPr>
                    <w:t>+</w:t>
                  </w:r>
                  <w:r>
                    <w:rPr>
                      <w:rFonts w:hint="default" w:ascii="Times New Roman" w:hAnsi="Times New Roman" w:eastAsia="Times New Roman" w:cs="Times New Roman"/>
                      <w:color w:val="auto"/>
                      <w:spacing w:val="3"/>
                      <w:sz w:val="21"/>
                      <w:szCs w:val="21"/>
                    </w:rPr>
                    <w:t xml:space="preserve"> </w:t>
                  </w:r>
                  <w:r>
                    <w:rPr>
                      <w:rFonts w:hint="default" w:ascii="Times New Roman" w:hAnsi="Times New Roman" w:cs="Times New Roman"/>
                      <w:color w:val="auto"/>
                      <w:spacing w:val="-4"/>
                      <w:sz w:val="21"/>
                      <w:szCs w:val="21"/>
                    </w:rPr>
                    <w:t>土堤</w:t>
                  </w:r>
                </w:p>
              </w:tc>
              <w:tc>
                <w:tcPr>
                  <w:tcW w:w="909" w:type="dxa"/>
                  <w:vAlign w:val="center"/>
                </w:tcPr>
                <w:p w14:paraId="0784001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浆砌石</w:t>
                  </w:r>
                </w:p>
                <w:p w14:paraId="38E9E7E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堤</w:t>
                  </w:r>
                </w:p>
              </w:tc>
              <w:tc>
                <w:tcPr>
                  <w:tcW w:w="1379" w:type="dxa"/>
                  <w:vAlign w:val="center"/>
                </w:tcPr>
                <w:p w14:paraId="31F4407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重力式埋石混</w:t>
                  </w:r>
                  <w:r>
                    <w:rPr>
                      <w:rFonts w:hint="default" w:ascii="Times New Roman" w:hAnsi="Times New Roman" w:cs="Times New Roman"/>
                      <w:color w:val="auto"/>
                      <w:spacing w:val="3"/>
                      <w:sz w:val="21"/>
                      <w:szCs w:val="21"/>
                    </w:rPr>
                    <w:t xml:space="preserve"> </w:t>
                  </w:r>
                  <w:r>
                    <w:rPr>
                      <w:rFonts w:hint="default" w:ascii="Times New Roman" w:hAnsi="Times New Roman" w:cs="Times New Roman"/>
                      <w:color w:val="auto"/>
                      <w:spacing w:val="-3"/>
                      <w:sz w:val="21"/>
                      <w:szCs w:val="21"/>
                    </w:rPr>
                    <w:t>凝土堤</w:t>
                  </w:r>
                </w:p>
              </w:tc>
              <w:tc>
                <w:tcPr>
                  <w:tcW w:w="1150" w:type="dxa"/>
                  <w:vAlign w:val="center"/>
                </w:tcPr>
                <w:p w14:paraId="029E7FA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钢筋混凝土</w:t>
                  </w:r>
                  <w:r>
                    <w:rPr>
                      <w:rFonts w:hint="default" w:ascii="Times New Roman" w:hAnsi="Times New Roman" w:cs="Times New Roman"/>
                      <w:color w:val="auto"/>
                      <w:spacing w:val="3"/>
                      <w:sz w:val="21"/>
                      <w:szCs w:val="21"/>
                    </w:rPr>
                    <w:t xml:space="preserve"> </w:t>
                  </w:r>
                  <w:r>
                    <w:rPr>
                      <w:rFonts w:hint="default" w:ascii="Times New Roman" w:hAnsi="Times New Roman" w:cs="Times New Roman"/>
                      <w:color w:val="auto"/>
                      <w:spacing w:val="-7"/>
                      <w:sz w:val="21"/>
                      <w:szCs w:val="21"/>
                    </w:rPr>
                    <w:t>防洪墙</w:t>
                  </w:r>
                </w:p>
              </w:tc>
            </w:tr>
            <w:tr w14:paraId="5BD215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435" w:type="dxa"/>
                  <w:vAlign w:val="center"/>
                </w:tcPr>
                <w:p w14:paraId="3C0A9D8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w:t>
                  </w:r>
                </w:p>
              </w:tc>
              <w:tc>
                <w:tcPr>
                  <w:tcW w:w="2449" w:type="dxa"/>
                  <w:vAlign w:val="center"/>
                </w:tcPr>
                <w:p w14:paraId="5CF6E127">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土方开挖</w:t>
                  </w:r>
                </w:p>
              </w:tc>
              <w:tc>
                <w:tcPr>
                  <w:tcW w:w="578" w:type="dxa"/>
                  <w:vAlign w:val="center"/>
                </w:tcPr>
                <w:p w14:paraId="5C86F50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m³</w:t>
                  </w:r>
                </w:p>
              </w:tc>
              <w:tc>
                <w:tcPr>
                  <w:tcW w:w="856" w:type="dxa"/>
                  <w:vAlign w:val="center"/>
                </w:tcPr>
                <w:p w14:paraId="2395329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7.91</w:t>
                  </w:r>
                </w:p>
              </w:tc>
              <w:tc>
                <w:tcPr>
                  <w:tcW w:w="1133" w:type="dxa"/>
                  <w:vAlign w:val="center"/>
                </w:tcPr>
                <w:p w14:paraId="50C86C2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4"/>
                      <w:sz w:val="21"/>
                      <w:szCs w:val="21"/>
                    </w:rPr>
                    <w:t>15.98</w:t>
                  </w:r>
                </w:p>
              </w:tc>
              <w:tc>
                <w:tcPr>
                  <w:tcW w:w="909" w:type="dxa"/>
                  <w:vAlign w:val="center"/>
                </w:tcPr>
                <w:p w14:paraId="24988E2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4"/>
                      <w:sz w:val="21"/>
                      <w:szCs w:val="21"/>
                    </w:rPr>
                    <w:t>16.67</w:t>
                  </w:r>
                </w:p>
              </w:tc>
              <w:tc>
                <w:tcPr>
                  <w:tcW w:w="1379" w:type="dxa"/>
                  <w:vAlign w:val="center"/>
                </w:tcPr>
                <w:p w14:paraId="7EDC0D4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4"/>
                      <w:sz w:val="21"/>
                      <w:szCs w:val="21"/>
                    </w:rPr>
                    <w:t>16.25</w:t>
                  </w:r>
                </w:p>
              </w:tc>
              <w:tc>
                <w:tcPr>
                  <w:tcW w:w="1150" w:type="dxa"/>
                  <w:vAlign w:val="center"/>
                </w:tcPr>
                <w:p w14:paraId="698D1A8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4"/>
                      <w:sz w:val="21"/>
                      <w:szCs w:val="21"/>
                    </w:rPr>
                    <w:t>16.03</w:t>
                  </w:r>
                </w:p>
              </w:tc>
            </w:tr>
            <w:tr w14:paraId="0971D8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435" w:type="dxa"/>
                  <w:vAlign w:val="center"/>
                </w:tcPr>
                <w:p w14:paraId="07D4DB7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2</w:t>
                  </w:r>
                </w:p>
              </w:tc>
              <w:tc>
                <w:tcPr>
                  <w:tcW w:w="2449" w:type="dxa"/>
                  <w:vAlign w:val="center"/>
                </w:tcPr>
                <w:p w14:paraId="19A53F9E">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开挖料回填</w:t>
                  </w:r>
                </w:p>
              </w:tc>
              <w:tc>
                <w:tcPr>
                  <w:tcW w:w="578" w:type="dxa"/>
                  <w:vAlign w:val="center"/>
                </w:tcPr>
                <w:p w14:paraId="655AD26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m³</w:t>
                  </w:r>
                </w:p>
              </w:tc>
              <w:tc>
                <w:tcPr>
                  <w:tcW w:w="856" w:type="dxa"/>
                  <w:vAlign w:val="center"/>
                </w:tcPr>
                <w:p w14:paraId="153DD8E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5"/>
                      <w:sz w:val="21"/>
                      <w:szCs w:val="21"/>
                    </w:rPr>
                    <w:t>16.33</w:t>
                  </w:r>
                </w:p>
              </w:tc>
              <w:tc>
                <w:tcPr>
                  <w:tcW w:w="1133" w:type="dxa"/>
                  <w:vAlign w:val="center"/>
                </w:tcPr>
                <w:p w14:paraId="11F3AE1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6"/>
                      <w:sz w:val="21"/>
                      <w:szCs w:val="21"/>
                    </w:rPr>
                    <w:t>14.8</w:t>
                  </w:r>
                </w:p>
              </w:tc>
              <w:tc>
                <w:tcPr>
                  <w:tcW w:w="909" w:type="dxa"/>
                  <w:vAlign w:val="center"/>
                </w:tcPr>
                <w:p w14:paraId="34308C0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3"/>
                      <w:sz w:val="21"/>
                      <w:szCs w:val="21"/>
                    </w:rPr>
                    <w:t>6.9</w:t>
                  </w:r>
                </w:p>
              </w:tc>
              <w:tc>
                <w:tcPr>
                  <w:tcW w:w="1379" w:type="dxa"/>
                  <w:vAlign w:val="center"/>
                </w:tcPr>
                <w:p w14:paraId="6588D9A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7.39</w:t>
                  </w:r>
                </w:p>
              </w:tc>
              <w:tc>
                <w:tcPr>
                  <w:tcW w:w="1150" w:type="dxa"/>
                  <w:vAlign w:val="center"/>
                </w:tcPr>
                <w:p w14:paraId="50E8C27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3"/>
                      <w:sz w:val="21"/>
                      <w:szCs w:val="21"/>
                    </w:rPr>
                    <w:t>8.25</w:t>
                  </w:r>
                </w:p>
              </w:tc>
            </w:tr>
            <w:tr w14:paraId="6610F3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435" w:type="dxa"/>
                  <w:vAlign w:val="center"/>
                </w:tcPr>
                <w:p w14:paraId="7283F4F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3</w:t>
                  </w:r>
                </w:p>
              </w:tc>
              <w:tc>
                <w:tcPr>
                  <w:tcW w:w="2449" w:type="dxa"/>
                  <w:vAlign w:val="center"/>
                </w:tcPr>
                <w:p w14:paraId="72E3729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钢筋石笼护脚</w:t>
                  </w:r>
                </w:p>
                <w:p w14:paraId="63626D2B">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（外购料，含钢筋）</w:t>
                  </w:r>
                </w:p>
              </w:tc>
              <w:tc>
                <w:tcPr>
                  <w:tcW w:w="578" w:type="dxa"/>
                  <w:vAlign w:val="center"/>
                </w:tcPr>
                <w:p w14:paraId="0517A3E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m³</w:t>
                  </w:r>
                </w:p>
              </w:tc>
              <w:tc>
                <w:tcPr>
                  <w:tcW w:w="856" w:type="dxa"/>
                  <w:vAlign w:val="center"/>
                </w:tcPr>
                <w:p w14:paraId="6613B91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296.28</w:t>
                  </w:r>
                </w:p>
              </w:tc>
              <w:tc>
                <w:tcPr>
                  <w:tcW w:w="1133" w:type="dxa"/>
                  <w:vAlign w:val="center"/>
                </w:tcPr>
                <w:p w14:paraId="098B6EF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3"/>
                      <w:sz w:val="21"/>
                      <w:szCs w:val="21"/>
                    </w:rPr>
                    <w:t>8.18</w:t>
                  </w:r>
                </w:p>
              </w:tc>
              <w:tc>
                <w:tcPr>
                  <w:tcW w:w="909" w:type="dxa"/>
                  <w:vAlign w:val="center"/>
                </w:tcPr>
                <w:p w14:paraId="211B115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p>
              </w:tc>
              <w:tc>
                <w:tcPr>
                  <w:tcW w:w="1379" w:type="dxa"/>
                  <w:vAlign w:val="center"/>
                </w:tcPr>
                <w:p w14:paraId="7511F98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p>
              </w:tc>
              <w:tc>
                <w:tcPr>
                  <w:tcW w:w="1150" w:type="dxa"/>
                  <w:vAlign w:val="center"/>
                </w:tcPr>
                <w:p w14:paraId="672D65C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p>
              </w:tc>
            </w:tr>
            <w:tr w14:paraId="1B9E53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435" w:type="dxa"/>
                  <w:vAlign w:val="center"/>
                </w:tcPr>
                <w:p w14:paraId="42E6EC9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4</w:t>
                  </w:r>
                </w:p>
              </w:tc>
              <w:tc>
                <w:tcPr>
                  <w:tcW w:w="2449" w:type="dxa"/>
                  <w:vAlign w:val="center"/>
                </w:tcPr>
                <w:p w14:paraId="54721B9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Times New Roman" w:cs="Times New Roman"/>
                      <w:color w:val="auto"/>
                      <w:spacing w:val="-1"/>
                      <w:sz w:val="21"/>
                      <w:szCs w:val="21"/>
                    </w:rPr>
                    <w:t>M7.5</w:t>
                  </w:r>
                  <w:r>
                    <w:rPr>
                      <w:rFonts w:hint="default" w:ascii="Times New Roman" w:hAnsi="Times New Roman" w:cs="Times New Roman"/>
                      <w:color w:val="auto"/>
                      <w:spacing w:val="-1"/>
                      <w:sz w:val="21"/>
                      <w:szCs w:val="21"/>
                    </w:rPr>
                    <w:t>浆砌石</w:t>
                  </w:r>
                </w:p>
                <w:p w14:paraId="35B9D4F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（迎水面勾工字缝）</w:t>
                  </w:r>
                </w:p>
              </w:tc>
              <w:tc>
                <w:tcPr>
                  <w:tcW w:w="578" w:type="dxa"/>
                  <w:vAlign w:val="center"/>
                </w:tcPr>
                <w:p w14:paraId="0418C89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m³</w:t>
                  </w:r>
                </w:p>
              </w:tc>
              <w:tc>
                <w:tcPr>
                  <w:tcW w:w="856" w:type="dxa"/>
                  <w:vAlign w:val="center"/>
                </w:tcPr>
                <w:p w14:paraId="2CE9BD0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328.15</w:t>
                  </w:r>
                </w:p>
              </w:tc>
              <w:tc>
                <w:tcPr>
                  <w:tcW w:w="1133" w:type="dxa"/>
                  <w:vAlign w:val="center"/>
                </w:tcPr>
                <w:p w14:paraId="47944F1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p>
              </w:tc>
              <w:tc>
                <w:tcPr>
                  <w:tcW w:w="909" w:type="dxa"/>
                  <w:vAlign w:val="center"/>
                </w:tcPr>
                <w:p w14:paraId="6247B7F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7.75</w:t>
                  </w:r>
                </w:p>
              </w:tc>
              <w:tc>
                <w:tcPr>
                  <w:tcW w:w="1379" w:type="dxa"/>
                  <w:vAlign w:val="center"/>
                </w:tcPr>
                <w:p w14:paraId="1462033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p>
              </w:tc>
              <w:tc>
                <w:tcPr>
                  <w:tcW w:w="1150" w:type="dxa"/>
                  <w:vAlign w:val="center"/>
                </w:tcPr>
                <w:p w14:paraId="1384710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p>
              </w:tc>
            </w:tr>
            <w:tr w14:paraId="72BBB6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435" w:type="dxa"/>
                  <w:vAlign w:val="center"/>
                </w:tcPr>
                <w:p w14:paraId="7950167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5</w:t>
                  </w:r>
                </w:p>
              </w:tc>
              <w:tc>
                <w:tcPr>
                  <w:tcW w:w="2449" w:type="dxa"/>
                  <w:vAlign w:val="center"/>
                </w:tcPr>
                <w:p w14:paraId="1E29B412">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Times New Roman" w:cs="Times New Roman"/>
                      <w:color w:val="auto"/>
                      <w:spacing w:val="-1"/>
                      <w:sz w:val="21"/>
                      <w:szCs w:val="21"/>
                    </w:rPr>
                    <w:t>C20</w:t>
                  </w:r>
                  <w:r>
                    <w:rPr>
                      <w:rFonts w:hint="default" w:ascii="Times New Roman" w:hAnsi="Times New Roman" w:cs="Times New Roman"/>
                      <w:color w:val="auto"/>
                      <w:spacing w:val="-1"/>
                      <w:sz w:val="21"/>
                      <w:szCs w:val="21"/>
                    </w:rPr>
                    <w:t>埋石混凝土</w:t>
                  </w:r>
                </w:p>
              </w:tc>
              <w:tc>
                <w:tcPr>
                  <w:tcW w:w="578" w:type="dxa"/>
                  <w:vAlign w:val="center"/>
                </w:tcPr>
                <w:p w14:paraId="52038B4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m³</w:t>
                  </w:r>
                </w:p>
              </w:tc>
              <w:tc>
                <w:tcPr>
                  <w:tcW w:w="856" w:type="dxa"/>
                  <w:vAlign w:val="center"/>
                </w:tcPr>
                <w:p w14:paraId="06E0161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3"/>
                      <w:sz w:val="21"/>
                      <w:szCs w:val="21"/>
                    </w:rPr>
                    <w:t>380</w:t>
                  </w:r>
                </w:p>
              </w:tc>
              <w:tc>
                <w:tcPr>
                  <w:tcW w:w="1133" w:type="dxa"/>
                  <w:vAlign w:val="center"/>
                </w:tcPr>
                <w:p w14:paraId="502F036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p>
              </w:tc>
              <w:tc>
                <w:tcPr>
                  <w:tcW w:w="909" w:type="dxa"/>
                  <w:vAlign w:val="center"/>
                </w:tcPr>
                <w:p w14:paraId="7E8B046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p>
              </w:tc>
              <w:tc>
                <w:tcPr>
                  <w:tcW w:w="1379" w:type="dxa"/>
                  <w:vAlign w:val="center"/>
                </w:tcPr>
                <w:p w14:paraId="7612DA9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3"/>
                      <w:sz w:val="21"/>
                      <w:szCs w:val="21"/>
                    </w:rPr>
                    <w:t>6.5</w:t>
                  </w:r>
                </w:p>
              </w:tc>
              <w:tc>
                <w:tcPr>
                  <w:tcW w:w="1150" w:type="dxa"/>
                  <w:vAlign w:val="center"/>
                </w:tcPr>
                <w:p w14:paraId="0092BA1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p>
              </w:tc>
            </w:tr>
            <w:tr w14:paraId="45C822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435" w:type="dxa"/>
                  <w:vAlign w:val="center"/>
                </w:tcPr>
                <w:p w14:paraId="1A46049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6</w:t>
                  </w:r>
                </w:p>
              </w:tc>
              <w:tc>
                <w:tcPr>
                  <w:tcW w:w="2449" w:type="dxa"/>
                  <w:vAlign w:val="center"/>
                </w:tcPr>
                <w:p w14:paraId="5CBC966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Times New Roman" w:cs="Times New Roman"/>
                      <w:color w:val="auto"/>
                      <w:spacing w:val="-1"/>
                      <w:sz w:val="21"/>
                      <w:szCs w:val="21"/>
                    </w:rPr>
                    <w:t>C20</w:t>
                  </w:r>
                  <w:r>
                    <w:rPr>
                      <w:rFonts w:hint="default" w:ascii="Times New Roman" w:hAnsi="Times New Roman" w:cs="Times New Roman"/>
                      <w:color w:val="auto"/>
                      <w:spacing w:val="-1"/>
                      <w:sz w:val="21"/>
                      <w:szCs w:val="21"/>
                    </w:rPr>
                    <w:t>钢筋混凝土</w:t>
                  </w:r>
                </w:p>
              </w:tc>
              <w:tc>
                <w:tcPr>
                  <w:tcW w:w="578" w:type="dxa"/>
                  <w:vAlign w:val="center"/>
                </w:tcPr>
                <w:p w14:paraId="4AFA293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p>
              </w:tc>
              <w:tc>
                <w:tcPr>
                  <w:tcW w:w="856" w:type="dxa"/>
                  <w:vAlign w:val="center"/>
                </w:tcPr>
                <w:p w14:paraId="5F961B0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4"/>
                      <w:sz w:val="21"/>
                      <w:szCs w:val="21"/>
                    </w:rPr>
                    <w:t>486.</w:t>
                  </w:r>
                  <w:r>
                    <w:rPr>
                      <w:rFonts w:hint="default" w:ascii="Times New Roman" w:hAnsi="Times New Roman" w:eastAsia="Times New Roman" w:cs="Times New Roman"/>
                      <w:color w:val="auto"/>
                      <w:spacing w:val="-24"/>
                      <w:sz w:val="21"/>
                      <w:szCs w:val="21"/>
                    </w:rPr>
                    <w:t xml:space="preserve"> </w:t>
                  </w:r>
                  <w:r>
                    <w:rPr>
                      <w:rFonts w:hint="default" w:ascii="Times New Roman" w:hAnsi="Times New Roman" w:eastAsia="Times New Roman" w:cs="Times New Roman"/>
                      <w:color w:val="auto"/>
                      <w:spacing w:val="-4"/>
                      <w:sz w:val="21"/>
                      <w:szCs w:val="21"/>
                    </w:rPr>
                    <w:t>11</w:t>
                  </w:r>
                </w:p>
              </w:tc>
              <w:tc>
                <w:tcPr>
                  <w:tcW w:w="1133" w:type="dxa"/>
                  <w:vAlign w:val="center"/>
                </w:tcPr>
                <w:p w14:paraId="6AD3ACB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p>
              </w:tc>
              <w:tc>
                <w:tcPr>
                  <w:tcW w:w="909" w:type="dxa"/>
                  <w:vAlign w:val="center"/>
                </w:tcPr>
                <w:p w14:paraId="7B8EEFC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6"/>
                      <w:sz w:val="21"/>
                      <w:szCs w:val="21"/>
                    </w:rPr>
                    <w:t>1.11</w:t>
                  </w:r>
                </w:p>
              </w:tc>
              <w:tc>
                <w:tcPr>
                  <w:tcW w:w="1379" w:type="dxa"/>
                  <w:vAlign w:val="center"/>
                </w:tcPr>
                <w:p w14:paraId="714F163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5"/>
                      <w:sz w:val="21"/>
                      <w:szCs w:val="21"/>
                    </w:rPr>
                    <w:t>1.02</w:t>
                  </w:r>
                </w:p>
              </w:tc>
              <w:tc>
                <w:tcPr>
                  <w:tcW w:w="1150" w:type="dxa"/>
                  <w:vAlign w:val="center"/>
                </w:tcPr>
                <w:p w14:paraId="78F19FE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5.72</w:t>
                  </w:r>
                </w:p>
              </w:tc>
            </w:tr>
            <w:tr w14:paraId="7D857F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435" w:type="dxa"/>
                  <w:vAlign w:val="center"/>
                </w:tcPr>
                <w:p w14:paraId="7E946DB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7</w:t>
                  </w:r>
                </w:p>
              </w:tc>
              <w:tc>
                <w:tcPr>
                  <w:tcW w:w="2449" w:type="dxa"/>
                  <w:vAlign w:val="center"/>
                </w:tcPr>
                <w:p w14:paraId="5483A19B">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草皮护坡</w:t>
                  </w:r>
                </w:p>
              </w:tc>
              <w:tc>
                <w:tcPr>
                  <w:tcW w:w="578" w:type="dxa"/>
                  <w:vAlign w:val="center"/>
                </w:tcPr>
                <w:p w14:paraId="13F857F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m²</w:t>
                  </w:r>
                </w:p>
              </w:tc>
              <w:tc>
                <w:tcPr>
                  <w:tcW w:w="856" w:type="dxa"/>
                  <w:vAlign w:val="center"/>
                </w:tcPr>
                <w:p w14:paraId="2B4799B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5"/>
                      <w:sz w:val="21"/>
                      <w:szCs w:val="21"/>
                    </w:rPr>
                    <w:t>14.96</w:t>
                  </w:r>
                </w:p>
              </w:tc>
              <w:tc>
                <w:tcPr>
                  <w:tcW w:w="1133" w:type="dxa"/>
                  <w:vAlign w:val="center"/>
                </w:tcPr>
                <w:p w14:paraId="7080C6B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4.84</w:t>
                  </w:r>
                </w:p>
              </w:tc>
              <w:tc>
                <w:tcPr>
                  <w:tcW w:w="909" w:type="dxa"/>
                  <w:vAlign w:val="center"/>
                </w:tcPr>
                <w:p w14:paraId="6AAC0C9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p>
              </w:tc>
              <w:tc>
                <w:tcPr>
                  <w:tcW w:w="1379" w:type="dxa"/>
                  <w:vAlign w:val="center"/>
                </w:tcPr>
                <w:p w14:paraId="5EF58E3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p>
              </w:tc>
              <w:tc>
                <w:tcPr>
                  <w:tcW w:w="1150" w:type="dxa"/>
                  <w:vAlign w:val="center"/>
                </w:tcPr>
                <w:p w14:paraId="3CCCAAC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p>
              </w:tc>
            </w:tr>
            <w:tr w14:paraId="5E80C7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435" w:type="dxa"/>
                  <w:vAlign w:val="center"/>
                </w:tcPr>
                <w:p w14:paraId="31EFCA2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8</w:t>
                  </w:r>
                </w:p>
              </w:tc>
              <w:tc>
                <w:tcPr>
                  <w:tcW w:w="2449" w:type="dxa"/>
                  <w:vAlign w:val="center"/>
                </w:tcPr>
                <w:p w14:paraId="13DCD30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钢筋制安</w:t>
                  </w:r>
                </w:p>
              </w:tc>
              <w:tc>
                <w:tcPr>
                  <w:tcW w:w="578" w:type="dxa"/>
                  <w:vAlign w:val="center"/>
                </w:tcPr>
                <w:p w14:paraId="261CD46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kg</w:t>
                  </w:r>
                </w:p>
              </w:tc>
              <w:tc>
                <w:tcPr>
                  <w:tcW w:w="856" w:type="dxa"/>
                  <w:vAlign w:val="center"/>
                </w:tcPr>
                <w:p w14:paraId="593A2D2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7.423</w:t>
                  </w:r>
                </w:p>
              </w:tc>
              <w:tc>
                <w:tcPr>
                  <w:tcW w:w="1133" w:type="dxa"/>
                  <w:vAlign w:val="center"/>
                </w:tcPr>
                <w:p w14:paraId="7044C9C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p>
              </w:tc>
              <w:tc>
                <w:tcPr>
                  <w:tcW w:w="909" w:type="dxa"/>
                  <w:vAlign w:val="center"/>
                </w:tcPr>
                <w:p w14:paraId="3A6C5A4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62.16</w:t>
                  </w:r>
                </w:p>
              </w:tc>
              <w:tc>
                <w:tcPr>
                  <w:tcW w:w="1379" w:type="dxa"/>
                  <w:vAlign w:val="center"/>
                </w:tcPr>
                <w:p w14:paraId="2F56138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6"/>
                      <w:sz w:val="21"/>
                      <w:szCs w:val="21"/>
                    </w:rPr>
                    <w:t>57.</w:t>
                  </w:r>
                  <w:r>
                    <w:rPr>
                      <w:rFonts w:hint="default" w:ascii="Times New Roman" w:hAnsi="Times New Roman" w:eastAsia="Times New Roman" w:cs="Times New Roman"/>
                      <w:color w:val="auto"/>
                      <w:spacing w:val="-23"/>
                      <w:sz w:val="21"/>
                      <w:szCs w:val="21"/>
                    </w:rPr>
                    <w:t xml:space="preserve"> </w:t>
                  </w:r>
                  <w:r>
                    <w:rPr>
                      <w:rFonts w:hint="default" w:ascii="Times New Roman" w:hAnsi="Times New Roman" w:eastAsia="Times New Roman" w:cs="Times New Roman"/>
                      <w:color w:val="auto"/>
                      <w:spacing w:val="-6"/>
                      <w:sz w:val="21"/>
                      <w:szCs w:val="21"/>
                    </w:rPr>
                    <w:t>12</w:t>
                  </w:r>
                </w:p>
              </w:tc>
              <w:tc>
                <w:tcPr>
                  <w:tcW w:w="1150" w:type="dxa"/>
                  <w:vAlign w:val="center"/>
                </w:tcPr>
                <w:p w14:paraId="71B269F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343.2</w:t>
                  </w:r>
                </w:p>
              </w:tc>
            </w:tr>
            <w:tr w14:paraId="45DCD0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1" w:hRule="atLeast"/>
              </w:trPr>
              <w:tc>
                <w:tcPr>
                  <w:tcW w:w="435" w:type="dxa"/>
                  <w:vAlign w:val="center"/>
                </w:tcPr>
                <w:p w14:paraId="748AA37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9</w:t>
                  </w:r>
                </w:p>
              </w:tc>
              <w:tc>
                <w:tcPr>
                  <w:tcW w:w="2449" w:type="dxa"/>
                  <w:vAlign w:val="center"/>
                </w:tcPr>
                <w:p w14:paraId="4563D8C9">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每米总投资（元）</w:t>
                  </w:r>
                </w:p>
              </w:tc>
              <w:tc>
                <w:tcPr>
                  <w:tcW w:w="578" w:type="dxa"/>
                  <w:vAlign w:val="center"/>
                </w:tcPr>
                <w:p w14:paraId="04CE32B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p>
              </w:tc>
              <w:tc>
                <w:tcPr>
                  <w:tcW w:w="856" w:type="dxa"/>
                  <w:vAlign w:val="center"/>
                </w:tcPr>
                <w:p w14:paraId="0630B10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rPr>
                  </w:pPr>
                </w:p>
              </w:tc>
              <w:tc>
                <w:tcPr>
                  <w:tcW w:w="1133" w:type="dxa"/>
                  <w:vAlign w:val="center"/>
                </w:tcPr>
                <w:p w14:paraId="714843B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2960.73</w:t>
                  </w:r>
                </w:p>
              </w:tc>
              <w:tc>
                <w:tcPr>
                  <w:tcW w:w="909" w:type="dxa"/>
                  <w:vAlign w:val="center"/>
                </w:tcPr>
                <w:p w14:paraId="07121E3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3938.06</w:t>
                  </w:r>
                </w:p>
              </w:tc>
              <w:tc>
                <w:tcPr>
                  <w:tcW w:w="1379" w:type="dxa"/>
                  <w:vAlign w:val="center"/>
                </w:tcPr>
                <w:p w14:paraId="4750F1B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4374.50</w:t>
                  </w:r>
                </w:p>
              </w:tc>
              <w:tc>
                <w:tcPr>
                  <w:tcW w:w="1150" w:type="dxa"/>
                  <w:vAlign w:val="center"/>
                </w:tcPr>
                <w:p w14:paraId="6460886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5708.50</w:t>
                  </w:r>
                </w:p>
              </w:tc>
            </w:tr>
          </w:tbl>
          <w:p w14:paraId="095DE46E">
            <w:pPr>
              <w:pStyle w:val="31"/>
              <w:keepNext w:val="0"/>
              <w:keepLines w:val="0"/>
              <w:pageBreakBefore w:val="0"/>
              <w:widowControl w:val="0"/>
              <w:kinsoku/>
              <w:wordWrap/>
              <w:overflowPunct/>
              <w:topLinePunct w:val="0"/>
              <w:autoSpaceDE/>
              <w:autoSpaceDN/>
              <w:bidi w:val="0"/>
              <w:adjustRightInd w:val="0"/>
              <w:snapToGrid w:val="0"/>
              <w:spacing w:before="0" w:beforeLines="0" w:line="360" w:lineRule="auto"/>
              <w:ind w:left="0" w:leftChars="0" w:firstLine="482" w:firstLineChars="200"/>
              <w:jc w:val="both"/>
              <w:textAlignment w:val="baseline"/>
              <w:rPr>
                <w:rFonts w:hint="eastAsia"/>
                <w:color w:val="auto"/>
                <w:sz w:val="24"/>
                <w:szCs w:val="24"/>
                <w:lang w:eastAsia="zh-CN"/>
              </w:rPr>
            </w:pPr>
            <w:r>
              <w:rPr>
                <w:rFonts w:hint="eastAsia"/>
                <w:color w:val="auto"/>
                <w:sz w:val="24"/>
                <w:szCs w:val="24"/>
                <w:lang w:eastAsia="zh-CN"/>
              </w:rPr>
              <w:t>综合比较：</w:t>
            </w:r>
          </w:p>
          <w:p w14:paraId="7D560415">
            <w:pPr>
              <w:pStyle w:val="31"/>
              <w:keepNext w:val="0"/>
              <w:keepLines w:val="0"/>
              <w:pageBreakBefore w:val="0"/>
              <w:widowControl w:val="0"/>
              <w:kinsoku/>
              <w:wordWrap/>
              <w:overflowPunct/>
              <w:topLinePunct w:val="0"/>
              <w:autoSpaceDE/>
              <w:autoSpaceDN/>
              <w:bidi w:val="0"/>
              <w:adjustRightInd w:val="0"/>
              <w:snapToGrid w:val="0"/>
              <w:spacing w:before="0" w:beforeLines="0" w:line="360" w:lineRule="auto"/>
              <w:ind w:left="0" w:leftChars="0" w:firstLine="480" w:firstLineChars="200"/>
              <w:jc w:val="both"/>
              <w:textAlignment w:val="baseline"/>
              <w:rPr>
                <w:rFonts w:hint="eastAsia"/>
                <w:b w:val="0"/>
                <w:bCs/>
                <w:color w:val="auto"/>
                <w:sz w:val="24"/>
                <w:szCs w:val="24"/>
                <w:lang w:eastAsia="zh-CN"/>
              </w:rPr>
            </w:pPr>
            <w:r>
              <w:rPr>
                <w:rFonts w:hint="eastAsia"/>
                <w:b w:val="0"/>
                <w:bCs/>
                <w:color w:val="auto"/>
                <w:sz w:val="24"/>
                <w:szCs w:val="24"/>
                <w:lang w:eastAsia="zh-CN"/>
              </w:rPr>
              <w:t>土堤：项目区可充分利用堤基、堤岸开挖料（砂卵砾石）填筑堤防，迎水面采用土工布防渗。本次治理工程优先选用土堤，该堤型结合相应的护岸、护脚形式，既能有效降低水流对河岸的侵蚀，不阻断地下水与河水间的水循环，又有利于植物生长增强堤身稳定且美化环境，突出生态治河效应，同时能减少堤防基础开挖，降低投资，其缺点是占地面积较大，本工程堤线基本沿老河岸及机耕路布置，已尽可能减少新增占地。</w:t>
            </w:r>
          </w:p>
          <w:p w14:paraId="16F6B540">
            <w:pPr>
              <w:pStyle w:val="31"/>
              <w:keepNext w:val="0"/>
              <w:keepLines w:val="0"/>
              <w:pageBreakBefore w:val="0"/>
              <w:widowControl w:val="0"/>
              <w:kinsoku/>
              <w:wordWrap/>
              <w:overflowPunct/>
              <w:topLinePunct w:val="0"/>
              <w:autoSpaceDE/>
              <w:autoSpaceDN/>
              <w:bidi w:val="0"/>
              <w:adjustRightInd w:val="0"/>
              <w:snapToGrid w:val="0"/>
              <w:spacing w:before="0" w:beforeLines="0" w:line="360" w:lineRule="auto"/>
              <w:ind w:left="0" w:leftChars="0" w:firstLine="480" w:firstLineChars="200"/>
              <w:jc w:val="both"/>
              <w:textAlignment w:val="baseline"/>
              <w:rPr>
                <w:rFonts w:hint="eastAsia"/>
                <w:b w:val="0"/>
                <w:bCs/>
                <w:color w:val="auto"/>
                <w:sz w:val="24"/>
                <w:szCs w:val="24"/>
                <w:lang w:eastAsia="zh-CN"/>
              </w:rPr>
            </w:pPr>
            <w:r>
              <w:rPr>
                <w:rFonts w:hint="eastAsia"/>
                <w:b w:val="0"/>
                <w:bCs/>
                <w:color w:val="auto"/>
                <w:sz w:val="24"/>
                <w:szCs w:val="24"/>
                <w:lang w:eastAsia="zh-CN"/>
              </w:rPr>
              <w:t>浆砌石堤：浆砌石堤对基础埋置深度要求高，开挖量大，同时施工要求导流、抽排水等工序，施工工艺、施工难度较土堤复杂，同时投资大，且与生态治河的理念不太适应，优点是占地面积小。</w:t>
            </w:r>
          </w:p>
          <w:p w14:paraId="5028F47C">
            <w:pPr>
              <w:pStyle w:val="31"/>
              <w:keepNext w:val="0"/>
              <w:keepLines w:val="0"/>
              <w:pageBreakBefore w:val="0"/>
              <w:widowControl w:val="0"/>
              <w:kinsoku/>
              <w:wordWrap/>
              <w:overflowPunct/>
              <w:topLinePunct w:val="0"/>
              <w:autoSpaceDE/>
              <w:autoSpaceDN/>
              <w:bidi w:val="0"/>
              <w:adjustRightInd w:val="0"/>
              <w:snapToGrid w:val="0"/>
              <w:spacing w:before="0" w:beforeLines="0" w:line="360" w:lineRule="auto"/>
              <w:ind w:left="0" w:leftChars="0" w:firstLine="480" w:firstLineChars="200"/>
              <w:jc w:val="both"/>
              <w:textAlignment w:val="baseline"/>
              <w:rPr>
                <w:rFonts w:hint="eastAsia"/>
                <w:b w:val="0"/>
                <w:bCs/>
                <w:color w:val="auto"/>
                <w:sz w:val="24"/>
                <w:szCs w:val="24"/>
                <w:lang w:eastAsia="zh-CN"/>
              </w:rPr>
            </w:pPr>
            <w:r>
              <w:rPr>
                <w:rFonts w:hint="eastAsia"/>
                <w:b w:val="0"/>
                <w:bCs/>
                <w:color w:val="auto"/>
                <w:sz w:val="24"/>
                <w:szCs w:val="24"/>
                <w:lang w:eastAsia="zh-CN"/>
              </w:rPr>
              <w:t>埋石混凝土堤、钢筋混凝土防洪墙：该两种堤型优缺点与浆砌石堤防相当，但投资比浆砌石堤更大，不推荐使用。</w:t>
            </w:r>
          </w:p>
          <w:p w14:paraId="3E10B36D">
            <w:pPr>
              <w:pStyle w:val="31"/>
              <w:bidi w:val="0"/>
              <w:jc w:val="both"/>
              <w:rPr>
                <w:rFonts w:hint="eastAsia" w:eastAsia="宋体"/>
                <w:color w:val="auto"/>
                <w:sz w:val="24"/>
                <w:szCs w:val="24"/>
                <w:lang w:eastAsia="zh-CN"/>
              </w:rPr>
            </w:pPr>
            <w:r>
              <w:rPr>
                <w:rFonts w:hint="eastAsia"/>
                <w:color w:val="auto"/>
                <w:sz w:val="24"/>
                <w:szCs w:val="24"/>
                <w:lang w:eastAsia="zh-CN"/>
              </w:rPr>
              <w:t>三、护坡、护脚工程型式选择</w:t>
            </w:r>
          </w:p>
          <w:p w14:paraId="4246E053">
            <w:pPr>
              <w:pStyle w:val="36"/>
              <w:bidi w:val="0"/>
              <w:rPr>
                <w:rFonts w:hint="eastAsia"/>
                <w:b w:val="0"/>
                <w:bCs w:val="0"/>
                <w:color w:val="auto"/>
              </w:rPr>
            </w:pPr>
            <w:r>
              <w:rPr>
                <w:rFonts w:hint="eastAsia"/>
                <w:b w:val="0"/>
                <w:bCs w:val="0"/>
                <w:color w:val="auto"/>
              </w:rPr>
              <w:t>根据河道现状及相关河道治理经验，河道护脚、护坡一般有以下几种型式：</w:t>
            </w:r>
          </w:p>
          <w:p w14:paraId="1588B8BE">
            <w:pPr>
              <w:pStyle w:val="36"/>
              <w:bidi w:val="0"/>
              <w:rPr>
                <w:rFonts w:hint="eastAsia"/>
                <w:b w:val="0"/>
                <w:bCs w:val="0"/>
                <w:color w:val="auto"/>
              </w:rPr>
            </w:pPr>
            <w:r>
              <w:rPr>
                <w:rFonts w:hint="eastAsia"/>
                <w:b w:val="0"/>
                <w:bCs w:val="0"/>
                <w:color w:val="auto"/>
              </w:rPr>
              <w:t>1、钢筋石笼护脚：钢筋石笼护脚为传统方案，德宏州芒市大河、瑞丽江、大盈江、南底河等江河治理大部分都使用钢筋石笼。其优点是：抗冲刷能力强，能适应变形，不需施工导流、抽排水等工序。其缺点是：石笼需人工编织，耗时费力，施工不便。</w:t>
            </w:r>
          </w:p>
          <w:p w14:paraId="792A7613">
            <w:pPr>
              <w:pStyle w:val="36"/>
              <w:bidi w:val="0"/>
              <w:rPr>
                <w:rFonts w:hint="eastAsia"/>
                <w:b w:val="0"/>
                <w:bCs w:val="0"/>
                <w:color w:val="auto"/>
              </w:rPr>
            </w:pPr>
            <w:r>
              <w:rPr>
                <w:rFonts w:hint="eastAsia"/>
                <w:b w:val="0"/>
                <w:bCs w:val="0"/>
                <w:color w:val="auto"/>
              </w:rPr>
              <w:t>2、格宾护脚：格宾笼与钢筋石笼原理上相似，不同之处在于格宾不需手工编织，由机器编织成型。格宾由机编双绞合六边形金属网面构成的结构，施工时用石头填充，是一种柔性结构，能够很好地适应基础的不均匀沉降；无需传统结构的排水设施，节省工序，加快施工效率。其缺点是抗冲能力差，强度不如钢筋石笼。</w:t>
            </w:r>
          </w:p>
          <w:p w14:paraId="2CA0C919">
            <w:pPr>
              <w:pStyle w:val="36"/>
              <w:bidi w:val="0"/>
              <w:rPr>
                <w:rFonts w:hint="eastAsia"/>
                <w:b w:val="0"/>
                <w:bCs w:val="0"/>
                <w:color w:val="auto"/>
              </w:rPr>
            </w:pPr>
            <w:r>
              <w:rPr>
                <w:rFonts w:hint="eastAsia"/>
                <w:b w:val="0"/>
                <w:bCs w:val="0"/>
                <w:color w:val="auto"/>
              </w:rPr>
              <w:t>3、干砌块石护坡，2年一遇水位以下边坡采用干砌石护坡。干砌石护坡施工经验成熟，施工质量易于控制。</w:t>
            </w:r>
          </w:p>
          <w:p w14:paraId="3E0292CC">
            <w:pPr>
              <w:pStyle w:val="36"/>
              <w:bidi w:val="0"/>
              <w:rPr>
                <w:rFonts w:hint="eastAsia"/>
                <w:b w:val="0"/>
                <w:bCs w:val="0"/>
                <w:color w:val="auto"/>
              </w:rPr>
            </w:pPr>
            <w:r>
              <w:rPr>
                <w:rFonts w:hint="eastAsia"/>
                <w:b w:val="0"/>
                <w:bCs w:val="0"/>
                <w:color w:val="auto"/>
              </w:rPr>
              <w:t>4、草皮护坡，2年一遇水位以下采用钢筋石笼护岸，2年一遇水位以上采用草皮护坡。</w:t>
            </w:r>
          </w:p>
          <w:p w14:paraId="17DFB00F">
            <w:pPr>
              <w:pStyle w:val="36"/>
              <w:bidi w:val="0"/>
              <w:rPr>
                <w:rFonts w:hint="eastAsia"/>
                <w:b w:val="0"/>
                <w:bCs w:val="0"/>
                <w:color w:val="auto"/>
              </w:rPr>
            </w:pPr>
            <w:r>
              <w:rPr>
                <w:rFonts w:hint="eastAsia"/>
                <w:b w:val="0"/>
                <w:bCs w:val="0"/>
                <w:color w:val="auto"/>
              </w:rPr>
              <w:t>根据以往治河经验，本工程护脚推荐比较成熟的钢筋石笼护脚。护坡采用干砌块石护坡（方案一）和草皮护坡（方案二）两个方案进行比较。两种方案工程量、投资、施工条件等对比如下（以标准断面单位投资1m计算，堤总高4.0m）。</w:t>
            </w:r>
          </w:p>
          <w:p w14:paraId="2800B42A">
            <w:pPr>
              <w:pStyle w:val="36"/>
              <w:bidi w:val="0"/>
              <w:ind w:left="0" w:leftChars="0" w:firstLine="0" w:firstLineChars="0"/>
              <w:jc w:val="center"/>
              <w:rPr>
                <w:rFonts w:hint="eastAsia"/>
                <w:b/>
                <w:bCs/>
                <w:color w:val="auto"/>
                <w:sz w:val="21"/>
                <w:szCs w:val="21"/>
              </w:rPr>
            </w:pPr>
            <w:r>
              <w:rPr>
                <w:rFonts w:hint="eastAsia"/>
                <w:b/>
                <w:bCs/>
                <w:color w:val="auto"/>
                <w:sz w:val="21"/>
                <w:szCs w:val="21"/>
              </w:rPr>
              <w:t xml:space="preserve">表 </w:t>
            </w:r>
            <w:r>
              <w:rPr>
                <w:rFonts w:hint="eastAsia"/>
                <w:b/>
                <w:bCs/>
                <w:color w:val="auto"/>
                <w:sz w:val="21"/>
                <w:szCs w:val="21"/>
                <w:lang w:val="en-US" w:eastAsia="zh-CN"/>
              </w:rPr>
              <w:t>2-17</w:t>
            </w:r>
            <w:r>
              <w:rPr>
                <w:rFonts w:hint="eastAsia"/>
                <w:b/>
                <w:bCs/>
                <w:color w:val="auto"/>
                <w:sz w:val="21"/>
                <w:szCs w:val="21"/>
              </w:rPr>
              <w:t xml:space="preserve">    护坡工程量投资对比表</w:t>
            </w:r>
          </w:p>
          <w:tbl>
            <w:tblPr>
              <w:tblStyle w:val="46"/>
              <w:tblW w:w="7737"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00"/>
              <w:gridCol w:w="3012"/>
              <w:gridCol w:w="631"/>
              <w:gridCol w:w="819"/>
              <w:gridCol w:w="1524"/>
              <w:gridCol w:w="1351"/>
            </w:tblGrid>
            <w:tr w14:paraId="7ECB27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3" w:hRule="atLeast"/>
              </w:trPr>
              <w:tc>
                <w:tcPr>
                  <w:tcW w:w="400" w:type="dxa"/>
                  <w:vAlign w:val="top"/>
                </w:tcPr>
                <w:p w14:paraId="7DA9F51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auto"/>
                      <w:sz w:val="21"/>
                      <w:szCs w:val="21"/>
                    </w:rPr>
                  </w:pPr>
                  <w:r>
                    <w:rPr>
                      <w:color w:val="auto"/>
                      <w:spacing w:val="5"/>
                      <w:sz w:val="21"/>
                      <w:szCs w:val="21"/>
                    </w:rPr>
                    <w:t>序号</w:t>
                  </w:r>
                </w:p>
              </w:tc>
              <w:tc>
                <w:tcPr>
                  <w:tcW w:w="3012" w:type="dxa"/>
                  <w:vAlign w:val="top"/>
                </w:tcPr>
                <w:p w14:paraId="1D7DABB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auto"/>
                      <w:sz w:val="21"/>
                      <w:szCs w:val="21"/>
                    </w:rPr>
                  </w:pPr>
                  <w:r>
                    <w:rPr>
                      <w:color w:val="auto"/>
                      <w:spacing w:val="3"/>
                      <w:sz w:val="21"/>
                      <w:szCs w:val="21"/>
                    </w:rPr>
                    <w:t>项目</w:t>
                  </w:r>
                </w:p>
              </w:tc>
              <w:tc>
                <w:tcPr>
                  <w:tcW w:w="631" w:type="dxa"/>
                  <w:vAlign w:val="top"/>
                </w:tcPr>
                <w:p w14:paraId="2C444A90">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auto"/>
                      <w:sz w:val="21"/>
                      <w:szCs w:val="21"/>
                    </w:rPr>
                  </w:pPr>
                  <w:r>
                    <w:rPr>
                      <w:color w:val="auto"/>
                      <w:spacing w:val="3"/>
                      <w:sz w:val="21"/>
                      <w:szCs w:val="21"/>
                    </w:rPr>
                    <w:t>单位</w:t>
                  </w:r>
                </w:p>
              </w:tc>
              <w:tc>
                <w:tcPr>
                  <w:tcW w:w="819" w:type="dxa"/>
                  <w:vAlign w:val="top"/>
                </w:tcPr>
                <w:p w14:paraId="19E1548B">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auto"/>
                      <w:sz w:val="21"/>
                      <w:szCs w:val="21"/>
                    </w:rPr>
                  </w:pPr>
                  <w:r>
                    <w:rPr>
                      <w:color w:val="auto"/>
                      <w:spacing w:val="3"/>
                      <w:sz w:val="21"/>
                      <w:szCs w:val="21"/>
                    </w:rPr>
                    <w:t>单价</w:t>
                  </w:r>
                  <w:r>
                    <w:rPr>
                      <w:color w:val="auto"/>
                      <w:sz w:val="21"/>
                      <w:szCs w:val="21"/>
                    </w:rPr>
                    <w:t xml:space="preserve"> </w:t>
                  </w:r>
                  <w:r>
                    <w:rPr>
                      <w:color w:val="auto"/>
                      <w:spacing w:val="-3"/>
                      <w:sz w:val="21"/>
                      <w:szCs w:val="21"/>
                    </w:rPr>
                    <w:t>（元）</w:t>
                  </w:r>
                </w:p>
              </w:tc>
              <w:tc>
                <w:tcPr>
                  <w:tcW w:w="1524" w:type="dxa"/>
                  <w:vAlign w:val="top"/>
                </w:tcPr>
                <w:p w14:paraId="0D8A4C33">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auto"/>
                      <w:sz w:val="21"/>
                      <w:szCs w:val="21"/>
                    </w:rPr>
                  </w:pPr>
                  <w:r>
                    <w:rPr>
                      <w:color w:val="auto"/>
                      <w:spacing w:val="8"/>
                      <w:sz w:val="21"/>
                      <w:szCs w:val="21"/>
                    </w:rPr>
                    <w:t>钢筋石笼</w:t>
                  </w:r>
                  <w:r>
                    <w:rPr>
                      <w:rFonts w:ascii="Times New Roman" w:hAnsi="Times New Roman" w:eastAsia="Times New Roman" w:cs="Times New Roman"/>
                      <w:color w:val="auto"/>
                      <w:spacing w:val="8"/>
                      <w:sz w:val="21"/>
                      <w:szCs w:val="21"/>
                    </w:rPr>
                    <w:t>+</w:t>
                  </w:r>
                  <w:r>
                    <w:rPr>
                      <w:color w:val="auto"/>
                      <w:spacing w:val="8"/>
                      <w:sz w:val="21"/>
                      <w:szCs w:val="21"/>
                    </w:rPr>
                    <w:t>草皮</w:t>
                  </w:r>
                  <w:r>
                    <w:rPr>
                      <w:color w:val="auto"/>
                      <w:spacing w:val="4"/>
                      <w:sz w:val="21"/>
                      <w:szCs w:val="21"/>
                    </w:rPr>
                    <w:t>护坡</w:t>
                  </w:r>
                </w:p>
              </w:tc>
              <w:tc>
                <w:tcPr>
                  <w:tcW w:w="1351" w:type="dxa"/>
                  <w:vAlign w:val="top"/>
                </w:tcPr>
                <w:p w14:paraId="2715EEF7">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auto"/>
                      <w:sz w:val="21"/>
                      <w:szCs w:val="21"/>
                    </w:rPr>
                  </w:pPr>
                  <w:r>
                    <w:rPr>
                      <w:color w:val="auto"/>
                      <w:spacing w:val="7"/>
                      <w:sz w:val="21"/>
                      <w:szCs w:val="21"/>
                    </w:rPr>
                    <w:t>钢筋石笼</w:t>
                  </w:r>
                  <w:r>
                    <w:rPr>
                      <w:rFonts w:ascii="Times New Roman" w:hAnsi="Times New Roman" w:eastAsia="Times New Roman" w:cs="Times New Roman"/>
                      <w:color w:val="auto"/>
                      <w:spacing w:val="7"/>
                      <w:sz w:val="21"/>
                      <w:szCs w:val="21"/>
                    </w:rPr>
                    <w:t>+</w:t>
                  </w:r>
                  <w:r>
                    <w:rPr>
                      <w:color w:val="auto"/>
                      <w:spacing w:val="7"/>
                      <w:sz w:val="21"/>
                      <w:szCs w:val="21"/>
                    </w:rPr>
                    <w:t>干砌石护坡</w:t>
                  </w:r>
                </w:p>
              </w:tc>
            </w:tr>
            <w:tr w14:paraId="61D1FA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400" w:type="dxa"/>
                  <w:vAlign w:val="top"/>
                </w:tcPr>
                <w:p w14:paraId="2492481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1</w:t>
                  </w:r>
                </w:p>
              </w:tc>
              <w:tc>
                <w:tcPr>
                  <w:tcW w:w="3012" w:type="dxa"/>
                  <w:vAlign w:val="top"/>
                </w:tcPr>
                <w:p w14:paraId="6984DE8A">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auto"/>
                      <w:sz w:val="21"/>
                      <w:szCs w:val="21"/>
                    </w:rPr>
                  </w:pPr>
                  <w:r>
                    <w:rPr>
                      <w:color w:val="auto"/>
                      <w:spacing w:val="7"/>
                      <w:sz w:val="21"/>
                      <w:szCs w:val="21"/>
                    </w:rPr>
                    <w:t>土方开挖</w:t>
                  </w:r>
                </w:p>
              </w:tc>
              <w:tc>
                <w:tcPr>
                  <w:tcW w:w="631" w:type="dxa"/>
                  <w:vAlign w:val="top"/>
                </w:tcPr>
                <w:p w14:paraId="36404A0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m³</w:t>
                  </w:r>
                </w:p>
              </w:tc>
              <w:tc>
                <w:tcPr>
                  <w:tcW w:w="819" w:type="dxa"/>
                  <w:vAlign w:val="top"/>
                </w:tcPr>
                <w:p w14:paraId="7884DB8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7.91</w:t>
                  </w:r>
                </w:p>
              </w:tc>
              <w:tc>
                <w:tcPr>
                  <w:tcW w:w="1524" w:type="dxa"/>
                  <w:vAlign w:val="top"/>
                </w:tcPr>
                <w:p w14:paraId="327B45D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10.85</w:t>
                  </w:r>
                </w:p>
              </w:tc>
              <w:tc>
                <w:tcPr>
                  <w:tcW w:w="1351" w:type="dxa"/>
                  <w:vAlign w:val="top"/>
                </w:tcPr>
                <w:p w14:paraId="47CE419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10.85</w:t>
                  </w:r>
                </w:p>
              </w:tc>
            </w:tr>
            <w:tr w14:paraId="7C2E74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400" w:type="dxa"/>
                  <w:vAlign w:val="top"/>
                </w:tcPr>
                <w:p w14:paraId="745683C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2</w:t>
                  </w:r>
                </w:p>
              </w:tc>
              <w:tc>
                <w:tcPr>
                  <w:tcW w:w="3012" w:type="dxa"/>
                  <w:vAlign w:val="top"/>
                </w:tcPr>
                <w:p w14:paraId="0602A5A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auto"/>
                      <w:sz w:val="21"/>
                      <w:szCs w:val="21"/>
                    </w:rPr>
                  </w:pPr>
                  <w:r>
                    <w:rPr>
                      <w:color w:val="auto"/>
                      <w:spacing w:val="7"/>
                      <w:sz w:val="21"/>
                      <w:szCs w:val="21"/>
                    </w:rPr>
                    <w:t>土方回填</w:t>
                  </w:r>
                </w:p>
              </w:tc>
              <w:tc>
                <w:tcPr>
                  <w:tcW w:w="631" w:type="dxa"/>
                  <w:vAlign w:val="top"/>
                </w:tcPr>
                <w:p w14:paraId="231896B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m³</w:t>
                  </w:r>
                </w:p>
              </w:tc>
              <w:tc>
                <w:tcPr>
                  <w:tcW w:w="819" w:type="dxa"/>
                  <w:vAlign w:val="top"/>
                </w:tcPr>
                <w:p w14:paraId="234F254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16.33</w:t>
                  </w:r>
                </w:p>
              </w:tc>
              <w:tc>
                <w:tcPr>
                  <w:tcW w:w="1524" w:type="dxa"/>
                  <w:vAlign w:val="top"/>
                </w:tcPr>
                <w:p w14:paraId="58EBA5A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14.69</w:t>
                  </w:r>
                </w:p>
              </w:tc>
              <w:tc>
                <w:tcPr>
                  <w:tcW w:w="1351" w:type="dxa"/>
                  <w:vAlign w:val="top"/>
                </w:tcPr>
                <w:p w14:paraId="6DF38CB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15.28</w:t>
                  </w:r>
                </w:p>
              </w:tc>
            </w:tr>
            <w:tr w14:paraId="5CB3FC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400" w:type="dxa"/>
                  <w:vAlign w:val="top"/>
                </w:tcPr>
                <w:p w14:paraId="193D79C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3</w:t>
                  </w:r>
                </w:p>
              </w:tc>
              <w:tc>
                <w:tcPr>
                  <w:tcW w:w="3012" w:type="dxa"/>
                  <w:vAlign w:val="top"/>
                </w:tcPr>
                <w:p w14:paraId="0AD39EEE">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auto"/>
                      <w:sz w:val="21"/>
                      <w:szCs w:val="21"/>
                    </w:rPr>
                  </w:pPr>
                  <w:r>
                    <w:rPr>
                      <w:color w:val="auto"/>
                      <w:spacing w:val="7"/>
                      <w:sz w:val="21"/>
                      <w:szCs w:val="21"/>
                    </w:rPr>
                    <w:t>钢筋石笼挡墙（外购料，含钢筋）</w:t>
                  </w:r>
                </w:p>
              </w:tc>
              <w:tc>
                <w:tcPr>
                  <w:tcW w:w="631" w:type="dxa"/>
                  <w:vAlign w:val="top"/>
                </w:tcPr>
                <w:p w14:paraId="5E6881D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m³</w:t>
                  </w:r>
                </w:p>
              </w:tc>
              <w:tc>
                <w:tcPr>
                  <w:tcW w:w="819" w:type="dxa"/>
                  <w:vAlign w:val="top"/>
                </w:tcPr>
                <w:p w14:paraId="7A007D8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296.28</w:t>
                  </w:r>
                </w:p>
              </w:tc>
              <w:tc>
                <w:tcPr>
                  <w:tcW w:w="1524" w:type="dxa"/>
                  <w:vAlign w:val="top"/>
                </w:tcPr>
                <w:p w14:paraId="7F3989D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4.35</w:t>
                  </w:r>
                </w:p>
              </w:tc>
              <w:tc>
                <w:tcPr>
                  <w:tcW w:w="1351" w:type="dxa"/>
                  <w:vAlign w:val="top"/>
                </w:tcPr>
                <w:p w14:paraId="7FAFCD4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4.35</w:t>
                  </w:r>
                </w:p>
              </w:tc>
            </w:tr>
            <w:tr w14:paraId="06E5ED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400" w:type="dxa"/>
                  <w:vAlign w:val="top"/>
                </w:tcPr>
                <w:p w14:paraId="11A4DB2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4</w:t>
                  </w:r>
                </w:p>
              </w:tc>
              <w:tc>
                <w:tcPr>
                  <w:tcW w:w="3012" w:type="dxa"/>
                  <w:vAlign w:val="top"/>
                </w:tcPr>
                <w:p w14:paraId="3E33EBA0">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color w:val="auto"/>
                      <w:spacing w:val="8"/>
                      <w:sz w:val="21"/>
                      <w:szCs w:val="21"/>
                    </w:rPr>
                    <w:t>干砌块石护坡</w:t>
                  </w:r>
                  <w:r>
                    <w:rPr>
                      <w:rFonts w:ascii="Times New Roman" w:hAnsi="Times New Roman" w:eastAsia="Times New Roman" w:cs="Times New Roman"/>
                      <w:color w:val="auto"/>
                      <w:spacing w:val="8"/>
                      <w:sz w:val="21"/>
                      <w:szCs w:val="21"/>
                    </w:rPr>
                    <w:t>(</w:t>
                  </w:r>
                  <w:r>
                    <w:rPr>
                      <w:color w:val="auto"/>
                      <w:spacing w:val="8"/>
                      <w:sz w:val="21"/>
                      <w:szCs w:val="21"/>
                    </w:rPr>
                    <w:t>厚</w:t>
                  </w:r>
                  <w:r>
                    <w:rPr>
                      <w:rFonts w:ascii="Times New Roman" w:hAnsi="Times New Roman" w:eastAsia="Times New Roman" w:cs="Times New Roman"/>
                      <w:color w:val="auto"/>
                      <w:spacing w:val="8"/>
                      <w:sz w:val="21"/>
                      <w:szCs w:val="21"/>
                    </w:rPr>
                    <w:t>40</w:t>
                  </w:r>
                  <w:r>
                    <w:rPr>
                      <w:rFonts w:ascii="Times New Roman" w:hAnsi="Times New Roman" w:eastAsia="Times New Roman" w:cs="Times New Roman"/>
                      <w:color w:val="auto"/>
                      <w:sz w:val="21"/>
                      <w:szCs w:val="21"/>
                    </w:rPr>
                    <w:t>cm</w:t>
                  </w:r>
                  <w:r>
                    <w:rPr>
                      <w:rFonts w:ascii="Times New Roman" w:hAnsi="Times New Roman" w:eastAsia="Times New Roman" w:cs="Times New Roman"/>
                      <w:color w:val="auto"/>
                      <w:spacing w:val="8"/>
                      <w:sz w:val="21"/>
                      <w:szCs w:val="21"/>
                    </w:rPr>
                    <w:t>)</w:t>
                  </w:r>
                </w:p>
              </w:tc>
              <w:tc>
                <w:tcPr>
                  <w:tcW w:w="631" w:type="dxa"/>
                  <w:vAlign w:val="top"/>
                </w:tcPr>
                <w:p w14:paraId="0AE971B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m³</w:t>
                  </w:r>
                </w:p>
              </w:tc>
              <w:tc>
                <w:tcPr>
                  <w:tcW w:w="819" w:type="dxa"/>
                  <w:vAlign w:val="top"/>
                </w:tcPr>
                <w:p w14:paraId="7C75C4F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235</w:t>
                  </w:r>
                </w:p>
              </w:tc>
              <w:tc>
                <w:tcPr>
                  <w:tcW w:w="1524" w:type="dxa"/>
                  <w:vAlign w:val="top"/>
                </w:tcPr>
                <w:p w14:paraId="2A6861A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color w:val="auto"/>
                      <w:sz w:val="21"/>
                      <w:szCs w:val="21"/>
                    </w:rPr>
                  </w:pPr>
                </w:p>
              </w:tc>
              <w:tc>
                <w:tcPr>
                  <w:tcW w:w="1351" w:type="dxa"/>
                  <w:vAlign w:val="top"/>
                </w:tcPr>
                <w:p w14:paraId="47CDA66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2.18</w:t>
                  </w:r>
                </w:p>
              </w:tc>
            </w:tr>
            <w:tr w14:paraId="36CCF8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400" w:type="dxa"/>
                  <w:vAlign w:val="top"/>
                </w:tcPr>
                <w:p w14:paraId="07E5544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5</w:t>
                  </w:r>
                </w:p>
              </w:tc>
              <w:tc>
                <w:tcPr>
                  <w:tcW w:w="3012" w:type="dxa"/>
                  <w:vAlign w:val="top"/>
                </w:tcPr>
                <w:p w14:paraId="0C21AFDF">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color w:val="auto"/>
                      <w:spacing w:val="5"/>
                      <w:sz w:val="21"/>
                      <w:szCs w:val="21"/>
                    </w:rPr>
                    <w:t>复合土工布</w:t>
                  </w:r>
                  <w:r>
                    <w:rPr>
                      <w:rFonts w:ascii="Times New Roman" w:hAnsi="Times New Roman" w:eastAsia="Times New Roman" w:cs="Times New Roman"/>
                      <w:color w:val="auto"/>
                      <w:spacing w:val="5"/>
                      <w:sz w:val="21"/>
                      <w:szCs w:val="21"/>
                    </w:rPr>
                    <w:t>(400g/m</w:t>
                  </w:r>
                  <w:r>
                    <w:rPr>
                      <w:rFonts w:hint="eastAsia" w:ascii="Times New Roman" w:hAnsi="Times New Roman" w:eastAsia="宋体" w:cs="Times New Roman"/>
                      <w:color w:val="auto"/>
                      <w:spacing w:val="5"/>
                      <w:sz w:val="21"/>
                      <w:szCs w:val="21"/>
                      <w:vertAlign w:val="superscript"/>
                      <w:lang w:val="en-US" w:eastAsia="zh-CN"/>
                    </w:rPr>
                    <w:t>2</w:t>
                  </w:r>
                  <w:r>
                    <w:rPr>
                      <w:rFonts w:ascii="Times New Roman" w:hAnsi="Times New Roman" w:eastAsia="Times New Roman" w:cs="Times New Roman"/>
                      <w:color w:val="auto"/>
                      <w:spacing w:val="5"/>
                      <w:sz w:val="21"/>
                      <w:szCs w:val="21"/>
                    </w:rPr>
                    <w:t>)</w:t>
                  </w:r>
                </w:p>
              </w:tc>
              <w:tc>
                <w:tcPr>
                  <w:tcW w:w="631" w:type="dxa"/>
                  <w:vAlign w:val="top"/>
                </w:tcPr>
                <w:p w14:paraId="6710875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m²</w:t>
                  </w:r>
                </w:p>
              </w:tc>
              <w:tc>
                <w:tcPr>
                  <w:tcW w:w="819" w:type="dxa"/>
                  <w:vAlign w:val="top"/>
                </w:tcPr>
                <w:p w14:paraId="2DCB637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8"/>
                      <w:sz w:val="21"/>
                      <w:szCs w:val="21"/>
                    </w:rPr>
                    <w:t>12</w:t>
                  </w:r>
                </w:p>
              </w:tc>
              <w:tc>
                <w:tcPr>
                  <w:tcW w:w="1524" w:type="dxa"/>
                  <w:vAlign w:val="top"/>
                </w:tcPr>
                <w:p w14:paraId="04A51AE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color w:val="auto"/>
                      <w:sz w:val="21"/>
                      <w:szCs w:val="21"/>
                    </w:rPr>
                  </w:pPr>
                </w:p>
              </w:tc>
              <w:tc>
                <w:tcPr>
                  <w:tcW w:w="1351" w:type="dxa"/>
                  <w:vAlign w:val="top"/>
                </w:tcPr>
                <w:p w14:paraId="09CF5B6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5.4</w:t>
                  </w:r>
                </w:p>
              </w:tc>
            </w:tr>
            <w:tr w14:paraId="2102B2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400" w:type="dxa"/>
                  <w:vAlign w:val="top"/>
                </w:tcPr>
                <w:p w14:paraId="59E2D9F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6</w:t>
                  </w:r>
                </w:p>
              </w:tc>
              <w:tc>
                <w:tcPr>
                  <w:tcW w:w="3012" w:type="dxa"/>
                  <w:vAlign w:val="top"/>
                </w:tcPr>
                <w:p w14:paraId="4D3410B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auto"/>
                      <w:sz w:val="21"/>
                      <w:szCs w:val="21"/>
                    </w:rPr>
                  </w:pPr>
                  <w:r>
                    <w:rPr>
                      <w:color w:val="auto"/>
                      <w:spacing w:val="6"/>
                      <w:sz w:val="21"/>
                      <w:szCs w:val="21"/>
                    </w:rPr>
                    <w:t>草皮护坡</w:t>
                  </w:r>
                </w:p>
              </w:tc>
              <w:tc>
                <w:tcPr>
                  <w:tcW w:w="631" w:type="dxa"/>
                  <w:vAlign w:val="top"/>
                </w:tcPr>
                <w:p w14:paraId="3B3088E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m²</w:t>
                  </w:r>
                </w:p>
              </w:tc>
              <w:tc>
                <w:tcPr>
                  <w:tcW w:w="819" w:type="dxa"/>
                  <w:vAlign w:val="top"/>
                </w:tcPr>
                <w:p w14:paraId="5E8E2AC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14.96</w:t>
                  </w:r>
                </w:p>
              </w:tc>
              <w:tc>
                <w:tcPr>
                  <w:tcW w:w="1524" w:type="dxa"/>
                  <w:vAlign w:val="top"/>
                </w:tcPr>
                <w:p w14:paraId="0C45AC7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5.4</w:t>
                  </w:r>
                </w:p>
              </w:tc>
              <w:tc>
                <w:tcPr>
                  <w:tcW w:w="1351" w:type="dxa"/>
                  <w:vAlign w:val="top"/>
                </w:tcPr>
                <w:p w14:paraId="28B4D5A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color w:val="auto"/>
                      <w:sz w:val="21"/>
                      <w:szCs w:val="21"/>
                    </w:rPr>
                  </w:pPr>
                </w:p>
              </w:tc>
            </w:tr>
            <w:tr w14:paraId="2D412B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400" w:type="dxa"/>
                  <w:vAlign w:val="top"/>
                </w:tcPr>
                <w:p w14:paraId="0625875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7</w:t>
                  </w:r>
                </w:p>
              </w:tc>
              <w:tc>
                <w:tcPr>
                  <w:tcW w:w="3012" w:type="dxa"/>
                  <w:vAlign w:val="top"/>
                </w:tcPr>
                <w:p w14:paraId="51395A4C">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color w:val="auto"/>
                      <w:sz w:val="21"/>
                      <w:szCs w:val="21"/>
                    </w:rPr>
                  </w:pPr>
                  <w:r>
                    <w:rPr>
                      <w:color w:val="auto"/>
                      <w:spacing w:val="7"/>
                      <w:sz w:val="21"/>
                      <w:szCs w:val="21"/>
                    </w:rPr>
                    <w:t>每米总投资（元）</w:t>
                  </w:r>
                </w:p>
              </w:tc>
              <w:tc>
                <w:tcPr>
                  <w:tcW w:w="631" w:type="dxa"/>
                  <w:vAlign w:val="top"/>
                </w:tcPr>
                <w:p w14:paraId="211FB06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color w:val="auto"/>
                      <w:sz w:val="21"/>
                      <w:szCs w:val="21"/>
                    </w:rPr>
                  </w:pPr>
                </w:p>
              </w:tc>
              <w:tc>
                <w:tcPr>
                  <w:tcW w:w="819" w:type="dxa"/>
                  <w:vAlign w:val="top"/>
                </w:tcPr>
                <w:p w14:paraId="6DB1D18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9.23</w:t>
                  </w:r>
                </w:p>
              </w:tc>
              <w:tc>
                <w:tcPr>
                  <w:tcW w:w="1524" w:type="dxa"/>
                  <w:vAlign w:val="top"/>
                </w:tcPr>
                <w:p w14:paraId="01948E0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1812.97</w:t>
                  </w:r>
                </w:p>
              </w:tc>
              <w:tc>
                <w:tcPr>
                  <w:tcW w:w="1351" w:type="dxa"/>
                  <w:vAlign w:val="top"/>
                </w:tcPr>
                <w:p w14:paraId="49685C3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2201.26</w:t>
                  </w:r>
                </w:p>
              </w:tc>
            </w:tr>
          </w:tbl>
          <w:p w14:paraId="671550C2">
            <w:pPr>
              <w:pStyle w:val="36"/>
              <w:keepNext w:val="0"/>
              <w:keepLines w:val="0"/>
              <w:pageBreakBefore w:val="0"/>
              <w:widowControl w:val="0"/>
              <w:kinsoku/>
              <w:wordWrap/>
              <w:overflowPunct/>
              <w:topLinePunct w:val="0"/>
              <w:autoSpaceDE/>
              <w:autoSpaceDN/>
              <w:bidi w:val="0"/>
              <w:adjustRightInd w:val="0"/>
              <w:snapToGrid/>
              <w:ind w:left="0" w:leftChars="0" w:firstLine="420" w:firstLineChars="200"/>
              <w:jc w:val="both"/>
              <w:textAlignment w:val="baseline"/>
              <w:rPr>
                <w:rFonts w:hint="eastAsia"/>
                <w:b w:val="0"/>
                <w:bCs w:val="0"/>
                <w:color w:val="auto"/>
                <w:sz w:val="21"/>
                <w:szCs w:val="21"/>
              </w:rPr>
            </w:pPr>
            <w:r>
              <w:rPr>
                <w:rFonts w:hint="eastAsia"/>
                <w:b w:val="0"/>
                <w:bCs w:val="0"/>
                <w:color w:val="auto"/>
                <w:sz w:val="21"/>
                <w:szCs w:val="21"/>
              </w:rPr>
              <w:t>根据以上对比，“干砌石护坡+钢筋石笼护脚”每米造价比“草皮护坡+钢筋石笼护脚”投资高388.30元，干砌石护坡相比草皮护坡施工难度大，而且造价较草皮护坡高，因此经综合比较，选择经济适用的“草皮护坡+钢筋石笼护脚”作为本次治理方案。</w:t>
            </w:r>
          </w:p>
          <w:p w14:paraId="47043476">
            <w:pPr>
              <w:pStyle w:val="36"/>
              <w:keepNext w:val="0"/>
              <w:keepLines w:val="0"/>
              <w:pageBreakBefore w:val="0"/>
              <w:widowControl w:val="0"/>
              <w:kinsoku/>
              <w:wordWrap/>
              <w:overflowPunct/>
              <w:topLinePunct w:val="0"/>
              <w:autoSpaceDE/>
              <w:autoSpaceDN/>
              <w:bidi w:val="0"/>
              <w:adjustRightInd w:val="0"/>
              <w:snapToGrid/>
              <w:ind w:left="0" w:leftChars="0" w:firstLine="480" w:firstLineChars="200"/>
              <w:jc w:val="both"/>
              <w:textAlignment w:val="baseline"/>
              <w:rPr>
                <w:rFonts w:hint="eastAsia"/>
                <w:color w:val="auto"/>
                <w:lang w:val="en-US" w:eastAsia="zh-CN"/>
              </w:rPr>
            </w:pPr>
            <w:r>
              <w:rPr>
                <w:rFonts w:hint="eastAsia"/>
                <w:b w:val="0"/>
                <w:bCs w:val="0"/>
                <w:color w:val="auto"/>
                <w:sz w:val="24"/>
                <w:szCs w:val="24"/>
                <w:lang w:eastAsia="zh-CN"/>
              </w:rPr>
              <w:t>从环境角度出发，</w:t>
            </w:r>
            <w:r>
              <w:rPr>
                <w:rFonts w:hint="eastAsia"/>
                <w:b w:val="0"/>
                <w:bCs w:val="0"/>
                <w:color w:val="auto"/>
                <w:sz w:val="24"/>
                <w:szCs w:val="24"/>
              </w:rPr>
              <w:t>本项目</w:t>
            </w:r>
            <w:r>
              <w:rPr>
                <w:rFonts w:hint="eastAsia"/>
                <w:b w:val="0"/>
                <w:bCs w:val="0"/>
                <w:color w:val="auto"/>
                <w:sz w:val="24"/>
                <w:szCs w:val="24"/>
                <w:lang w:eastAsia="zh-CN"/>
              </w:rPr>
              <w:t>所使用的钢筋石笼护岸、土堤、</w:t>
            </w:r>
            <w:r>
              <w:rPr>
                <w:rFonts w:hint="eastAsia"/>
                <w:b w:val="0"/>
                <w:bCs w:val="0"/>
                <w:color w:val="auto"/>
                <w:sz w:val="24"/>
                <w:szCs w:val="24"/>
              </w:rPr>
              <w:t>草皮护坡+钢筋石笼护脚</w:t>
            </w:r>
            <w:r>
              <w:rPr>
                <w:rFonts w:hint="eastAsia"/>
                <w:b w:val="0"/>
                <w:bCs w:val="0"/>
                <w:color w:val="auto"/>
                <w:sz w:val="24"/>
                <w:szCs w:val="24"/>
                <w:lang w:eastAsia="zh-CN"/>
              </w:rPr>
              <w:t>方案最大限度的维护了生态环境。</w:t>
            </w:r>
            <w:r>
              <w:rPr>
                <w:rFonts w:hint="eastAsia"/>
                <w:b w:val="0"/>
                <w:bCs w:val="0"/>
                <w:color w:val="auto"/>
                <w:sz w:val="24"/>
                <w:szCs w:val="24"/>
              </w:rPr>
              <w:t>堤线布置遵循河道的自然属性，不改变现状河道走势，基本沿现状河坎线布置，既保留了原河道凹岸、凸岸、河湾和浅滩，最大程度保持了河湖自然形态，最大限度维护了河湖健康、生态系统功能和生物多样性。</w:t>
            </w:r>
          </w:p>
        </w:tc>
      </w:tr>
    </w:tbl>
    <w:p w14:paraId="2D111985">
      <w:pPr>
        <w:rPr>
          <w:rFonts w:hint="default" w:ascii="Times New Roman" w:hAnsi="Times New Roman" w:cs="Times New Roman"/>
          <w:color w:val="auto"/>
        </w:rPr>
        <w:sectPr>
          <w:footerReference r:id="rId9"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09BB7951">
      <w:pPr>
        <w:pStyle w:val="4"/>
        <w:keepNext w:val="0"/>
        <w:keepLines w:val="0"/>
        <w:pageBreakBefore/>
        <w:widowControl w:val="0"/>
        <w:kinsoku/>
        <w:wordWrap/>
        <w:overflowPunct/>
        <w:topLinePunct w:val="0"/>
        <w:autoSpaceDE/>
        <w:autoSpaceDN/>
        <w:bidi w:val="0"/>
        <w:adjustRightInd/>
        <w:snapToGrid w:val="0"/>
        <w:ind w:firstLine="0" w:firstLineChars="0"/>
        <w:textAlignment w:val="auto"/>
        <w:rPr>
          <w:rFonts w:hint="default"/>
          <w:color w:val="auto"/>
        </w:rPr>
      </w:pPr>
      <w:bookmarkStart w:id="36" w:name="_Toc24076"/>
      <w:r>
        <w:rPr>
          <w:rFonts w:hint="default"/>
          <w:color w:val="auto"/>
        </w:rPr>
        <w:t>三、生态环境现状、保护目标及评价标准</w:t>
      </w:r>
      <w:bookmarkEnd w:id="36"/>
    </w:p>
    <w:tbl>
      <w:tblPr>
        <w:tblStyle w:val="2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01"/>
        <w:gridCol w:w="7921"/>
      </w:tblGrid>
      <w:tr w14:paraId="39919B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2" w:type="pct"/>
            <w:vAlign w:val="center"/>
          </w:tcPr>
          <w:p w14:paraId="1F540E31">
            <w:pPr>
              <w:adjustRightInd w:val="0"/>
              <w:snapToGrid w:val="0"/>
              <w:ind w:left="0" w:leftChars="0" w:firstLine="0" w:firstLineChars="0"/>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生态环境现状</w:t>
            </w:r>
          </w:p>
        </w:tc>
        <w:tc>
          <w:tcPr>
            <w:tcW w:w="4647" w:type="pct"/>
            <w:vAlign w:val="center"/>
          </w:tcPr>
          <w:p w14:paraId="58973486">
            <w:pPr>
              <w:pStyle w:val="36"/>
              <w:bidi w:val="0"/>
              <w:rPr>
                <w:rFonts w:hint="default"/>
                <w:b/>
                <w:bCs/>
                <w:color w:val="auto"/>
              </w:rPr>
            </w:pPr>
            <w:r>
              <w:rPr>
                <w:rFonts w:hint="eastAsia"/>
                <w:b/>
                <w:bCs/>
                <w:color w:val="auto"/>
                <w:lang w:val="en-US" w:eastAsia="zh-CN"/>
              </w:rPr>
              <w:t>一、</w:t>
            </w:r>
            <w:r>
              <w:rPr>
                <w:rFonts w:hint="default"/>
                <w:b/>
                <w:bCs/>
                <w:color w:val="auto"/>
              </w:rPr>
              <w:t>生态环境质量现状</w:t>
            </w:r>
          </w:p>
          <w:p w14:paraId="41195725">
            <w:pPr>
              <w:pStyle w:val="36"/>
              <w:bidi w:val="0"/>
              <w:rPr>
                <w:rFonts w:hint="default"/>
                <w:b/>
                <w:bCs/>
                <w:color w:val="auto"/>
              </w:rPr>
            </w:pPr>
            <w:r>
              <w:rPr>
                <w:rFonts w:hint="eastAsia"/>
                <w:b/>
                <w:bCs/>
                <w:color w:val="auto"/>
                <w:lang w:val="en-US" w:eastAsia="zh-CN"/>
              </w:rPr>
              <w:t>1、</w:t>
            </w:r>
            <w:r>
              <w:rPr>
                <w:rFonts w:hint="default"/>
                <w:b/>
                <w:bCs/>
                <w:color w:val="auto"/>
              </w:rPr>
              <w:t>土地利用类型</w:t>
            </w:r>
          </w:p>
          <w:p w14:paraId="07D43C93">
            <w:pPr>
              <w:pStyle w:val="36"/>
              <w:bidi w:val="0"/>
              <w:rPr>
                <w:rFonts w:hint="default"/>
                <w:color w:val="auto"/>
                <w:lang w:val="en-US" w:eastAsia="zh-CN"/>
              </w:rPr>
            </w:pPr>
            <w:r>
              <w:rPr>
                <w:rStyle w:val="68"/>
                <w:rFonts w:hint="eastAsia"/>
                <w:color w:val="auto"/>
              </w:rPr>
              <w:t>工程建设总占地面积为23.63hm</w:t>
            </w:r>
            <w:r>
              <w:rPr>
                <w:rStyle w:val="68"/>
                <w:rFonts w:hint="eastAsia"/>
                <w:color w:val="auto"/>
                <w:vertAlign w:val="superscript"/>
              </w:rPr>
              <w:t>2</w:t>
            </w:r>
            <w:r>
              <w:rPr>
                <w:rStyle w:val="68"/>
                <w:rFonts w:hint="eastAsia"/>
                <w:color w:val="auto"/>
              </w:rPr>
              <w:t>，其中工程永久占地4.83hm</w:t>
            </w:r>
            <w:r>
              <w:rPr>
                <w:rStyle w:val="68"/>
                <w:rFonts w:hint="eastAsia"/>
                <w:color w:val="auto"/>
                <w:vertAlign w:val="superscript"/>
              </w:rPr>
              <w:t>2</w:t>
            </w:r>
            <w:r>
              <w:rPr>
                <w:rStyle w:val="68"/>
                <w:rFonts w:hint="eastAsia"/>
                <w:color w:val="auto"/>
              </w:rPr>
              <w:t>，主要为工程建设区的永久征地；临时占地18.80hm</w:t>
            </w:r>
            <w:r>
              <w:rPr>
                <w:rStyle w:val="68"/>
                <w:rFonts w:hint="eastAsia"/>
                <w:color w:val="auto"/>
                <w:vertAlign w:val="superscript"/>
              </w:rPr>
              <w:t>2</w:t>
            </w:r>
            <w:r>
              <w:rPr>
                <w:rStyle w:val="68"/>
                <w:rFonts w:hint="eastAsia"/>
                <w:color w:val="auto"/>
              </w:rPr>
              <w:t>，包括工程建设施工区、施工临时道路区及施工营地区等占地。占用水田3.30hm</w:t>
            </w:r>
            <w:r>
              <w:rPr>
                <w:rStyle w:val="68"/>
                <w:rFonts w:hint="eastAsia"/>
                <w:color w:val="auto"/>
                <w:vertAlign w:val="superscript"/>
              </w:rPr>
              <w:t>2</w:t>
            </w:r>
            <w:r>
              <w:rPr>
                <w:rStyle w:val="68"/>
                <w:rFonts w:hint="eastAsia"/>
                <w:color w:val="auto"/>
              </w:rPr>
              <w:t>，旱地0.26hm</w:t>
            </w:r>
            <w:r>
              <w:rPr>
                <w:rStyle w:val="68"/>
                <w:rFonts w:hint="eastAsia"/>
                <w:color w:val="auto"/>
                <w:vertAlign w:val="superscript"/>
              </w:rPr>
              <w:t>2</w:t>
            </w:r>
            <w:r>
              <w:rPr>
                <w:rStyle w:val="68"/>
                <w:rFonts w:hint="eastAsia"/>
                <w:color w:val="auto"/>
              </w:rPr>
              <w:t>，园地0.20hm</w:t>
            </w:r>
            <w:r>
              <w:rPr>
                <w:rStyle w:val="68"/>
                <w:rFonts w:hint="eastAsia"/>
                <w:color w:val="auto"/>
                <w:vertAlign w:val="superscript"/>
              </w:rPr>
              <w:t>2</w:t>
            </w:r>
            <w:r>
              <w:rPr>
                <w:rStyle w:val="68"/>
                <w:rFonts w:hint="eastAsia"/>
                <w:color w:val="auto"/>
              </w:rPr>
              <w:t>，林地1.70hm</w:t>
            </w:r>
            <w:r>
              <w:rPr>
                <w:rStyle w:val="68"/>
                <w:rFonts w:hint="eastAsia"/>
                <w:color w:val="auto"/>
                <w:vertAlign w:val="superscript"/>
              </w:rPr>
              <w:t>2</w:t>
            </w:r>
            <w:r>
              <w:rPr>
                <w:rStyle w:val="68"/>
                <w:rFonts w:hint="eastAsia"/>
                <w:color w:val="auto"/>
              </w:rPr>
              <w:t>，交通运输用地2.97hm</w:t>
            </w:r>
            <w:r>
              <w:rPr>
                <w:rStyle w:val="68"/>
                <w:rFonts w:hint="eastAsia"/>
                <w:color w:val="auto"/>
                <w:vertAlign w:val="superscript"/>
              </w:rPr>
              <w:t>2</w:t>
            </w:r>
            <w:r>
              <w:rPr>
                <w:rStyle w:val="68"/>
                <w:rFonts w:hint="eastAsia"/>
                <w:color w:val="auto"/>
              </w:rPr>
              <w:t>，水域及水利设施用地10.37hm</w:t>
            </w:r>
            <w:r>
              <w:rPr>
                <w:rStyle w:val="68"/>
                <w:rFonts w:hint="eastAsia"/>
                <w:color w:val="auto"/>
                <w:vertAlign w:val="superscript"/>
              </w:rPr>
              <w:t>2</w:t>
            </w:r>
            <w:r>
              <w:rPr>
                <w:rStyle w:val="68"/>
                <w:rFonts w:hint="eastAsia"/>
                <w:color w:val="auto"/>
              </w:rPr>
              <w:t>。</w:t>
            </w:r>
            <w:r>
              <w:rPr>
                <w:rFonts w:hint="eastAsia"/>
                <w:color w:val="auto"/>
                <w:lang w:eastAsia="zh-CN"/>
              </w:rPr>
              <w:t>项目工程占地类型详见表</w:t>
            </w:r>
            <w:r>
              <w:rPr>
                <w:rFonts w:hint="eastAsia"/>
                <w:color w:val="auto"/>
                <w:lang w:val="en-US" w:eastAsia="zh-CN"/>
              </w:rPr>
              <w:t>3-1、表3-2。</w:t>
            </w:r>
          </w:p>
          <w:p w14:paraId="5706C547">
            <w:pPr>
              <w:pStyle w:val="31"/>
              <w:bidi w:val="0"/>
              <w:rPr>
                <w:rFonts w:hint="eastAsia" w:cs="Times New Roman" w:eastAsiaTheme="minorEastAsia"/>
                <w:b/>
                <w:color w:val="auto"/>
              </w:rPr>
            </w:pPr>
            <w:r>
              <w:rPr>
                <w:rFonts w:cs="Times New Roman" w:eastAsiaTheme="minorEastAsia"/>
                <w:b/>
                <w:color w:val="auto"/>
              </w:rPr>
              <w:t>表</w:t>
            </w:r>
            <w:r>
              <w:rPr>
                <w:rFonts w:hint="eastAsia" w:cs="Times New Roman" w:eastAsiaTheme="minorEastAsia"/>
                <w:b/>
                <w:color w:val="auto"/>
                <w:lang w:val="en-US" w:eastAsia="zh-CN"/>
              </w:rPr>
              <w:t>3-1</w:t>
            </w:r>
            <w:r>
              <w:rPr>
                <w:rFonts w:cs="Times New Roman" w:eastAsiaTheme="minorEastAsia"/>
                <w:b/>
                <w:color w:val="auto"/>
              </w:rPr>
              <w:t xml:space="preserve"> 工程</w:t>
            </w:r>
            <w:r>
              <w:rPr>
                <w:rFonts w:hint="eastAsia" w:cs="Times New Roman" w:eastAsiaTheme="minorEastAsia"/>
                <w:b/>
                <w:color w:val="auto"/>
                <w:lang w:eastAsia="zh-CN"/>
              </w:rPr>
              <w:t>永久</w:t>
            </w:r>
            <w:r>
              <w:rPr>
                <w:rFonts w:cs="Times New Roman" w:eastAsiaTheme="minorEastAsia"/>
                <w:b/>
                <w:color w:val="auto"/>
              </w:rPr>
              <w:t>占地类型及面积统计表</w:t>
            </w:r>
            <w:r>
              <w:rPr>
                <w:rFonts w:hint="eastAsia" w:cs="Times New Roman" w:eastAsiaTheme="minorEastAsia"/>
                <w:b/>
                <w:color w:val="auto"/>
              </w:rPr>
              <w:t>（hm</w:t>
            </w:r>
            <w:r>
              <w:rPr>
                <w:rFonts w:hint="eastAsia" w:cs="Times New Roman" w:eastAsiaTheme="minorEastAsia"/>
                <w:b/>
                <w:color w:val="auto"/>
                <w:vertAlign w:val="superscript"/>
              </w:rPr>
              <w:t>2</w:t>
            </w:r>
            <w:r>
              <w:rPr>
                <w:rFonts w:hint="eastAsia" w:cs="Times New Roman" w:eastAsiaTheme="minorEastAsia"/>
                <w:b/>
                <w:color w:val="auto"/>
              </w:rPr>
              <w:t>）</w:t>
            </w:r>
          </w:p>
          <w:tbl>
            <w:tblPr>
              <w:tblStyle w:val="46"/>
              <w:tblW w:w="7639" w:type="dxa"/>
              <w:tblInd w:w="2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14"/>
              <w:gridCol w:w="1487"/>
              <w:gridCol w:w="1598"/>
              <w:gridCol w:w="1626"/>
              <w:gridCol w:w="1614"/>
            </w:tblGrid>
            <w:tr w14:paraId="1922A5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3" w:hRule="atLeast"/>
              </w:trPr>
              <w:tc>
                <w:tcPr>
                  <w:tcW w:w="2801" w:type="dxa"/>
                  <w:gridSpan w:val="2"/>
                  <w:vMerge w:val="restart"/>
                  <w:vAlign w:val="center"/>
                </w:tcPr>
                <w:p w14:paraId="63B6AD33">
                  <w:pPr>
                    <w:pStyle w:val="6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eastAsia" w:eastAsia="宋体"/>
                      <w:b/>
                      <w:bCs/>
                      <w:sz w:val="21"/>
                      <w:szCs w:val="21"/>
                      <w:lang w:eastAsia="zh-CN"/>
                    </w:rPr>
                  </w:pPr>
                  <w:bookmarkStart w:id="37" w:name="_Hlk143618058"/>
                  <w:r>
                    <w:rPr>
                      <w:rFonts w:hint="eastAsia"/>
                      <w:b/>
                      <w:bCs/>
                      <w:spacing w:val="5"/>
                      <w:sz w:val="21"/>
                      <w:szCs w:val="21"/>
                      <w:lang w:eastAsia="zh-CN"/>
                    </w:rPr>
                    <w:t>行政区</w:t>
                  </w:r>
                </w:p>
              </w:tc>
              <w:tc>
                <w:tcPr>
                  <w:tcW w:w="4838" w:type="dxa"/>
                  <w:gridSpan w:val="3"/>
                  <w:vAlign w:val="center"/>
                </w:tcPr>
                <w:p w14:paraId="4B29F30B">
                  <w:pPr>
                    <w:pStyle w:val="6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b/>
                      <w:bCs/>
                      <w:sz w:val="21"/>
                      <w:szCs w:val="21"/>
                    </w:rPr>
                  </w:pPr>
                  <w:r>
                    <w:rPr>
                      <w:b/>
                      <w:bCs/>
                      <w:spacing w:val="6"/>
                      <w:sz w:val="21"/>
                      <w:szCs w:val="21"/>
                    </w:rPr>
                    <w:t>永久征地（亩）</w:t>
                  </w:r>
                </w:p>
              </w:tc>
            </w:tr>
            <w:tr w14:paraId="068C4B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trPr>
              <w:tc>
                <w:tcPr>
                  <w:tcW w:w="2801" w:type="dxa"/>
                  <w:gridSpan w:val="2"/>
                  <w:vMerge w:val="continue"/>
                  <w:vAlign w:val="center"/>
                </w:tcPr>
                <w:p w14:paraId="641978A4">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Arial"/>
                      <w:b/>
                      <w:bCs/>
                      <w:sz w:val="21"/>
                      <w:szCs w:val="21"/>
                    </w:rPr>
                  </w:pPr>
                </w:p>
              </w:tc>
              <w:tc>
                <w:tcPr>
                  <w:tcW w:w="4838" w:type="dxa"/>
                  <w:gridSpan w:val="3"/>
                  <w:vAlign w:val="center"/>
                </w:tcPr>
                <w:p w14:paraId="6EF9E77D">
                  <w:pPr>
                    <w:pStyle w:val="6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b/>
                      <w:bCs/>
                      <w:sz w:val="21"/>
                      <w:szCs w:val="21"/>
                    </w:rPr>
                  </w:pPr>
                  <w:r>
                    <w:rPr>
                      <w:b/>
                      <w:bCs/>
                      <w:spacing w:val="7"/>
                      <w:sz w:val="21"/>
                      <w:szCs w:val="21"/>
                    </w:rPr>
                    <w:t>护岸工程</w:t>
                  </w:r>
                </w:p>
              </w:tc>
            </w:tr>
            <w:tr w14:paraId="762051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trPr>
              <w:tc>
                <w:tcPr>
                  <w:tcW w:w="2801" w:type="dxa"/>
                  <w:gridSpan w:val="2"/>
                  <w:vMerge w:val="continue"/>
                  <w:vAlign w:val="center"/>
                </w:tcPr>
                <w:p w14:paraId="3D73F72B">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Arial"/>
                      <w:b/>
                      <w:bCs/>
                      <w:sz w:val="21"/>
                      <w:szCs w:val="21"/>
                    </w:rPr>
                  </w:pPr>
                </w:p>
              </w:tc>
              <w:tc>
                <w:tcPr>
                  <w:tcW w:w="1598" w:type="dxa"/>
                  <w:vAlign w:val="center"/>
                </w:tcPr>
                <w:p w14:paraId="1007C1E2">
                  <w:pPr>
                    <w:pStyle w:val="6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b/>
                      <w:bCs/>
                      <w:sz w:val="21"/>
                      <w:szCs w:val="21"/>
                    </w:rPr>
                  </w:pPr>
                  <w:r>
                    <w:rPr>
                      <w:b/>
                      <w:bCs/>
                      <w:spacing w:val="7"/>
                      <w:sz w:val="21"/>
                      <w:szCs w:val="21"/>
                    </w:rPr>
                    <w:t>河流水面</w:t>
                  </w:r>
                </w:p>
              </w:tc>
              <w:tc>
                <w:tcPr>
                  <w:tcW w:w="1626" w:type="dxa"/>
                  <w:vAlign w:val="center"/>
                </w:tcPr>
                <w:p w14:paraId="6FCEB720">
                  <w:pPr>
                    <w:pStyle w:val="6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b/>
                      <w:bCs/>
                      <w:sz w:val="21"/>
                      <w:szCs w:val="21"/>
                    </w:rPr>
                  </w:pPr>
                  <w:r>
                    <w:rPr>
                      <w:b/>
                      <w:bCs/>
                      <w:spacing w:val="7"/>
                      <w:sz w:val="21"/>
                      <w:szCs w:val="21"/>
                    </w:rPr>
                    <w:t>水利设施用地</w:t>
                  </w:r>
                </w:p>
              </w:tc>
              <w:tc>
                <w:tcPr>
                  <w:tcW w:w="1614" w:type="dxa"/>
                  <w:vAlign w:val="center"/>
                </w:tcPr>
                <w:p w14:paraId="6501F4F6">
                  <w:pPr>
                    <w:pStyle w:val="6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b/>
                      <w:bCs/>
                      <w:sz w:val="21"/>
                      <w:szCs w:val="21"/>
                    </w:rPr>
                  </w:pPr>
                  <w:r>
                    <w:rPr>
                      <w:b/>
                      <w:bCs/>
                      <w:spacing w:val="2"/>
                      <w:sz w:val="21"/>
                      <w:szCs w:val="21"/>
                    </w:rPr>
                    <w:t>小计</w:t>
                  </w:r>
                </w:p>
              </w:tc>
            </w:tr>
            <w:tr w14:paraId="35A286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1314" w:type="dxa"/>
                  <w:vMerge w:val="restart"/>
                  <w:tcBorders>
                    <w:bottom w:val="nil"/>
                  </w:tcBorders>
                  <w:vAlign w:val="center"/>
                </w:tcPr>
                <w:p w14:paraId="6F02CF61">
                  <w:pPr>
                    <w:pStyle w:val="6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sz w:val="21"/>
                      <w:szCs w:val="21"/>
                    </w:rPr>
                  </w:pPr>
                  <w:r>
                    <w:rPr>
                      <w:spacing w:val="6"/>
                      <w:sz w:val="21"/>
                      <w:szCs w:val="21"/>
                    </w:rPr>
                    <w:t>勐戛镇</w:t>
                  </w:r>
                </w:p>
              </w:tc>
              <w:tc>
                <w:tcPr>
                  <w:tcW w:w="1487" w:type="dxa"/>
                  <w:vAlign w:val="center"/>
                </w:tcPr>
                <w:p w14:paraId="467A0CF3">
                  <w:pPr>
                    <w:pStyle w:val="6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sz w:val="21"/>
                      <w:szCs w:val="21"/>
                    </w:rPr>
                  </w:pPr>
                  <w:r>
                    <w:rPr>
                      <w:spacing w:val="6"/>
                      <w:sz w:val="21"/>
                      <w:szCs w:val="21"/>
                    </w:rPr>
                    <w:t>勐戛村</w:t>
                  </w:r>
                </w:p>
              </w:tc>
              <w:tc>
                <w:tcPr>
                  <w:tcW w:w="1598" w:type="dxa"/>
                  <w:vAlign w:val="center"/>
                </w:tcPr>
                <w:p w14:paraId="6FB73A54">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6.04</w:t>
                  </w:r>
                </w:p>
              </w:tc>
              <w:tc>
                <w:tcPr>
                  <w:tcW w:w="1626" w:type="dxa"/>
                  <w:vAlign w:val="center"/>
                </w:tcPr>
                <w:p w14:paraId="62F74B26">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9.06</w:t>
                  </w:r>
                </w:p>
              </w:tc>
              <w:tc>
                <w:tcPr>
                  <w:tcW w:w="1614" w:type="dxa"/>
                  <w:vAlign w:val="center"/>
                </w:tcPr>
                <w:p w14:paraId="65A2E437">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15.10</w:t>
                  </w:r>
                </w:p>
              </w:tc>
            </w:tr>
            <w:tr w14:paraId="2C7718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trPr>
              <w:tc>
                <w:tcPr>
                  <w:tcW w:w="1314" w:type="dxa"/>
                  <w:vMerge w:val="continue"/>
                  <w:tcBorders>
                    <w:top w:val="nil"/>
                    <w:bottom w:val="nil"/>
                  </w:tcBorders>
                  <w:vAlign w:val="center"/>
                </w:tcPr>
                <w:p w14:paraId="44A13CD7">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Arial"/>
                      <w:sz w:val="21"/>
                      <w:szCs w:val="21"/>
                    </w:rPr>
                  </w:pPr>
                </w:p>
              </w:tc>
              <w:tc>
                <w:tcPr>
                  <w:tcW w:w="1487" w:type="dxa"/>
                  <w:vAlign w:val="center"/>
                </w:tcPr>
                <w:p w14:paraId="51361A1B">
                  <w:pPr>
                    <w:pStyle w:val="6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sz w:val="21"/>
                      <w:szCs w:val="21"/>
                    </w:rPr>
                  </w:pPr>
                  <w:r>
                    <w:rPr>
                      <w:spacing w:val="6"/>
                      <w:sz w:val="21"/>
                      <w:szCs w:val="21"/>
                    </w:rPr>
                    <w:t>勐稳村</w:t>
                  </w:r>
                </w:p>
              </w:tc>
              <w:tc>
                <w:tcPr>
                  <w:tcW w:w="1598" w:type="dxa"/>
                  <w:vAlign w:val="center"/>
                </w:tcPr>
                <w:p w14:paraId="01A0E9C2">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4.30</w:t>
                  </w:r>
                </w:p>
              </w:tc>
              <w:tc>
                <w:tcPr>
                  <w:tcW w:w="1626" w:type="dxa"/>
                  <w:vAlign w:val="center"/>
                </w:tcPr>
                <w:p w14:paraId="0E584D12">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6.45</w:t>
                  </w:r>
                </w:p>
              </w:tc>
              <w:tc>
                <w:tcPr>
                  <w:tcW w:w="1614" w:type="dxa"/>
                  <w:vAlign w:val="center"/>
                </w:tcPr>
                <w:p w14:paraId="029BF367">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10.75</w:t>
                  </w:r>
                </w:p>
              </w:tc>
            </w:tr>
            <w:tr w14:paraId="564EC1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trPr>
              <w:tc>
                <w:tcPr>
                  <w:tcW w:w="1314" w:type="dxa"/>
                  <w:vMerge w:val="continue"/>
                  <w:tcBorders>
                    <w:top w:val="nil"/>
                  </w:tcBorders>
                  <w:vAlign w:val="center"/>
                </w:tcPr>
                <w:p w14:paraId="124B9BDB">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Arial"/>
                      <w:sz w:val="21"/>
                      <w:szCs w:val="21"/>
                    </w:rPr>
                  </w:pPr>
                </w:p>
              </w:tc>
              <w:tc>
                <w:tcPr>
                  <w:tcW w:w="1487" w:type="dxa"/>
                  <w:vAlign w:val="center"/>
                </w:tcPr>
                <w:p w14:paraId="2DC41793">
                  <w:pPr>
                    <w:pStyle w:val="6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sz w:val="21"/>
                      <w:szCs w:val="21"/>
                    </w:rPr>
                  </w:pPr>
                  <w:r>
                    <w:rPr>
                      <w:spacing w:val="6"/>
                      <w:sz w:val="21"/>
                      <w:szCs w:val="21"/>
                    </w:rPr>
                    <w:t>勐旺村</w:t>
                  </w:r>
                </w:p>
              </w:tc>
              <w:tc>
                <w:tcPr>
                  <w:tcW w:w="1598" w:type="dxa"/>
                  <w:vAlign w:val="center"/>
                </w:tcPr>
                <w:p w14:paraId="0342E772">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3.60</w:t>
                  </w:r>
                </w:p>
              </w:tc>
              <w:tc>
                <w:tcPr>
                  <w:tcW w:w="1626" w:type="dxa"/>
                  <w:vAlign w:val="center"/>
                </w:tcPr>
                <w:p w14:paraId="2B9734E0">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5.40</w:t>
                  </w:r>
                </w:p>
              </w:tc>
              <w:tc>
                <w:tcPr>
                  <w:tcW w:w="1614" w:type="dxa"/>
                  <w:vAlign w:val="center"/>
                </w:tcPr>
                <w:p w14:paraId="015CD714">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9.00</w:t>
                  </w:r>
                </w:p>
              </w:tc>
            </w:tr>
            <w:tr w14:paraId="2C6B67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9" w:hRule="atLeast"/>
              </w:trPr>
              <w:tc>
                <w:tcPr>
                  <w:tcW w:w="1314" w:type="dxa"/>
                  <w:vAlign w:val="center"/>
                </w:tcPr>
                <w:p w14:paraId="05992ABA">
                  <w:pPr>
                    <w:pStyle w:val="6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sz w:val="21"/>
                      <w:szCs w:val="21"/>
                    </w:rPr>
                  </w:pPr>
                  <w:r>
                    <w:rPr>
                      <w:spacing w:val="6"/>
                      <w:sz w:val="21"/>
                      <w:szCs w:val="21"/>
                    </w:rPr>
                    <w:t>风平镇</w:t>
                  </w:r>
                </w:p>
              </w:tc>
              <w:tc>
                <w:tcPr>
                  <w:tcW w:w="1487" w:type="dxa"/>
                  <w:vAlign w:val="center"/>
                </w:tcPr>
                <w:p w14:paraId="46071FAE">
                  <w:pPr>
                    <w:pStyle w:val="6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sz w:val="21"/>
                      <w:szCs w:val="21"/>
                    </w:rPr>
                  </w:pPr>
                  <w:r>
                    <w:rPr>
                      <w:spacing w:val="6"/>
                      <w:sz w:val="21"/>
                      <w:szCs w:val="21"/>
                    </w:rPr>
                    <w:t>芒里村</w:t>
                  </w:r>
                </w:p>
              </w:tc>
              <w:tc>
                <w:tcPr>
                  <w:tcW w:w="1598" w:type="dxa"/>
                  <w:vAlign w:val="center"/>
                </w:tcPr>
                <w:p w14:paraId="0DFB16C5">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14.88</w:t>
                  </w:r>
                </w:p>
              </w:tc>
              <w:tc>
                <w:tcPr>
                  <w:tcW w:w="1626" w:type="dxa"/>
                  <w:vAlign w:val="center"/>
                </w:tcPr>
                <w:p w14:paraId="70A91C64">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22.78</w:t>
                  </w:r>
                </w:p>
              </w:tc>
              <w:tc>
                <w:tcPr>
                  <w:tcW w:w="1614" w:type="dxa"/>
                  <w:vAlign w:val="center"/>
                </w:tcPr>
                <w:p w14:paraId="654E5C7F">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37.66</w:t>
                  </w:r>
                </w:p>
              </w:tc>
            </w:tr>
            <w:tr w14:paraId="1842D7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8" w:hRule="atLeast"/>
              </w:trPr>
              <w:tc>
                <w:tcPr>
                  <w:tcW w:w="2801" w:type="dxa"/>
                  <w:gridSpan w:val="2"/>
                  <w:vAlign w:val="center"/>
                </w:tcPr>
                <w:p w14:paraId="5E32E7D4">
                  <w:pPr>
                    <w:pStyle w:val="6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sz w:val="21"/>
                      <w:szCs w:val="21"/>
                    </w:rPr>
                  </w:pPr>
                  <w:r>
                    <w:rPr>
                      <w:spacing w:val="4"/>
                      <w:sz w:val="21"/>
                      <w:szCs w:val="21"/>
                    </w:rPr>
                    <w:t>合计</w:t>
                  </w:r>
                </w:p>
              </w:tc>
              <w:tc>
                <w:tcPr>
                  <w:tcW w:w="1598" w:type="dxa"/>
                  <w:vAlign w:val="center"/>
                </w:tcPr>
                <w:p w14:paraId="53F5E281">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28.82</w:t>
                  </w:r>
                </w:p>
              </w:tc>
              <w:tc>
                <w:tcPr>
                  <w:tcW w:w="1626" w:type="dxa"/>
                  <w:vAlign w:val="center"/>
                </w:tcPr>
                <w:p w14:paraId="47F1839D">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43.69</w:t>
                  </w:r>
                </w:p>
              </w:tc>
              <w:tc>
                <w:tcPr>
                  <w:tcW w:w="1614" w:type="dxa"/>
                  <w:vAlign w:val="center"/>
                </w:tcPr>
                <w:p w14:paraId="6BA3EC97">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72.51</w:t>
                  </w:r>
                </w:p>
              </w:tc>
            </w:tr>
          </w:tbl>
          <w:p w14:paraId="333D291E">
            <w:pPr>
              <w:pStyle w:val="36"/>
              <w:bidi w:val="0"/>
              <w:ind w:left="0" w:leftChars="0" w:firstLine="0" w:firstLineChars="0"/>
              <w:jc w:val="center"/>
              <w:rPr>
                <w:rFonts w:hint="default"/>
                <w:b/>
                <w:bCs/>
                <w:color w:val="auto"/>
                <w:sz w:val="21"/>
                <w:szCs w:val="21"/>
                <w:lang w:val="en-US" w:eastAsia="zh-CN"/>
              </w:rPr>
            </w:pPr>
            <w:r>
              <w:rPr>
                <w:rFonts w:hint="eastAsia"/>
                <w:b/>
                <w:bCs/>
                <w:color w:val="auto"/>
                <w:sz w:val="21"/>
                <w:szCs w:val="21"/>
                <w:lang w:val="en-US" w:eastAsia="zh-CN"/>
              </w:rPr>
              <w:t xml:space="preserve">表3-2 </w:t>
            </w:r>
            <w:r>
              <w:rPr>
                <w:rFonts w:cs="Times New Roman" w:eastAsiaTheme="minorEastAsia"/>
                <w:b/>
                <w:color w:val="auto"/>
                <w:sz w:val="21"/>
                <w:szCs w:val="21"/>
              </w:rPr>
              <w:t>工程</w:t>
            </w:r>
            <w:r>
              <w:rPr>
                <w:rFonts w:hint="eastAsia" w:cs="Times New Roman" w:eastAsiaTheme="minorEastAsia"/>
                <w:b/>
                <w:color w:val="auto"/>
                <w:sz w:val="21"/>
                <w:szCs w:val="21"/>
                <w:lang w:eastAsia="zh-CN"/>
              </w:rPr>
              <w:t>永久</w:t>
            </w:r>
            <w:r>
              <w:rPr>
                <w:rFonts w:cs="Times New Roman" w:eastAsiaTheme="minorEastAsia"/>
                <w:b/>
                <w:color w:val="auto"/>
                <w:sz w:val="21"/>
                <w:szCs w:val="21"/>
              </w:rPr>
              <w:t>占地类型及面积统计表</w:t>
            </w:r>
            <w:r>
              <w:rPr>
                <w:rFonts w:hint="eastAsia" w:cs="Times New Roman" w:eastAsiaTheme="minorEastAsia"/>
                <w:b/>
                <w:color w:val="auto"/>
                <w:sz w:val="21"/>
                <w:szCs w:val="21"/>
              </w:rPr>
              <w:t>（hm</w:t>
            </w:r>
            <w:r>
              <w:rPr>
                <w:rFonts w:hint="eastAsia" w:cs="Times New Roman" w:eastAsiaTheme="minorEastAsia"/>
                <w:b/>
                <w:color w:val="auto"/>
                <w:sz w:val="21"/>
                <w:szCs w:val="21"/>
                <w:vertAlign w:val="superscript"/>
              </w:rPr>
              <w:t>2</w:t>
            </w:r>
            <w:r>
              <w:rPr>
                <w:rFonts w:hint="eastAsia" w:cs="Times New Roman" w:eastAsiaTheme="minorEastAsia"/>
                <w:b/>
                <w:color w:val="auto"/>
                <w:sz w:val="21"/>
                <w:szCs w:val="21"/>
              </w:rPr>
              <w:t>）</w:t>
            </w:r>
          </w:p>
          <w:tbl>
            <w:tblPr>
              <w:tblStyle w:val="46"/>
              <w:tblW w:w="7699"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44"/>
              <w:gridCol w:w="852"/>
              <w:gridCol w:w="680"/>
              <w:gridCol w:w="759"/>
              <w:gridCol w:w="680"/>
              <w:gridCol w:w="644"/>
              <w:gridCol w:w="625"/>
              <w:gridCol w:w="681"/>
              <w:gridCol w:w="644"/>
              <w:gridCol w:w="695"/>
              <w:gridCol w:w="695"/>
            </w:tblGrid>
            <w:tr w14:paraId="30F734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0" w:hRule="atLeast"/>
              </w:trPr>
              <w:tc>
                <w:tcPr>
                  <w:tcW w:w="1596" w:type="dxa"/>
                  <w:gridSpan w:val="2"/>
                  <w:vMerge w:val="restart"/>
                  <w:vAlign w:val="center"/>
                </w:tcPr>
                <w:p w14:paraId="49C616F2">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eastAsia="宋体"/>
                      <w:b/>
                      <w:bCs/>
                      <w:spacing w:val="0"/>
                      <w:position w:val="0"/>
                      <w:sz w:val="21"/>
                      <w:szCs w:val="21"/>
                      <w:lang w:eastAsia="zh-CN"/>
                    </w:rPr>
                  </w:pPr>
                  <w:r>
                    <w:rPr>
                      <w:rFonts w:hint="eastAsia"/>
                      <w:b/>
                      <w:bCs/>
                      <w:spacing w:val="0"/>
                      <w:position w:val="0"/>
                      <w:sz w:val="21"/>
                      <w:szCs w:val="21"/>
                      <w:lang w:eastAsia="zh-CN"/>
                    </w:rPr>
                    <w:t>行政区</w:t>
                  </w:r>
                </w:p>
              </w:tc>
              <w:tc>
                <w:tcPr>
                  <w:tcW w:w="6103" w:type="dxa"/>
                  <w:gridSpan w:val="9"/>
                  <w:vAlign w:val="center"/>
                </w:tcPr>
                <w:p w14:paraId="0C2C9AE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b/>
                      <w:bCs/>
                      <w:spacing w:val="0"/>
                      <w:position w:val="0"/>
                      <w:sz w:val="21"/>
                      <w:szCs w:val="21"/>
                    </w:rPr>
                  </w:pPr>
                  <w:r>
                    <w:rPr>
                      <w:b/>
                      <w:bCs/>
                      <w:spacing w:val="0"/>
                      <w:position w:val="0"/>
                      <w:sz w:val="21"/>
                      <w:szCs w:val="21"/>
                    </w:rPr>
                    <w:t>临时占地（亩）</w:t>
                  </w:r>
                </w:p>
              </w:tc>
            </w:tr>
            <w:tr w14:paraId="71B380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6" w:hRule="atLeast"/>
              </w:trPr>
              <w:tc>
                <w:tcPr>
                  <w:tcW w:w="1596" w:type="dxa"/>
                  <w:gridSpan w:val="2"/>
                  <w:vMerge w:val="continue"/>
                  <w:vAlign w:val="center"/>
                </w:tcPr>
                <w:p w14:paraId="6291400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b/>
                      <w:bCs/>
                      <w:spacing w:val="0"/>
                      <w:position w:val="0"/>
                      <w:sz w:val="21"/>
                      <w:szCs w:val="21"/>
                    </w:rPr>
                  </w:pPr>
                </w:p>
              </w:tc>
              <w:tc>
                <w:tcPr>
                  <w:tcW w:w="5408" w:type="dxa"/>
                  <w:gridSpan w:val="8"/>
                  <w:vAlign w:val="center"/>
                </w:tcPr>
                <w:p w14:paraId="65F2A8E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b/>
                      <w:bCs/>
                      <w:spacing w:val="0"/>
                      <w:position w:val="0"/>
                      <w:sz w:val="21"/>
                      <w:szCs w:val="21"/>
                    </w:rPr>
                  </w:pPr>
                  <w:r>
                    <w:rPr>
                      <w:b/>
                      <w:bCs/>
                      <w:spacing w:val="0"/>
                      <w:position w:val="0"/>
                      <w:sz w:val="21"/>
                      <w:szCs w:val="21"/>
                    </w:rPr>
                    <w:t>护岸工程、施工临时道路、施工营地</w:t>
                  </w:r>
                </w:p>
              </w:tc>
              <w:tc>
                <w:tcPr>
                  <w:tcW w:w="695" w:type="dxa"/>
                  <w:vMerge w:val="restart"/>
                  <w:tcBorders>
                    <w:bottom w:val="nil"/>
                  </w:tcBorders>
                  <w:vAlign w:val="center"/>
                </w:tcPr>
                <w:p w14:paraId="0FF26E8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b/>
                      <w:bCs/>
                      <w:spacing w:val="0"/>
                      <w:position w:val="0"/>
                      <w:sz w:val="21"/>
                      <w:szCs w:val="21"/>
                    </w:rPr>
                  </w:pPr>
                  <w:r>
                    <w:rPr>
                      <w:b/>
                      <w:bCs/>
                      <w:spacing w:val="0"/>
                      <w:position w:val="0"/>
                      <w:sz w:val="21"/>
                      <w:szCs w:val="21"/>
                    </w:rPr>
                    <w:t>小计</w:t>
                  </w:r>
                </w:p>
              </w:tc>
            </w:tr>
            <w:tr w14:paraId="4CC9D7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175" w:hRule="atLeast"/>
              </w:trPr>
              <w:tc>
                <w:tcPr>
                  <w:tcW w:w="1596" w:type="dxa"/>
                  <w:gridSpan w:val="2"/>
                  <w:vMerge w:val="continue"/>
                  <w:vAlign w:val="center"/>
                </w:tcPr>
                <w:p w14:paraId="473B739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pacing w:val="0"/>
                      <w:position w:val="0"/>
                      <w:sz w:val="21"/>
                      <w:szCs w:val="21"/>
                    </w:rPr>
                  </w:pPr>
                </w:p>
              </w:tc>
              <w:tc>
                <w:tcPr>
                  <w:tcW w:w="1439" w:type="dxa"/>
                  <w:gridSpan w:val="2"/>
                  <w:vAlign w:val="center"/>
                </w:tcPr>
                <w:p w14:paraId="1FCD9959">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b/>
                      <w:bCs/>
                      <w:spacing w:val="0"/>
                      <w:position w:val="0"/>
                      <w:sz w:val="21"/>
                      <w:szCs w:val="21"/>
                    </w:rPr>
                  </w:pPr>
                  <w:r>
                    <w:rPr>
                      <w:rFonts w:hint="eastAsia"/>
                      <w:b/>
                      <w:bCs/>
                      <w:spacing w:val="0"/>
                      <w:position w:val="0"/>
                      <w:sz w:val="21"/>
                      <w:szCs w:val="21"/>
                    </w:rPr>
                    <w:t>水域及水利设施用地</w:t>
                  </w:r>
                </w:p>
              </w:tc>
              <w:tc>
                <w:tcPr>
                  <w:tcW w:w="1324" w:type="dxa"/>
                  <w:gridSpan w:val="2"/>
                  <w:vAlign w:val="center"/>
                </w:tcPr>
                <w:p w14:paraId="44482EDF">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eastAsia="宋体"/>
                      <w:b/>
                      <w:bCs/>
                      <w:spacing w:val="0"/>
                      <w:position w:val="0"/>
                      <w:sz w:val="21"/>
                      <w:szCs w:val="21"/>
                      <w:lang w:eastAsia="zh-CN"/>
                    </w:rPr>
                  </w:pPr>
                  <w:r>
                    <w:rPr>
                      <w:rFonts w:hint="eastAsia"/>
                      <w:b/>
                      <w:bCs/>
                      <w:spacing w:val="0"/>
                      <w:position w:val="0"/>
                      <w:sz w:val="21"/>
                      <w:szCs w:val="21"/>
                      <w:lang w:eastAsia="zh-CN"/>
                    </w:rPr>
                    <w:t>耕地</w:t>
                  </w:r>
                </w:p>
              </w:tc>
              <w:tc>
                <w:tcPr>
                  <w:tcW w:w="625" w:type="dxa"/>
                  <w:vMerge w:val="restart"/>
                  <w:vAlign w:val="center"/>
                </w:tcPr>
                <w:p w14:paraId="65BAB570">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b/>
                      <w:bCs/>
                      <w:spacing w:val="0"/>
                      <w:position w:val="0"/>
                      <w:sz w:val="21"/>
                      <w:szCs w:val="21"/>
                    </w:rPr>
                  </w:pPr>
                  <w:r>
                    <w:rPr>
                      <w:b/>
                      <w:bCs/>
                      <w:spacing w:val="0"/>
                      <w:position w:val="0"/>
                      <w:sz w:val="21"/>
                      <w:szCs w:val="21"/>
                    </w:rPr>
                    <w:t>园地</w:t>
                  </w:r>
                </w:p>
              </w:tc>
              <w:tc>
                <w:tcPr>
                  <w:tcW w:w="681" w:type="dxa"/>
                  <w:vMerge w:val="restart"/>
                  <w:vAlign w:val="center"/>
                </w:tcPr>
                <w:p w14:paraId="2C40A5B0">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b/>
                      <w:bCs/>
                      <w:spacing w:val="0"/>
                      <w:position w:val="0"/>
                      <w:sz w:val="21"/>
                      <w:szCs w:val="21"/>
                    </w:rPr>
                  </w:pPr>
                  <w:r>
                    <w:rPr>
                      <w:b/>
                      <w:bCs/>
                      <w:spacing w:val="0"/>
                      <w:position w:val="0"/>
                      <w:sz w:val="21"/>
                      <w:szCs w:val="21"/>
                    </w:rPr>
                    <w:t>林地</w:t>
                  </w:r>
                </w:p>
              </w:tc>
              <w:tc>
                <w:tcPr>
                  <w:tcW w:w="644" w:type="dxa"/>
                  <w:vMerge w:val="restart"/>
                  <w:vAlign w:val="center"/>
                </w:tcPr>
                <w:p w14:paraId="7280476D">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b/>
                      <w:bCs/>
                      <w:spacing w:val="0"/>
                      <w:position w:val="0"/>
                      <w:sz w:val="21"/>
                      <w:szCs w:val="21"/>
                    </w:rPr>
                  </w:pPr>
                  <w:r>
                    <w:rPr>
                      <w:b/>
                      <w:bCs/>
                      <w:spacing w:val="0"/>
                      <w:position w:val="0"/>
                      <w:sz w:val="21"/>
                      <w:szCs w:val="21"/>
                    </w:rPr>
                    <w:t>鱼塘</w:t>
                  </w:r>
                </w:p>
              </w:tc>
              <w:tc>
                <w:tcPr>
                  <w:tcW w:w="695" w:type="dxa"/>
                  <w:vMerge w:val="restart"/>
                  <w:vAlign w:val="center"/>
                </w:tcPr>
                <w:p w14:paraId="5152F299">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b/>
                      <w:bCs/>
                      <w:spacing w:val="0"/>
                      <w:position w:val="0"/>
                      <w:sz w:val="21"/>
                      <w:szCs w:val="21"/>
                    </w:rPr>
                  </w:pPr>
                  <w:r>
                    <w:rPr>
                      <w:b/>
                      <w:bCs/>
                      <w:spacing w:val="0"/>
                      <w:position w:val="0"/>
                      <w:sz w:val="21"/>
                      <w:szCs w:val="21"/>
                    </w:rPr>
                    <w:t>农村道路</w:t>
                  </w:r>
                </w:p>
              </w:tc>
              <w:tc>
                <w:tcPr>
                  <w:tcW w:w="695" w:type="dxa"/>
                  <w:vMerge w:val="continue"/>
                  <w:tcBorders>
                    <w:top w:val="nil"/>
                  </w:tcBorders>
                  <w:vAlign w:val="center"/>
                </w:tcPr>
                <w:p w14:paraId="6502B9B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pacing w:val="0"/>
                      <w:position w:val="0"/>
                      <w:sz w:val="21"/>
                      <w:szCs w:val="21"/>
                    </w:rPr>
                  </w:pPr>
                </w:p>
              </w:tc>
            </w:tr>
            <w:tr w14:paraId="451991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75" w:hRule="atLeast"/>
              </w:trPr>
              <w:tc>
                <w:tcPr>
                  <w:tcW w:w="1596" w:type="dxa"/>
                  <w:gridSpan w:val="2"/>
                  <w:vMerge w:val="continue"/>
                  <w:vAlign w:val="center"/>
                </w:tcPr>
                <w:p w14:paraId="3BA48804">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pacing w:val="0"/>
                      <w:position w:val="0"/>
                      <w:sz w:val="21"/>
                      <w:szCs w:val="21"/>
                    </w:rPr>
                  </w:pPr>
                </w:p>
              </w:tc>
              <w:tc>
                <w:tcPr>
                  <w:tcW w:w="680" w:type="dxa"/>
                  <w:vAlign w:val="center"/>
                </w:tcPr>
                <w:p w14:paraId="7E2E242C">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b/>
                      <w:bCs/>
                      <w:spacing w:val="0"/>
                      <w:position w:val="0"/>
                      <w:sz w:val="21"/>
                      <w:szCs w:val="21"/>
                    </w:rPr>
                  </w:pPr>
                  <w:r>
                    <w:rPr>
                      <w:b/>
                      <w:bCs/>
                      <w:spacing w:val="0"/>
                      <w:position w:val="0"/>
                      <w:sz w:val="21"/>
                      <w:szCs w:val="21"/>
                    </w:rPr>
                    <w:t>河流</w:t>
                  </w:r>
                </w:p>
                <w:p w14:paraId="3D277EFE">
                  <w:pPr>
                    <w:pStyle w:val="6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b/>
                      <w:bCs/>
                      <w:spacing w:val="0"/>
                      <w:position w:val="0"/>
                      <w:sz w:val="21"/>
                      <w:szCs w:val="21"/>
                    </w:rPr>
                  </w:pPr>
                  <w:r>
                    <w:rPr>
                      <w:b/>
                      <w:bCs/>
                      <w:spacing w:val="0"/>
                      <w:position w:val="0"/>
                      <w:sz w:val="21"/>
                      <w:szCs w:val="21"/>
                    </w:rPr>
                    <w:t>水面</w:t>
                  </w:r>
                </w:p>
              </w:tc>
              <w:tc>
                <w:tcPr>
                  <w:tcW w:w="759" w:type="dxa"/>
                  <w:vAlign w:val="center"/>
                </w:tcPr>
                <w:p w14:paraId="1EE7C995">
                  <w:pPr>
                    <w:pStyle w:val="6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b/>
                      <w:bCs/>
                      <w:spacing w:val="0"/>
                      <w:position w:val="0"/>
                      <w:sz w:val="21"/>
                      <w:szCs w:val="21"/>
                    </w:rPr>
                  </w:pPr>
                  <w:r>
                    <w:rPr>
                      <w:b/>
                      <w:bCs/>
                      <w:spacing w:val="0"/>
                      <w:position w:val="0"/>
                      <w:sz w:val="21"/>
                      <w:szCs w:val="21"/>
                    </w:rPr>
                    <w:t>水利设 施用地</w:t>
                  </w:r>
                </w:p>
              </w:tc>
              <w:tc>
                <w:tcPr>
                  <w:tcW w:w="680" w:type="dxa"/>
                  <w:vAlign w:val="center"/>
                </w:tcPr>
                <w:p w14:paraId="4C76361D">
                  <w:pPr>
                    <w:pStyle w:val="6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宋体" w:hAnsi="宋体" w:eastAsia="宋体" w:cs="宋体"/>
                      <w:b/>
                      <w:bCs/>
                      <w:color w:val="000000" w:themeColor="text1"/>
                      <w:spacing w:val="0"/>
                      <w:kern w:val="2"/>
                      <w:position w:val="0"/>
                      <w:sz w:val="21"/>
                      <w:szCs w:val="21"/>
                      <w:lang w:val="en-US" w:eastAsia="en-US" w:bidi="ar-SA"/>
                      <w14:textFill>
                        <w14:solidFill>
                          <w14:schemeClr w14:val="tx1"/>
                        </w14:solidFill>
                      </w14:textFill>
                    </w:rPr>
                  </w:pPr>
                  <w:r>
                    <w:rPr>
                      <w:b/>
                      <w:bCs/>
                      <w:spacing w:val="0"/>
                      <w:position w:val="0"/>
                      <w:sz w:val="21"/>
                      <w:szCs w:val="21"/>
                    </w:rPr>
                    <w:t>水田</w:t>
                  </w:r>
                </w:p>
              </w:tc>
              <w:tc>
                <w:tcPr>
                  <w:tcW w:w="644" w:type="dxa"/>
                  <w:vAlign w:val="center"/>
                </w:tcPr>
                <w:p w14:paraId="5524CAD8">
                  <w:pPr>
                    <w:pStyle w:val="6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宋体" w:hAnsi="宋体" w:eastAsia="宋体" w:cs="宋体"/>
                      <w:b/>
                      <w:bCs/>
                      <w:color w:val="000000" w:themeColor="text1"/>
                      <w:spacing w:val="0"/>
                      <w:kern w:val="2"/>
                      <w:position w:val="0"/>
                      <w:sz w:val="21"/>
                      <w:szCs w:val="21"/>
                      <w:lang w:val="en-US" w:eastAsia="en-US" w:bidi="ar-SA"/>
                      <w14:textFill>
                        <w14:solidFill>
                          <w14:schemeClr w14:val="tx1"/>
                        </w14:solidFill>
                      </w14:textFill>
                    </w:rPr>
                  </w:pPr>
                  <w:r>
                    <w:rPr>
                      <w:b/>
                      <w:bCs/>
                      <w:spacing w:val="0"/>
                      <w:position w:val="0"/>
                      <w:sz w:val="21"/>
                      <w:szCs w:val="21"/>
                    </w:rPr>
                    <w:t>旱地</w:t>
                  </w:r>
                </w:p>
              </w:tc>
              <w:tc>
                <w:tcPr>
                  <w:tcW w:w="625" w:type="dxa"/>
                  <w:vMerge w:val="continue"/>
                  <w:vAlign w:val="center"/>
                </w:tcPr>
                <w:p w14:paraId="36D2683A">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pacing w:val="0"/>
                      <w:position w:val="0"/>
                      <w:sz w:val="21"/>
                      <w:szCs w:val="21"/>
                    </w:rPr>
                  </w:pPr>
                </w:p>
              </w:tc>
              <w:tc>
                <w:tcPr>
                  <w:tcW w:w="681" w:type="dxa"/>
                  <w:vMerge w:val="continue"/>
                  <w:vAlign w:val="center"/>
                </w:tcPr>
                <w:p w14:paraId="7FFEFDCF">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pacing w:val="0"/>
                      <w:position w:val="0"/>
                      <w:sz w:val="21"/>
                      <w:szCs w:val="21"/>
                    </w:rPr>
                  </w:pPr>
                </w:p>
              </w:tc>
              <w:tc>
                <w:tcPr>
                  <w:tcW w:w="644" w:type="dxa"/>
                  <w:vMerge w:val="continue"/>
                  <w:vAlign w:val="center"/>
                </w:tcPr>
                <w:p w14:paraId="33418CB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pacing w:val="0"/>
                      <w:position w:val="0"/>
                      <w:sz w:val="21"/>
                      <w:szCs w:val="21"/>
                    </w:rPr>
                  </w:pPr>
                </w:p>
              </w:tc>
              <w:tc>
                <w:tcPr>
                  <w:tcW w:w="695" w:type="dxa"/>
                  <w:vMerge w:val="continue"/>
                  <w:vAlign w:val="center"/>
                </w:tcPr>
                <w:p w14:paraId="489D1EE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pacing w:val="0"/>
                      <w:position w:val="0"/>
                      <w:sz w:val="21"/>
                      <w:szCs w:val="21"/>
                    </w:rPr>
                  </w:pPr>
                </w:p>
              </w:tc>
              <w:tc>
                <w:tcPr>
                  <w:tcW w:w="695" w:type="dxa"/>
                  <w:vMerge w:val="continue"/>
                  <w:vAlign w:val="center"/>
                </w:tcPr>
                <w:p w14:paraId="2CEB284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pacing w:val="0"/>
                      <w:position w:val="0"/>
                      <w:sz w:val="21"/>
                      <w:szCs w:val="21"/>
                    </w:rPr>
                  </w:pPr>
                </w:p>
              </w:tc>
            </w:tr>
            <w:tr w14:paraId="6C1454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6" w:hRule="atLeast"/>
              </w:trPr>
              <w:tc>
                <w:tcPr>
                  <w:tcW w:w="744" w:type="dxa"/>
                  <w:vMerge w:val="restart"/>
                  <w:tcBorders>
                    <w:bottom w:val="nil"/>
                  </w:tcBorders>
                  <w:vAlign w:val="center"/>
                </w:tcPr>
                <w:p w14:paraId="38E8DBC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pacing w:val="0"/>
                      <w:position w:val="0"/>
                      <w:sz w:val="21"/>
                      <w:szCs w:val="21"/>
                    </w:rPr>
                  </w:pPr>
                  <w:r>
                    <w:rPr>
                      <w:spacing w:val="0"/>
                      <w:position w:val="0"/>
                      <w:sz w:val="21"/>
                      <w:szCs w:val="21"/>
                    </w:rPr>
                    <w:t>勐戛镇</w:t>
                  </w:r>
                </w:p>
              </w:tc>
              <w:tc>
                <w:tcPr>
                  <w:tcW w:w="852" w:type="dxa"/>
                  <w:vAlign w:val="center"/>
                </w:tcPr>
                <w:p w14:paraId="7990BC1B">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pacing w:val="0"/>
                      <w:position w:val="0"/>
                      <w:sz w:val="21"/>
                      <w:szCs w:val="21"/>
                    </w:rPr>
                  </w:pPr>
                  <w:r>
                    <w:rPr>
                      <w:spacing w:val="0"/>
                      <w:position w:val="0"/>
                      <w:sz w:val="21"/>
                      <w:szCs w:val="21"/>
                    </w:rPr>
                    <w:t>勐戛村</w:t>
                  </w:r>
                </w:p>
              </w:tc>
              <w:tc>
                <w:tcPr>
                  <w:tcW w:w="680" w:type="dxa"/>
                  <w:vAlign w:val="center"/>
                </w:tcPr>
                <w:p w14:paraId="62BAB9F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22.65</w:t>
                  </w:r>
                </w:p>
              </w:tc>
              <w:tc>
                <w:tcPr>
                  <w:tcW w:w="759" w:type="dxa"/>
                  <w:vAlign w:val="center"/>
                </w:tcPr>
                <w:p w14:paraId="0AF1E52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33.22</w:t>
                  </w:r>
                </w:p>
              </w:tc>
              <w:tc>
                <w:tcPr>
                  <w:tcW w:w="680" w:type="dxa"/>
                  <w:vAlign w:val="center"/>
                </w:tcPr>
                <w:p w14:paraId="6FC2FC4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19.24</w:t>
                  </w:r>
                </w:p>
              </w:tc>
              <w:tc>
                <w:tcPr>
                  <w:tcW w:w="644" w:type="dxa"/>
                  <w:vAlign w:val="center"/>
                </w:tcPr>
                <w:p w14:paraId="69CBE23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0.85</w:t>
                  </w:r>
                </w:p>
              </w:tc>
              <w:tc>
                <w:tcPr>
                  <w:tcW w:w="625" w:type="dxa"/>
                  <w:vAlign w:val="center"/>
                </w:tcPr>
                <w:p w14:paraId="2497187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pacing w:val="0"/>
                      <w:position w:val="0"/>
                      <w:sz w:val="21"/>
                      <w:szCs w:val="21"/>
                    </w:rPr>
                  </w:pPr>
                </w:p>
              </w:tc>
              <w:tc>
                <w:tcPr>
                  <w:tcW w:w="681" w:type="dxa"/>
                  <w:vAlign w:val="center"/>
                </w:tcPr>
                <w:p w14:paraId="1951624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1.68</w:t>
                  </w:r>
                </w:p>
              </w:tc>
              <w:tc>
                <w:tcPr>
                  <w:tcW w:w="644" w:type="dxa"/>
                  <w:vAlign w:val="center"/>
                </w:tcPr>
                <w:p w14:paraId="60D56F0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pacing w:val="0"/>
                      <w:position w:val="0"/>
                      <w:sz w:val="21"/>
                      <w:szCs w:val="21"/>
                    </w:rPr>
                  </w:pPr>
                </w:p>
              </w:tc>
              <w:tc>
                <w:tcPr>
                  <w:tcW w:w="695" w:type="dxa"/>
                  <w:vAlign w:val="center"/>
                </w:tcPr>
                <w:p w14:paraId="2CBDF90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22.32</w:t>
                  </w:r>
                </w:p>
              </w:tc>
              <w:tc>
                <w:tcPr>
                  <w:tcW w:w="695" w:type="dxa"/>
                  <w:vAlign w:val="center"/>
                </w:tcPr>
                <w:p w14:paraId="724BFD5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99.95</w:t>
                  </w:r>
                </w:p>
              </w:tc>
            </w:tr>
            <w:tr w14:paraId="1A8209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6" w:hRule="atLeast"/>
              </w:trPr>
              <w:tc>
                <w:tcPr>
                  <w:tcW w:w="744" w:type="dxa"/>
                  <w:vMerge w:val="continue"/>
                  <w:tcBorders>
                    <w:top w:val="nil"/>
                    <w:bottom w:val="nil"/>
                  </w:tcBorders>
                  <w:vAlign w:val="center"/>
                </w:tcPr>
                <w:p w14:paraId="37197DA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pacing w:val="0"/>
                      <w:position w:val="0"/>
                      <w:sz w:val="21"/>
                      <w:szCs w:val="21"/>
                    </w:rPr>
                  </w:pPr>
                </w:p>
              </w:tc>
              <w:tc>
                <w:tcPr>
                  <w:tcW w:w="852" w:type="dxa"/>
                  <w:vAlign w:val="center"/>
                </w:tcPr>
                <w:p w14:paraId="64A42AA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pacing w:val="0"/>
                      <w:position w:val="0"/>
                      <w:sz w:val="21"/>
                      <w:szCs w:val="21"/>
                    </w:rPr>
                  </w:pPr>
                  <w:r>
                    <w:rPr>
                      <w:spacing w:val="0"/>
                      <w:position w:val="0"/>
                      <w:sz w:val="21"/>
                      <w:szCs w:val="21"/>
                    </w:rPr>
                    <w:t>勐稳村</w:t>
                  </w:r>
                </w:p>
              </w:tc>
              <w:tc>
                <w:tcPr>
                  <w:tcW w:w="680" w:type="dxa"/>
                  <w:vAlign w:val="center"/>
                </w:tcPr>
                <w:p w14:paraId="194E8BE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16. 12</w:t>
                  </w:r>
                </w:p>
              </w:tc>
              <w:tc>
                <w:tcPr>
                  <w:tcW w:w="759" w:type="dxa"/>
                  <w:vAlign w:val="center"/>
                </w:tcPr>
                <w:p w14:paraId="659B6EA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23.64</w:t>
                  </w:r>
                </w:p>
              </w:tc>
              <w:tc>
                <w:tcPr>
                  <w:tcW w:w="680" w:type="dxa"/>
                  <w:vAlign w:val="center"/>
                </w:tcPr>
                <w:p w14:paraId="7D10F3D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16.66</w:t>
                  </w:r>
                </w:p>
              </w:tc>
              <w:tc>
                <w:tcPr>
                  <w:tcW w:w="644" w:type="dxa"/>
                  <w:vAlign w:val="center"/>
                </w:tcPr>
                <w:p w14:paraId="65EC58F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1.21</w:t>
                  </w:r>
                </w:p>
              </w:tc>
              <w:tc>
                <w:tcPr>
                  <w:tcW w:w="625" w:type="dxa"/>
                  <w:vAlign w:val="center"/>
                </w:tcPr>
                <w:p w14:paraId="38A1FC0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2.99</w:t>
                  </w:r>
                </w:p>
              </w:tc>
              <w:tc>
                <w:tcPr>
                  <w:tcW w:w="681" w:type="dxa"/>
                  <w:vAlign w:val="center"/>
                </w:tcPr>
                <w:p w14:paraId="7A85649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2.54</w:t>
                  </w:r>
                </w:p>
              </w:tc>
              <w:tc>
                <w:tcPr>
                  <w:tcW w:w="644" w:type="dxa"/>
                  <w:vAlign w:val="center"/>
                </w:tcPr>
                <w:p w14:paraId="4156311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pacing w:val="0"/>
                      <w:position w:val="0"/>
                      <w:sz w:val="21"/>
                      <w:szCs w:val="21"/>
                    </w:rPr>
                  </w:pPr>
                </w:p>
              </w:tc>
              <w:tc>
                <w:tcPr>
                  <w:tcW w:w="695" w:type="dxa"/>
                  <w:vAlign w:val="center"/>
                </w:tcPr>
                <w:p w14:paraId="3350A42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12.75</w:t>
                  </w:r>
                </w:p>
              </w:tc>
              <w:tc>
                <w:tcPr>
                  <w:tcW w:w="695" w:type="dxa"/>
                  <w:vAlign w:val="center"/>
                </w:tcPr>
                <w:p w14:paraId="2A70F76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75.92</w:t>
                  </w:r>
                </w:p>
              </w:tc>
            </w:tr>
            <w:tr w14:paraId="38DEBF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7" w:hRule="atLeast"/>
              </w:trPr>
              <w:tc>
                <w:tcPr>
                  <w:tcW w:w="744" w:type="dxa"/>
                  <w:vMerge w:val="continue"/>
                  <w:tcBorders>
                    <w:top w:val="nil"/>
                  </w:tcBorders>
                  <w:vAlign w:val="center"/>
                </w:tcPr>
                <w:p w14:paraId="7EC9839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pacing w:val="0"/>
                      <w:position w:val="0"/>
                      <w:sz w:val="21"/>
                      <w:szCs w:val="21"/>
                    </w:rPr>
                  </w:pPr>
                </w:p>
              </w:tc>
              <w:tc>
                <w:tcPr>
                  <w:tcW w:w="852" w:type="dxa"/>
                  <w:vAlign w:val="center"/>
                </w:tcPr>
                <w:p w14:paraId="4ADE15F0">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pacing w:val="0"/>
                      <w:position w:val="0"/>
                      <w:sz w:val="21"/>
                      <w:szCs w:val="21"/>
                    </w:rPr>
                  </w:pPr>
                  <w:r>
                    <w:rPr>
                      <w:spacing w:val="0"/>
                      <w:position w:val="0"/>
                      <w:sz w:val="21"/>
                      <w:szCs w:val="21"/>
                    </w:rPr>
                    <w:t>勐旺村</w:t>
                  </w:r>
                </w:p>
              </w:tc>
              <w:tc>
                <w:tcPr>
                  <w:tcW w:w="680" w:type="dxa"/>
                  <w:vAlign w:val="center"/>
                </w:tcPr>
                <w:p w14:paraId="55E0BA7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13.50</w:t>
                  </w:r>
                </w:p>
              </w:tc>
              <w:tc>
                <w:tcPr>
                  <w:tcW w:w="759" w:type="dxa"/>
                  <w:vAlign w:val="center"/>
                </w:tcPr>
                <w:p w14:paraId="6A53874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19.80</w:t>
                  </w:r>
                </w:p>
              </w:tc>
              <w:tc>
                <w:tcPr>
                  <w:tcW w:w="680" w:type="dxa"/>
                  <w:vAlign w:val="center"/>
                </w:tcPr>
                <w:p w14:paraId="3DB38B9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11.32</w:t>
                  </w:r>
                </w:p>
              </w:tc>
              <w:tc>
                <w:tcPr>
                  <w:tcW w:w="644" w:type="dxa"/>
                  <w:vAlign w:val="center"/>
                </w:tcPr>
                <w:p w14:paraId="145337D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1.79</w:t>
                  </w:r>
                </w:p>
              </w:tc>
              <w:tc>
                <w:tcPr>
                  <w:tcW w:w="625" w:type="dxa"/>
                  <w:vAlign w:val="center"/>
                </w:tcPr>
                <w:p w14:paraId="14ADF78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pacing w:val="0"/>
                      <w:position w:val="0"/>
                      <w:sz w:val="21"/>
                      <w:szCs w:val="21"/>
                    </w:rPr>
                  </w:pPr>
                </w:p>
              </w:tc>
              <w:tc>
                <w:tcPr>
                  <w:tcW w:w="681" w:type="dxa"/>
                  <w:vAlign w:val="center"/>
                </w:tcPr>
                <w:p w14:paraId="6108BCD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4. 12</w:t>
                  </w:r>
                </w:p>
              </w:tc>
              <w:tc>
                <w:tcPr>
                  <w:tcW w:w="644" w:type="dxa"/>
                  <w:vAlign w:val="center"/>
                </w:tcPr>
                <w:p w14:paraId="32D84F9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pacing w:val="0"/>
                      <w:position w:val="0"/>
                      <w:sz w:val="21"/>
                      <w:szCs w:val="21"/>
                    </w:rPr>
                  </w:pPr>
                </w:p>
              </w:tc>
              <w:tc>
                <w:tcPr>
                  <w:tcW w:w="695" w:type="dxa"/>
                  <w:vAlign w:val="center"/>
                </w:tcPr>
                <w:p w14:paraId="2A26C5A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1.68</w:t>
                  </w:r>
                </w:p>
              </w:tc>
              <w:tc>
                <w:tcPr>
                  <w:tcW w:w="695" w:type="dxa"/>
                  <w:vAlign w:val="center"/>
                </w:tcPr>
                <w:p w14:paraId="69961AF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52.20</w:t>
                  </w:r>
                </w:p>
              </w:tc>
            </w:tr>
            <w:tr w14:paraId="2B330A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7" w:hRule="atLeast"/>
              </w:trPr>
              <w:tc>
                <w:tcPr>
                  <w:tcW w:w="744" w:type="dxa"/>
                  <w:vAlign w:val="center"/>
                </w:tcPr>
                <w:p w14:paraId="571A5906">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pacing w:val="0"/>
                      <w:position w:val="0"/>
                      <w:sz w:val="21"/>
                      <w:szCs w:val="21"/>
                    </w:rPr>
                  </w:pPr>
                  <w:r>
                    <w:rPr>
                      <w:spacing w:val="0"/>
                      <w:position w:val="0"/>
                      <w:sz w:val="21"/>
                      <w:szCs w:val="21"/>
                    </w:rPr>
                    <w:t>风平镇</w:t>
                  </w:r>
                </w:p>
              </w:tc>
              <w:tc>
                <w:tcPr>
                  <w:tcW w:w="852" w:type="dxa"/>
                  <w:vAlign w:val="center"/>
                </w:tcPr>
                <w:p w14:paraId="03F7893B">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pacing w:val="0"/>
                      <w:position w:val="0"/>
                      <w:sz w:val="21"/>
                      <w:szCs w:val="21"/>
                    </w:rPr>
                  </w:pPr>
                  <w:r>
                    <w:rPr>
                      <w:spacing w:val="0"/>
                      <w:position w:val="0"/>
                      <w:sz w:val="21"/>
                      <w:szCs w:val="21"/>
                    </w:rPr>
                    <w:t>芒里村</w:t>
                  </w:r>
                </w:p>
              </w:tc>
              <w:tc>
                <w:tcPr>
                  <w:tcW w:w="680" w:type="dxa"/>
                  <w:vAlign w:val="center"/>
                </w:tcPr>
                <w:p w14:paraId="69231FF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7.09</w:t>
                  </w:r>
                </w:p>
              </w:tc>
              <w:tc>
                <w:tcPr>
                  <w:tcW w:w="759" w:type="dxa"/>
                  <w:vAlign w:val="center"/>
                </w:tcPr>
                <w:p w14:paraId="5D0E7D4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9.64</w:t>
                  </w:r>
                </w:p>
              </w:tc>
              <w:tc>
                <w:tcPr>
                  <w:tcW w:w="680" w:type="dxa"/>
                  <w:vAlign w:val="center"/>
                </w:tcPr>
                <w:p w14:paraId="5A78EC7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2.30</w:t>
                  </w:r>
                </w:p>
              </w:tc>
              <w:tc>
                <w:tcPr>
                  <w:tcW w:w="644" w:type="dxa"/>
                  <w:vAlign w:val="center"/>
                </w:tcPr>
                <w:p w14:paraId="411967B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pacing w:val="0"/>
                      <w:position w:val="0"/>
                      <w:sz w:val="21"/>
                      <w:szCs w:val="21"/>
                    </w:rPr>
                  </w:pPr>
                </w:p>
              </w:tc>
              <w:tc>
                <w:tcPr>
                  <w:tcW w:w="625" w:type="dxa"/>
                  <w:vAlign w:val="center"/>
                </w:tcPr>
                <w:p w14:paraId="7D711D2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pacing w:val="0"/>
                      <w:position w:val="0"/>
                      <w:sz w:val="21"/>
                      <w:szCs w:val="21"/>
                    </w:rPr>
                  </w:pPr>
                </w:p>
              </w:tc>
              <w:tc>
                <w:tcPr>
                  <w:tcW w:w="681" w:type="dxa"/>
                  <w:vAlign w:val="center"/>
                </w:tcPr>
                <w:p w14:paraId="0AB8032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17.23</w:t>
                  </w:r>
                </w:p>
              </w:tc>
              <w:tc>
                <w:tcPr>
                  <w:tcW w:w="644" w:type="dxa"/>
                  <w:vAlign w:val="center"/>
                </w:tcPr>
                <w:p w14:paraId="3F59499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9.81</w:t>
                  </w:r>
                </w:p>
              </w:tc>
              <w:tc>
                <w:tcPr>
                  <w:tcW w:w="695" w:type="dxa"/>
                  <w:vAlign w:val="center"/>
                </w:tcPr>
                <w:p w14:paraId="3381E29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7.80</w:t>
                  </w:r>
                </w:p>
              </w:tc>
              <w:tc>
                <w:tcPr>
                  <w:tcW w:w="695" w:type="dxa"/>
                  <w:vAlign w:val="center"/>
                </w:tcPr>
                <w:p w14:paraId="5098779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53.87</w:t>
                  </w:r>
                </w:p>
              </w:tc>
            </w:tr>
            <w:tr w14:paraId="789D1D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5" w:hRule="atLeast"/>
              </w:trPr>
              <w:tc>
                <w:tcPr>
                  <w:tcW w:w="1596" w:type="dxa"/>
                  <w:gridSpan w:val="2"/>
                  <w:vAlign w:val="center"/>
                </w:tcPr>
                <w:p w14:paraId="5870A9E3">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pacing w:val="0"/>
                      <w:position w:val="0"/>
                      <w:sz w:val="21"/>
                      <w:szCs w:val="21"/>
                    </w:rPr>
                  </w:pPr>
                  <w:r>
                    <w:rPr>
                      <w:spacing w:val="0"/>
                      <w:position w:val="0"/>
                      <w:sz w:val="21"/>
                      <w:szCs w:val="21"/>
                    </w:rPr>
                    <w:t>合计</w:t>
                  </w:r>
                </w:p>
              </w:tc>
              <w:tc>
                <w:tcPr>
                  <w:tcW w:w="680" w:type="dxa"/>
                  <w:vAlign w:val="center"/>
                </w:tcPr>
                <w:p w14:paraId="5028B6A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59.36</w:t>
                  </w:r>
                </w:p>
              </w:tc>
              <w:tc>
                <w:tcPr>
                  <w:tcW w:w="759" w:type="dxa"/>
                  <w:vAlign w:val="center"/>
                </w:tcPr>
                <w:p w14:paraId="370B610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86.30</w:t>
                  </w:r>
                </w:p>
              </w:tc>
              <w:tc>
                <w:tcPr>
                  <w:tcW w:w="680" w:type="dxa"/>
                  <w:vAlign w:val="center"/>
                </w:tcPr>
                <w:p w14:paraId="14D1D33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49.51</w:t>
                  </w:r>
                </w:p>
              </w:tc>
              <w:tc>
                <w:tcPr>
                  <w:tcW w:w="644" w:type="dxa"/>
                  <w:vAlign w:val="center"/>
                </w:tcPr>
                <w:p w14:paraId="2A3F5F7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3.84</w:t>
                  </w:r>
                </w:p>
              </w:tc>
              <w:tc>
                <w:tcPr>
                  <w:tcW w:w="625" w:type="dxa"/>
                  <w:vAlign w:val="center"/>
                </w:tcPr>
                <w:p w14:paraId="6D433D0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2.99</w:t>
                  </w:r>
                </w:p>
              </w:tc>
              <w:tc>
                <w:tcPr>
                  <w:tcW w:w="681" w:type="dxa"/>
                  <w:vAlign w:val="center"/>
                </w:tcPr>
                <w:p w14:paraId="4553D44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25.57</w:t>
                  </w:r>
                </w:p>
              </w:tc>
              <w:tc>
                <w:tcPr>
                  <w:tcW w:w="644" w:type="dxa"/>
                  <w:vAlign w:val="center"/>
                </w:tcPr>
                <w:p w14:paraId="2029890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9.81</w:t>
                  </w:r>
                </w:p>
              </w:tc>
              <w:tc>
                <w:tcPr>
                  <w:tcW w:w="695" w:type="dxa"/>
                  <w:vAlign w:val="center"/>
                </w:tcPr>
                <w:p w14:paraId="4A9185D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44.55</w:t>
                  </w:r>
                </w:p>
              </w:tc>
              <w:tc>
                <w:tcPr>
                  <w:tcW w:w="695" w:type="dxa"/>
                  <w:vAlign w:val="center"/>
                </w:tcPr>
                <w:p w14:paraId="1E05535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0"/>
                      <w:position w:val="0"/>
                      <w:sz w:val="21"/>
                      <w:szCs w:val="21"/>
                    </w:rPr>
                  </w:pPr>
                  <w:r>
                    <w:rPr>
                      <w:rFonts w:ascii="Times New Roman" w:hAnsi="Times New Roman" w:eastAsia="Times New Roman" w:cs="Times New Roman"/>
                      <w:spacing w:val="0"/>
                      <w:position w:val="0"/>
                      <w:sz w:val="21"/>
                      <w:szCs w:val="21"/>
                    </w:rPr>
                    <w:t>281.94</w:t>
                  </w:r>
                </w:p>
              </w:tc>
            </w:tr>
          </w:tbl>
          <w:p w14:paraId="70AFD5E7">
            <w:pPr>
              <w:pStyle w:val="36"/>
              <w:bidi w:val="0"/>
              <w:rPr>
                <w:rFonts w:hint="eastAsia"/>
                <w:b/>
                <w:bCs/>
                <w:color w:val="auto"/>
                <w:lang w:val="en-US" w:eastAsia="zh-CN"/>
              </w:rPr>
            </w:pPr>
            <w:r>
              <w:rPr>
                <w:rFonts w:hint="eastAsia"/>
                <w:b/>
                <w:bCs/>
                <w:color w:val="auto"/>
                <w:lang w:val="en-US" w:eastAsia="zh-CN"/>
              </w:rPr>
              <w:t>2、生态环境现状</w:t>
            </w:r>
          </w:p>
          <w:p w14:paraId="7C9AA8B0">
            <w:pPr>
              <w:adjustRightInd w:val="0"/>
              <w:snapToGrid w:val="0"/>
              <w:spacing w:line="360" w:lineRule="auto"/>
              <w:ind w:firstLine="482" w:firstLineChars="200"/>
              <w:rPr>
                <w:rFonts w:hint="default" w:ascii="Times New Roman" w:hAnsi="Times New Roman" w:eastAsia="宋体" w:cs="Times New Roman"/>
                <w:b/>
                <w:color w:val="auto"/>
                <w:kern w:val="0"/>
                <w:sz w:val="24"/>
              </w:rPr>
            </w:pPr>
            <w:r>
              <w:rPr>
                <w:rFonts w:hint="eastAsia" w:ascii="Times New Roman" w:hAnsi="Times New Roman" w:cs="Times New Roman"/>
                <w:b/>
                <w:color w:val="auto"/>
                <w:kern w:val="0"/>
                <w:sz w:val="24"/>
                <w:lang w:val="en-US" w:eastAsia="zh-CN"/>
              </w:rPr>
              <w:t>（1）</w:t>
            </w:r>
            <w:r>
              <w:rPr>
                <w:rFonts w:hint="default" w:ascii="Times New Roman" w:hAnsi="Times New Roman" w:eastAsia="宋体" w:cs="Times New Roman"/>
                <w:b/>
                <w:color w:val="auto"/>
                <w:kern w:val="0"/>
                <w:sz w:val="24"/>
              </w:rPr>
              <w:t>陆生生态</w:t>
            </w:r>
          </w:p>
          <w:p w14:paraId="0E067C64">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本次陆生生态现状调查范围确定为：本次果朗河治理段以河道中心线向河道两侧外延</w:t>
            </w:r>
            <w:r>
              <w:rPr>
                <w:rFonts w:hint="default" w:ascii="Times New Roman" w:hAnsi="Times New Roman" w:eastAsia="宋体" w:cs="Times New Roman"/>
                <w:color w:val="auto"/>
                <w:sz w:val="24"/>
                <w:highlight w:val="none"/>
                <w:lang w:val="en-US" w:eastAsia="zh-CN"/>
              </w:rPr>
              <w:t>300m为调查范围。</w:t>
            </w:r>
          </w:p>
          <w:p w14:paraId="1C9809E7">
            <w:pPr>
              <w:adjustRightInd w:val="0"/>
              <w:snapToGrid w:val="0"/>
              <w:spacing w:line="360" w:lineRule="auto"/>
              <w:ind w:firstLine="482" w:firstLineChars="200"/>
              <w:rPr>
                <w:rFonts w:hint="default" w:ascii="Times New Roman" w:hAnsi="Times New Roman" w:eastAsia="宋体" w:cs="Times New Roman"/>
                <w:b/>
                <w:color w:val="auto"/>
                <w:kern w:val="0"/>
                <w:sz w:val="24"/>
              </w:rPr>
            </w:pPr>
            <w:r>
              <w:rPr>
                <w:rFonts w:hint="default" w:ascii="Times New Roman" w:hAnsi="Times New Roman" w:eastAsia="宋体" w:cs="Times New Roman"/>
                <w:b/>
                <w:color w:val="auto"/>
                <w:kern w:val="0"/>
                <w:sz w:val="24"/>
                <w:lang w:val="en-US" w:eastAsia="zh-CN"/>
              </w:rPr>
              <w:t>1</w:t>
            </w:r>
            <w:r>
              <w:rPr>
                <w:rFonts w:hint="default" w:ascii="Times New Roman" w:hAnsi="Times New Roman" w:eastAsia="宋体" w:cs="Times New Roman"/>
                <w:b/>
                <w:color w:val="auto"/>
                <w:kern w:val="0"/>
                <w:sz w:val="24"/>
                <w:lang w:eastAsia="zh-CN"/>
              </w:rPr>
              <w:t>）</w:t>
            </w:r>
            <w:r>
              <w:rPr>
                <w:rFonts w:hint="default" w:ascii="Times New Roman" w:hAnsi="Times New Roman" w:eastAsia="宋体" w:cs="Times New Roman"/>
                <w:b/>
                <w:color w:val="auto"/>
                <w:kern w:val="0"/>
                <w:sz w:val="24"/>
              </w:rPr>
              <w:t>生态系统现状</w:t>
            </w:r>
          </w:p>
          <w:p w14:paraId="2909939A">
            <w:pPr>
              <w:adjustRightInd w:val="0"/>
              <w:snapToGrid w:val="0"/>
              <w:spacing w:line="360" w:lineRule="auto"/>
              <w:ind w:firstLine="480" w:firstLineChars="200"/>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 w:val="24"/>
              </w:rPr>
              <w:t>参考《中国生态系统》的分类原则及方法，</w:t>
            </w:r>
            <w:r>
              <w:rPr>
                <w:rFonts w:hint="default" w:ascii="Times New Roman" w:hAnsi="Times New Roman" w:eastAsia="宋体" w:cs="Times New Roman"/>
                <w:color w:val="auto"/>
                <w:kern w:val="0"/>
                <w:sz w:val="24"/>
                <w:lang w:val="en-US" w:eastAsia="zh-CN"/>
              </w:rPr>
              <w:t>本项目沿线300m</w:t>
            </w:r>
            <w:r>
              <w:rPr>
                <w:rFonts w:hint="default" w:ascii="Times New Roman" w:hAnsi="Times New Roman" w:eastAsia="宋体" w:cs="Times New Roman"/>
                <w:color w:val="auto"/>
                <w:kern w:val="0"/>
                <w:sz w:val="24"/>
              </w:rPr>
              <w:t>评价区内生态系统类型主要包括灌丛生态系统、湿地生态系统、农田生态系统、城镇生态系统</w:t>
            </w:r>
            <w:r>
              <w:rPr>
                <w:rFonts w:hint="default" w:ascii="Times New Roman" w:hAnsi="Times New Roman" w:eastAsia="宋体" w:cs="Times New Roman"/>
                <w:color w:val="auto"/>
                <w:kern w:val="0"/>
                <w:sz w:val="24"/>
                <w:lang w:val="en-US" w:eastAsia="zh-CN"/>
              </w:rPr>
              <w:t>四</w:t>
            </w:r>
            <w:r>
              <w:rPr>
                <w:rFonts w:hint="default" w:ascii="Times New Roman" w:hAnsi="Times New Roman" w:eastAsia="宋体" w:cs="Times New Roman"/>
                <w:color w:val="auto"/>
                <w:kern w:val="0"/>
                <w:sz w:val="24"/>
              </w:rPr>
              <w:t>类。根据现场调查和土地利用现状分析，评价区以农田生态系统为主，其次是湿地生态系统和灌丛生态系统</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城镇生态系统所占比例最小。</w:t>
            </w:r>
          </w:p>
          <w:p w14:paraId="031399D0">
            <w:pPr>
              <w:adjustRightInd w:val="0"/>
              <w:snapToGrid w:val="0"/>
              <w:spacing w:line="360" w:lineRule="auto"/>
              <w:ind w:firstLine="480" w:firstLineChars="200"/>
              <w:rPr>
                <w:rFonts w:hint="default" w:ascii="Times New Roman" w:hAnsi="Times New Roman" w:eastAsia="宋体" w:cs="Times New Roman"/>
                <w:color w:val="auto"/>
                <w:kern w:val="0"/>
                <w:sz w:val="24"/>
              </w:rPr>
            </w:pPr>
            <w:r>
              <w:rPr>
                <w:rFonts w:hint="eastAsia" w:ascii="Times New Roman" w:hAnsi="Times New Roman" w:cs="Times New Roman"/>
                <w:color w:val="auto"/>
                <w:kern w:val="0"/>
                <w:sz w:val="24"/>
                <w:lang w:eastAsia="zh-CN"/>
              </w:rPr>
              <w:t>①</w:t>
            </w:r>
            <w:r>
              <w:rPr>
                <w:rFonts w:hint="default" w:ascii="Times New Roman" w:hAnsi="Times New Roman" w:eastAsia="宋体" w:cs="Times New Roman"/>
                <w:color w:val="auto"/>
                <w:kern w:val="0"/>
                <w:sz w:val="24"/>
              </w:rPr>
              <w:t>灌丛生态系统</w:t>
            </w:r>
          </w:p>
          <w:p w14:paraId="2D1B01BB">
            <w:pPr>
              <w:adjustRightInd w:val="0"/>
              <w:snapToGrid w:val="0"/>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评价区内的灌丛生态系统主要分布在河岸两侧、河漫滩、农田和村落周边。主要植物物种有飞机草、肿柄菊、虾子花、鬼针草和水茄等；主要动物物种有鸟类中的红原鸡、棕背伯劳、白斑黑石䳭、褐翅鸦鹃和红顶鹛等；两栖类中的黑眶蟾蜍、泽陆蛙等；爬行类中的铜蜓蜥；哺乳类主要有黄鼬等。</w:t>
            </w:r>
          </w:p>
          <w:p w14:paraId="060FC7E2">
            <w:pPr>
              <w:adjustRightInd w:val="0"/>
              <w:snapToGrid w:val="0"/>
              <w:spacing w:line="360" w:lineRule="auto"/>
              <w:ind w:firstLine="480" w:firstLineChars="200"/>
              <w:rPr>
                <w:rFonts w:hint="default" w:ascii="Times New Roman" w:hAnsi="Times New Roman" w:eastAsia="宋体" w:cs="Times New Roman"/>
                <w:color w:val="auto"/>
                <w:kern w:val="0"/>
                <w:sz w:val="24"/>
              </w:rPr>
            </w:pPr>
            <w:r>
              <w:rPr>
                <w:rFonts w:hint="eastAsia" w:ascii="Times New Roman" w:hAnsi="Times New Roman" w:cs="Times New Roman"/>
                <w:color w:val="auto"/>
                <w:kern w:val="0"/>
                <w:sz w:val="24"/>
                <w:lang w:eastAsia="zh-CN"/>
              </w:rPr>
              <w:t>②</w:t>
            </w:r>
            <w:r>
              <w:rPr>
                <w:rFonts w:hint="default" w:ascii="Times New Roman" w:hAnsi="Times New Roman" w:eastAsia="宋体" w:cs="Times New Roman"/>
                <w:color w:val="auto"/>
                <w:kern w:val="0"/>
                <w:sz w:val="24"/>
              </w:rPr>
              <w:t>湿地生态系统</w:t>
            </w:r>
          </w:p>
          <w:p w14:paraId="390BFCBE">
            <w:pPr>
              <w:adjustRightInd w:val="0"/>
              <w:snapToGrid w:val="0"/>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评价区内湿地生态系统主要分布在</w:t>
            </w:r>
            <w:r>
              <w:rPr>
                <w:rFonts w:hint="default" w:ascii="Times New Roman" w:hAnsi="Times New Roman" w:eastAsia="宋体" w:cs="Times New Roman"/>
                <w:color w:val="auto"/>
                <w:kern w:val="0"/>
                <w:sz w:val="24"/>
                <w:lang w:val="en-US" w:eastAsia="zh-CN"/>
              </w:rPr>
              <w:t>果朗河</w:t>
            </w:r>
            <w:r>
              <w:rPr>
                <w:rFonts w:hint="default" w:ascii="Times New Roman" w:hAnsi="Times New Roman" w:eastAsia="宋体" w:cs="Times New Roman"/>
                <w:color w:val="auto"/>
                <w:kern w:val="0"/>
                <w:sz w:val="24"/>
              </w:rPr>
              <w:t>干流及其周边，湿地类型为沼泽和河滩地，植被类型以沼泽和水生植被为主，主要物种有芦苇、甜根子草、破坏草、大薸等。评价区内主要湿地动物类型包括：两栖类中的静水型种类如陇川大头蛙等；爬行类中的水栖型种类如乌龟，林栖傍水型种类如孟加拉眼镜蛇和银环蛇等；湿地鸟类中的游禽、涉禽</w:t>
            </w:r>
            <w:r>
              <w:rPr>
                <w:rFonts w:hint="default" w:ascii="Times New Roman" w:hAnsi="Times New Roman" w:eastAsia="宋体" w:cs="Times New Roman"/>
                <w:color w:val="auto"/>
                <w:kern w:val="0"/>
                <w:sz w:val="24"/>
                <w:lang w:eastAsia="zh-CN"/>
              </w:rPr>
              <w:t>及其他</w:t>
            </w:r>
            <w:r>
              <w:rPr>
                <w:rFonts w:hint="default" w:ascii="Times New Roman" w:hAnsi="Times New Roman" w:eastAsia="宋体" w:cs="Times New Roman"/>
                <w:color w:val="auto"/>
                <w:kern w:val="0"/>
                <w:sz w:val="24"/>
              </w:rPr>
              <w:t>傍水型鸟类，其中游禽包括小䴙䴘、赤麻鸭、绿翅鸭、绿头鸭、印缅斑嘴鸭等；涉禽包括黑鹳、灰鹤、白鹭、苍鹭、池鹭、牛背鹭、黑水鸡等；</w:t>
            </w:r>
            <w:r>
              <w:rPr>
                <w:rFonts w:hint="default" w:ascii="Times New Roman" w:hAnsi="Times New Roman" w:eastAsia="宋体" w:cs="Times New Roman"/>
                <w:color w:val="auto"/>
                <w:kern w:val="0"/>
                <w:sz w:val="24"/>
                <w:lang w:eastAsia="zh-CN"/>
              </w:rPr>
              <w:t>以及其他</w:t>
            </w:r>
            <w:r>
              <w:rPr>
                <w:rFonts w:hint="default" w:ascii="Times New Roman" w:hAnsi="Times New Roman" w:eastAsia="宋体" w:cs="Times New Roman"/>
                <w:color w:val="auto"/>
                <w:kern w:val="0"/>
                <w:sz w:val="24"/>
              </w:rPr>
              <w:t>傍水型鸟类包括普通翠鸟、白胸翡翠、斑鱼狗等。</w:t>
            </w:r>
          </w:p>
          <w:p w14:paraId="6379B76B">
            <w:pPr>
              <w:adjustRightInd w:val="0"/>
              <w:snapToGrid w:val="0"/>
              <w:spacing w:line="360" w:lineRule="auto"/>
              <w:ind w:firstLine="480" w:firstLineChars="200"/>
              <w:rPr>
                <w:rFonts w:hint="default" w:ascii="Times New Roman" w:hAnsi="Times New Roman" w:eastAsia="宋体" w:cs="Times New Roman"/>
                <w:color w:val="auto"/>
                <w:kern w:val="0"/>
                <w:sz w:val="24"/>
              </w:rPr>
            </w:pPr>
            <w:r>
              <w:rPr>
                <w:rFonts w:hint="eastAsia" w:ascii="Times New Roman" w:hAnsi="Times New Roman" w:cs="Times New Roman"/>
                <w:color w:val="auto"/>
                <w:kern w:val="0"/>
                <w:sz w:val="24"/>
                <w:lang w:val="en-US" w:eastAsia="zh-CN"/>
              </w:rPr>
              <w:t>③</w:t>
            </w:r>
            <w:r>
              <w:rPr>
                <w:rFonts w:hint="default" w:ascii="Times New Roman" w:hAnsi="Times New Roman" w:eastAsia="宋体" w:cs="Times New Roman"/>
                <w:color w:val="auto"/>
                <w:kern w:val="0"/>
                <w:sz w:val="24"/>
              </w:rPr>
              <w:t>农田生态系统</w:t>
            </w:r>
          </w:p>
          <w:p w14:paraId="51D834D7">
            <w:pPr>
              <w:pStyle w:val="36"/>
              <w:bidi w:val="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评价区内的农田植被分为粮食作物和经济作物。其中粮食作物主要以水稻和玉米为主，兼有花生、蚕豆、豌豆、菜豆、薯类阳芋、红薯等；经济作物主要以甘蔗、香蕉和烟草为主，其中水果类有西番莲、西瓜和香瓜，蔬菜类有青菜、南瓜、白菜、油菜等。农田生态系统中分布的动物多为与人类伴居的动物，包括鸟类中的常见鸣禽白领八哥、灰头椋鸟、白斑黑石䳭、棕背伯劳等；哺乳类中的部分半地下生活型种类，如小型啮齿动物黄胸鼠、褐家鼠、小家鼠等。</w:t>
            </w:r>
          </w:p>
          <w:p w14:paraId="69351DF8">
            <w:pPr>
              <w:adjustRightInd w:val="0"/>
              <w:snapToGrid w:val="0"/>
              <w:spacing w:line="360" w:lineRule="auto"/>
              <w:ind w:firstLine="480" w:firstLineChars="200"/>
              <w:rPr>
                <w:rFonts w:hint="default" w:ascii="Times New Roman" w:hAnsi="Times New Roman" w:eastAsia="宋体" w:cs="Times New Roman"/>
                <w:color w:val="auto"/>
                <w:kern w:val="0"/>
                <w:sz w:val="24"/>
              </w:rPr>
            </w:pPr>
            <w:r>
              <w:rPr>
                <w:rFonts w:hint="eastAsia" w:ascii="Times New Roman" w:hAnsi="Times New Roman" w:cs="Times New Roman"/>
                <w:color w:val="auto"/>
                <w:kern w:val="0"/>
                <w:sz w:val="24"/>
                <w:lang w:val="en-US" w:eastAsia="zh-CN"/>
              </w:rPr>
              <w:t>④</w:t>
            </w:r>
            <w:r>
              <w:rPr>
                <w:rFonts w:hint="default" w:ascii="Times New Roman" w:hAnsi="Times New Roman" w:eastAsia="宋体" w:cs="Times New Roman"/>
                <w:color w:val="auto"/>
                <w:kern w:val="0"/>
                <w:sz w:val="24"/>
              </w:rPr>
              <w:t>城镇生态系统</w:t>
            </w:r>
          </w:p>
          <w:p w14:paraId="137D35C6">
            <w:pPr>
              <w:adjustRightInd w:val="0"/>
              <w:snapToGrid w:val="0"/>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评价区内的城镇生态系统在河岸沿线两侧均有分布，植被多为人工栽培植物，主要是人工竹林、傣族的竜山林和栽培的行道树。主要物种有：高山榕和龙竹、四子柳、柳叶润楠、女贞、对叶榕、构树、乌墨和聚果榕等。城镇生态系统中的动物种类较少，主要为喜与人类伴居的种类。例如：傍人生活的鸣禽如家燕、斑腰燕、麻雀、白领八哥、灰头椋鸟等；爬行类如多疣壁虎等；哺乳类如小型啮齿动物黄胸鼠、褐家鼠、小家鼠等。</w:t>
            </w:r>
          </w:p>
          <w:p w14:paraId="1AB5323A">
            <w:pPr>
              <w:adjustRightInd w:val="0"/>
              <w:snapToGrid w:val="0"/>
              <w:spacing w:line="360" w:lineRule="auto"/>
              <w:ind w:firstLine="482" w:firstLineChars="200"/>
              <w:rPr>
                <w:rFonts w:hint="default" w:ascii="Times New Roman" w:hAnsi="Times New Roman" w:eastAsia="宋体" w:cs="Times New Roman"/>
                <w:b/>
                <w:color w:val="auto"/>
                <w:kern w:val="0"/>
                <w:sz w:val="24"/>
              </w:rPr>
            </w:pPr>
            <w:r>
              <w:rPr>
                <w:rFonts w:hint="default" w:ascii="Times New Roman" w:hAnsi="Times New Roman" w:eastAsia="宋体" w:cs="Times New Roman"/>
                <w:b/>
                <w:color w:val="auto"/>
                <w:kern w:val="0"/>
                <w:sz w:val="24"/>
                <w:lang w:val="en-US" w:eastAsia="zh-CN"/>
              </w:rPr>
              <w:t>2</w:t>
            </w:r>
            <w:r>
              <w:rPr>
                <w:rFonts w:hint="default" w:ascii="Times New Roman" w:hAnsi="Times New Roman" w:eastAsia="宋体" w:cs="Times New Roman"/>
                <w:b/>
                <w:color w:val="auto"/>
                <w:kern w:val="0"/>
                <w:sz w:val="24"/>
                <w:lang w:eastAsia="zh-CN"/>
              </w:rPr>
              <w:t>）</w:t>
            </w:r>
            <w:r>
              <w:rPr>
                <w:rFonts w:hint="default" w:ascii="Times New Roman" w:hAnsi="Times New Roman" w:eastAsia="宋体" w:cs="Times New Roman"/>
                <w:b/>
                <w:color w:val="auto"/>
                <w:kern w:val="0"/>
                <w:sz w:val="24"/>
              </w:rPr>
              <w:t>陆生植物现状</w:t>
            </w:r>
          </w:p>
          <w:p w14:paraId="17129A09">
            <w:pPr>
              <w:adjustRightInd w:val="0"/>
              <w:snapToGrid w:val="0"/>
              <w:spacing w:line="360" w:lineRule="auto"/>
              <w:ind w:firstLine="480" w:firstLineChars="200"/>
              <w:rPr>
                <w:rFonts w:hint="default" w:ascii="Times New Roman" w:hAnsi="Times New Roman" w:eastAsia="宋体" w:cs="Times New Roman"/>
                <w:color w:val="auto"/>
                <w:kern w:val="0"/>
                <w:sz w:val="24"/>
              </w:rPr>
            </w:pPr>
            <w:r>
              <w:rPr>
                <w:rFonts w:hint="eastAsia" w:ascii="Times New Roman" w:hAnsi="Times New Roman" w:cs="Times New Roman"/>
                <w:color w:val="auto"/>
                <w:kern w:val="0"/>
                <w:sz w:val="24"/>
                <w:lang w:val="en-US" w:eastAsia="zh-CN"/>
              </w:rPr>
              <w:t>①</w:t>
            </w:r>
            <w:r>
              <w:rPr>
                <w:rFonts w:hint="default" w:ascii="Times New Roman" w:hAnsi="Times New Roman" w:eastAsia="宋体" w:cs="Times New Roman"/>
                <w:color w:val="auto"/>
                <w:kern w:val="0"/>
                <w:sz w:val="24"/>
              </w:rPr>
              <w:t>植被</w:t>
            </w:r>
          </w:p>
          <w:p w14:paraId="6516B085">
            <w:pPr>
              <w:adjustRightInd w:val="0"/>
              <w:snapToGrid w:val="0"/>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根据《中国植被》中确定的群落学－生态学分类原则，</w:t>
            </w:r>
            <w:r>
              <w:rPr>
                <w:rFonts w:hint="default" w:ascii="Times New Roman" w:hAnsi="Times New Roman" w:eastAsia="宋体" w:cs="Times New Roman"/>
                <w:color w:val="auto"/>
                <w:kern w:val="0"/>
                <w:sz w:val="24"/>
                <w:lang w:val="en-US" w:eastAsia="zh-CN"/>
              </w:rPr>
              <w:t>本项目沿线300m</w:t>
            </w:r>
            <w:r>
              <w:rPr>
                <w:rFonts w:hint="default" w:ascii="Times New Roman" w:hAnsi="Times New Roman" w:eastAsia="宋体" w:cs="Times New Roman"/>
                <w:color w:val="auto"/>
                <w:kern w:val="0"/>
                <w:sz w:val="24"/>
              </w:rPr>
              <w:t>评价区</w:t>
            </w:r>
            <w:r>
              <w:rPr>
                <w:rFonts w:hint="default" w:ascii="Times New Roman" w:hAnsi="Times New Roman" w:eastAsia="宋体" w:cs="Times New Roman"/>
                <w:color w:val="auto"/>
                <w:kern w:val="0"/>
                <w:sz w:val="24"/>
                <w:lang w:val="en-US" w:eastAsia="zh-CN"/>
              </w:rPr>
              <w:t>内</w:t>
            </w:r>
            <w:r>
              <w:rPr>
                <w:rFonts w:hint="default" w:ascii="Times New Roman" w:hAnsi="Times New Roman" w:eastAsia="宋体" w:cs="Times New Roman"/>
                <w:color w:val="auto"/>
                <w:kern w:val="0"/>
                <w:sz w:val="24"/>
              </w:rPr>
              <w:t>自然植被划分为</w:t>
            </w:r>
            <w:r>
              <w:rPr>
                <w:rFonts w:hint="default" w:ascii="Times New Roman" w:hAnsi="Times New Roman" w:eastAsia="宋体" w:cs="Times New Roman"/>
                <w:color w:val="auto"/>
                <w:kern w:val="0"/>
                <w:sz w:val="24"/>
                <w:lang w:val="en-US" w:eastAsia="zh-CN"/>
              </w:rPr>
              <w:t>3</w:t>
            </w:r>
            <w:r>
              <w:rPr>
                <w:rFonts w:hint="default" w:ascii="Times New Roman" w:hAnsi="Times New Roman" w:eastAsia="宋体" w:cs="Times New Roman"/>
                <w:color w:val="auto"/>
                <w:kern w:val="0"/>
                <w:sz w:val="24"/>
              </w:rPr>
              <w:t>个植被型组、</w:t>
            </w:r>
            <w:r>
              <w:rPr>
                <w:rFonts w:hint="default" w:ascii="Times New Roman" w:hAnsi="Times New Roman" w:eastAsia="宋体" w:cs="Times New Roman"/>
                <w:color w:val="auto"/>
                <w:kern w:val="0"/>
                <w:sz w:val="24"/>
                <w:lang w:val="en-US" w:eastAsia="zh-CN"/>
              </w:rPr>
              <w:t>4</w:t>
            </w:r>
            <w:r>
              <w:rPr>
                <w:rFonts w:hint="default" w:ascii="Times New Roman" w:hAnsi="Times New Roman" w:eastAsia="宋体" w:cs="Times New Roman"/>
                <w:color w:val="auto"/>
                <w:kern w:val="0"/>
                <w:sz w:val="24"/>
              </w:rPr>
              <w:t>个植被型、</w:t>
            </w:r>
            <w:r>
              <w:rPr>
                <w:rFonts w:hint="default" w:ascii="Times New Roman" w:hAnsi="Times New Roman" w:eastAsia="宋体" w:cs="Times New Roman"/>
                <w:color w:val="auto"/>
                <w:kern w:val="0"/>
                <w:sz w:val="24"/>
                <w:lang w:val="en-US" w:eastAsia="zh-CN"/>
              </w:rPr>
              <w:t>5</w:t>
            </w:r>
            <w:r>
              <w:rPr>
                <w:rFonts w:hint="default" w:ascii="Times New Roman" w:hAnsi="Times New Roman" w:eastAsia="宋体" w:cs="Times New Roman"/>
                <w:color w:val="auto"/>
                <w:kern w:val="0"/>
                <w:sz w:val="24"/>
              </w:rPr>
              <w:t>个群系。各主要植被类型及其分布区域详见</w:t>
            </w:r>
            <w:r>
              <w:rPr>
                <w:rFonts w:hint="default" w:ascii="Times New Roman" w:hAnsi="Times New Roman" w:eastAsia="宋体" w:cs="Times New Roman"/>
                <w:color w:val="auto"/>
                <w:kern w:val="0"/>
                <w:sz w:val="24"/>
                <w:lang w:val="en-US" w:eastAsia="zh-CN"/>
              </w:rPr>
              <w:t>下</w:t>
            </w:r>
            <w:r>
              <w:rPr>
                <w:rFonts w:hint="default" w:ascii="Times New Roman" w:hAnsi="Times New Roman" w:eastAsia="宋体" w:cs="Times New Roman"/>
                <w:color w:val="auto"/>
                <w:kern w:val="0"/>
                <w:sz w:val="24"/>
              </w:rPr>
              <w:t>表。</w:t>
            </w:r>
          </w:p>
          <w:p w14:paraId="76430B23">
            <w:pPr>
              <w:bidi w:val="0"/>
              <w:ind w:left="0" w:lef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表3-</w:t>
            </w:r>
            <w:r>
              <w:rPr>
                <w:rFonts w:hint="eastAsia" w:cs="Times New Roman"/>
                <w:b/>
                <w:bCs/>
                <w:color w:val="auto"/>
                <w:sz w:val="21"/>
                <w:szCs w:val="21"/>
                <w:lang w:val="en-US" w:eastAsia="zh-CN"/>
              </w:rPr>
              <w:t>3</w:t>
            </w:r>
            <w:r>
              <w:rPr>
                <w:rFonts w:hint="default" w:ascii="Times New Roman" w:hAnsi="Times New Roman" w:eastAsia="宋体" w:cs="Times New Roman"/>
                <w:b/>
                <w:bCs/>
                <w:color w:val="auto"/>
                <w:sz w:val="21"/>
                <w:szCs w:val="21"/>
              </w:rPr>
              <w:t xml:space="preserve">  评价区主要植被类型</w:t>
            </w:r>
          </w:p>
          <w:tbl>
            <w:tblPr>
              <w:tblStyle w:val="22"/>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5"/>
              <w:gridCol w:w="2328"/>
              <w:gridCol w:w="3339"/>
            </w:tblGrid>
            <w:tr w14:paraId="3BB25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316" w:type="pct"/>
                  <w:tcBorders>
                    <w:tl2br w:val="nil"/>
                    <w:tr2bl w:val="nil"/>
                  </w:tcBorders>
                  <w:noWrap w:val="0"/>
                  <w:vAlign w:val="center"/>
                </w:tcPr>
                <w:p w14:paraId="3F785564">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植被型</w:t>
                  </w:r>
                </w:p>
              </w:tc>
              <w:tc>
                <w:tcPr>
                  <w:tcW w:w="1513" w:type="pct"/>
                  <w:tcBorders>
                    <w:tl2br w:val="nil"/>
                    <w:tr2bl w:val="nil"/>
                  </w:tcBorders>
                  <w:noWrap w:val="0"/>
                  <w:vAlign w:val="center"/>
                </w:tcPr>
                <w:p w14:paraId="02FEF4F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植被亚型</w:t>
                  </w:r>
                </w:p>
              </w:tc>
              <w:tc>
                <w:tcPr>
                  <w:tcW w:w="2170" w:type="pct"/>
                  <w:tcBorders>
                    <w:tl2br w:val="nil"/>
                    <w:tr2bl w:val="nil"/>
                  </w:tcBorders>
                  <w:noWrap w:val="0"/>
                  <w:vAlign w:val="center"/>
                </w:tcPr>
                <w:p w14:paraId="4173740F">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群系</w:t>
                  </w:r>
                </w:p>
              </w:tc>
            </w:tr>
            <w:tr w14:paraId="30A47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 w:hRule="atLeast"/>
              </w:trPr>
              <w:tc>
                <w:tcPr>
                  <w:tcW w:w="1316" w:type="pct"/>
                  <w:tcBorders>
                    <w:tl2br w:val="nil"/>
                    <w:tr2bl w:val="nil"/>
                  </w:tcBorders>
                  <w:noWrap w:val="0"/>
                  <w:vAlign w:val="center"/>
                </w:tcPr>
                <w:p w14:paraId="2098ED92">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稀树灌草丛</w:t>
                  </w:r>
                </w:p>
              </w:tc>
              <w:tc>
                <w:tcPr>
                  <w:tcW w:w="1513" w:type="pct"/>
                  <w:tcBorders>
                    <w:tl2br w:val="nil"/>
                    <w:tr2bl w:val="nil"/>
                  </w:tcBorders>
                  <w:noWrap w:val="0"/>
                  <w:vAlign w:val="center"/>
                </w:tcPr>
                <w:p w14:paraId="2F074F5E">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热性稀树灌草丛</w:t>
                  </w:r>
                </w:p>
              </w:tc>
              <w:tc>
                <w:tcPr>
                  <w:tcW w:w="2170" w:type="pct"/>
                  <w:tcBorders>
                    <w:tl2br w:val="nil"/>
                    <w:tr2bl w:val="nil"/>
                  </w:tcBorders>
                  <w:noWrap w:val="0"/>
                  <w:vAlign w:val="center"/>
                </w:tcPr>
                <w:p w14:paraId="331E5CDD">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含毛麻楝、黄牛木的中草草丛</w:t>
                  </w:r>
                </w:p>
              </w:tc>
            </w:tr>
            <w:tr w14:paraId="0CAB6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trPr>
              <w:tc>
                <w:tcPr>
                  <w:tcW w:w="1316" w:type="pct"/>
                  <w:tcBorders>
                    <w:tl2br w:val="nil"/>
                    <w:tr2bl w:val="nil"/>
                  </w:tcBorders>
                  <w:noWrap w:val="0"/>
                  <w:vAlign w:val="center"/>
                </w:tcPr>
                <w:p w14:paraId="6547A2B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竹林</w:t>
                  </w:r>
                </w:p>
              </w:tc>
              <w:tc>
                <w:tcPr>
                  <w:tcW w:w="1513" w:type="pct"/>
                  <w:tcBorders>
                    <w:tl2br w:val="nil"/>
                    <w:tr2bl w:val="nil"/>
                  </w:tcBorders>
                  <w:noWrap w:val="0"/>
                  <w:vAlign w:val="center"/>
                </w:tcPr>
                <w:p w14:paraId="3321CDEE">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暖热性竹林</w:t>
                  </w:r>
                </w:p>
              </w:tc>
              <w:tc>
                <w:tcPr>
                  <w:tcW w:w="2170" w:type="pct"/>
                  <w:tcBorders>
                    <w:tl2br w:val="nil"/>
                    <w:tr2bl w:val="nil"/>
                  </w:tcBorders>
                  <w:noWrap w:val="0"/>
                  <w:vAlign w:val="center"/>
                </w:tcPr>
                <w:p w14:paraId="3F4748C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凤尾竹林</w:t>
                  </w:r>
                </w:p>
              </w:tc>
            </w:tr>
            <w:tr w14:paraId="4F2A1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1316" w:type="pct"/>
                  <w:vMerge w:val="restart"/>
                  <w:tcBorders>
                    <w:tl2br w:val="nil"/>
                    <w:tr2bl w:val="nil"/>
                  </w:tcBorders>
                  <w:noWrap w:val="0"/>
                  <w:vAlign w:val="center"/>
                </w:tcPr>
                <w:p w14:paraId="0E070D88">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草丛</w:t>
                  </w:r>
                </w:p>
              </w:tc>
              <w:tc>
                <w:tcPr>
                  <w:tcW w:w="1513" w:type="pct"/>
                  <w:vMerge w:val="restart"/>
                  <w:tcBorders>
                    <w:tl2br w:val="nil"/>
                    <w:tr2bl w:val="nil"/>
                  </w:tcBorders>
                  <w:noWrap w:val="0"/>
                  <w:vAlign w:val="center"/>
                </w:tcPr>
                <w:p w14:paraId="2743D012">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杂草草丛</w:t>
                  </w:r>
                </w:p>
              </w:tc>
              <w:tc>
                <w:tcPr>
                  <w:tcW w:w="2170" w:type="pct"/>
                  <w:tcBorders>
                    <w:tl2br w:val="nil"/>
                    <w:tr2bl w:val="nil"/>
                  </w:tcBorders>
                  <w:noWrap w:val="0"/>
                  <w:vAlign w:val="center"/>
                </w:tcPr>
                <w:p w14:paraId="084E5A7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肿柄菊草丛</w:t>
                  </w:r>
                </w:p>
              </w:tc>
            </w:tr>
            <w:tr w14:paraId="4B3BA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316" w:type="pct"/>
                  <w:vMerge w:val="continue"/>
                  <w:tcBorders>
                    <w:tl2br w:val="nil"/>
                    <w:tr2bl w:val="nil"/>
                  </w:tcBorders>
                  <w:noWrap w:val="0"/>
                  <w:vAlign w:val="center"/>
                </w:tcPr>
                <w:p w14:paraId="5335BEC2">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rPr>
                  </w:pPr>
                </w:p>
              </w:tc>
              <w:tc>
                <w:tcPr>
                  <w:tcW w:w="1513" w:type="pct"/>
                  <w:vMerge w:val="continue"/>
                  <w:tcBorders>
                    <w:tl2br w:val="nil"/>
                    <w:tr2bl w:val="nil"/>
                  </w:tcBorders>
                  <w:noWrap w:val="0"/>
                  <w:vAlign w:val="center"/>
                </w:tcPr>
                <w:p w14:paraId="3DD9ECC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rPr>
                  </w:pPr>
                </w:p>
              </w:tc>
              <w:tc>
                <w:tcPr>
                  <w:tcW w:w="2170" w:type="pct"/>
                  <w:tcBorders>
                    <w:tl2br w:val="nil"/>
                    <w:tr2bl w:val="nil"/>
                  </w:tcBorders>
                  <w:noWrap w:val="0"/>
                  <w:vAlign w:val="center"/>
                </w:tcPr>
                <w:p w14:paraId="4058F35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飞机草草丛</w:t>
                  </w:r>
                </w:p>
              </w:tc>
            </w:tr>
            <w:tr w14:paraId="4AF9E6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1316" w:type="pct"/>
                  <w:vMerge w:val="continue"/>
                  <w:tcBorders>
                    <w:tl2br w:val="nil"/>
                    <w:tr2bl w:val="nil"/>
                  </w:tcBorders>
                  <w:noWrap w:val="0"/>
                  <w:vAlign w:val="center"/>
                </w:tcPr>
                <w:p w14:paraId="53CB11BB">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rPr>
                  </w:pPr>
                </w:p>
              </w:tc>
              <w:tc>
                <w:tcPr>
                  <w:tcW w:w="1513" w:type="pct"/>
                  <w:tcBorders>
                    <w:tl2br w:val="nil"/>
                    <w:tr2bl w:val="nil"/>
                  </w:tcBorders>
                  <w:noWrap w:val="0"/>
                  <w:vAlign w:val="center"/>
                </w:tcPr>
                <w:p w14:paraId="41243673">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热性草丛</w:t>
                  </w:r>
                </w:p>
              </w:tc>
              <w:tc>
                <w:tcPr>
                  <w:tcW w:w="2170" w:type="pct"/>
                  <w:tcBorders>
                    <w:tl2br w:val="nil"/>
                    <w:tr2bl w:val="nil"/>
                  </w:tcBorders>
                  <w:noWrap w:val="0"/>
                  <w:vAlign w:val="center"/>
                </w:tcPr>
                <w:p w14:paraId="22EA8AA6">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卡开芦草丛</w:t>
                  </w:r>
                </w:p>
              </w:tc>
            </w:tr>
          </w:tbl>
          <w:p w14:paraId="0911FA8C">
            <w:pPr>
              <w:bidi w:val="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A.</w:t>
            </w:r>
            <w:r>
              <w:rPr>
                <w:rFonts w:hint="default" w:ascii="Times New Roman" w:hAnsi="Times New Roman" w:eastAsia="宋体" w:cs="Times New Roman"/>
                <w:color w:val="auto"/>
                <w:lang w:val="en-US" w:eastAsia="zh-CN"/>
              </w:rPr>
              <w:t>稀树灌草丛</w:t>
            </w:r>
          </w:p>
          <w:p w14:paraId="17444649">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含毛麻楝、黄牛木的中草草丛</w:t>
            </w:r>
          </w:p>
          <w:p w14:paraId="0975E328">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该群落在项目区河道两侧广泛分布，这些地段的原始植被为半常绿季雨林，由于长期人为干扰，加之土壤板结，才形成现在的次生稀树灌木草丛。该群落组成上以草本为优势，但稀疏夹杂有少量木本植物，主要是毛麻楝、黄牛木、粗糠柴、浆果楝等，偶见有歪叶榕、楹树，乔木层高度约6m～8m，盖度约5%～10%；灌木层有少量糙叶水锦树、云南银柴、地桃花等，高度0.2m～1.2m，盖度约5%～15%；草本层植物丰富，以阿拉伯黄背草、大白茅为主，伴生有菅、四脉金茅、粽叶芦、五节芒等，并可见有假杜鹃、火炭母、白花疏绒草、水蓼等。</w:t>
            </w:r>
          </w:p>
          <w:p w14:paraId="291F8A69">
            <w:pPr>
              <w:bidi w:val="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B.</w:t>
            </w:r>
            <w:r>
              <w:rPr>
                <w:rFonts w:hint="default" w:ascii="Times New Roman" w:hAnsi="Times New Roman" w:eastAsia="宋体" w:cs="Times New Roman"/>
                <w:color w:val="auto"/>
                <w:lang w:val="en-US" w:eastAsia="zh-CN"/>
              </w:rPr>
              <w:t>竹林</w:t>
            </w:r>
          </w:p>
          <w:p w14:paraId="6FB28307">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评价区内人类火烧、干扰频繁，原有的灌木层早已被取代，仅记录到和人类生活较为相关的一个灌丛类型－竹林。</w:t>
            </w:r>
          </w:p>
          <w:p w14:paraId="622D6683">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凤尾竹林</w:t>
            </w:r>
          </w:p>
          <w:p w14:paraId="56D0C93E">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凤尾竹是云南特有竹类，该灌丛在评价区内呈簇状散生，项目区河岸均有分布，面积较大，群落高度整齐约4.5m，盖度约70%，物种单一，以凤尾竹为单优种，仅在竹林边可见有肿柄菊、紫茎泽兰、藿香蓟等少量菊科植物。</w:t>
            </w:r>
          </w:p>
          <w:p w14:paraId="0BB6973B">
            <w:pPr>
              <w:bidi w:val="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C.</w:t>
            </w:r>
            <w:r>
              <w:rPr>
                <w:rFonts w:hint="default" w:ascii="Times New Roman" w:hAnsi="Times New Roman" w:eastAsia="宋体" w:cs="Times New Roman"/>
                <w:color w:val="auto"/>
                <w:lang w:val="en-US" w:eastAsia="zh-CN"/>
              </w:rPr>
              <w:t>草丛</w:t>
            </w:r>
          </w:p>
          <w:p w14:paraId="199D0E5E">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a.肿柄菊草丛</w:t>
            </w:r>
          </w:p>
          <w:p w14:paraId="5BB24D5F">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由于河道附近人为痕迹较重，原生植被基本被取代，周围村庄最明显的就是被肿柄菊</w:t>
            </w:r>
            <w:r>
              <w:rPr>
                <w:rFonts w:hint="default" w:ascii="Times New Roman" w:hAnsi="Times New Roman" w:eastAsia="宋体" w:cs="Times New Roman"/>
                <w:i/>
                <w:iCs/>
                <w:color w:val="auto"/>
                <w:lang w:val="en-US" w:eastAsia="zh-CN"/>
              </w:rPr>
              <w:t>Tithonia diversifolia</w:t>
            </w:r>
            <w:r>
              <w:rPr>
                <w:rFonts w:hint="default" w:ascii="Times New Roman" w:hAnsi="Times New Roman" w:eastAsia="宋体" w:cs="Times New Roman"/>
                <w:color w:val="auto"/>
                <w:lang w:val="en-US" w:eastAsia="zh-CN"/>
              </w:rPr>
              <w:t>、藿香蓟Ageratum conyzoides、紫茎泽兰Ageratina adenophora等所占据，其中肿柄菊占优势，群落高度约0.5m～0.8m，盖度60%以上，混杂有马唐Digitaria sanguinalis，狗尾草Setaria virid，求米草Oplismenus undulatifolius，飞机草Eupatorium odoratum等，该草丛分布虽然零散，但是总面积不小。肿柄菊群落在果朗河各支流旁均有分布。</w:t>
            </w:r>
          </w:p>
          <w:p w14:paraId="0609059E">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b.飞机草草丛</w:t>
            </w:r>
          </w:p>
          <w:p w14:paraId="7A773920">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飞机草草丛有飞机草Eupatorium odoratum、紫茎泽兰Ageratina adenophora为优势，群落高度约0.6m～1.0m，盖度75%以上，夹杂有五色梅Lantana camara、藿香蓟Ageratum conyzoides、六棱菊Laggera alata、鬼针草Bidens bipinnata等植物。草丛边缘偶见有牛筋草Eleusine indica、狗牙根Cynodon dactylon、密序野古草Arundinella bengalensis等。藿香蓟、飞机草草丛在果朗河两岸及淹没区均有分布。</w:t>
            </w:r>
          </w:p>
          <w:p w14:paraId="4474005A">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c.卡开芦草丛</w:t>
            </w:r>
          </w:p>
          <w:p w14:paraId="51D8C49A">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该群落仅存在于芒市河附近，水分充足的地方，群落高度1.0m～2.0m，群落盖度约60%，群落中卡开芦丛生为主，群落边缘有大白茅Imperata cylindrica var. major、蒿类、蔗茅、石芒草等，还有少量白酒草 Conyza japonica、驳骨丹 Buddleja asiatica、硬秆子草Capillipedium assimile等。距离水边一段距离后还可见有毛麻楝幼苗。</w:t>
            </w:r>
          </w:p>
          <w:p w14:paraId="443649D9">
            <w:pPr>
              <w:bidi w:val="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D.</w:t>
            </w:r>
            <w:r>
              <w:rPr>
                <w:rFonts w:hint="default" w:ascii="Times New Roman" w:hAnsi="Times New Roman" w:eastAsia="宋体" w:cs="Times New Roman"/>
                <w:color w:val="auto"/>
                <w:lang w:val="en-US" w:eastAsia="zh-CN"/>
              </w:rPr>
              <w:t>人工植被</w:t>
            </w:r>
          </w:p>
          <w:p w14:paraId="5DBCEB2A">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评价区人工植被主要有农田植被。</w:t>
            </w:r>
          </w:p>
          <w:p w14:paraId="1421275C">
            <w:pPr>
              <w:bidi w:val="0"/>
              <w:rPr>
                <w:rFonts w:hint="default" w:ascii="Times New Roman" w:hAnsi="Times New Roman" w:eastAsia="宋体" w:cs="Times New Roman"/>
                <w:color w:val="auto"/>
              </w:rPr>
            </w:pPr>
            <w:r>
              <w:rPr>
                <w:rFonts w:hint="eastAsia" w:ascii="Times New Roman" w:hAnsi="Times New Roman" w:cs="Times New Roman"/>
                <w:color w:val="auto"/>
                <w:lang w:eastAsia="zh-CN"/>
              </w:rPr>
              <w:t>②</w:t>
            </w:r>
            <w:r>
              <w:rPr>
                <w:rFonts w:hint="default" w:ascii="Times New Roman" w:hAnsi="Times New Roman" w:eastAsia="宋体" w:cs="Times New Roman"/>
                <w:color w:val="auto"/>
              </w:rPr>
              <w:t>重点保护野生植物和古树名木</w:t>
            </w:r>
          </w:p>
          <w:p w14:paraId="220BEE94">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根据《云南名木古树》（云南省林业厅、云南省林学会编，1995年2月第一版），结合现场调查，本工程河道沿线300m范围内未发现名木古树。根据《国家重点保护野生植物名录》（国家林业和草原局 农业农村部公告2021年第15号）、《云南省极小种群野生植物保护名录（2022年版）</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云南省第一批省级重点保护野生植物名录》（1989年）等资料，本工程河道沿线300m范围内未发现国家及云南省重点保护、珍稀濒危植物。此外，评价区内未发现本地或芒市特有植物。</w:t>
            </w:r>
          </w:p>
          <w:p w14:paraId="29EE835A">
            <w:pPr>
              <w:bidi w:val="0"/>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3</w:t>
            </w:r>
            <w:r>
              <w:rPr>
                <w:rFonts w:hint="default" w:ascii="Times New Roman" w:hAnsi="Times New Roman" w:eastAsia="宋体" w:cs="Times New Roman"/>
                <w:b/>
                <w:bCs/>
                <w:color w:val="auto"/>
                <w:lang w:eastAsia="zh-CN"/>
              </w:rPr>
              <w:t>）</w:t>
            </w:r>
            <w:r>
              <w:rPr>
                <w:rFonts w:hint="default" w:ascii="Times New Roman" w:hAnsi="Times New Roman" w:eastAsia="宋体" w:cs="Times New Roman"/>
                <w:b/>
                <w:bCs/>
                <w:color w:val="auto"/>
              </w:rPr>
              <w:t>陆生动物现状</w:t>
            </w:r>
          </w:p>
          <w:p w14:paraId="0FC2F73F">
            <w:pPr>
              <w:bidi w:val="0"/>
              <w:rPr>
                <w:rFonts w:hint="default" w:ascii="Times New Roman" w:hAnsi="Times New Roman" w:eastAsia="宋体" w:cs="Times New Roman"/>
                <w:color w:val="auto"/>
              </w:rPr>
            </w:pPr>
            <w:r>
              <w:rPr>
                <w:rFonts w:hint="eastAsia" w:ascii="Times New Roman" w:hAnsi="Times New Roman" w:cs="Times New Roman"/>
                <w:color w:val="auto"/>
                <w:lang w:val="en-US" w:eastAsia="zh-CN"/>
              </w:rPr>
              <w:t>①</w:t>
            </w:r>
            <w:r>
              <w:rPr>
                <w:rFonts w:hint="default" w:ascii="Times New Roman" w:hAnsi="Times New Roman" w:eastAsia="宋体" w:cs="Times New Roman"/>
                <w:color w:val="auto"/>
              </w:rPr>
              <w:t>两栖类</w:t>
            </w:r>
          </w:p>
          <w:p w14:paraId="6B07E9DA">
            <w:pPr>
              <w:bidi w:val="0"/>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lang w:val="en-US" w:eastAsia="zh-CN"/>
              </w:rPr>
              <w:t>本项目沿线300m</w:t>
            </w:r>
            <w:r>
              <w:rPr>
                <w:rFonts w:hint="default" w:ascii="Times New Roman" w:hAnsi="Times New Roman" w:eastAsia="宋体" w:cs="Times New Roman"/>
                <w:color w:val="auto"/>
              </w:rPr>
              <w:t>评价区内分布的两栖类</w:t>
            </w:r>
            <w:r>
              <w:rPr>
                <w:rFonts w:hint="default" w:ascii="Times New Roman" w:hAnsi="Times New Roman" w:eastAsia="宋体" w:cs="Times New Roman"/>
                <w:color w:val="auto"/>
                <w:lang w:val="en-US" w:eastAsia="zh-CN"/>
              </w:rPr>
              <w:t>主要为</w:t>
            </w:r>
            <w:r>
              <w:rPr>
                <w:rFonts w:hint="default" w:ascii="Times New Roman" w:hAnsi="Times New Roman" w:eastAsia="宋体" w:cs="Times New Roman"/>
                <w:color w:val="auto"/>
              </w:rPr>
              <w:t>蛙科，优势种为泽陆蛙，适应能力强，在评价区内分布较广，多分布于评价区内的稻田、池塘或水域附近。按照区系类型，评价区内分布的两栖类均属于东洋种，无古北种和广布种分布。根据生活习性的不同，评价区的两栖动物可以分为3种生态类型：</w:t>
            </w:r>
          </w:p>
          <w:p w14:paraId="4ED64FD6">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静水型：</w:t>
            </w:r>
            <w:r>
              <w:rPr>
                <w:rFonts w:hint="default" w:ascii="Times New Roman" w:hAnsi="Times New Roman" w:eastAsia="宋体" w:cs="Times New Roman"/>
                <w:color w:val="auto"/>
                <w:lang w:val="en-US" w:eastAsia="zh-CN"/>
              </w:rPr>
              <w:t>主要为</w:t>
            </w:r>
            <w:r>
              <w:rPr>
                <w:rFonts w:hint="default" w:ascii="Times New Roman" w:hAnsi="Times New Roman" w:eastAsia="宋体" w:cs="Times New Roman"/>
                <w:color w:val="auto"/>
              </w:rPr>
              <w:t>陇川大头蛙，在评价区内的水塘及稻田等静水水域中分布，与人类活动关系较密切。</w:t>
            </w:r>
          </w:p>
          <w:p w14:paraId="582EE442">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陆栖型：</w:t>
            </w:r>
            <w:r>
              <w:rPr>
                <w:rFonts w:hint="default" w:ascii="Times New Roman" w:hAnsi="Times New Roman" w:eastAsia="宋体" w:cs="Times New Roman"/>
                <w:color w:val="auto"/>
                <w:lang w:val="en-US" w:eastAsia="zh-CN"/>
              </w:rPr>
              <w:t>主要为</w:t>
            </w:r>
            <w:r>
              <w:rPr>
                <w:rFonts w:hint="default" w:ascii="Times New Roman" w:hAnsi="Times New Roman" w:eastAsia="宋体" w:cs="Times New Roman"/>
                <w:color w:val="auto"/>
              </w:rPr>
              <w:t>黑眶蟾蜍和泽陆蛙，在评价区内离水源不远的陆地上如草地、石下、田埂间等生境内活动，分布较广泛，与人类活动关系较密切。</w:t>
            </w:r>
          </w:p>
          <w:p w14:paraId="6B7655B8">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树栖型：</w:t>
            </w:r>
            <w:r>
              <w:rPr>
                <w:rFonts w:hint="default" w:ascii="Times New Roman" w:hAnsi="Times New Roman" w:eastAsia="宋体" w:cs="Times New Roman"/>
                <w:color w:val="auto"/>
                <w:lang w:val="en-US" w:eastAsia="zh-CN"/>
              </w:rPr>
              <w:t>主要为</w:t>
            </w:r>
            <w:r>
              <w:rPr>
                <w:rFonts w:hint="default" w:ascii="Times New Roman" w:hAnsi="Times New Roman" w:eastAsia="宋体" w:cs="Times New Roman"/>
                <w:color w:val="auto"/>
              </w:rPr>
              <w:t>陇川灌树蛙、华西雨蛙，在评价区内离水源不远的树上生活。</w:t>
            </w:r>
          </w:p>
          <w:p w14:paraId="23371D5E">
            <w:pPr>
              <w:bidi w:val="0"/>
              <w:rPr>
                <w:rFonts w:hint="default" w:ascii="Times New Roman" w:hAnsi="Times New Roman" w:eastAsia="宋体" w:cs="Times New Roman"/>
                <w:color w:val="auto"/>
              </w:rPr>
            </w:pPr>
            <w:r>
              <w:rPr>
                <w:rFonts w:hint="eastAsia" w:ascii="Times New Roman" w:hAnsi="Times New Roman" w:cs="Times New Roman"/>
                <w:color w:val="auto"/>
                <w:lang w:val="en-US" w:eastAsia="zh-CN"/>
              </w:rPr>
              <w:t>②</w:t>
            </w:r>
            <w:r>
              <w:rPr>
                <w:rFonts w:hint="default" w:ascii="Times New Roman" w:hAnsi="Times New Roman" w:eastAsia="宋体" w:cs="Times New Roman"/>
                <w:color w:val="auto"/>
              </w:rPr>
              <w:t>爬行类</w:t>
            </w:r>
          </w:p>
          <w:p w14:paraId="74347BDD">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评价区内爬行类</w:t>
            </w:r>
            <w:r>
              <w:rPr>
                <w:rFonts w:hint="default" w:ascii="Times New Roman" w:hAnsi="Times New Roman" w:eastAsia="宋体" w:cs="Times New Roman"/>
                <w:color w:val="auto"/>
                <w:lang w:val="en-US" w:eastAsia="zh-CN"/>
              </w:rPr>
              <w:t>主要为</w:t>
            </w:r>
            <w:r>
              <w:rPr>
                <w:rFonts w:hint="default" w:ascii="Times New Roman" w:hAnsi="Times New Roman" w:eastAsia="宋体" w:cs="Times New Roman"/>
                <w:color w:val="auto"/>
              </w:rPr>
              <w:t>鬣蜥科和石龙子科，按照区系类型，均属于东洋种。根据生活习性的不同，共分为3种生态类型：</w:t>
            </w:r>
          </w:p>
          <w:p w14:paraId="167E25C3">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住宅型：</w:t>
            </w:r>
            <w:r>
              <w:rPr>
                <w:rFonts w:hint="default" w:ascii="Times New Roman" w:hAnsi="Times New Roman" w:eastAsia="宋体" w:cs="Times New Roman"/>
                <w:color w:val="auto"/>
                <w:lang w:val="en-US" w:eastAsia="zh-CN"/>
              </w:rPr>
              <w:t>主要为</w:t>
            </w:r>
            <w:r>
              <w:rPr>
                <w:rFonts w:hint="default" w:ascii="Times New Roman" w:hAnsi="Times New Roman" w:eastAsia="宋体" w:cs="Times New Roman"/>
                <w:color w:val="auto"/>
              </w:rPr>
              <w:t>多疣壁虎，在居民点附近生活。</w:t>
            </w:r>
          </w:p>
          <w:p w14:paraId="47F92AB4">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灌丛石隙型：</w:t>
            </w:r>
            <w:r>
              <w:rPr>
                <w:rFonts w:hint="default" w:ascii="Times New Roman" w:hAnsi="Times New Roman" w:eastAsia="宋体" w:cs="Times New Roman"/>
                <w:color w:val="auto"/>
                <w:lang w:val="en-US" w:eastAsia="zh-CN"/>
              </w:rPr>
              <w:t>主要为</w:t>
            </w:r>
            <w:r>
              <w:rPr>
                <w:rFonts w:hint="default" w:ascii="Times New Roman" w:hAnsi="Times New Roman" w:eastAsia="宋体" w:cs="Times New Roman"/>
                <w:color w:val="auto"/>
              </w:rPr>
              <w:t>中国石龙子、铜蜓蜥、白唇树蜥、棕背树蜥、变色树蜥和印度蜓蜥等，在堤防工程附近的灌草丛、田埂路边活动，与人类活动关系较密切。</w:t>
            </w:r>
          </w:p>
          <w:p w14:paraId="1E745954">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林栖傍水型：</w:t>
            </w:r>
            <w:r>
              <w:rPr>
                <w:rFonts w:hint="default" w:ascii="Times New Roman" w:hAnsi="Times New Roman" w:eastAsia="宋体" w:cs="Times New Roman"/>
                <w:color w:val="auto"/>
                <w:lang w:val="en-US" w:eastAsia="zh-CN"/>
              </w:rPr>
              <w:t>主要为</w:t>
            </w:r>
            <w:r>
              <w:rPr>
                <w:rFonts w:hint="default" w:ascii="Times New Roman" w:hAnsi="Times New Roman" w:eastAsia="宋体" w:cs="Times New Roman"/>
                <w:color w:val="auto"/>
              </w:rPr>
              <w:t>孟加拉眼镜蛇和银环蛇，在评价区内河流、水塘等水域附近潮湿的林地内活动。</w:t>
            </w:r>
          </w:p>
          <w:p w14:paraId="7664D159">
            <w:pPr>
              <w:bidi w:val="0"/>
              <w:rPr>
                <w:rFonts w:hint="default" w:ascii="Times New Roman" w:hAnsi="Times New Roman" w:eastAsia="宋体" w:cs="Times New Roman"/>
                <w:color w:val="auto"/>
              </w:rPr>
            </w:pPr>
            <w:r>
              <w:rPr>
                <w:rFonts w:hint="eastAsia" w:ascii="Times New Roman" w:hAnsi="Times New Roman" w:cs="Times New Roman"/>
                <w:color w:val="auto"/>
                <w:lang w:val="en-US" w:eastAsia="zh-CN"/>
              </w:rPr>
              <w:t>③</w:t>
            </w:r>
            <w:r>
              <w:rPr>
                <w:rFonts w:hint="default" w:ascii="Times New Roman" w:hAnsi="Times New Roman" w:eastAsia="宋体" w:cs="Times New Roman"/>
                <w:color w:val="auto"/>
              </w:rPr>
              <w:t>鸟类</w:t>
            </w:r>
          </w:p>
          <w:p w14:paraId="34EB9128">
            <w:pPr>
              <w:bidi w:val="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本次调查期间，本项目</w:t>
            </w:r>
            <w:r>
              <w:rPr>
                <w:rFonts w:hint="default" w:ascii="Times New Roman" w:hAnsi="Times New Roman" w:eastAsia="宋体" w:cs="Times New Roman"/>
                <w:color w:val="auto"/>
              </w:rPr>
              <w:t>评价范围内</w:t>
            </w:r>
            <w:r>
              <w:rPr>
                <w:rFonts w:hint="default" w:ascii="Times New Roman" w:hAnsi="Times New Roman" w:eastAsia="宋体" w:cs="Times New Roman"/>
                <w:color w:val="auto"/>
                <w:lang w:val="en-US" w:eastAsia="zh-CN"/>
              </w:rPr>
              <w:t>未发现</w:t>
            </w:r>
            <w:r>
              <w:rPr>
                <w:rFonts w:hint="default" w:ascii="Times New Roman" w:hAnsi="Times New Roman" w:eastAsia="宋体" w:cs="Times New Roman"/>
                <w:color w:val="auto"/>
              </w:rPr>
              <w:t>国家重点保护鸟类</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根据生活习性的不同，评价区鸟类生态类型</w:t>
            </w:r>
            <w:r>
              <w:rPr>
                <w:rFonts w:hint="default" w:ascii="Times New Roman" w:hAnsi="Times New Roman" w:eastAsia="宋体" w:cs="Times New Roman"/>
                <w:color w:val="auto"/>
                <w:lang w:val="en-US" w:eastAsia="zh-CN"/>
              </w:rPr>
              <w:t>主要如下：</w:t>
            </w:r>
          </w:p>
          <w:p w14:paraId="56C11228">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涉禽：</w:t>
            </w:r>
            <w:r>
              <w:rPr>
                <w:rFonts w:hint="default" w:ascii="Times New Roman" w:hAnsi="Times New Roman" w:eastAsia="宋体" w:cs="Times New Roman"/>
                <w:color w:val="auto"/>
                <w:lang w:val="en-US" w:eastAsia="zh-CN"/>
              </w:rPr>
              <w:t>主要为</w:t>
            </w:r>
            <w:r>
              <w:rPr>
                <w:rFonts w:hint="default" w:ascii="Times New Roman" w:hAnsi="Times New Roman" w:eastAsia="宋体" w:cs="Times New Roman"/>
                <w:color w:val="auto"/>
              </w:rPr>
              <w:t>鹈形目、鹳形目、鹤形目及鸻形目等</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在评价区内主要分布于</w:t>
            </w:r>
            <w:r>
              <w:rPr>
                <w:rFonts w:hint="default" w:ascii="Times New Roman" w:hAnsi="Times New Roman" w:eastAsia="宋体" w:cs="Times New Roman"/>
                <w:color w:val="auto"/>
                <w:lang w:val="en-US" w:eastAsia="zh-CN"/>
              </w:rPr>
              <w:t>河道</w:t>
            </w:r>
            <w:r>
              <w:rPr>
                <w:rFonts w:hint="default" w:ascii="Times New Roman" w:hAnsi="Times New Roman" w:eastAsia="宋体" w:cs="Times New Roman"/>
                <w:color w:val="auto"/>
              </w:rPr>
              <w:t>两岸的滩涂以及水田、水塘等处。</w:t>
            </w:r>
          </w:p>
          <w:p w14:paraId="6F68A473">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陆禽：</w:t>
            </w:r>
            <w:r>
              <w:rPr>
                <w:rFonts w:hint="default" w:ascii="Times New Roman" w:hAnsi="Times New Roman" w:eastAsia="宋体" w:cs="Times New Roman"/>
                <w:color w:val="auto"/>
                <w:lang w:val="en-US" w:eastAsia="zh-CN"/>
              </w:rPr>
              <w:t>主要为</w:t>
            </w:r>
            <w:r>
              <w:rPr>
                <w:rFonts w:hint="default" w:ascii="Times New Roman" w:hAnsi="Times New Roman" w:eastAsia="宋体" w:cs="Times New Roman"/>
                <w:color w:val="auto"/>
              </w:rPr>
              <w:t>鸡形目、鸽形目等</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在评价区内主要分布于</w:t>
            </w:r>
            <w:r>
              <w:rPr>
                <w:rFonts w:hint="default" w:ascii="Times New Roman" w:hAnsi="Times New Roman" w:eastAsia="宋体" w:cs="Times New Roman"/>
                <w:color w:val="auto"/>
                <w:lang w:val="en-US" w:eastAsia="zh-CN"/>
              </w:rPr>
              <w:t>果朗河</w:t>
            </w:r>
            <w:r>
              <w:rPr>
                <w:rFonts w:hint="default" w:ascii="Times New Roman" w:hAnsi="Times New Roman" w:eastAsia="宋体" w:cs="Times New Roman"/>
                <w:color w:val="auto"/>
              </w:rPr>
              <w:t>沿岸的农田区域或村落。</w:t>
            </w:r>
          </w:p>
          <w:p w14:paraId="0EAEFAC3">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攀禽：</w:t>
            </w:r>
            <w:r>
              <w:rPr>
                <w:rFonts w:hint="default" w:ascii="Times New Roman" w:hAnsi="Times New Roman" w:eastAsia="宋体" w:cs="Times New Roman"/>
                <w:color w:val="auto"/>
                <w:lang w:val="en-US" w:eastAsia="zh-CN"/>
              </w:rPr>
              <w:t>主要为</w:t>
            </w:r>
            <w:r>
              <w:rPr>
                <w:rFonts w:hint="default" w:ascii="Times New Roman" w:hAnsi="Times New Roman" w:eastAsia="宋体" w:cs="Times New Roman"/>
                <w:color w:val="auto"/>
              </w:rPr>
              <w:t>佛法僧目、鴷形目、鹦形目等</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其中，普通翠鸟、蓝翡翠、斑鱼狗在评价区内主要分布在龙江沿岸及评价区内水塘、稻田等水域附近。</w:t>
            </w:r>
          </w:p>
          <w:p w14:paraId="2065286C">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鸣禽：</w:t>
            </w:r>
            <w:r>
              <w:rPr>
                <w:rFonts w:hint="default" w:ascii="Times New Roman" w:hAnsi="Times New Roman" w:eastAsia="宋体" w:cs="Times New Roman"/>
                <w:color w:val="auto"/>
                <w:lang w:val="en-US" w:eastAsia="zh-CN"/>
              </w:rPr>
              <w:t>主要为</w:t>
            </w:r>
            <w:r>
              <w:rPr>
                <w:rFonts w:hint="default" w:ascii="Times New Roman" w:hAnsi="Times New Roman" w:eastAsia="宋体" w:cs="Times New Roman"/>
                <w:color w:val="auto"/>
              </w:rPr>
              <w:t>雀形目、雨燕目、夜鹰目、鹃形目及鸻形目等。广泛分布于评价区各类生境中，如灌丛、农田、居民点及水域附近等，其中分布于灌丛生境的种类较多。</w:t>
            </w:r>
          </w:p>
          <w:p w14:paraId="0D671357">
            <w:pPr>
              <w:bidi w:val="0"/>
              <w:rPr>
                <w:rFonts w:hint="default" w:ascii="Times New Roman" w:hAnsi="Times New Roman" w:eastAsia="宋体" w:cs="Times New Roman"/>
                <w:color w:val="auto"/>
              </w:rPr>
            </w:pPr>
            <w:r>
              <w:rPr>
                <w:rFonts w:hint="eastAsia" w:ascii="Times New Roman" w:hAnsi="Times New Roman" w:cs="Times New Roman"/>
                <w:color w:val="auto"/>
                <w:lang w:val="en-US" w:eastAsia="zh-CN"/>
              </w:rPr>
              <w:t>④</w:t>
            </w:r>
            <w:r>
              <w:rPr>
                <w:rFonts w:hint="default" w:ascii="Times New Roman" w:hAnsi="Times New Roman" w:eastAsia="宋体" w:cs="Times New Roman"/>
                <w:color w:val="auto"/>
              </w:rPr>
              <w:t>哺乳类</w:t>
            </w:r>
          </w:p>
          <w:p w14:paraId="6B2C85FA">
            <w:pPr>
              <w:bidi w:val="0"/>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lang w:val="en-US" w:eastAsia="zh-CN"/>
              </w:rPr>
              <w:t>本项目沿线300m</w:t>
            </w:r>
            <w:r>
              <w:rPr>
                <w:rFonts w:hint="default" w:ascii="Times New Roman" w:hAnsi="Times New Roman" w:eastAsia="宋体" w:cs="Times New Roman"/>
                <w:color w:val="auto"/>
              </w:rPr>
              <w:t>评价区</w:t>
            </w:r>
            <w:r>
              <w:rPr>
                <w:rFonts w:hint="default" w:ascii="Times New Roman" w:hAnsi="Times New Roman" w:eastAsia="宋体" w:cs="Times New Roman"/>
                <w:color w:val="auto"/>
                <w:lang w:val="en-US" w:eastAsia="zh-CN"/>
              </w:rPr>
              <w:t>内</w:t>
            </w:r>
            <w:r>
              <w:rPr>
                <w:rFonts w:hint="default" w:ascii="Times New Roman" w:hAnsi="Times New Roman" w:eastAsia="宋体" w:cs="Times New Roman"/>
                <w:color w:val="auto"/>
              </w:rPr>
              <w:t>分布有哺乳类</w:t>
            </w:r>
            <w:r>
              <w:rPr>
                <w:rFonts w:hint="default" w:ascii="Times New Roman" w:hAnsi="Times New Roman" w:eastAsia="宋体" w:cs="Times New Roman"/>
                <w:color w:val="auto"/>
                <w:lang w:val="en-US" w:eastAsia="zh-CN"/>
              </w:rPr>
              <w:t>以</w:t>
            </w:r>
            <w:r>
              <w:rPr>
                <w:rFonts w:hint="default" w:ascii="Times New Roman" w:hAnsi="Times New Roman" w:eastAsia="宋体" w:cs="Times New Roman"/>
                <w:color w:val="auto"/>
              </w:rPr>
              <w:t>啮齿目物种</w:t>
            </w:r>
            <w:r>
              <w:rPr>
                <w:rFonts w:hint="default" w:ascii="Times New Roman" w:hAnsi="Times New Roman" w:eastAsia="宋体" w:cs="Times New Roman"/>
                <w:color w:val="auto"/>
                <w:lang w:val="en-US" w:eastAsia="zh-CN"/>
              </w:rPr>
              <w:t>为主</w:t>
            </w:r>
            <w:r>
              <w:rPr>
                <w:rFonts w:hint="default" w:ascii="Times New Roman" w:hAnsi="Times New Roman" w:eastAsia="宋体" w:cs="Times New Roman"/>
                <w:color w:val="auto"/>
              </w:rPr>
              <w:t>，按照区系类型划分，评价区内的哺乳类</w:t>
            </w:r>
            <w:r>
              <w:rPr>
                <w:rFonts w:hint="default" w:ascii="Times New Roman" w:hAnsi="Times New Roman" w:eastAsia="宋体" w:cs="Times New Roman"/>
                <w:color w:val="auto"/>
                <w:lang w:val="en-US" w:eastAsia="zh-CN"/>
              </w:rPr>
              <w:t>主要为</w:t>
            </w:r>
            <w:r>
              <w:rPr>
                <w:rFonts w:hint="default" w:ascii="Times New Roman" w:hAnsi="Times New Roman" w:eastAsia="宋体" w:cs="Times New Roman"/>
                <w:color w:val="auto"/>
              </w:rPr>
              <w:t>东洋种</w:t>
            </w:r>
            <w:r>
              <w:rPr>
                <w:rFonts w:hint="default" w:ascii="Times New Roman" w:hAnsi="Times New Roman" w:eastAsia="宋体" w:cs="Times New Roman"/>
                <w:color w:val="auto"/>
                <w:lang w:val="en-US" w:eastAsia="zh-CN"/>
              </w:rPr>
              <w:t>及</w:t>
            </w:r>
            <w:r>
              <w:rPr>
                <w:rFonts w:hint="default" w:ascii="Times New Roman" w:hAnsi="Times New Roman" w:eastAsia="宋体" w:cs="Times New Roman"/>
                <w:color w:val="auto"/>
              </w:rPr>
              <w:t>广布种。根据生活习性的不同，评价范围内哺乳类动物可以分为以下2种生活型：</w:t>
            </w:r>
          </w:p>
          <w:p w14:paraId="65BEE601">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半地下生活型：</w:t>
            </w:r>
            <w:r>
              <w:rPr>
                <w:rFonts w:hint="default" w:ascii="Times New Roman" w:hAnsi="Times New Roman" w:eastAsia="宋体" w:cs="Times New Roman"/>
                <w:color w:val="auto"/>
                <w:lang w:val="en-US" w:eastAsia="zh-CN"/>
              </w:rPr>
              <w:t>主要为</w:t>
            </w:r>
            <w:r>
              <w:rPr>
                <w:rFonts w:hint="default" w:ascii="Times New Roman" w:hAnsi="Times New Roman" w:eastAsia="宋体" w:cs="Times New Roman"/>
                <w:color w:val="auto"/>
              </w:rPr>
              <w:t>黄胸鼠、褐家鼠、小家鼠、黄鼬等</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分布在树林和农田中，其中小家鼠、褐家鼠等鼠类分布较为广泛，与人类关系密切。</w:t>
            </w:r>
          </w:p>
          <w:p w14:paraId="0300963D">
            <w:pPr>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树栖型：</w:t>
            </w:r>
            <w:r>
              <w:rPr>
                <w:rFonts w:hint="default" w:ascii="Times New Roman" w:hAnsi="Times New Roman" w:eastAsia="宋体" w:cs="Times New Roman"/>
                <w:color w:val="auto"/>
                <w:sz w:val="24"/>
                <w:lang w:val="en-US" w:eastAsia="zh-CN"/>
              </w:rPr>
              <w:t>主要为</w:t>
            </w:r>
            <w:r>
              <w:rPr>
                <w:rFonts w:hint="default" w:ascii="Times New Roman" w:hAnsi="Times New Roman" w:eastAsia="宋体" w:cs="Times New Roman"/>
                <w:color w:val="auto"/>
                <w:sz w:val="24"/>
              </w:rPr>
              <w:t>赤腹松鼠和五纹松鼠。栖息活动于评价区内的树上。</w:t>
            </w:r>
          </w:p>
          <w:p w14:paraId="5B917CAF">
            <w:pPr>
              <w:pStyle w:val="6"/>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color w:val="auto"/>
                <w:sz w:val="24"/>
                <w:szCs w:val="24"/>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2</w:t>
            </w:r>
            <w:r>
              <w:rPr>
                <w:rFonts w:hint="eastAsia"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rPr>
              <w:t>水生生态</w:t>
            </w:r>
          </w:p>
          <w:p w14:paraId="1CFA3E77">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color w:val="auto"/>
                <w:kern w:val="0"/>
                <w:sz w:val="24"/>
                <w:lang w:eastAsia="zh-CN"/>
              </w:rPr>
            </w:pPr>
            <w:r>
              <w:rPr>
                <w:rFonts w:hint="default" w:ascii="Times New Roman" w:hAnsi="Times New Roman" w:eastAsia="宋体" w:cs="Times New Roman"/>
                <w:color w:val="auto"/>
                <w:sz w:val="24"/>
                <w:highlight w:val="none"/>
                <w:lang w:eastAsia="zh-CN"/>
              </w:rPr>
              <w:t>本次环境影响评价水生生态现状调查范围确定为：本次果朗河治理段治理起点上游</w:t>
            </w:r>
            <w:r>
              <w:rPr>
                <w:rFonts w:hint="default" w:ascii="Times New Roman" w:hAnsi="Times New Roman" w:eastAsia="宋体" w:cs="Times New Roman"/>
                <w:color w:val="auto"/>
                <w:sz w:val="24"/>
                <w:highlight w:val="none"/>
                <w:lang w:val="en-US" w:eastAsia="zh-CN"/>
              </w:rPr>
              <w:t>300m至果朗河</w:t>
            </w:r>
            <w:r>
              <w:rPr>
                <w:rFonts w:hint="eastAsia" w:ascii="Times New Roman" w:hAnsi="Times New Roman" w:cs="Times New Roman"/>
                <w:color w:val="auto"/>
                <w:sz w:val="24"/>
                <w:highlight w:val="none"/>
                <w:lang w:val="en-US" w:eastAsia="zh-CN"/>
              </w:rPr>
              <w:t>芒里大桥段</w:t>
            </w:r>
            <w:r>
              <w:rPr>
                <w:rFonts w:hint="default" w:ascii="Times New Roman" w:hAnsi="Times New Roman" w:eastAsia="宋体" w:cs="Times New Roman"/>
                <w:color w:val="auto"/>
                <w:sz w:val="24"/>
                <w:highlight w:val="none"/>
                <w:lang w:val="en-US" w:eastAsia="zh-CN"/>
              </w:rPr>
              <w:t>为调查范围。</w:t>
            </w:r>
          </w:p>
          <w:p w14:paraId="522CDCFF">
            <w:pPr>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color w:val="auto"/>
                <w:kern w:val="0"/>
                <w:sz w:val="24"/>
              </w:rPr>
            </w:pPr>
            <w:r>
              <w:rPr>
                <w:rFonts w:hint="default" w:ascii="Times New Roman" w:hAnsi="Times New Roman" w:eastAsia="宋体" w:cs="Times New Roman"/>
                <w:b/>
                <w:color w:val="auto"/>
                <w:kern w:val="0"/>
                <w:sz w:val="24"/>
                <w:lang w:val="en-US" w:eastAsia="zh-CN"/>
              </w:rPr>
              <w:t>1</w:t>
            </w:r>
            <w:r>
              <w:rPr>
                <w:rFonts w:hint="default" w:ascii="Times New Roman" w:hAnsi="Times New Roman" w:eastAsia="宋体" w:cs="Times New Roman"/>
                <w:b/>
                <w:color w:val="auto"/>
                <w:kern w:val="0"/>
                <w:sz w:val="24"/>
                <w:lang w:eastAsia="zh-CN"/>
              </w:rPr>
              <w:t>）</w:t>
            </w:r>
            <w:r>
              <w:rPr>
                <w:rFonts w:hint="default" w:ascii="Times New Roman" w:hAnsi="Times New Roman" w:eastAsia="宋体" w:cs="Times New Roman"/>
                <w:b/>
                <w:color w:val="auto"/>
                <w:kern w:val="0"/>
                <w:sz w:val="24"/>
              </w:rPr>
              <w:t>水生生境</w:t>
            </w:r>
          </w:p>
          <w:p w14:paraId="62354F62">
            <w:pPr>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本项目治理段</w:t>
            </w:r>
            <w:r>
              <w:rPr>
                <w:rFonts w:hint="default" w:ascii="Times New Roman" w:hAnsi="Times New Roman" w:eastAsia="宋体" w:cs="Times New Roman"/>
                <w:color w:val="auto"/>
                <w:sz w:val="24"/>
              </w:rPr>
              <w:t>两岸地势平坦，河流狭窄</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河床较平缓，落差约10m，两岸岸坡高度一般2～</w:t>
            </w:r>
            <w:r>
              <w:rPr>
                <w:rFonts w:hint="default" w:ascii="Times New Roman" w:hAnsi="Times New Roman" w:eastAsia="宋体" w:cs="Times New Roman"/>
                <w:color w:val="auto"/>
                <w:sz w:val="24"/>
                <w:lang w:val="en-US" w:eastAsia="zh-CN"/>
              </w:rPr>
              <w:t>4</w:t>
            </w:r>
            <w:r>
              <w:rPr>
                <w:rFonts w:hint="default" w:ascii="Times New Roman" w:hAnsi="Times New Roman" w:eastAsia="宋体" w:cs="Times New Roman"/>
                <w:color w:val="auto"/>
                <w:sz w:val="24"/>
              </w:rPr>
              <w:t>m；土层结构以含砾中粗砂为主，河漫滩与河床覆盖层以含砾中粗砂、砂砾石夹卵石为主；河道分布有</w:t>
            </w:r>
            <w:r>
              <w:rPr>
                <w:rFonts w:hint="default" w:ascii="Times New Roman" w:hAnsi="Times New Roman" w:eastAsia="宋体" w:cs="Times New Roman"/>
                <w:color w:val="auto"/>
                <w:sz w:val="24"/>
                <w:lang w:val="en-US" w:eastAsia="zh-CN"/>
              </w:rPr>
              <w:t>少</w:t>
            </w:r>
            <w:r>
              <w:rPr>
                <w:rFonts w:hint="default" w:ascii="Times New Roman" w:hAnsi="Times New Roman" w:eastAsia="宋体" w:cs="Times New Roman"/>
                <w:color w:val="auto"/>
                <w:sz w:val="24"/>
              </w:rPr>
              <w:t>量的河漫滩，断面多为复式断面；两岸主要分布农田及</w:t>
            </w:r>
            <w:r>
              <w:rPr>
                <w:rFonts w:hint="default" w:ascii="Times New Roman" w:hAnsi="Times New Roman" w:eastAsia="宋体" w:cs="Times New Roman"/>
                <w:color w:val="auto"/>
                <w:sz w:val="24"/>
                <w:lang w:val="en-US" w:eastAsia="zh-CN"/>
              </w:rPr>
              <w:t>村庄</w:t>
            </w:r>
            <w:r>
              <w:rPr>
                <w:rFonts w:hint="default" w:ascii="Times New Roman" w:hAnsi="Times New Roman" w:eastAsia="宋体" w:cs="Times New Roman"/>
                <w:color w:val="auto"/>
                <w:sz w:val="24"/>
              </w:rPr>
              <w:t>，呈丘陵地貌。</w:t>
            </w:r>
            <w:r>
              <w:rPr>
                <w:rFonts w:hint="default" w:ascii="Times New Roman" w:hAnsi="Times New Roman" w:eastAsia="宋体" w:cs="Times New Roman"/>
                <w:color w:val="auto"/>
                <w:sz w:val="24"/>
                <w:lang w:val="en-US" w:eastAsia="zh-CN"/>
              </w:rPr>
              <w:t>项目治理</w:t>
            </w:r>
            <w:r>
              <w:rPr>
                <w:rFonts w:hint="default" w:ascii="Times New Roman" w:hAnsi="Times New Roman" w:eastAsia="宋体" w:cs="Times New Roman"/>
                <w:color w:val="auto"/>
                <w:sz w:val="24"/>
              </w:rPr>
              <w:t>区域水土流失严重，河道萎缩，生境受损，对河道中的水生生物，尤其是鱼类产生影响。</w:t>
            </w:r>
          </w:p>
          <w:p w14:paraId="18E20456">
            <w:pPr>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color w:val="auto"/>
                <w:kern w:val="0"/>
                <w:sz w:val="24"/>
                <w:lang w:val="en-US" w:eastAsia="zh-CN"/>
              </w:rPr>
            </w:pPr>
            <w:r>
              <w:rPr>
                <w:rFonts w:hint="default" w:ascii="Times New Roman" w:hAnsi="Times New Roman" w:eastAsia="宋体" w:cs="Times New Roman"/>
                <w:b/>
                <w:color w:val="auto"/>
                <w:kern w:val="0"/>
                <w:sz w:val="24"/>
                <w:lang w:val="en-US" w:eastAsia="zh-CN"/>
              </w:rPr>
              <w:t>2</w:t>
            </w:r>
            <w:r>
              <w:rPr>
                <w:rFonts w:hint="default" w:ascii="Times New Roman" w:hAnsi="Times New Roman" w:eastAsia="宋体" w:cs="Times New Roman"/>
                <w:b/>
                <w:color w:val="auto"/>
                <w:kern w:val="0"/>
                <w:sz w:val="24"/>
                <w:lang w:eastAsia="zh-CN"/>
              </w:rPr>
              <w:t>）</w:t>
            </w:r>
            <w:r>
              <w:rPr>
                <w:rFonts w:hint="default" w:ascii="Times New Roman" w:hAnsi="Times New Roman" w:eastAsia="宋体" w:cs="Times New Roman"/>
                <w:b/>
                <w:color w:val="auto"/>
                <w:kern w:val="0"/>
                <w:sz w:val="24"/>
              </w:rPr>
              <w:t>浮游</w:t>
            </w:r>
            <w:r>
              <w:rPr>
                <w:rFonts w:hint="default" w:ascii="Times New Roman" w:hAnsi="Times New Roman" w:eastAsia="宋体" w:cs="Times New Roman"/>
                <w:b/>
                <w:color w:val="auto"/>
                <w:kern w:val="0"/>
                <w:sz w:val="24"/>
                <w:lang w:val="en-US" w:eastAsia="zh-CN"/>
              </w:rPr>
              <w:t>生物</w:t>
            </w:r>
          </w:p>
          <w:p w14:paraId="7465F4FE">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sz w:val="24"/>
                <w:lang w:val="en-US" w:eastAsia="zh-CN"/>
              </w:rPr>
              <w:t>本项目治理段</w:t>
            </w:r>
            <w:r>
              <w:rPr>
                <w:rFonts w:hint="default" w:ascii="Times New Roman" w:hAnsi="Times New Roman" w:eastAsia="宋体" w:cs="Times New Roman"/>
                <w:color w:val="auto"/>
                <w:kern w:val="0"/>
                <w:sz w:val="24"/>
              </w:rPr>
              <w:t>浮游</w:t>
            </w:r>
            <w:r>
              <w:rPr>
                <w:rFonts w:hint="default" w:ascii="Times New Roman" w:hAnsi="Times New Roman" w:eastAsia="宋体" w:cs="Times New Roman"/>
                <w:color w:val="auto"/>
                <w:kern w:val="0"/>
                <w:sz w:val="24"/>
                <w:lang w:val="en-US" w:eastAsia="zh-CN"/>
              </w:rPr>
              <w:t>生</w:t>
            </w:r>
            <w:r>
              <w:rPr>
                <w:rFonts w:hint="default" w:ascii="Times New Roman" w:hAnsi="Times New Roman" w:eastAsia="宋体" w:cs="Times New Roman"/>
                <w:color w:val="auto"/>
                <w:kern w:val="0"/>
                <w:sz w:val="24"/>
              </w:rPr>
              <w:t>物种类及数量较少，</w:t>
            </w:r>
            <w:r>
              <w:rPr>
                <w:rFonts w:hint="default" w:ascii="Times New Roman" w:hAnsi="Times New Roman" w:eastAsia="宋体" w:cs="Times New Roman"/>
                <w:color w:val="auto"/>
                <w:kern w:val="0"/>
                <w:sz w:val="24"/>
                <w:lang w:val="en-US" w:eastAsia="zh-CN"/>
              </w:rPr>
              <w:t>浮游植物主要种类为</w:t>
            </w:r>
            <w:r>
              <w:rPr>
                <w:rFonts w:hint="default" w:ascii="Times New Roman" w:hAnsi="Times New Roman" w:eastAsia="宋体" w:cs="Times New Roman"/>
                <w:color w:val="auto"/>
                <w:kern w:val="0"/>
                <w:sz w:val="24"/>
              </w:rPr>
              <w:t>硅藻门</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绿藻门</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蓝藻门</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裸藻门</w:t>
            </w:r>
            <w:r>
              <w:rPr>
                <w:rFonts w:hint="default" w:ascii="Times New Roman" w:hAnsi="Times New Roman" w:eastAsia="宋体" w:cs="Times New Roman"/>
                <w:color w:val="auto"/>
                <w:kern w:val="0"/>
                <w:sz w:val="24"/>
                <w:lang w:val="en-US" w:eastAsia="zh-CN"/>
              </w:rPr>
              <w:t>等</w:t>
            </w:r>
            <w:r>
              <w:rPr>
                <w:rFonts w:hint="default" w:ascii="Times New Roman" w:hAnsi="Times New Roman" w:eastAsia="宋体" w:cs="Times New Roman"/>
                <w:color w:val="auto"/>
                <w:kern w:val="0"/>
                <w:sz w:val="24"/>
              </w:rPr>
              <w:t>。</w:t>
            </w:r>
            <w:r>
              <w:rPr>
                <w:rFonts w:hint="default" w:ascii="Times New Roman" w:hAnsi="Times New Roman" w:eastAsia="宋体" w:cs="Times New Roman"/>
                <w:color w:val="auto"/>
                <w:kern w:val="0"/>
                <w:sz w:val="24"/>
                <w:lang w:val="en-US" w:eastAsia="zh-CN"/>
              </w:rPr>
              <w:t>浮游动物主要为</w:t>
            </w:r>
            <w:r>
              <w:rPr>
                <w:rFonts w:hint="default" w:ascii="Times New Roman" w:hAnsi="Times New Roman" w:eastAsia="宋体" w:cs="Times New Roman"/>
                <w:color w:val="auto"/>
                <w:kern w:val="0"/>
                <w:sz w:val="24"/>
              </w:rPr>
              <w:t>原生动物、轮虫、枝角类、桡足类。</w:t>
            </w:r>
          </w:p>
          <w:p w14:paraId="4159D7EA">
            <w:pPr>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color w:val="auto"/>
                <w:kern w:val="0"/>
                <w:sz w:val="24"/>
              </w:rPr>
            </w:pPr>
            <w:r>
              <w:rPr>
                <w:rFonts w:hint="default" w:ascii="Times New Roman" w:hAnsi="Times New Roman" w:eastAsia="宋体" w:cs="Times New Roman"/>
                <w:b/>
                <w:color w:val="auto"/>
                <w:kern w:val="0"/>
                <w:sz w:val="24"/>
                <w:lang w:val="en-US" w:eastAsia="zh-CN"/>
              </w:rPr>
              <w:t>3</w:t>
            </w:r>
            <w:r>
              <w:rPr>
                <w:rFonts w:hint="default" w:ascii="Times New Roman" w:hAnsi="Times New Roman" w:eastAsia="宋体" w:cs="Times New Roman"/>
                <w:b/>
                <w:color w:val="auto"/>
                <w:kern w:val="0"/>
                <w:sz w:val="24"/>
                <w:lang w:eastAsia="zh-CN"/>
              </w:rPr>
              <w:t>）</w:t>
            </w:r>
            <w:r>
              <w:rPr>
                <w:rFonts w:hint="default" w:ascii="Times New Roman" w:hAnsi="Times New Roman" w:eastAsia="宋体" w:cs="Times New Roman"/>
                <w:b/>
                <w:color w:val="auto"/>
                <w:kern w:val="0"/>
                <w:sz w:val="24"/>
              </w:rPr>
              <w:t>底栖动物</w:t>
            </w:r>
          </w:p>
          <w:p w14:paraId="1B1CBA25">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sz w:val="24"/>
                <w:lang w:val="en-US" w:eastAsia="zh-CN"/>
              </w:rPr>
              <w:t>本项目治理段</w:t>
            </w:r>
            <w:r>
              <w:rPr>
                <w:rFonts w:hint="default" w:ascii="Times New Roman" w:hAnsi="Times New Roman" w:eastAsia="宋体" w:cs="Times New Roman"/>
                <w:color w:val="auto"/>
                <w:kern w:val="0"/>
                <w:sz w:val="24"/>
              </w:rPr>
              <w:t>有底栖动物</w:t>
            </w:r>
            <w:r>
              <w:rPr>
                <w:rFonts w:hint="default" w:ascii="Times New Roman" w:hAnsi="Times New Roman" w:eastAsia="宋体" w:cs="Times New Roman"/>
                <w:color w:val="auto"/>
                <w:kern w:val="0"/>
                <w:sz w:val="24"/>
                <w:lang w:val="en-US" w:eastAsia="zh-CN"/>
              </w:rPr>
              <w:t>主要为</w:t>
            </w:r>
            <w:r>
              <w:rPr>
                <w:rFonts w:hint="default" w:ascii="Times New Roman" w:hAnsi="Times New Roman" w:eastAsia="宋体" w:cs="Times New Roman"/>
                <w:color w:val="auto"/>
                <w:kern w:val="0"/>
                <w:sz w:val="24"/>
              </w:rPr>
              <w:t>软体动物</w:t>
            </w:r>
            <w:r>
              <w:rPr>
                <w:rFonts w:hint="default" w:ascii="Times New Roman" w:hAnsi="Times New Roman" w:eastAsia="宋体" w:cs="Times New Roman"/>
                <w:color w:val="auto"/>
                <w:kern w:val="0"/>
                <w:sz w:val="24"/>
                <w:lang w:val="en-US" w:eastAsia="zh-CN"/>
              </w:rPr>
              <w:t>及</w:t>
            </w:r>
            <w:r>
              <w:rPr>
                <w:rFonts w:hint="default" w:ascii="Times New Roman" w:hAnsi="Times New Roman" w:eastAsia="宋体" w:cs="Times New Roman"/>
                <w:color w:val="auto"/>
                <w:kern w:val="0"/>
                <w:sz w:val="24"/>
              </w:rPr>
              <w:t>水生昆虫。虾类、扁蝽较多，其余均较少。</w:t>
            </w:r>
          </w:p>
          <w:p w14:paraId="2A2CEE39">
            <w:pPr>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color w:val="auto"/>
                <w:kern w:val="0"/>
                <w:sz w:val="24"/>
              </w:rPr>
            </w:pPr>
            <w:r>
              <w:rPr>
                <w:rFonts w:hint="default" w:ascii="Times New Roman" w:hAnsi="Times New Roman" w:eastAsia="宋体" w:cs="Times New Roman"/>
                <w:b/>
                <w:color w:val="auto"/>
                <w:kern w:val="0"/>
                <w:sz w:val="24"/>
                <w:lang w:val="en-US" w:eastAsia="zh-CN"/>
              </w:rPr>
              <w:t>4</w:t>
            </w:r>
            <w:r>
              <w:rPr>
                <w:rFonts w:hint="default" w:ascii="Times New Roman" w:hAnsi="Times New Roman" w:eastAsia="宋体" w:cs="Times New Roman"/>
                <w:b/>
                <w:color w:val="auto"/>
                <w:kern w:val="0"/>
                <w:sz w:val="24"/>
                <w:lang w:eastAsia="zh-CN"/>
              </w:rPr>
              <w:t>）</w:t>
            </w:r>
            <w:r>
              <w:rPr>
                <w:rFonts w:hint="default" w:ascii="Times New Roman" w:hAnsi="Times New Roman" w:eastAsia="宋体" w:cs="Times New Roman"/>
                <w:b/>
                <w:color w:val="auto"/>
                <w:kern w:val="0"/>
                <w:sz w:val="24"/>
              </w:rPr>
              <w:t>鱼类</w:t>
            </w:r>
          </w:p>
          <w:p w14:paraId="1E0B0515">
            <w:pPr>
              <w:pageBreakBefore w:val="0"/>
              <w:widowControl w:val="0"/>
              <w:kinsoku/>
              <w:wordWrap/>
              <w:overflowPunct/>
              <w:topLinePunct w:val="0"/>
              <w:autoSpaceDE/>
              <w:autoSpaceDN/>
              <w:bidi w:val="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w:t>
            </w:r>
            <w:r>
              <w:rPr>
                <w:rFonts w:hint="default" w:ascii="Times New Roman" w:hAnsi="Times New Roman" w:eastAsia="宋体" w:cs="Times New Roman"/>
                <w:color w:val="auto"/>
                <w:sz w:val="24"/>
                <w:lang w:val="en-US" w:eastAsia="zh-CN"/>
              </w:rPr>
              <w:t>现场</w:t>
            </w:r>
            <w:r>
              <w:rPr>
                <w:rFonts w:hint="default" w:ascii="Times New Roman" w:hAnsi="Times New Roman" w:eastAsia="宋体" w:cs="Times New Roman"/>
                <w:color w:val="auto"/>
                <w:sz w:val="24"/>
              </w:rPr>
              <w:t>调查及走访，参考《中国动物志》《云南鱼类志》及相关文献和历史资料，并结合相关单位近年调查成果，</w:t>
            </w:r>
            <w:r>
              <w:rPr>
                <w:rFonts w:hint="default" w:ascii="Times New Roman" w:hAnsi="Times New Roman" w:eastAsia="宋体" w:cs="Times New Roman"/>
                <w:color w:val="auto"/>
                <w:sz w:val="24"/>
                <w:lang w:val="en-US" w:eastAsia="zh-CN"/>
              </w:rPr>
              <w:t>本项目治理段</w:t>
            </w:r>
            <w:r>
              <w:rPr>
                <w:rFonts w:hint="default" w:ascii="Times New Roman" w:hAnsi="Times New Roman" w:eastAsia="宋体" w:cs="Times New Roman"/>
                <w:color w:val="auto"/>
                <w:sz w:val="24"/>
              </w:rPr>
              <w:t>鱼类</w:t>
            </w:r>
            <w:r>
              <w:rPr>
                <w:rFonts w:hint="default" w:ascii="Times New Roman" w:hAnsi="Times New Roman" w:eastAsia="宋体" w:cs="Times New Roman"/>
                <w:color w:val="auto"/>
                <w:sz w:val="24"/>
                <w:lang w:val="en-US" w:eastAsia="zh-CN"/>
              </w:rPr>
              <w:t>种类主要为</w:t>
            </w:r>
            <w:r>
              <w:rPr>
                <w:rFonts w:hint="default" w:ascii="Times New Roman" w:hAnsi="Times New Roman" w:eastAsia="宋体" w:cs="Times New Roman"/>
                <w:color w:val="auto"/>
                <w:sz w:val="24"/>
              </w:rPr>
              <w:t>魟形目</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鲤形目</w:t>
            </w:r>
            <w:r>
              <w:rPr>
                <w:rFonts w:hint="default"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rPr>
              <w:t>鲇形目</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合</w:t>
            </w:r>
            <w:r>
              <w:rPr>
                <w:rFonts w:hint="default" w:ascii="Times New Roman" w:hAnsi="Times New Roman" w:eastAsia="宋体" w:cs="Times New Roman"/>
                <w:color w:val="auto"/>
                <w:sz w:val="24"/>
              </w:rPr>
              <w:t>鳃鱼目</w:t>
            </w:r>
            <w:r>
              <w:rPr>
                <w:rFonts w:hint="default" w:ascii="Times New Roman" w:hAnsi="Times New Roman" w:eastAsia="宋体" w:cs="Times New Roman"/>
                <w:color w:val="auto"/>
                <w:sz w:val="24"/>
                <w:lang w:val="en-US" w:eastAsia="zh-CN"/>
              </w:rPr>
              <w:t>及</w:t>
            </w:r>
            <w:r>
              <w:rPr>
                <w:rFonts w:hint="default" w:ascii="Times New Roman" w:hAnsi="Times New Roman" w:eastAsia="宋体" w:cs="Times New Roman"/>
                <w:color w:val="auto"/>
                <w:sz w:val="24"/>
              </w:rPr>
              <w:t>鲈形目5种。评价江段</w:t>
            </w:r>
            <w:r>
              <w:rPr>
                <w:rFonts w:hint="default" w:ascii="Times New Roman" w:hAnsi="Times New Roman" w:eastAsia="宋体" w:cs="Times New Roman"/>
                <w:color w:val="auto"/>
                <w:sz w:val="24"/>
                <w:lang w:val="en-US" w:eastAsia="zh-CN"/>
              </w:rPr>
              <w:t>主要</w:t>
            </w:r>
            <w:r>
              <w:rPr>
                <w:rFonts w:hint="default" w:ascii="Times New Roman" w:hAnsi="Times New Roman" w:eastAsia="宋体" w:cs="Times New Roman"/>
                <w:color w:val="auto"/>
                <w:sz w:val="24"/>
              </w:rPr>
              <w:t>鱼类名录见</w:t>
            </w:r>
            <w:r>
              <w:rPr>
                <w:rFonts w:hint="default" w:ascii="Times New Roman" w:hAnsi="Times New Roman" w:eastAsia="宋体" w:cs="Times New Roman"/>
                <w:color w:val="auto"/>
                <w:sz w:val="24"/>
                <w:lang w:val="en-US" w:eastAsia="zh-CN"/>
              </w:rPr>
              <w:t>下</w:t>
            </w:r>
            <w:r>
              <w:rPr>
                <w:rFonts w:hint="default" w:ascii="Times New Roman" w:hAnsi="Times New Roman" w:eastAsia="宋体" w:cs="Times New Roman"/>
                <w:color w:val="auto"/>
                <w:sz w:val="24"/>
              </w:rPr>
              <w:t>表。</w:t>
            </w:r>
          </w:p>
          <w:p w14:paraId="4CD88E1B">
            <w:pPr>
              <w:bidi w:val="0"/>
              <w:ind w:left="0" w:lef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表3-</w:t>
            </w:r>
            <w:r>
              <w:rPr>
                <w:rFonts w:hint="eastAsia" w:cs="Times New Roman"/>
                <w:b/>
                <w:bCs/>
                <w:color w:val="auto"/>
                <w:sz w:val="21"/>
                <w:szCs w:val="21"/>
                <w:lang w:val="en-US" w:eastAsia="zh-CN"/>
              </w:rPr>
              <w:t>4</w:t>
            </w:r>
            <w:r>
              <w:rPr>
                <w:rFonts w:hint="default" w:ascii="Times New Roman" w:hAnsi="Times New Roman" w:eastAsia="宋体" w:cs="Times New Roman"/>
                <w:b/>
                <w:bCs/>
                <w:color w:val="auto"/>
                <w:sz w:val="21"/>
                <w:szCs w:val="21"/>
              </w:rPr>
              <w:t xml:space="preserve">  </w:t>
            </w:r>
            <w:r>
              <w:rPr>
                <w:rFonts w:hint="default" w:ascii="Times New Roman" w:hAnsi="Times New Roman" w:eastAsia="宋体" w:cs="Times New Roman"/>
                <w:b/>
                <w:bCs/>
                <w:color w:val="auto"/>
                <w:sz w:val="21"/>
                <w:szCs w:val="21"/>
                <w:lang w:val="en-US" w:eastAsia="zh-CN"/>
              </w:rPr>
              <w:t>本项目治理</w:t>
            </w:r>
            <w:r>
              <w:rPr>
                <w:rFonts w:hint="default" w:ascii="Times New Roman" w:hAnsi="Times New Roman" w:eastAsia="宋体" w:cs="Times New Roman"/>
                <w:b/>
                <w:bCs/>
                <w:color w:val="auto"/>
                <w:sz w:val="21"/>
                <w:szCs w:val="21"/>
              </w:rPr>
              <w:t>段鱼类分布</w:t>
            </w:r>
          </w:p>
          <w:tbl>
            <w:tblPr>
              <w:tblStyle w:val="22"/>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87"/>
              <w:gridCol w:w="2099"/>
              <w:gridCol w:w="4298"/>
            </w:tblGrid>
            <w:tr w14:paraId="251EF42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0" w:hRule="atLeast"/>
                <w:tblHeader/>
                <w:jc w:val="center"/>
              </w:trPr>
              <w:tc>
                <w:tcPr>
                  <w:tcW w:w="837" w:type="pct"/>
                  <w:noWrap/>
                  <w:vAlign w:val="center"/>
                </w:tcPr>
                <w:p w14:paraId="49382371">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1365" w:type="pct"/>
                  <w:noWrap/>
                  <w:vAlign w:val="center"/>
                </w:tcPr>
                <w:p w14:paraId="3B5C29E4">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种名</w:t>
                  </w:r>
                </w:p>
              </w:tc>
              <w:tc>
                <w:tcPr>
                  <w:tcW w:w="2796" w:type="pct"/>
                  <w:noWrap/>
                  <w:vAlign w:val="center"/>
                </w:tcPr>
                <w:p w14:paraId="0B92914F">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拉丁名</w:t>
                  </w:r>
                </w:p>
              </w:tc>
            </w:tr>
            <w:tr w14:paraId="0617BA6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0" w:hRule="atLeast"/>
                <w:jc w:val="center"/>
              </w:trPr>
              <w:tc>
                <w:tcPr>
                  <w:tcW w:w="837" w:type="pct"/>
                  <w:noWrap/>
                  <w:vAlign w:val="center"/>
                </w:tcPr>
                <w:p w14:paraId="23D05503">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fldChar w:fldCharType="begin"/>
                  </w:r>
                  <w:r>
                    <w:rPr>
                      <w:rFonts w:hint="default" w:ascii="Times New Roman" w:hAnsi="Times New Roman" w:eastAsia="宋体" w:cs="Times New Roman"/>
                      <w:b w:val="0"/>
                      <w:bCs w:val="0"/>
                      <w:color w:val="auto"/>
                      <w:sz w:val="21"/>
                      <w:szCs w:val="21"/>
                    </w:rPr>
                    <w:instrText xml:space="preserve"> = 1 \* ROMAN \* MERGEFORMAT </w:instrText>
                  </w:r>
                  <w:r>
                    <w:rPr>
                      <w:rFonts w:hint="default" w:ascii="Times New Roman" w:hAnsi="Times New Roman" w:eastAsia="宋体" w:cs="Times New Roman"/>
                      <w:b w:val="0"/>
                      <w:bCs w:val="0"/>
                      <w:color w:val="auto"/>
                      <w:sz w:val="21"/>
                      <w:szCs w:val="21"/>
                    </w:rPr>
                    <w:fldChar w:fldCharType="separate"/>
                  </w:r>
                  <w:r>
                    <w:rPr>
                      <w:rFonts w:hint="default" w:ascii="Times New Roman" w:hAnsi="Times New Roman" w:eastAsia="宋体" w:cs="Times New Roman"/>
                      <w:b w:val="0"/>
                      <w:bCs w:val="0"/>
                      <w:color w:val="auto"/>
                      <w:sz w:val="21"/>
                      <w:szCs w:val="21"/>
                    </w:rPr>
                    <w:t>I</w:t>
                  </w:r>
                  <w:r>
                    <w:rPr>
                      <w:rFonts w:hint="default" w:ascii="Times New Roman" w:hAnsi="Times New Roman" w:eastAsia="宋体" w:cs="Times New Roman"/>
                      <w:b w:val="0"/>
                      <w:bCs w:val="0"/>
                      <w:color w:val="auto"/>
                      <w:sz w:val="21"/>
                      <w:szCs w:val="21"/>
                    </w:rPr>
                    <w:fldChar w:fldCharType="end"/>
                  </w:r>
                </w:p>
              </w:tc>
              <w:tc>
                <w:tcPr>
                  <w:tcW w:w="1365" w:type="pct"/>
                  <w:noWrap/>
                  <w:vAlign w:val="center"/>
                </w:tcPr>
                <w:p w14:paraId="3FEB44CF">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魟形目</w:t>
                  </w:r>
                </w:p>
              </w:tc>
              <w:tc>
                <w:tcPr>
                  <w:tcW w:w="2796" w:type="pct"/>
                  <w:noWrap/>
                  <w:vAlign w:val="center"/>
                </w:tcPr>
                <w:p w14:paraId="7E8FDB94">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MYLIOBATIFORMES</w:t>
                  </w:r>
                </w:p>
              </w:tc>
            </w:tr>
            <w:tr w14:paraId="43AC759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837" w:type="pct"/>
                  <w:noWrap/>
                  <w:vAlign w:val="center"/>
                </w:tcPr>
                <w:p w14:paraId="13C6944B">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val="en-US" w:eastAsia="zh-CN"/>
                    </w:rPr>
                    <w:t>一</w:t>
                  </w:r>
                </w:p>
              </w:tc>
              <w:tc>
                <w:tcPr>
                  <w:tcW w:w="1365" w:type="pct"/>
                  <w:noWrap/>
                  <w:vAlign w:val="center"/>
                </w:tcPr>
                <w:p w14:paraId="04182CFB">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魟科</w:t>
                  </w:r>
                </w:p>
              </w:tc>
              <w:tc>
                <w:tcPr>
                  <w:tcW w:w="2796" w:type="pct"/>
                  <w:noWrap/>
                  <w:vAlign w:val="center"/>
                </w:tcPr>
                <w:p w14:paraId="36DE626B">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Dasyatidae</w:t>
                  </w:r>
                </w:p>
              </w:tc>
            </w:tr>
            <w:tr w14:paraId="12064A6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1C570317">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1</w:t>
                  </w:r>
                </w:p>
              </w:tc>
              <w:tc>
                <w:tcPr>
                  <w:tcW w:w="1365" w:type="pct"/>
                  <w:noWrap/>
                  <w:vAlign w:val="center"/>
                </w:tcPr>
                <w:p w14:paraId="267A1DD9">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魟待定种</w:t>
                  </w:r>
                </w:p>
              </w:tc>
              <w:tc>
                <w:tcPr>
                  <w:tcW w:w="2796" w:type="pct"/>
                  <w:noWrap/>
                  <w:vAlign w:val="center"/>
                </w:tcPr>
                <w:p w14:paraId="1AB57C10">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Dasyatis sp.</w:t>
                  </w:r>
                </w:p>
              </w:tc>
            </w:tr>
            <w:tr w14:paraId="3C33EAA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0" w:hRule="atLeast"/>
                <w:jc w:val="center"/>
              </w:trPr>
              <w:tc>
                <w:tcPr>
                  <w:tcW w:w="837" w:type="pct"/>
                  <w:noWrap/>
                  <w:vAlign w:val="center"/>
                </w:tcPr>
                <w:p w14:paraId="30AF47D3">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fldChar w:fldCharType="begin"/>
                  </w:r>
                  <w:r>
                    <w:rPr>
                      <w:rFonts w:hint="default" w:ascii="Times New Roman" w:hAnsi="Times New Roman" w:eastAsia="宋体" w:cs="Times New Roman"/>
                      <w:b w:val="0"/>
                      <w:bCs w:val="0"/>
                      <w:color w:val="auto"/>
                      <w:sz w:val="21"/>
                      <w:szCs w:val="21"/>
                    </w:rPr>
                    <w:instrText xml:space="preserve"> = 2 \* ROMAN \* MERGEFORMAT </w:instrText>
                  </w:r>
                  <w:r>
                    <w:rPr>
                      <w:rFonts w:hint="default" w:ascii="Times New Roman" w:hAnsi="Times New Roman" w:eastAsia="宋体" w:cs="Times New Roman"/>
                      <w:b w:val="0"/>
                      <w:bCs w:val="0"/>
                      <w:color w:val="auto"/>
                      <w:sz w:val="21"/>
                      <w:szCs w:val="21"/>
                    </w:rPr>
                    <w:fldChar w:fldCharType="separate"/>
                  </w:r>
                  <w:r>
                    <w:rPr>
                      <w:rFonts w:hint="default" w:ascii="Times New Roman" w:hAnsi="Times New Roman" w:eastAsia="宋体" w:cs="Times New Roman"/>
                      <w:b w:val="0"/>
                      <w:bCs w:val="0"/>
                      <w:color w:val="auto"/>
                      <w:sz w:val="21"/>
                      <w:szCs w:val="21"/>
                    </w:rPr>
                    <w:t>II</w:t>
                  </w:r>
                  <w:r>
                    <w:rPr>
                      <w:rFonts w:hint="default" w:ascii="Times New Roman" w:hAnsi="Times New Roman" w:eastAsia="宋体" w:cs="Times New Roman"/>
                      <w:b w:val="0"/>
                      <w:bCs w:val="0"/>
                      <w:color w:val="auto"/>
                      <w:sz w:val="21"/>
                      <w:szCs w:val="21"/>
                    </w:rPr>
                    <w:fldChar w:fldCharType="end"/>
                  </w:r>
                </w:p>
              </w:tc>
              <w:tc>
                <w:tcPr>
                  <w:tcW w:w="1365" w:type="pct"/>
                  <w:noWrap/>
                  <w:vAlign w:val="center"/>
                </w:tcPr>
                <w:p w14:paraId="5495518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鲤形目</w:t>
                  </w:r>
                </w:p>
              </w:tc>
              <w:tc>
                <w:tcPr>
                  <w:tcW w:w="2796" w:type="pct"/>
                  <w:noWrap/>
                  <w:vAlign w:val="center"/>
                </w:tcPr>
                <w:p w14:paraId="70840444">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CYPRINIFORMES</w:t>
                  </w:r>
                </w:p>
              </w:tc>
            </w:tr>
            <w:tr w14:paraId="2E3C6AF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837" w:type="pct"/>
                  <w:noWrap/>
                  <w:vAlign w:val="center"/>
                </w:tcPr>
                <w:p w14:paraId="7F05389B">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val="en-US" w:eastAsia="zh-CN"/>
                    </w:rPr>
                    <w:t>二</w:t>
                  </w:r>
                </w:p>
              </w:tc>
              <w:tc>
                <w:tcPr>
                  <w:tcW w:w="1365" w:type="pct"/>
                  <w:noWrap/>
                  <w:vAlign w:val="center"/>
                </w:tcPr>
                <w:p w14:paraId="32FF04C0">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鲤科</w:t>
                  </w:r>
                </w:p>
              </w:tc>
              <w:tc>
                <w:tcPr>
                  <w:tcW w:w="2796" w:type="pct"/>
                  <w:noWrap/>
                  <w:vAlign w:val="center"/>
                </w:tcPr>
                <w:p w14:paraId="56E6255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Cyprinidae</w:t>
                  </w:r>
                </w:p>
              </w:tc>
            </w:tr>
            <w:tr w14:paraId="1B0B67E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1ED450AD">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（一）</w:t>
                  </w:r>
                </w:p>
              </w:tc>
              <w:tc>
                <w:tcPr>
                  <w:tcW w:w="1365" w:type="pct"/>
                  <w:noWrap/>
                  <w:vAlign w:val="center"/>
                </w:tcPr>
                <w:p w14:paraId="5FB9FB3F">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鱼丹亚科</w:t>
                  </w:r>
                </w:p>
              </w:tc>
              <w:tc>
                <w:tcPr>
                  <w:tcW w:w="2796" w:type="pct"/>
                  <w:noWrap/>
                  <w:vAlign w:val="center"/>
                </w:tcPr>
                <w:p w14:paraId="3B9BB336">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Danioninae</w:t>
                  </w:r>
                </w:p>
              </w:tc>
            </w:tr>
            <w:tr w14:paraId="7CE0165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38CAF76D">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val="en-US" w:eastAsia="zh-CN"/>
                    </w:rPr>
                    <w:t>2</w:t>
                  </w:r>
                </w:p>
              </w:tc>
              <w:tc>
                <w:tcPr>
                  <w:tcW w:w="1365" w:type="pct"/>
                  <w:noWrap/>
                  <w:vAlign w:val="center"/>
                </w:tcPr>
                <w:p w14:paraId="7F71A250">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滇西低线鱲</w:t>
                  </w:r>
                </w:p>
              </w:tc>
              <w:tc>
                <w:tcPr>
                  <w:tcW w:w="2796" w:type="pct"/>
                  <w:noWrap/>
                  <w:vAlign w:val="center"/>
                </w:tcPr>
                <w:p w14:paraId="1D3CBC4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Barilius barila</w:t>
                  </w:r>
                </w:p>
              </w:tc>
            </w:tr>
            <w:tr w14:paraId="52926C8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21EB60AF">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val="en-US" w:eastAsia="zh-CN"/>
                    </w:rPr>
                    <w:t>3</w:t>
                  </w:r>
                </w:p>
              </w:tc>
              <w:tc>
                <w:tcPr>
                  <w:tcW w:w="1365" w:type="pct"/>
                  <w:noWrap/>
                  <w:vAlign w:val="center"/>
                </w:tcPr>
                <w:p w14:paraId="2AB9B3C8">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半线鱼丹</w:t>
                  </w:r>
                </w:p>
              </w:tc>
              <w:tc>
                <w:tcPr>
                  <w:tcW w:w="2796" w:type="pct"/>
                  <w:noWrap/>
                  <w:vAlign w:val="center"/>
                </w:tcPr>
                <w:p w14:paraId="6431D941">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Danio interrupta</w:t>
                  </w:r>
                </w:p>
              </w:tc>
            </w:tr>
            <w:tr w14:paraId="1FC1E8D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4079CB3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val="en-US" w:eastAsia="zh-CN"/>
                    </w:rPr>
                    <w:t>4</w:t>
                  </w:r>
                </w:p>
              </w:tc>
              <w:tc>
                <w:tcPr>
                  <w:tcW w:w="1365" w:type="pct"/>
                  <w:noWrap/>
                  <w:vAlign w:val="center"/>
                </w:tcPr>
                <w:p w14:paraId="65499E89">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掸邦鱼丹</w:t>
                  </w:r>
                </w:p>
              </w:tc>
              <w:tc>
                <w:tcPr>
                  <w:tcW w:w="2796" w:type="pct"/>
                  <w:noWrap/>
                  <w:vAlign w:val="center"/>
                </w:tcPr>
                <w:p w14:paraId="0B08CA30">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Danio shanensis</w:t>
                  </w:r>
                </w:p>
              </w:tc>
            </w:tr>
            <w:tr w14:paraId="1E37BDB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4C2D0783">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val="en-US" w:eastAsia="zh-CN"/>
                    </w:rPr>
                    <w:t>5</w:t>
                  </w:r>
                </w:p>
              </w:tc>
              <w:tc>
                <w:tcPr>
                  <w:tcW w:w="1365" w:type="pct"/>
                  <w:noWrap/>
                  <w:vAlign w:val="center"/>
                </w:tcPr>
                <w:p w14:paraId="39561A53">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珍珠鱼丹</w:t>
                  </w:r>
                </w:p>
              </w:tc>
              <w:tc>
                <w:tcPr>
                  <w:tcW w:w="2796" w:type="pct"/>
                  <w:noWrap/>
                  <w:vAlign w:val="center"/>
                </w:tcPr>
                <w:p w14:paraId="31D8C62E">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Danio albolineata</w:t>
                  </w:r>
                </w:p>
              </w:tc>
            </w:tr>
            <w:tr w14:paraId="38D1283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2A4B07B1">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val="en-US" w:eastAsia="zh-CN"/>
                    </w:rPr>
                    <w:t>6</w:t>
                  </w:r>
                </w:p>
              </w:tc>
              <w:tc>
                <w:tcPr>
                  <w:tcW w:w="1365" w:type="pct"/>
                  <w:noWrap/>
                  <w:vAlign w:val="center"/>
                </w:tcPr>
                <w:p w14:paraId="5B2B4513">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小眼小波鱼</w:t>
                  </w:r>
                </w:p>
              </w:tc>
              <w:tc>
                <w:tcPr>
                  <w:tcW w:w="2796" w:type="pct"/>
                  <w:noWrap/>
                  <w:vAlign w:val="center"/>
                </w:tcPr>
                <w:p w14:paraId="4D3C74BE">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Microrasbora microphthalma</w:t>
                  </w:r>
                </w:p>
              </w:tc>
            </w:tr>
            <w:tr w14:paraId="1C181A9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0" w:hRule="atLeast"/>
                <w:jc w:val="center"/>
              </w:trPr>
              <w:tc>
                <w:tcPr>
                  <w:tcW w:w="837" w:type="pct"/>
                  <w:noWrap/>
                  <w:vAlign w:val="center"/>
                </w:tcPr>
                <w:p w14:paraId="55592F20">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（二）</w:t>
                  </w:r>
                </w:p>
              </w:tc>
              <w:tc>
                <w:tcPr>
                  <w:tcW w:w="1365" w:type="pct"/>
                  <w:noWrap/>
                  <w:vAlign w:val="center"/>
                </w:tcPr>
                <w:p w14:paraId="09C8DED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鱊亚科</w:t>
                  </w:r>
                </w:p>
              </w:tc>
              <w:tc>
                <w:tcPr>
                  <w:tcW w:w="2796" w:type="pct"/>
                  <w:noWrap/>
                  <w:vAlign w:val="center"/>
                </w:tcPr>
                <w:p w14:paraId="5AE0CF6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Acheilognathinae</w:t>
                  </w:r>
                </w:p>
              </w:tc>
            </w:tr>
            <w:tr w14:paraId="64AC1D8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3A83065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val="en-US" w:eastAsia="zh-CN"/>
                    </w:rPr>
                    <w:t>7</w:t>
                  </w:r>
                </w:p>
              </w:tc>
              <w:tc>
                <w:tcPr>
                  <w:tcW w:w="1365" w:type="pct"/>
                  <w:noWrap/>
                  <w:vAlign w:val="center"/>
                </w:tcPr>
                <w:p w14:paraId="574D7A84">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高体鳑鲏</w:t>
                  </w:r>
                </w:p>
              </w:tc>
              <w:tc>
                <w:tcPr>
                  <w:tcW w:w="2796" w:type="pct"/>
                  <w:noWrap/>
                  <w:vAlign w:val="center"/>
                </w:tcPr>
                <w:p w14:paraId="594287EE">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Rhodeus ocellatus</w:t>
                  </w:r>
                </w:p>
              </w:tc>
            </w:tr>
            <w:tr w14:paraId="17BC5C4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0" w:hRule="atLeast"/>
                <w:jc w:val="center"/>
              </w:trPr>
              <w:tc>
                <w:tcPr>
                  <w:tcW w:w="837" w:type="pct"/>
                  <w:noWrap/>
                  <w:vAlign w:val="center"/>
                </w:tcPr>
                <w:p w14:paraId="7A184117">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（三）</w:t>
                  </w:r>
                </w:p>
              </w:tc>
              <w:tc>
                <w:tcPr>
                  <w:tcW w:w="1365" w:type="pct"/>
                  <w:noWrap/>
                  <w:vAlign w:val="center"/>
                </w:tcPr>
                <w:p w14:paraId="584888D3">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鲌亚科</w:t>
                  </w:r>
                </w:p>
              </w:tc>
              <w:tc>
                <w:tcPr>
                  <w:tcW w:w="2796" w:type="pct"/>
                  <w:noWrap/>
                  <w:vAlign w:val="center"/>
                </w:tcPr>
                <w:p w14:paraId="2D73CE39">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Cultrinae</w:t>
                  </w:r>
                </w:p>
              </w:tc>
            </w:tr>
            <w:tr w14:paraId="2D5EF12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51344CAB">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val="en-US" w:eastAsia="zh-CN"/>
                    </w:rPr>
                    <w:t>8</w:t>
                  </w:r>
                </w:p>
              </w:tc>
              <w:tc>
                <w:tcPr>
                  <w:tcW w:w="1365" w:type="pct"/>
                  <w:noWrap/>
                  <w:vAlign w:val="center"/>
                </w:tcPr>
                <w:p w14:paraId="777FE160">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䱗</w:t>
                  </w:r>
                </w:p>
              </w:tc>
              <w:tc>
                <w:tcPr>
                  <w:tcW w:w="2796" w:type="pct"/>
                  <w:noWrap/>
                  <w:vAlign w:val="center"/>
                </w:tcPr>
                <w:p w14:paraId="166ACBB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Hemiculter leucisculus</w:t>
                  </w:r>
                </w:p>
              </w:tc>
            </w:tr>
            <w:tr w14:paraId="2A0244D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0" w:hRule="atLeast"/>
                <w:jc w:val="center"/>
              </w:trPr>
              <w:tc>
                <w:tcPr>
                  <w:tcW w:w="837" w:type="pct"/>
                  <w:noWrap/>
                  <w:vAlign w:val="center"/>
                </w:tcPr>
                <w:p w14:paraId="7C4A6A45">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（四）</w:t>
                  </w:r>
                </w:p>
              </w:tc>
              <w:tc>
                <w:tcPr>
                  <w:tcW w:w="1365" w:type="pct"/>
                  <w:noWrap/>
                  <w:vAlign w:val="center"/>
                </w:tcPr>
                <w:p w14:paraId="18576680">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鮈亚科</w:t>
                  </w:r>
                </w:p>
              </w:tc>
              <w:tc>
                <w:tcPr>
                  <w:tcW w:w="2796" w:type="pct"/>
                  <w:noWrap/>
                  <w:vAlign w:val="center"/>
                </w:tcPr>
                <w:p w14:paraId="0D65F930">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Gobioninae</w:t>
                  </w:r>
                </w:p>
              </w:tc>
            </w:tr>
            <w:tr w14:paraId="5CE32D3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3D7C196D">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val="en-US" w:eastAsia="zh-CN"/>
                    </w:rPr>
                    <w:t>9</w:t>
                  </w:r>
                </w:p>
              </w:tc>
              <w:tc>
                <w:tcPr>
                  <w:tcW w:w="1365" w:type="pct"/>
                  <w:noWrap/>
                  <w:vAlign w:val="center"/>
                </w:tcPr>
                <w:p w14:paraId="290902C4">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麦穗鱼</w:t>
                  </w:r>
                </w:p>
              </w:tc>
              <w:tc>
                <w:tcPr>
                  <w:tcW w:w="2796" w:type="pct"/>
                  <w:noWrap/>
                  <w:vAlign w:val="center"/>
                </w:tcPr>
                <w:p w14:paraId="5375D63B">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Pseudorasbora parva</w:t>
                  </w:r>
                </w:p>
              </w:tc>
            </w:tr>
            <w:tr w14:paraId="4765DE0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6462E2BB">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10</w:t>
                  </w:r>
                </w:p>
              </w:tc>
              <w:tc>
                <w:tcPr>
                  <w:tcW w:w="1365" w:type="pct"/>
                  <w:noWrap/>
                  <w:vAlign w:val="center"/>
                </w:tcPr>
                <w:p w14:paraId="1466A48B">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棒花鱼</w:t>
                  </w:r>
                </w:p>
              </w:tc>
              <w:tc>
                <w:tcPr>
                  <w:tcW w:w="2796" w:type="pct"/>
                  <w:noWrap/>
                  <w:vAlign w:val="center"/>
                </w:tcPr>
                <w:p w14:paraId="3537DF57">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Abbottina rivularis</w:t>
                  </w:r>
                </w:p>
              </w:tc>
            </w:tr>
            <w:tr w14:paraId="23084C7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5E34EC78">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11</w:t>
                  </w:r>
                </w:p>
              </w:tc>
              <w:tc>
                <w:tcPr>
                  <w:tcW w:w="1365" w:type="pct"/>
                  <w:noWrap/>
                  <w:vAlign w:val="center"/>
                </w:tcPr>
                <w:p w14:paraId="017BFDA2">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黑鳍鳈</w:t>
                  </w:r>
                </w:p>
              </w:tc>
              <w:tc>
                <w:tcPr>
                  <w:tcW w:w="2796" w:type="pct"/>
                  <w:noWrap/>
                  <w:vAlign w:val="center"/>
                </w:tcPr>
                <w:p w14:paraId="7660E3B8">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Sarcocheilichthys nigripinnis</w:t>
                  </w:r>
                </w:p>
              </w:tc>
            </w:tr>
            <w:tr w14:paraId="5C3B5B7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0" w:hRule="atLeast"/>
                <w:jc w:val="center"/>
              </w:trPr>
              <w:tc>
                <w:tcPr>
                  <w:tcW w:w="837" w:type="pct"/>
                  <w:noWrap/>
                  <w:vAlign w:val="center"/>
                </w:tcPr>
                <w:p w14:paraId="453EEDB2">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（五）</w:t>
                  </w:r>
                </w:p>
              </w:tc>
              <w:tc>
                <w:tcPr>
                  <w:tcW w:w="1365" w:type="pct"/>
                  <w:noWrap/>
                  <w:vAlign w:val="center"/>
                </w:tcPr>
                <w:p w14:paraId="6DE2AD96">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雅罗鱼亚科</w:t>
                  </w:r>
                </w:p>
              </w:tc>
              <w:tc>
                <w:tcPr>
                  <w:tcW w:w="2796" w:type="pct"/>
                  <w:noWrap/>
                  <w:vAlign w:val="center"/>
                </w:tcPr>
                <w:p w14:paraId="7F043FE9">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Leuciscinae</w:t>
                  </w:r>
                </w:p>
              </w:tc>
            </w:tr>
            <w:tr w14:paraId="3B4660E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339E9D5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12</w:t>
                  </w:r>
                </w:p>
              </w:tc>
              <w:tc>
                <w:tcPr>
                  <w:tcW w:w="1365" w:type="pct"/>
                  <w:noWrap/>
                  <w:vAlign w:val="center"/>
                </w:tcPr>
                <w:p w14:paraId="444FA59D">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草鱼</w:t>
                  </w:r>
                </w:p>
              </w:tc>
              <w:tc>
                <w:tcPr>
                  <w:tcW w:w="2796" w:type="pct"/>
                  <w:noWrap/>
                  <w:vAlign w:val="center"/>
                </w:tcPr>
                <w:p w14:paraId="7A571857">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Ctanop hargngodon</w:t>
                  </w:r>
                </w:p>
              </w:tc>
            </w:tr>
            <w:tr w14:paraId="4D7A4BC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0" w:hRule="atLeast"/>
                <w:jc w:val="center"/>
              </w:trPr>
              <w:tc>
                <w:tcPr>
                  <w:tcW w:w="837" w:type="pct"/>
                  <w:noWrap/>
                  <w:vAlign w:val="center"/>
                </w:tcPr>
                <w:p w14:paraId="5CEE4AC4">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（六）</w:t>
                  </w:r>
                </w:p>
              </w:tc>
              <w:tc>
                <w:tcPr>
                  <w:tcW w:w="1365" w:type="pct"/>
                  <w:noWrap/>
                  <w:vAlign w:val="center"/>
                </w:tcPr>
                <w:p w14:paraId="3E1738F3">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鲢亚科</w:t>
                  </w:r>
                </w:p>
              </w:tc>
              <w:tc>
                <w:tcPr>
                  <w:tcW w:w="2796" w:type="pct"/>
                  <w:noWrap/>
                  <w:vAlign w:val="center"/>
                </w:tcPr>
                <w:p w14:paraId="23E68052">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Hypophthalmichthyinae</w:t>
                  </w:r>
                </w:p>
              </w:tc>
            </w:tr>
            <w:tr w14:paraId="3BE2A6D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1189759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13</w:t>
                  </w:r>
                </w:p>
              </w:tc>
              <w:tc>
                <w:tcPr>
                  <w:tcW w:w="1365" w:type="pct"/>
                  <w:noWrap/>
                  <w:vAlign w:val="center"/>
                </w:tcPr>
                <w:p w14:paraId="30675B8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鲢</w:t>
                  </w:r>
                </w:p>
              </w:tc>
              <w:tc>
                <w:tcPr>
                  <w:tcW w:w="2796" w:type="pct"/>
                  <w:noWrap/>
                  <w:vAlign w:val="center"/>
                </w:tcPr>
                <w:p w14:paraId="60E00094">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Hypophthalmichthys molitrix</w:t>
                  </w:r>
                </w:p>
              </w:tc>
            </w:tr>
            <w:tr w14:paraId="6E67F33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0" w:hRule="atLeast"/>
                <w:jc w:val="center"/>
              </w:trPr>
              <w:tc>
                <w:tcPr>
                  <w:tcW w:w="837" w:type="pct"/>
                  <w:noWrap/>
                  <w:vAlign w:val="center"/>
                </w:tcPr>
                <w:p w14:paraId="4F701648">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（七）</w:t>
                  </w:r>
                </w:p>
              </w:tc>
              <w:tc>
                <w:tcPr>
                  <w:tcW w:w="1365" w:type="pct"/>
                  <w:noWrap/>
                  <w:vAlign w:val="center"/>
                </w:tcPr>
                <w:p w14:paraId="006A977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鲃亚科</w:t>
                  </w:r>
                </w:p>
              </w:tc>
              <w:tc>
                <w:tcPr>
                  <w:tcW w:w="2796" w:type="pct"/>
                  <w:noWrap/>
                  <w:vAlign w:val="center"/>
                </w:tcPr>
                <w:p w14:paraId="31989A64">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Barbinae</w:t>
                  </w:r>
                </w:p>
              </w:tc>
            </w:tr>
            <w:tr w14:paraId="30F627B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6A747FA2">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14</w:t>
                  </w:r>
                </w:p>
              </w:tc>
              <w:tc>
                <w:tcPr>
                  <w:tcW w:w="1365" w:type="pct"/>
                  <w:noWrap/>
                  <w:vAlign w:val="center"/>
                </w:tcPr>
                <w:p w14:paraId="26CA6D1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异口新光唇鱼</w:t>
                  </w:r>
                </w:p>
              </w:tc>
              <w:tc>
                <w:tcPr>
                  <w:tcW w:w="2796" w:type="pct"/>
                  <w:noWrap/>
                  <w:vAlign w:val="center"/>
                </w:tcPr>
                <w:p w14:paraId="107CAEC9">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Neolissochilus heterostomus</w:t>
                  </w:r>
                </w:p>
              </w:tc>
            </w:tr>
            <w:tr w14:paraId="65DE285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18B002B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15</w:t>
                  </w:r>
                </w:p>
              </w:tc>
              <w:tc>
                <w:tcPr>
                  <w:tcW w:w="1365" w:type="pct"/>
                  <w:noWrap/>
                  <w:vAlign w:val="center"/>
                </w:tcPr>
                <w:p w14:paraId="0DF0DB7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太平吻孔鲃</w:t>
                  </w:r>
                </w:p>
              </w:tc>
              <w:tc>
                <w:tcPr>
                  <w:tcW w:w="2796" w:type="pct"/>
                  <w:noWrap/>
                  <w:vAlign w:val="center"/>
                </w:tcPr>
                <w:p w14:paraId="075DF5AB">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Poropuntius margarianus</w:t>
                  </w:r>
                </w:p>
              </w:tc>
            </w:tr>
            <w:tr w14:paraId="637AB4F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79A87F19">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16</w:t>
                  </w:r>
                </w:p>
              </w:tc>
              <w:tc>
                <w:tcPr>
                  <w:tcW w:w="1365" w:type="pct"/>
                  <w:noWrap/>
                  <w:vAlign w:val="center"/>
                </w:tcPr>
                <w:p w14:paraId="6A49044F">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斑尾小鲃</w:t>
                  </w:r>
                </w:p>
              </w:tc>
              <w:tc>
                <w:tcPr>
                  <w:tcW w:w="2796" w:type="pct"/>
                  <w:noWrap/>
                  <w:vAlign w:val="center"/>
                </w:tcPr>
                <w:p w14:paraId="5D97CE97">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Puntius sophore</w:t>
                  </w:r>
                </w:p>
              </w:tc>
            </w:tr>
            <w:tr w14:paraId="6406751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11AC2797">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17</w:t>
                  </w:r>
                </w:p>
              </w:tc>
              <w:tc>
                <w:tcPr>
                  <w:tcW w:w="1365" w:type="pct"/>
                  <w:noWrap/>
                  <w:vAlign w:val="center"/>
                </w:tcPr>
                <w:p w14:paraId="1DA4E4A5">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异斑小鲃</w:t>
                  </w:r>
                </w:p>
              </w:tc>
              <w:tc>
                <w:tcPr>
                  <w:tcW w:w="2796" w:type="pct"/>
                  <w:noWrap/>
                  <w:vAlign w:val="center"/>
                </w:tcPr>
                <w:p w14:paraId="1105CDB5">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Puntius ticto</w:t>
                  </w:r>
                </w:p>
              </w:tc>
            </w:tr>
            <w:tr w14:paraId="277B9BF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03DBA558">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18</w:t>
                  </w:r>
                </w:p>
              </w:tc>
              <w:tc>
                <w:tcPr>
                  <w:tcW w:w="1365" w:type="pct"/>
                  <w:noWrap/>
                  <w:vAlign w:val="center"/>
                </w:tcPr>
                <w:p w14:paraId="5BC012FB">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桥街结鱼</w:t>
                  </w:r>
                </w:p>
              </w:tc>
              <w:tc>
                <w:tcPr>
                  <w:tcW w:w="2796" w:type="pct"/>
                  <w:noWrap/>
                  <w:vAlign w:val="center"/>
                </w:tcPr>
                <w:p w14:paraId="765E1245">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Tor(Tor) qiaojiensis</w:t>
                  </w:r>
                </w:p>
              </w:tc>
            </w:tr>
            <w:tr w14:paraId="480A3E2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49367410">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19</w:t>
                  </w:r>
                </w:p>
              </w:tc>
              <w:tc>
                <w:tcPr>
                  <w:tcW w:w="1365" w:type="pct"/>
                  <w:noWrap/>
                  <w:vAlign w:val="center"/>
                </w:tcPr>
                <w:p w14:paraId="65ECE4F5">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盈江结鱼</w:t>
                  </w:r>
                </w:p>
              </w:tc>
              <w:tc>
                <w:tcPr>
                  <w:tcW w:w="2796" w:type="pct"/>
                  <w:noWrap/>
                  <w:vAlign w:val="center"/>
                </w:tcPr>
                <w:p w14:paraId="2EC84C10">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Tor yingjiangensis</w:t>
                  </w:r>
                </w:p>
              </w:tc>
            </w:tr>
            <w:tr w14:paraId="0914C27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46909DB6">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（八）</w:t>
                  </w:r>
                </w:p>
              </w:tc>
              <w:tc>
                <w:tcPr>
                  <w:tcW w:w="1365" w:type="pct"/>
                  <w:noWrap/>
                  <w:vAlign w:val="center"/>
                </w:tcPr>
                <w:p w14:paraId="692C0105">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野鲮亚科</w:t>
                  </w:r>
                </w:p>
              </w:tc>
              <w:tc>
                <w:tcPr>
                  <w:tcW w:w="2796" w:type="pct"/>
                  <w:noWrap/>
                  <w:vAlign w:val="center"/>
                </w:tcPr>
                <w:p w14:paraId="2660A6D9">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Labeoninae</w:t>
                  </w:r>
                </w:p>
              </w:tc>
            </w:tr>
            <w:tr w14:paraId="2310ADB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788ABCE6">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20</w:t>
                  </w:r>
                </w:p>
              </w:tc>
              <w:tc>
                <w:tcPr>
                  <w:tcW w:w="1365" w:type="pct"/>
                  <w:noWrap/>
                  <w:vAlign w:val="center"/>
                </w:tcPr>
                <w:p w14:paraId="206ECCE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戴氏孟加拉鲮</w:t>
                  </w:r>
                </w:p>
              </w:tc>
              <w:tc>
                <w:tcPr>
                  <w:tcW w:w="2796" w:type="pct"/>
                  <w:noWrap/>
                  <w:vAlign w:val="center"/>
                </w:tcPr>
                <w:p w14:paraId="50A4D94E">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Bangana devdevi</w:t>
                  </w:r>
                </w:p>
              </w:tc>
            </w:tr>
            <w:tr w14:paraId="7A31AE1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500DEEAE">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21</w:t>
                  </w:r>
                </w:p>
              </w:tc>
              <w:tc>
                <w:tcPr>
                  <w:tcW w:w="1365" w:type="pct"/>
                  <w:noWrap/>
                  <w:vAlign w:val="center"/>
                </w:tcPr>
                <w:p w14:paraId="1FDEAB5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皮氏野鲮</w:t>
                  </w:r>
                </w:p>
              </w:tc>
              <w:tc>
                <w:tcPr>
                  <w:tcW w:w="2796" w:type="pct"/>
                  <w:noWrap/>
                  <w:vAlign w:val="center"/>
                </w:tcPr>
                <w:p w14:paraId="6765C2A5">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Labeo pierrei</w:t>
                  </w:r>
                </w:p>
              </w:tc>
            </w:tr>
            <w:tr w14:paraId="4983BAA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53133E36">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22</w:t>
                  </w:r>
                </w:p>
              </w:tc>
              <w:tc>
                <w:tcPr>
                  <w:tcW w:w="1365" w:type="pct"/>
                  <w:noWrap/>
                  <w:vAlign w:val="center"/>
                </w:tcPr>
                <w:p w14:paraId="6BC1D527">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缅甸穗唇鲃</w:t>
                  </w:r>
                </w:p>
              </w:tc>
              <w:tc>
                <w:tcPr>
                  <w:tcW w:w="2796" w:type="pct"/>
                  <w:noWrap/>
                  <w:vAlign w:val="center"/>
                </w:tcPr>
                <w:p w14:paraId="7E76B94E">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Crossocheilus burmanicus</w:t>
                  </w:r>
                </w:p>
              </w:tc>
            </w:tr>
            <w:tr w14:paraId="59BA408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74CFBC37">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23</w:t>
                  </w:r>
                </w:p>
              </w:tc>
              <w:tc>
                <w:tcPr>
                  <w:tcW w:w="1365" w:type="pct"/>
                  <w:noWrap/>
                  <w:vAlign w:val="center"/>
                </w:tcPr>
                <w:p w14:paraId="77F2A70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双角墨头鱼</w:t>
                  </w:r>
                </w:p>
              </w:tc>
              <w:tc>
                <w:tcPr>
                  <w:tcW w:w="2796" w:type="pct"/>
                  <w:noWrap/>
                  <w:vAlign w:val="center"/>
                </w:tcPr>
                <w:p w14:paraId="7AA3FBA7">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Garra bispinosa</w:t>
                  </w:r>
                </w:p>
              </w:tc>
            </w:tr>
            <w:tr w14:paraId="4DF1819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08082C01">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24</w:t>
                  </w:r>
                </w:p>
              </w:tc>
              <w:tc>
                <w:tcPr>
                  <w:tcW w:w="1365" w:type="pct"/>
                  <w:noWrap/>
                  <w:vAlign w:val="center"/>
                </w:tcPr>
                <w:p w14:paraId="76B0CCF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桥街墨头鱼</w:t>
                  </w:r>
                </w:p>
              </w:tc>
              <w:tc>
                <w:tcPr>
                  <w:tcW w:w="2796" w:type="pct"/>
                  <w:noWrap/>
                  <w:vAlign w:val="center"/>
                </w:tcPr>
                <w:p w14:paraId="014214B8">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Garra qiaojiensis</w:t>
                  </w:r>
                </w:p>
              </w:tc>
            </w:tr>
            <w:tr w14:paraId="7918AFC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29C4E174">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25</w:t>
                  </w:r>
                </w:p>
              </w:tc>
              <w:tc>
                <w:tcPr>
                  <w:tcW w:w="1365" w:type="pct"/>
                  <w:noWrap/>
                  <w:vAlign w:val="center"/>
                </w:tcPr>
                <w:p w14:paraId="12FB9B5D">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萨尔温墨头鱼</w:t>
                  </w:r>
                </w:p>
              </w:tc>
              <w:tc>
                <w:tcPr>
                  <w:tcW w:w="2796" w:type="pct"/>
                  <w:noWrap/>
                  <w:vAlign w:val="center"/>
                </w:tcPr>
                <w:p w14:paraId="303632A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Garra salweenica</w:t>
                  </w:r>
                </w:p>
              </w:tc>
            </w:tr>
            <w:tr w14:paraId="04D600A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473DCDE1">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26</w:t>
                  </w:r>
                </w:p>
              </w:tc>
              <w:tc>
                <w:tcPr>
                  <w:tcW w:w="1365" w:type="pct"/>
                  <w:noWrap/>
                  <w:vAlign w:val="center"/>
                </w:tcPr>
                <w:p w14:paraId="3028AB6F">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腾冲墨头鱼</w:t>
                  </w:r>
                </w:p>
              </w:tc>
              <w:tc>
                <w:tcPr>
                  <w:tcW w:w="2796" w:type="pct"/>
                  <w:noWrap/>
                  <w:vAlign w:val="center"/>
                </w:tcPr>
                <w:p w14:paraId="03859390">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Garra tengchongensis</w:t>
                  </w:r>
                </w:p>
              </w:tc>
            </w:tr>
            <w:tr w14:paraId="65F9E58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0" w:hRule="atLeast"/>
                <w:jc w:val="center"/>
              </w:trPr>
              <w:tc>
                <w:tcPr>
                  <w:tcW w:w="837" w:type="pct"/>
                  <w:noWrap/>
                  <w:vAlign w:val="center"/>
                </w:tcPr>
                <w:p w14:paraId="6898F45E">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（九）</w:t>
                  </w:r>
                </w:p>
              </w:tc>
              <w:tc>
                <w:tcPr>
                  <w:tcW w:w="1365" w:type="pct"/>
                  <w:noWrap/>
                  <w:vAlign w:val="center"/>
                </w:tcPr>
                <w:p w14:paraId="48DB023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裂腹鱼亚科</w:t>
                  </w:r>
                </w:p>
              </w:tc>
              <w:tc>
                <w:tcPr>
                  <w:tcW w:w="2796" w:type="pct"/>
                  <w:noWrap/>
                  <w:vAlign w:val="center"/>
                </w:tcPr>
                <w:p w14:paraId="094C605E">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Schizothoracinae</w:t>
                  </w:r>
                </w:p>
              </w:tc>
            </w:tr>
            <w:tr w14:paraId="19703EC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3E4ACB23">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27</w:t>
                  </w:r>
                </w:p>
              </w:tc>
              <w:tc>
                <w:tcPr>
                  <w:tcW w:w="1365" w:type="pct"/>
                  <w:noWrap/>
                  <w:vAlign w:val="center"/>
                </w:tcPr>
                <w:p w14:paraId="2092FF98">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南方裂腹鱼</w:t>
                  </w:r>
                </w:p>
              </w:tc>
              <w:tc>
                <w:tcPr>
                  <w:tcW w:w="2796" w:type="pct"/>
                  <w:noWrap/>
                  <w:vAlign w:val="center"/>
                </w:tcPr>
                <w:p w14:paraId="45F466E5">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Schizothorax meridionalis</w:t>
                  </w:r>
                </w:p>
              </w:tc>
            </w:tr>
            <w:tr w14:paraId="0D8170C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0" w:hRule="atLeast"/>
                <w:jc w:val="center"/>
              </w:trPr>
              <w:tc>
                <w:tcPr>
                  <w:tcW w:w="837" w:type="pct"/>
                  <w:noWrap/>
                  <w:vAlign w:val="center"/>
                </w:tcPr>
                <w:p w14:paraId="29FBEB49">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（十）</w:t>
                  </w:r>
                </w:p>
              </w:tc>
              <w:tc>
                <w:tcPr>
                  <w:tcW w:w="1365" w:type="pct"/>
                  <w:noWrap/>
                  <w:vAlign w:val="center"/>
                </w:tcPr>
                <w:p w14:paraId="5D9E93BE">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鲤亚科</w:t>
                  </w:r>
                </w:p>
              </w:tc>
              <w:tc>
                <w:tcPr>
                  <w:tcW w:w="2796" w:type="pct"/>
                  <w:noWrap/>
                  <w:vAlign w:val="center"/>
                </w:tcPr>
                <w:p w14:paraId="6D86E8D7">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Cyprininae</w:t>
                  </w:r>
                </w:p>
              </w:tc>
            </w:tr>
            <w:tr w14:paraId="49B591B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5108CBCE">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28</w:t>
                  </w:r>
                </w:p>
              </w:tc>
              <w:tc>
                <w:tcPr>
                  <w:tcW w:w="1365" w:type="pct"/>
                  <w:noWrap/>
                  <w:vAlign w:val="center"/>
                </w:tcPr>
                <w:p w14:paraId="2861575B">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鲫</w:t>
                  </w:r>
                </w:p>
              </w:tc>
              <w:tc>
                <w:tcPr>
                  <w:tcW w:w="2796" w:type="pct"/>
                  <w:noWrap/>
                  <w:vAlign w:val="center"/>
                </w:tcPr>
                <w:p w14:paraId="19C8AE9B">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Carassius auratus</w:t>
                  </w:r>
                </w:p>
              </w:tc>
            </w:tr>
            <w:tr w14:paraId="347F4AE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371870DF">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29</w:t>
                  </w:r>
                </w:p>
              </w:tc>
              <w:tc>
                <w:tcPr>
                  <w:tcW w:w="1365" w:type="pct"/>
                  <w:noWrap/>
                  <w:vAlign w:val="center"/>
                </w:tcPr>
                <w:p w14:paraId="35BC0557">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鲤</w:t>
                  </w:r>
                </w:p>
              </w:tc>
              <w:tc>
                <w:tcPr>
                  <w:tcW w:w="2796" w:type="pct"/>
                  <w:noWrap/>
                  <w:vAlign w:val="center"/>
                </w:tcPr>
                <w:p w14:paraId="7090EB2F">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Cyprinus carpio</w:t>
                  </w:r>
                </w:p>
              </w:tc>
            </w:tr>
            <w:tr w14:paraId="523ED75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837" w:type="pct"/>
                  <w:noWrap/>
                  <w:vAlign w:val="center"/>
                </w:tcPr>
                <w:p w14:paraId="142A8121">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val="en-US" w:eastAsia="zh-CN"/>
                    </w:rPr>
                    <w:t>三</w:t>
                  </w:r>
                </w:p>
              </w:tc>
              <w:tc>
                <w:tcPr>
                  <w:tcW w:w="1365" w:type="pct"/>
                  <w:noWrap/>
                  <w:vAlign w:val="center"/>
                </w:tcPr>
                <w:p w14:paraId="1A259B6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鳅科</w:t>
                  </w:r>
                </w:p>
              </w:tc>
              <w:tc>
                <w:tcPr>
                  <w:tcW w:w="2796" w:type="pct"/>
                  <w:noWrap/>
                  <w:vAlign w:val="center"/>
                </w:tcPr>
                <w:p w14:paraId="5F2C3C46">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Cobitidae</w:t>
                  </w:r>
                </w:p>
              </w:tc>
            </w:tr>
            <w:tr w14:paraId="2EE23CA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6A02E646">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30</w:t>
                  </w:r>
                </w:p>
              </w:tc>
              <w:tc>
                <w:tcPr>
                  <w:tcW w:w="1365" w:type="pct"/>
                  <w:noWrap/>
                  <w:vAlign w:val="center"/>
                </w:tcPr>
                <w:p w14:paraId="087BC6BD">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伯氏似鳞头鳅</w:t>
                  </w:r>
                </w:p>
              </w:tc>
              <w:tc>
                <w:tcPr>
                  <w:tcW w:w="2796" w:type="pct"/>
                  <w:noWrap/>
                  <w:vAlign w:val="center"/>
                </w:tcPr>
                <w:p w14:paraId="42A6AA52">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Lepidocephalichthys berdmorei</w:t>
                  </w:r>
                </w:p>
              </w:tc>
            </w:tr>
            <w:tr w14:paraId="5DD27AF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7245E622">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31</w:t>
                  </w:r>
                </w:p>
              </w:tc>
              <w:tc>
                <w:tcPr>
                  <w:tcW w:w="1365" w:type="pct"/>
                  <w:noWrap/>
                  <w:vAlign w:val="center"/>
                </w:tcPr>
                <w:p w14:paraId="30CC7ABE">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赫氏似鳞头鳅</w:t>
                  </w:r>
                </w:p>
              </w:tc>
              <w:tc>
                <w:tcPr>
                  <w:tcW w:w="2796" w:type="pct"/>
                  <w:noWrap/>
                  <w:vAlign w:val="center"/>
                </w:tcPr>
                <w:p w14:paraId="0AAE354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Lepidocephalichthys hasselti</w:t>
                  </w:r>
                </w:p>
              </w:tc>
            </w:tr>
            <w:tr w14:paraId="3474696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265FAFDF">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32</w:t>
                  </w:r>
                </w:p>
              </w:tc>
              <w:tc>
                <w:tcPr>
                  <w:tcW w:w="1365" w:type="pct"/>
                  <w:noWrap/>
                  <w:vAlign w:val="center"/>
                </w:tcPr>
                <w:p w14:paraId="47682D18">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缅甸鳞头鳅</w:t>
                  </w:r>
                </w:p>
              </w:tc>
              <w:tc>
                <w:tcPr>
                  <w:tcW w:w="2796" w:type="pct"/>
                  <w:noWrap/>
                  <w:vAlign w:val="center"/>
                </w:tcPr>
                <w:p w14:paraId="2A882EA8">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Lepidocephalus birmanicus</w:t>
                  </w:r>
                </w:p>
              </w:tc>
            </w:tr>
            <w:tr w14:paraId="6796301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30BE661B">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33</w:t>
                  </w:r>
                </w:p>
              </w:tc>
              <w:tc>
                <w:tcPr>
                  <w:tcW w:w="1365" w:type="pct"/>
                  <w:noWrap/>
                  <w:vAlign w:val="center"/>
                </w:tcPr>
                <w:p w14:paraId="37CA60F0">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泥鳅</w:t>
                  </w:r>
                </w:p>
              </w:tc>
              <w:tc>
                <w:tcPr>
                  <w:tcW w:w="2796" w:type="pct"/>
                  <w:noWrap/>
                  <w:vAlign w:val="center"/>
                </w:tcPr>
                <w:p w14:paraId="57A76607">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Misgurnus anguillicaudatus</w:t>
                  </w:r>
                </w:p>
              </w:tc>
            </w:tr>
            <w:tr w14:paraId="78DABDA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0" w:hRule="atLeast"/>
                <w:jc w:val="center"/>
              </w:trPr>
              <w:tc>
                <w:tcPr>
                  <w:tcW w:w="837" w:type="pct"/>
                  <w:noWrap/>
                  <w:vAlign w:val="center"/>
                </w:tcPr>
                <w:p w14:paraId="408516C8">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fldChar w:fldCharType="begin"/>
                  </w:r>
                  <w:r>
                    <w:rPr>
                      <w:rFonts w:hint="default" w:ascii="Times New Roman" w:hAnsi="Times New Roman" w:eastAsia="宋体" w:cs="Times New Roman"/>
                      <w:b w:val="0"/>
                      <w:bCs w:val="0"/>
                      <w:color w:val="auto"/>
                      <w:sz w:val="21"/>
                      <w:szCs w:val="21"/>
                    </w:rPr>
                    <w:instrText xml:space="preserve"> = 3 \* ROMAN \* MERGEFORMAT </w:instrText>
                  </w:r>
                  <w:r>
                    <w:rPr>
                      <w:rFonts w:hint="default" w:ascii="Times New Roman" w:hAnsi="Times New Roman" w:eastAsia="宋体" w:cs="Times New Roman"/>
                      <w:b w:val="0"/>
                      <w:bCs w:val="0"/>
                      <w:color w:val="auto"/>
                      <w:sz w:val="21"/>
                      <w:szCs w:val="21"/>
                    </w:rPr>
                    <w:fldChar w:fldCharType="separate"/>
                  </w:r>
                  <w:r>
                    <w:rPr>
                      <w:rFonts w:hint="default" w:ascii="Times New Roman" w:hAnsi="Times New Roman" w:eastAsia="宋体" w:cs="Times New Roman"/>
                      <w:b w:val="0"/>
                      <w:bCs w:val="0"/>
                      <w:color w:val="auto"/>
                      <w:sz w:val="21"/>
                      <w:szCs w:val="21"/>
                    </w:rPr>
                    <w:t>III</w:t>
                  </w:r>
                  <w:r>
                    <w:rPr>
                      <w:rFonts w:hint="default" w:ascii="Times New Roman" w:hAnsi="Times New Roman" w:eastAsia="宋体" w:cs="Times New Roman"/>
                      <w:b w:val="0"/>
                      <w:bCs w:val="0"/>
                      <w:color w:val="auto"/>
                      <w:sz w:val="21"/>
                      <w:szCs w:val="21"/>
                    </w:rPr>
                    <w:fldChar w:fldCharType="end"/>
                  </w:r>
                </w:p>
              </w:tc>
              <w:tc>
                <w:tcPr>
                  <w:tcW w:w="1365" w:type="pct"/>
                  <w:noWrap/>
                  <w:vAlign w:val="center"/>
                </w:tcPr>
                <w:p w14:paraId="3248304F">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鲇形目</w:t>
                  </w:r>
                </w:p>
              </w:tc>
              <w:tc>
                <w:tcPr>
                  <w:tcW w:w="2796" w:type="pct"/>
                  <w:noWrap/>
                  <w:vAlign w:val="center"/>
                </w:tcPr>
                <w:p w14:paraId="2532BEC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SILURIFORMES</w:t>
                  </w:r>
                </w:p>
              </w:tc>
            </w:tr>
            <w:tr w14:paraId="1559F5B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837" w:type="pct"/>
                  <w:noWrap/>
                  <w:vAlign w:val="center"/>
                </w:tcPr>
                <w:p w14:paraId="0FAEDDC0">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val="en-US" w:eastAsia="zh-CN"/>
                    </w:rPr>
                    <w:t>四</w:t>
                  </w:r>
                </w:p>
              </w:tc>
              <w:tc>
                <w:tcPr>
                  <w:tcW w:w="1365" w:type="pct"/>
                  <w:noWrap/>
                  <w:vAlign w:val="center"/>
                </w:tcPr>
                <w:p w14:paraId="03146ECF">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胡子鲇科</w:t>
                  </w:r>
                </w:p>
              </w:tc>
              <w:tc>
                <w:tcPr>
                  <w:tcW w:w="2796" w:type="pct"/>
                  <w:noWrap/>
                  <w:vAlign w:val="center"/>
                </w:tcPr>
                <w:p w14:paraId="0DE879DD">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Clariidae</w:t>
                  </w:r>
                </w:p>
              </w:tc>
            </w:tr>
            <w:tr w14:paraId="581CC40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6A0D96B6">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34</w:t>
                  </w:r>
                </w:p>
              </w:tc>
              <w:tc>
                <w:tcPr>
                  <w:tcW w:w="1365" w:type="pct"/>
                  <w:noWrap/>
                  <w:vAlign w:val="center"/>
                </w:tcPr>
                <w:p w14:paraId="23D861B4">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胡子鲇</w:t>
                  </w:r>
                </w:p>
              </w:tc>
              <w:tc>
                <w:tcPr>
                  <w:tcW w:w="2796" w:type="pct"/>
                  <w:noWrap/>
                  <w:vAlign w:val="center"/>
                </w:tcPr>
                <w:p w14:paraId="028AFE75">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Clarias fuscus</w:t>
                  </w:r>
                </w:p>
              </w:tc>
            </w:tr>
            <w:tr w14:paraId="74D909B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837" w:type="pct"/>
                  <w:noWrap/>
                  <w:vAlign w:val="center"/>
                </w:tcPr>
                <w:p w14:paraId="31DA6724">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val="en-US" w:eastAsia="zh-CN"/>
                    </w:rPr>
                    <w:t>五</w:t>
                  </w:r>
                </w:p>
              </w:tc>
              <w:tc>
                <w:tcPr>
                  <w:tcW w:w="1365" w:type="pct"/>
                  <w:noWrap/>
                  <w:vAlign w:val="center"/>
                </w:tcPr>
                <w:p w14:paraId="4B39DAC8">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鲿科</w:t>
                  </w:r>
                </w:p>
              </w:tc>
              <w:tc>
                <w:tcPr>
                  <w:tcW w:w="2796" w:type="pct"/>
                  <w:noWrap/>
                  <w:vAlign w:val="center"/>
                </w:tcPr>
                <w:p w14:paraId="081E93F5">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Bagridae</w:t>
                  </w:r>
                </w:p>
              </w:tc>
            </w:tr>
            <w:tr w14:paraId="656CEA6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59C5A7E5">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35</w:t>
                  </w:r>
                </w:p>
              </w:tc>
              <w:tc>
                <w:tcPr>
                  <w:tcW w:w="1365" w:type="pct"/>
                  <w:noWrap w:val="0"/>
                  <w:vAlign w:val="center"/>
                </w:tcPr>
                <w:p w14:paraId="0D8423A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黄颡鱼</w:t>
                  </w:r>
                </w:p>
              </w:tc>
              <w:tc>
                <w:tcPr>
                  <w:tcW w:w="2796" w:type="pct"/>
                  <w:noWrap/>
                  <w:vAlign w:val="center"/>
                </w:tcPr>
                <w:p w14:paraId="3662A37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Pelteobagrus fulvidraco</w:t>
                  </w:r>
                </w:p>
              </w:tc>
            </w:tr>
            <w:tr w14:paraId="11D7CB9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837" w:type="pct"/>
                  <w:noWrap/>
                  <w:vAlign w:val="center"/>
                </w:tcPr>
                <w:p w14:paraId="2E475202">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val="en-US" w:eastAsia="zh-CN"/>
                    </w:rPr>
                    <w:t>六</w:t>
                  </w:r>
                </w:p>
              </w:tc>
              <w:tc>
                <w:tcPr>
                  <w:tcW w:w="1365" w:type="pct"/>
                  <w:noWrap/>
                  <w:vAlign w:val="center"/>
                </w:tcPr>
                <w:p w14:paraId="4FE9090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鲇科</w:t>
                  </w:r>
                </w:p>
              </w:tc>
              <w:tc>
                <w:tcPr>
                  <w:tcW w:w="2796" w:type="pct"/>
                  <w:noWrap/>
                  <w:vAlign w:val="center"/>
                </w:tcPr>
                <w:p w14:paraId="6E7BB6F5">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Siluridae</w:t>
                  </w:r>
                </w:p>
              </w:tc>
            </w:tr>
            <w:tr w14:paraId="3F84E29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71929C9E">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36</w:t>
                  </w:r>
                </w:p>
              </w:tc>
              <w:tc>
                <w:tcPr>
                  <w:tcW w:w="1365" w:type="pct"/>
                  <w:noWrap/>
                  <w:vAlign w:val="center"/>
                </w:tcPr>
                <w:p w14:paraId="51C5E3D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越南隐鳍鲇</w:t>
                  </w:r>
                </w:p>
              </w:tc>
              <w:tc>
                <w:tcPr>
                  <w:tcW w:w="2796" w:type="pct"/>
                  <w:noWrap/>
                  <w:vAlign w:val="center"/>
                </w:tcPr>
                <w:p w14:paraId="1BC38B68">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Pterocryptis cochinchinensis</w:t>
                  </w:r>
                </w:p>
              </w:tc>
            </w:tr>
            <w:tr w14:paraId="49B87D1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837" w:type="pct"/>
                  <w:noWrap/>
                  <w:vAlign w:val="center"/>
                </w:tcPr>
                <w:p w14:paraId="3B695E3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val="en-US" w:eastAsia="zh-CN"/>
                    </w:rPr>
                    <w:t>七</w:t>
                  </w:r>
                </w:p>
              </w:tc>
              <w:tc>
                <w:tcPr>
                  <w:tcW w:w="1365" w:type="pct"/>
                  <w:noWrap/>
                  <w:vAlign w:val="center"/>
                </w:tcPr>
                <w:p w14:paraId="4388E1ED">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鮡科</w:t>
                  </w:r>
                </w:p>
              </w:tc>
              <w:tc>
                <w:tcPr>
                  <w:tcW w:w="2796" w:type="pct"/>
                  <w:noWrap/>
                  <w:vAlign w:val="center"/>
                </w:tcPr>
                <w:p w14:paraId="672CF00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Sisoridae</w:t>
                  </w:r>
                </w:p>
              </w:tc>
            </w:tr>
            <w:tr w14:paraId="114C05A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6F38E3D2">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37</w:t>
                  </w:r>
                </w:p>
              </w:tc>
              <w:tc>
                <w:tcPr>
                  <w:tcW w:w="1365" w:type="pct"/>
                  <w:noWrap/>
                  <w:vAlign w:val="center"/>
                </w:tcPr>
                <w:p w14:paraId="0399EC0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缅甸纹胸鮡</w:t>
                  </w:r>
                </w:p>
              </w:tc>
              <w:tc>
                <w:tcPr>
                  <w:tcW w:w="2796" w:type="pct"/>
                  <w:noWrap/>
                  <w:vAlign w:val="center"/>
                </w:tcPr>
                <w:p w14:paraId="61CA87D9">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Glyptothorax burmanicus</w:t>
                  </w:r>
                </w:p>
              </w:tc>
            </w:tr>
            <w:tr w14:paraId="234B130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56F062C6">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38</w:t>
                  </w:r>
                </w:p>
              </w:tc>
              <w:tc>
                <w:tcPr>
                  <w:tcW w:w="1365" w:type="pct"/>
                  <w:noWrap/>
                  <w:vAlign w:val="center"/>
                </w:tcPr>
                <w:p w14:paraId="49B62DD8">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龙江纹胸鮡</w:t>
                  </w:r>
                </w:p>
              </w:tc>
              <w:tc>
                <w:tcPr>
                  <w:tcW w:w="2796" w:type="pct"/>
                  <w:noWrap/>
                  <w:vAlign w:val="center"/>
                </w:tcPr>
                <w:p w14:paraId="43DC0807">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Glyptothorax longjiangensis</w:t>
                  </w:r>
                </w:p>
              </w:tc>
            </w:tr>
            <w:tr w14:paraId="326D016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6F8526D7">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39</w:t>
                  </w:r>
                </w:p>
              </w:tc>
              <w:tc>
                <w:tcPr>
                  <w:tcW w:w="1365" w:type="pct"/>
                  <w:noWrap/>
                  <w:vAlign w:val="center"/>
                </w:tcPr>
                <w:p w14:paraId="356D8805">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细斑纹胸鮡</w:t>
                  </w:r>
                </w:p>
              </w:tc>
              <w:tc>
                <w:tcPr>
                  <w:tcW w:w="2796" w:type="pct"/>
                  <w:noWrap/>
                  <w:vAlign w:val="center"/>
                </w:tcPr>
                <w:p w14:paraId="5D0ADA90">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Glyptothorax minimaculatus</w:t>
                  </w:r>
                </w:p>
              </w:tc>
            </w:tr>
            <w:tr w14:paraId="134F7B6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214A486F">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40</w:t>
                  </w:r>
                </w:p>
              </w:tc>
              <w:tc>
                <w:tcPr>
                  <w:tcW w:w="1365" w:type="pct"/>
                  <w:noWrap/>
                  <w:vAlign w:val="center"/>
                </w:tcPr>
                <w:p w14:paraId="04A023CF">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三线纹胸鮡</w:t>
                  </w:r>
                </w:p>
              </w:tc>
              <w:tc>
                <w:tcPr>
                  <w:tcW w:w="2796" w:type="pct"/>
                  <w:noWrap/>
                  <w:vAlign w:val="center"/>
                </w:tcPr>
                <w:p w14:paraId="27657474">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Glyptothorax trilineatus</w:t>
                  </w:r>
                </w:p>
              </w:tc>
            </w:tr>
            <w:tr w14:paraId="599E43F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3DF883D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41</w:t>
                  </w:r>
                </w:p>
              </w:tc>
              <w:tc>
                <w:tcPr>
                  <w:tcW w:w="1365" w:type="pct"/>
                  <w:noWrap/>
                  <w:vAlign w:val="center"/>
                </w:tcPr>
                <w:p w14:paraId="06D85CEB">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细尾褶鮡</w:t>
                  </w:r>
                </w:p>
              </w:tc>
              <w:tc>
                <w:tcPr>
                  <w:tcW w:w="2796" w:type="pct"/>
                  <w:noWrap/>
                  <w:vAlign w:val="center"/>
                </w:tcPr>
                <w:p w14:paraId="1DA45DF9">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Pseudecheneis stenura</w:t>
                  </w:r>
                </w:p>
              </w:tc>
            </w:tr>
            <w:tr w14:paraId="2D7ECDE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05AE66DD">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42</w:t>
                  </w:r>
                </w:p>
              </w:tc>
              <w:tc>
                <w:tcPr>
                  <w:tcW w:w="1365" w:type="pct"/>
                  <w:noWrap/>
                  <w:vAlign w:val="center"/>
                </w:tcPr>
                <w:p w14:paraId="0505B9F6">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粗尾褶鮡</w:t>
                  </w:r>
                </w:p>
              </w:tc>
              <w:tc>
                <w:tcPr>
                  <w:tcW w:w="2796" w:type="pct"/>
                  <w:noWrap/>
                  <w:vAlign w:val="center"/>
                </w:tcPr>
                <w:p w14:paraId="6528C641">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Pseudecheneis brachyurus</w:t>
                  </w:r>
                </w:p>
              </w:tc>
            </w:tr>
            <w:tr w14:paraId="515FDFC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65546E1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43</w:t>
                  </w:r>
                </w:p>
              </w:tc>
              <w:tc>
                <w:tcPr>
                  <w:tcW w:w="1365" w:type="pct"/>
                  <w:noWrap/>
                  <w:vAlign w:val="center"/>
                </w:tcPr>
                <w:p w14:paraId="5DDA2176">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短鳍异鮡</w:t>
                  </w:r>
                </w:p>
              </w:tc>
              <w:tc>
                <w:tcPr>
                  <w:tcW w:w="2796" w:type="pct"/>
                  <w:noWrap/>
                  <w:vAlign w:val="center"/>
                </w:tcPr>
                <w:p w14:paraId="267D19F4">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Creteuchiloglanis brachypterus</w:t>
                  </w:r>
                </w:p>
              </w:tc>
            </w:tr>
            <w:tr w14:paraId="446F9F3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2C2499F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44</w:t>
                  </w:r>
                </w:p>
              </w:tc>
              <w:tc>
                <w:tcPr>
                  <w:tcW w:w="1365" w:type="pct"/>
                  <w:noWrap/>
                  <w:vAlign w:val="center"/>
                </w:tcPr>
                <w:p w14:paraId="758461D3">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凿齿鮡</w:t>
                  </w:r>
                </w:p>
              </w:tc>
              <w:tc>
                <w:tcPr>
                  <w:tcW w:w="2796" w:type="pct"/>
                  <w:noWrap/>
                  <w:vAlign w:val="center"/>
                </w:tcPr>
                <w:p w14:paraId="7E5316CF">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Glaridoglanis andersonii</w:t>
                  </w:r>
                </w:p>
              </w:tc>
            </w:tr>
            <w:tr w14:paraId="32EF5A5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33585B24">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45</w:t>
                  </w:r>
                </w:p>
              </w:tc>
              <w:tc>
                <w:tcPr>
                  <w:tcW w:w="1365" w:type="pct"/>
                  <w:noWrap/>
                  <w:vAlign w:val="center"/>
                </w:tcPr>
                <w:p w14:paraId="3A3C325B">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藏鰋</w:t>
                  </w:r>
                </w:p>
              </w:tc>
              <w:tc>
                <w:tcPr>
                  <w:tcW w:w="2796" w:type="pct"/>
                  <w:noWrap/>
                  <w:vAlign w:val="center"/>
                </w:tcPr>
                <w:p w14:paraId="364C1732">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Exostoma labiatum</w:t>
                  </w:r>
                </w:p>
              </w:tc>
            </w:tr>
            <w:tr w14:paraId="1E68B5B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0" w:hRule="atLeast"/>
                <w:jc w:val="center"/>
              </w:trPr>
              <w:tc>
                <w:tcPr>
                  <w:tcW w:w="837" w:type="pct"/>
                  <w:noWrap/>
                  <w:vAlign w:val="center"/>
                </w:tcPr>
                <w:p w14:paraId="31DC71C4">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fldChar w:fldCharType="begin"/>
                  </w:r>
                  <w:r>
                    <w:rPr>
                      <w:rFonts w:hint="default" w:ascii="Times New Roman" w:hAnsi="Times New Roman" w:eastAsia="宋体" w:cs="Times New Roman"/>
                      <w:b w:val="0"/>
                      <w:bCs w:val="0"/>
                      <w:color w:val="auto"/>
                      <w:sz w:val="21"/>
                      <w:szCs w:val="21"/>
                    </w:rPr>
                    <w:instrText xml:space="preserve"> = 4 \* ROMAN \* MERGEFORMAT </w:instrText>
                  </w:r>
                  <w:r>
                    <w:rPr>
                      <w:rFonts w:hint="default" w:ascii="Times New Roman" w:hAnsi="Times New Roman" w:eastAsia="宋体" w:cs="Times New Roman"/>
                      <w:b w:val="0"/>
                      <w:bCs w:val="0"/>
                      <w:color w:val="auto"/>
                      <w:sz w:val="21"/>
                      <w:szCs w:val="21"/>
                    </w:rPr>
                    <w:fldChar w:fldCharType="separate"/>
                  </w:r>
                  <w:r>
                    <w:rPr>
                      <w:rFonts w:hint="default" w:ascii="Times New Roman" w:hAnsi="Times New Roman" w:eastAsia="宋体" w:cs="Times New Roman"/>
                      <w:b w:val="0"/>
                      <w:bCs w:val="0"/>
                      <w:color w:val="auto"/>
                      <w:sz w:val="21"/>
                      <w:szCs w:val="21"/>
                    </w:rPr>
                    <w:t>IV</w:t>
                  </w:r>
                  <w:r>
                    <w:rPr>
                      <w:rFonts w:hint="default" w:ascii="Times New Roman" w:hAnsi="Times New Roman" w:eastAsia="宋体" w:cs="Times New Roman"/>
                      <w:b w:val="0"/>
                      <w:bCs w:val="0"/>
                      <w:color w:val="auto"/>
                      <w:sz w:val="21"/>
                      <w:szCs w:val="21"/>
                    </w:rPr>
                    <w:fldChar w:fldCharType="end"/>
                  </w:r>
                </w:p>
              </w:tc>
              <w:tc>
                <w:tcPr>
                  <w:tcW w:w="1365" w:type="pct"/>
                  <w:noWrap/>
                  <w:vAlign w:val="center"/>
                </w:tcPr>
                <w:p w14:paraId="7691396D">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合鳃鱼目</w:t>
                  </w:r>
                </w:p>
              </w:tc>
              <w:tc>
                <w:tcPr>
                  <w:tcW w:w="2796" w:type="pct"/>
                  <w:noWrap/>
                  <w:vAlign w:val="center"/>
                </w:tcPr>
                <w:p w14:paraId="44C545C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SYNBRANCHIFORMES</w:t>
                  </w:r>
                </w:p>
              </w:tc>
            </w:tr>
            <w:tr w14:paraId="430F424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837" w:type="pct"/>
                  <w:noWrap/>
                  <w:vAlign w:val="center"/>
                </w:tcPr>
                <w:p w14:paraId="0F502E70">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val="en-US" w:eastAsia="zh-CN"/>
                    </w:rPr>
                    <w:t>八</w:t>
                  </w:r>
                </w:p>
              </w:tc>
              <w:tc>
                <w:tcPr>
                  <w:tcW w:w="1365" w:type="pct"/>
                  <w:noWrap/>
                  <w:vAlign w:val="center"/>
                </w:tcPr>
                <w:p w14:paraId="045EDDE5">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合鳃鱼科</w:t>
                  </w:r>
                </w:p>
              </w:tc>
              <w:tc>
                <w:tcPr>
                  <w:tcW w:w="2796" w:type="pct"/>
                  <w:noWrap/>
                  <w:vAlign w:val="center"/>
                </w:tcPr>
                <w:p w14:paraId="495176FE">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Synbranchidae</w:t>
                  </w:r>
                </w:p>
              </w:tc>
            </w:tr>
            <w:tr w14:paraId="12EACE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2F4A5F1B">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46</w:t>
                  </w:r>
                </w:p>
              </w:tc>
              <w:tc>
                <w:tcPr>
                  <w:tcW w:w="1365" w:type="pct"/>
                  <w:noWrap/>
                  <w:vAlign w:val="center"/>
                </w:tcPr>
                <w:p w14:paraId="32F22896">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黄鳝</w:t>
                  </w:r>
                </w:p>
              </w:tc>
              <w:tc>
                <w:tcPr>
                  <w:tcW w:w="2796" w:type="pct"/>
                  <w:noWrap/>
                  <w:vAlign w:val="center"/>
                </w:tcPr>
                <w:p w14:paraId="58CD6E35">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Monopterus albus</w:t>
                  </w:r>
                </w:p>
              </w:tc>
            </w:tr>
            <w:tr w14:paraId="75941E7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837" w:type="pct"/>
                  <w:noWrap/>
                  <w:vAlign w:val="center"/>
                </w:tcPr>
                <w:p w14:paraId="6C369BF1">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九</w:t>
                  </w:r>
                </w:p>
              </w:tc>
              <w:tc>
                <w:tcPr>
                  <w:tcW w:w="1365" w:type="pct"/>
                  <w:noWrap/>
                  <w:vAlign w:val="center"/>
                </w:tcPr>
                <w:p w14:paraId="02A80D8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刺鳅科</w:t>
                  </w:r>
                </w:p>
              </w:tc>
              <w:tc>
                <w:tcPr>
                  <w:tcW w:w="2796" w:type="pct"/>
                  <w:noWrap/>
                  <w:vAlign w:val="center"/>
                </w:tcPr>
                <w:p w14:paraId="2D16BFAB">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Mastacembelidae</w:t>
                  </w:r>
                </w:p>
              </w:tc>
            </w:tr>
            <w:tr w14:paraId="7CA8373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039BF962">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47</w:t>
                  </w:r>
                </w:p>
              </w:tc>
              <w:tc>
                <w:tcPr>
                  <w:tcW w:w="1365" w:type="pct"/>
                  <w:noWrap/>
                  <w:vAlign w:val="center"/>
                </w:tcPr>
                <w:p w14:paraId="71AF1A06">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云斑刺鳅</w:t>
                  </w:r>
                </w:p>
              </w:tc>
              <w:tc>
                <w:tcPr>
                  <w:tcW w:w="2796" w:type="pct"/>
                  <w:noWrap/>
                  <w:vAlign w:val="center"/>
                </w:tcPr>
                <w:p w14:paraId="5876E53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Mastacembelus oatesii</w:t>
                  </w:r>
                </w:p>
              </w:tc>
            </w:tr>
            <w:tr w14:paraId="14D1D67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39C4D093">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48</w:t>
                  </w:r>
                </w:p>
              </w:tc>
              <w:tc>
                <w:tcPr>
                  <w:tcW w:w="1365" w:type="pct"/>
                  <w:noWrap/>
                  <w:vAlign w:val="center"/>
                </w:tcPr>
                <w:p w14:paraId="08799769">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大刺鳅</w:t>
                  </w:r>
                </w:p>
              </w:tc>
              <w:tc>
                <w:tcPr>
                  <w:tcW w:w="2796" w:type="pct"/>
                  <w:noWrap/>
                  <w:vAlign w:val="center"/>
                </w:tcPr>
                <w:p w14:paraId="3146535D">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Mastacembelus armatus</w:t>
                  </w:r>
                </w:p>
              </w:tc>
            </w:tr>
            <w:tr w14:paraId="408D974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0" w:hRule="atLeast"/>
                <w:jc w:val="center"/>
              </w:trPr>
              <w:tc>
                <w:tcPr>
                  <w:tcW w:w="837" w:type="pct"/>
                  <w:noWrap/>
                  <w:vAlign w:val="center"/>
                </w:tcPr>
                <w:p w14:paraId="1DC2983E">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fldChar w:fldCharType="begin"/>
                  </w:r>
                  <w:r>
                    <w:rPr>
                      <w:rFonts w:hint="default" w:ascii="Times New Roman" w:hAnsi="Times New Roman" w:eastAsia="宋体" w:cs="Times New Roman"/>
                      <w:b w:val="0"/>
                      <w:bCs w:val="0"/>
                      <w:color w:val="auto"/>
                      <w:sz w:val="21"/>
                      <w:szCs w:val="21"/>
                    </w:rPr>
                    <w:instrText xml:space="preserve"> = 5 \* ROMAN \* MERGEFORMAT </w:instrText>
                  </w:r>
                  <w:r>
                    <w:rPr>
                      <w:rFonts w:hint="default" w:ascii="Times New Roman" w:hAnsi="Times New Roman" w:eastAsia="宋体" w:cs="Times New Roman"/>
                      <w:b w:val="0"/>
                      <w:bCs w:val="0"/>
                      <w:color w:val="auto"/>
                      <w:sz w:val="21"/>
                      <w:szCs w:val="21"/>
                    </w:rPr>
                    <w:fldChar w:fldCharType="separate"/>
                  </w:r>
                  <w:r>
                    <w:rPr>
                      <w:rFonts w:hint="default" w:ascii="Times New Roman" w:hAnsi="Times New Roman" w:eastAsia="宋体" w:cs="Times New Roman"/>
                      <w:b w:val="0"/>
                      <w:bCs w:val="0"/>
                      <w:color w:val="auto"/>
                      <w:sz w:val="21"/>
                      <w:szCs w:val="21"/>
                    </w:rPr>
                    <w:t>V</w:t>
                  </w:r>
                  <w:r>
                    <w:rPr>
                      <w:rFonts w:hint="default" w:ascii="Times New Roman" w:hAnsi="Times New Roman" w:eastAsia="宋体" w:cs="Times New Roman"/>
                      <w:b w:val="0"/>
                      <w:bCs w:val="0"/>
                      <w:color w:val="auto"/>
                      <w:sz w:val="21"/>
                      <w:szCs w:val="21"/>
                    </w:rPr>
                    <w:fldChar w:fldCharType="end"/>
                  </w:r>
                </w:p>
              </w:tc>
              <w:tc>
                <w:tcPr>
                  <w:tcW w:w="1365" w:type="pct"/>
                  <w:noWrap/>
                  <w:vAlign w:val="center"/>
                </w:tcPr>
                <w:p w14:paraId="3CF0F8B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鲈形目</w:t>
                  </w:r>
                </w:p>
              </w:tc>
              <w:tc>
                <w:tcPr>
                  <w:tcW w:w="2796" w:type="pct"/>
                  <w:noWrap/>
                  <w:vAlign w:val="center"/>
                </w:tcPr>
                <w:p w14:paraId="61F24D62">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PERCIFORMES</w:t>
                  </w:r>
                </w:p>
              </w:tc>
            </w:tr>
            <w:tr w14:paraId="47AF96E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837" w:type="pct"/>
                  <w:noWrap/>
                  <w:vAlign w:val="center"/>
                </w:tcPr>
                <w:p w14:paraId="10916F60">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十</w:t>
                  </w:r>
                </w:p>
              </w:tc>
              <w:tc>
                <w:tcPr>
                  <w:tcW w:w="1365" w:type="pct"/>
                  <w:noWrap/>
                  <w:vAlign w:val="center"/>
                </w:tcPr>
                <w:p w14:paraId="5F3839ED">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变色鲈科</w:t>
                  </w:r>
                </w:p>
              </w:tc>
              <w:tc>
                <w:tcPr>
                  <w:tcW w:w="2796" w:type="pct"/>
                  <w:noWrap/>
                  <w:vAlign w:val="center"/>
                </w:tcPr>
                <w:p w14:paraId="68AB9952">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Badidae</w:t>
                  </w:r>
                </w:p>
              </w:tc>
            </w:tr>
            <w:tr w14:paraId="4CF8590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2874C075">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49</w:t>
                  </w:r>
                </w:p>
              </w:tc>
              <w:tc>
                <w:tcPr>
                  <w:tcW w:w="1365" w:type="pct"/>
                  <w:noWrap/>
                  <w:vAlign w:val="center"/>
                </w:tcPr>
                <w:p w14:paraId="4AD97BB9">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大盈江黛鲈</w:t>
                  </w:r>
                </w:p>
              </w:tc>
              <w:tc>
                <w:tcPr>
                  <w:tcW w:w="2796" w:type="pct"/>
                  <w:noWrap/>
                  <w:vAlign w:val="center"/>
                </w:tcPr>
                <w:p w14:paraId="5621F927">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Dario dayingensis</w:t>
                  </w:r>
                </w:p>
              </w:tc>
            </w:tr>
            <w:tr w14:paraId="2676A3E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837" w:type="pct"/>
                  <w:noWrap/>
                  <w:vAlign w:val="center"/>
                </w:tcPr>
                <w:p w14:paraId="380B523D">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rPr>
                    <w:t>十</w:t>
                  </w:r>
                  <w:r>
                    <w:rPr>
                      <w:rFonts w:hint="default" w:ascii="Times New Roman" w:hAnsi="Times New Roman" w:eastAsia="宋体" w:cs="Times New Roman"/>
                      <w:b w:val="0"/>
                      <w:bCs w:val="0"/>
                      <w:color w:val="auto"/>
                      <w:sz w:val="21"/>
                      <w:szCs w:val="21"/>
                      <w:lang w:val="en-US" w:eastAsia="zh-CN"/>
                    </w:rPr>
                    <w:t>一</w:t>
                  </w:r>
                </w:p>
              </w:tc>
              <w:tc>
                <w:tcPr>
                  <w:tcW w:w="1365" w:type="pct"/>
                  <w:noWrap/>
                  <w:vAlign w:val="center"/>
                </w:tcPr>
                <w:p w14:paraId="6BD10478">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丽鱼科</w:t>
                  </w:r>
                </w:p>
              </w:tc>
              <w:tc>
                <w:tcPr>
                  <w:tcW w:w="2796" w:type="pct"/>
                  <w:noWrap w:val="0"/>
                  <w:vAlign w:val="center"/>
                </w:tcPr>
                <w:p w14:paraId="1CB75DD0">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Cichlidae</w:t>
                  </w:r>
                </w:p>
              </w:tc>
            </w:tr>
            <w:tr w14:paraId="49B771B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5776C4E2">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50</w:t>
                  </w:r>
                </w:p>
              </w:tc>
              <w:tc>
                <w:tcPr>
                  <w:tcW w:w="1365" w:type="pct"/>
                  <w:noWrap w:val="0"/>
                  <w:vAlign w:val="center"/>
                </w:tcPr>
                <w:p w14:paraId="46F71129">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奥利亚罗非鱼</w:t>
                  </w:r>
                </w:p>
              </w:tc>
              <w:tc>
                <w:tcPr>
                  <w:tcW w:w="2796" w:type="pct"/>
                  <w:noWrap w:val="0"/>
                  <w:vAlign w:val="center"/>
                </w:tcPr>
                <w:p w14:paraId="056823DE">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Tilapia aureus</w:t>
                  </w:r>
                </w:p>
              </w:tc>
            </w:tr>
            <w:tr w14:paraId="779965E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837" w:type="pct"/>
                  <w:noWrap/>
                  <w:vAlign w:val="center"/>
                </w:tcPr>
                <w:p w14:paraId="532A1FC0">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rPr>
                    <w:t>十</w:t>
                  </w:r>
                  <w:r>
                    <w:rPr>
                      <w:rFonts w:hint="default" w:ascii="Times New Roman" w:hAnsi="Times New Roman" w:eastAsia="宋体" w:cs="Times New Roman"/>
                      <w:b w:val="0"/>
                      <w:bCs w:val="0"/>
                      <w:color w:val="auto"/>
                      <w:sz w:val="21"/>
                      <w:szCs w:val="21"/>
                      <w:lang w:val="en-US" w:eastAsia="zh-CN"/>
                    </w:rPr>
                    <w:t>二</w:t>
                  </w:r>
                </w:p>
              </w:tc>
              <w:tc>
                <w:tcPr>
                  <w:tcW w:w="1365" w:type="pct"/>
                  <w:noWrap/>
                  <w:vAlign w:val="center"/>
                </w:tcPr>
                <w:p w14:paraId="3294BB7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鳢科</w:t>
                  </w:r>
                </w:p>
              </w:tc>
              <w:tc>
                <w:tcPr>
                  <w:tcW w:w="2796" w:type="pct"/>
                  <w:noWrap/>
                  <w:vAlign w:val="center"/>
                </w:tcPr>
                <w:p w14:paraId="2E866C5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Channidae</w:t>
                  </w:r>
                </w:p>
              </w:tc>
            </w:tr>
            <w:tr w14:paraId="50F82D5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1A79BBBE">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51</w:t>
                  </w:r>
                </w:p>
              </w:tc>
              <w:tc>
                <w:tcPr>
                  <w:tcW w:w="1365" w:type="pct"/>
                  <w:noWrap/>
                  <w:vAlign w:val="center"/>
                </w:tcPr>
                <w:p w14:paraId="739ED284">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宽额鳢</w:t>
                  </w:r>
                </w:p>
              </w:tc>
              <w:tc>
                <w:tcPr>
                  <w:tcW w:w="2796" w:type="pct"/>
                  <w:noWrap/>
                  <w:vAlign w:val="center"/>
                </w:tcPr>
                <w:p w14:paraId="6F709BB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Channa gachua</w:t>
                  </w:r>
                </w:p>
              </w:tc>
            </w:tr>
            <w:tr w14:paraId="47717B0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837" w:type="pct"/>
                  <w:noWrap/>
                  <w:vAlign w:val="center"/>
                </w:tcPr>
                <w:p w14:paraId="7C245C7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rPr>
                    <w:t>十</w:t>
                  </w:r>
                  <w:r>
                    <w:rPr>
                      <w:rFonts w:hint="default" w:ascii="Times New Roman" w:hAnsi="Times New Roman" w:eastAsia="宋体" w:cs="Times New Roman"/>
                      <w:b w:val="0"/>
                      <w:bCs w:val="0"/>
                      <w:color w:val="auto"/>
                      <w:sz w:val="21"/>
                      <w:szCs w:val="21"/>
                      <w:lang w:val="en-US" w:eastAsia="zh-CN"/>
                    </w:rPr>
                    <w:t>三</w:t>
                  </w:r>
                </w:p>
              </w:tc>
              <w:tc>
                <w:tcPr>
                  <w:tcW w:w="1365" w:type="pct"/>
                  <w:noWrap/>
                  <w:vAlign w:val="center"/>
                </w:tcPr>
                <w:p w14:paraId="7E73FED1">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沙塘鳢科</w:t>
                  </w:r>
                </w:p>
              </w:tc>
              <w:tc>
                <w:tcPr>
                  <w:tcW w:w="2796" w:type="pct"/>
                  <w:noWrap/>
                  <w:vAlign w:val="center"/>
                </w:tcPr>
                <w:p w14:paraId="660AE87D">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Odontobutidae</w:t>
                  </w:r>
                </w:p>
              </w:tc>
            </w:tr>
            <w:tr w14:paraId="0004812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28620CFF">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52</w:t>
                  </w:r>
                </w:p>
              </w:tc>
              <w:tc>
                <w:tcPr>
                  <w:tcW w:w="1365" w:type="pct"/>
                  <w:noWrap/>
                  <w:vAlign w:val="center"/>
                </w:tcPr>
                <w:p w14:paraId="30B61630">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小黄䱂鱼</w:t>
                  </w:r>
                </w:p>
              </w:tc>
              <w:tc>
                <w:tcPr>
                  <w:tcW w:w="2796" w:type="pct"/>
                  <w:noWrap/>
                  <w:vAlign w:val="center"/>
                </w:tcPr>
                <w:p w14:paraId="3DCC8BF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Micropercops swinhonis</w:t>
                  </w:r>
                </w:p>
              </w:tc>
            </w:tr>
            <w:tr w14:paraId="5B61046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837" w:type="pct"/>
                  <w:noWrap/>
                  <w:vAlign w:val="center"/>
                </w:tcPr>
                <w:p w14:paraId="06F43BBB">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rPr>
                    <w:t>十</w:t>
                  </w:r>
                  <w:r>
                    <w:rPr>
                      <w:rFonts w:hint="default" w:ascii="Times New Roman" w:hAnsi="Times New Roman" w:eastAsia="宋体" w:cs="Times New Roman"/>
                      <w:b w:val="0"/>
                      <w:bCs w:val="0"/>
                      <w:color w:val="auto"/>
                      <w:sz w:val="21"/>
                      <w:szCs w:val="21"/>
                      <w:lang w:val="en-US" w:eastAsia="zh-CN"/>
                    </w:rPr>
                    <w:t>四</w:t>
                  </w:r>
                </w:p>
              </w:tc>
              <w:tc>
                <w:tcPr>
                  <w:tcW w:w="1365" w:type="pct"/>
                  <w:noWrap/>
                  <w:vAlign w:val="center"/>
                </w:tcPr>
                <w:p w14:paraId="674E4570">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鰕虎鱼科</w:t>
                  </w:r>
                </w:p>
              </w:tc>
              <w:tc>
                <w:tcPr>
                  <w:tcW w:w="2796" w:type="pct"/>
                  <w:noWrap w:val="0"/>
                  <w:vAlign w:val="center"/>
                </w:tcPr>
                <w:p w14:paraId="267211E4">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Gobiidae</w:t>
                  </w:r>
                </w:p>
              </w:tc>
            </w:tr>
            <w:tr w14:paraId="6EE8F2D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837" w:type="pct"/>
                  <w:noWrap/>
                  <w:vAlign w:val="center"/>
                </w:tcPr>
                <w:p w14:paraId="540D0EE6">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53</w:t>
                  </w:r>
                </w:p>
              </w:tc>
              <w:tc>
                <w:tcPr>
                  <w:tcW w:w="1365" w:type="pct"/>
                  <w:noWrap w:val="0"/>
                  <w:vAlign w:val="center"/>
                </w:tcPr>
                <w:p w14:paraId="74CE909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子陵吻鰕虎鱼</w:t>
                  </w:r>
                </w:p>
              </w:tc>
              <w:tc>
                <w:tcPr>
                  <w:tcW w:w="2796" w:type="pct"/>
                  <w:noWrap w:val="0"/>
                  <w:vAlign w:val="center"/>
                </w:tcPr>
                <w:p w14:paraId="6043F590">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Rhinogobius giurinus</w:t>
                  </w:r>
                </w:p>
              </w:tc>
            </w:tr>
          </w:tbl>
          <w:p w14:paraId="0A4B35AD">
            <w:pPr>
              <w:bidi w:val="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本项目治理段</w:t>
            </w:r>
            <w:r>
              <w:rPr>
                <w:rFonts w:hint="default" w:ascii="Times New Roman" w:hAnsi="Times New Roman" w:eastAsia="宋体" w:cs="Times New Roman"/>
                <w:color w:val="auto"/>
              </w:rPr>
              <w:t>鱼类主要为急流和流水生态类型，评价</w:t>
            </w:r>
            <w:r>
              <w:rPr>
                <w:rFonts w:hint="default" w:ascii="Times New Roman" w:hAnsi="Times New Roman" w:eastAsia="宋体" w:cs="Times New Roman"/>
                <w:color w:val="auto"/>
                <w:lang w:val="en-US" w:eastAsia="zh-CN"/>
              </w:rPr>
              <w:t>河</w:t>
            </w:r>
            <w:r>
              <w:rPr>
                <w:rFonts w:hint="default" w:ascii="Times New Roman" w:hAnsi="Times New Roman" w:eastAsia="宋体" w:cs="Times New Roman"/>
                <w:color w:val="auto"/>
              </w:rPr>
              <w:t>段有良好的流水生境，基底完整，水质较优良，开发程度低，分布的鱼类主要为刮食性、底栖食性的种类。产卵类型多为产粘性和沉性卵的种类，繁殖季节为2～9月，主要繁殖时间为3～7月。</w:t>
            </w:r>
          </w:p>
          <w:p w14:paraId="6066E1D4">
            <w:pPr>
              <w:adjustRightInd w:val="0"/>
              <w:snapToGrid w:val="0"/>
              <w:spacing w:line="360" w:lineRule="auto"/>
              <w:ind w:firstLine="482" w:firstLineChars="200"/>
              <w:rPr>
                <w:rFonts w:hint="default" w:ascii="Times New Roman" w:hAnsi="Times New Roman" w:eastAsia="宋体" w:cs="Times New Roman"/>
                <w:b/>
                <w:color w:val="auto"/>
                <w:kern w:val="0"/>
                <w:sz w:val="24"/>
              </w:rPr>
            </w:pPr>
            <w:r>
              <w:rPr>
                <w:rFonts w:hint="eastAsia" w:ascii="Times New Roman" w:hAnsi="Times New Roman" w:cs="Times New Roman"/>
                <w:b/>
                <w:color w:val="auto"/>
                <w:kern w:val="0"/>
                <w:sz w:val="24"/>
                <w:lang w:val="en-US" w:eastAsia="zh-CN"/>
              </w:rPr>
              <w:t>5</w:t>
            </w:r>
            <w:r>
              <w:rPr>
                <w:rFonts w:hint="default" w:ascii="Times New Roman" w:hAnsi="Times New Roman" w:eastAsia="宋体" w:cs="Times New Roman"/>
                <w:b/>
                <w:color w:val="auto"/>
                <w:kern w:val="0"/>
                <w:sz w:val="24"/>
                <w:lang w:eastAsia="zh-CN"/>
              </w:rPr>
              <w:t>）</w:t>
            </w:r>
            <w:r>
              <w:rPr>
                <w:rFonts w:hint="default" w:ascii="Times New Roman" w:hAnsi="Times New Roman" w:eastAsia="宋体" w:cs="Times New Roman"/>
                <w:b/>
                <w:color w:val="auto"/>
                <w:kern w:val="0"/>
                <w:sz w:val="24"/>
              </w:rPr>
              <w:t>珍稀特有鱼类</w:t>
            </w:r>
          </w:p>
          <w:p w14:paraId="69A10CAA">
            <w:pPr>
              <w:spacing w:line="360" w:lineRule="auto"/>
              <w:ind w:firstLine="480" w:firstLineChars="200"/>
              <w:rPr>
                <w:rFonts w:hint="default" w:ascii="Times New Roman" w:hAnsi="Times New Roman" w:eastAsia="宋体" w:cs="Times New Roman"/>
                <w:caps w:val="0"/>
                <w:smallCaps w:val="0"/>
                <w:color w:val="auto"/>
                <w:sz w:val="24"/>
                <w:szCs w:val="24"/>
                <w:lang w:eastAsia="zh-CN"/>
              </w:rPr>
            </w:pPr>
            <w:r>
              <w:rPr>
                <w:rFonts w:hint="default" w:ascii="Times New Roman" w:hAnsi="Times New Roman" w:eastAsia="宋体" w:cs="Times New Roman"/>
                <w:color w:val="auto"/>
                <w:lang w:val="en-US" w:eastAsia="zh-CN"/>
              </w:rPr>
              <w:t>本项目治理段</w:t>
            </w:r>
            <w:r>
              <w:rPr>
                <w:rFonts w:hint="default" w:ascii="Times New Roman" w:hAnsi="Times New Roman" w:eastAsia="宋体" w:cs="Times New Roman"/>
                <w:color w:val="auto"/>
                <w:kern w:val="0"/>
                <w:sz w:val="24"/>
              </w:rPr>
              <w:t>无国家级及云南省级保护鱼类分布</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aps w:val="0"/>
                <w:smallCaps w:val="0"/>
                <w:color w:val="auto"/>
                <w:sz w:val="24"/>
                <w:szCs w:val="24"/>
              </w:rPr>
              <w:t>无洄游性鱼类</w:t>
            </w:r>
            <w:r>
              <w:rPr>
                <w:rFonts w:hint="default" w:ascii="Times New Roman" w:hAnsi="Times New Roman" w:eastAsia="宋体" w:cs="Times New Roman"/>
                <w:caps w:val="0"/>
                <w:smallCaps w:val="0"/>
                <w:color w:val="auto"/>
                <w:sz w:val="24"/>
                <w:szCs w:val="24"/>
                <w:lang w:eastAsia="zh-CN"/>
              </w:rPr>
              <w:t>。</w:t>
            </w:r>
          </w:p>
          <w:p w14:paraId="01FCA53D">
            <w:pPr>
              <w:adjustRightInd w:val="0"/>
              <w:snapToGrid w:val="0"/>
              <w:spacing w:line="360" w:lineRule="auto"/>
              <w:ind w:firstLine="482" w:firstLineChars="200"/>
              <w:rPr>
                <w:rFonts w:hint="default" w:ascii="Times New Roman" w:hAnsi="Times New Roman" w:eastAsia="宋体" w:cs="Times New Roman"/>
                <w:b/>
                <w:bCs w:val="0"/>
                <w:color w:val="auto"/>
                <w:kern w:val="0"/>
                <w:sz w:val="24"/>
                <w:lang w:val="en-US" w:eastAsia="zh-CN"/>
              </w:rPr>
            </w:pPr>
            <w:r>
              <w:rPr>
                <w:rFonts w:hint="eastAsia" w:cs="Times New Roman"/>
                <w:b/>
                <w:bCs w:val="0"/>
                <w:color w:val="auto"/>
                <w:kern w:val="0"/>
                <w:sz w:val="24"/>
                <w:lang w:val="en-US" w:eastAsia="zh-CN"/>
              </w:rPr>
              <w:t>二</w:t>
            </w:r>
            <w:r>
              <w:rPr>
                <w:rFonts w:hint="default" w:ascii="Times New Roman" w:hAnsi="Times New Roman" w:eastAsia="宋体" w:cs="Times New Roman"/>
                <w:b/>
                <w:bCs w:val="0"/>
                <w:color w:val="auto"/>
                <w:kern w:val="0"/>
                <w:sz w:val="24"/>
                <w:lang w:val="en-US" w:eastAsia="zh-CN"/>
              </w:rPr>
              <w:t>、水土流失现状</w:t>
            </w:r>
          </w:p>
          <w:p w14:paraId="5F4EFFED">
            <w:pPr>
              <w:rPr>
                <w:rFonts w:hint="default" w:ascii="Times New Roman" w:hAnsi="Times New Roman" w:eastAsia="宋体" w:cs="Times New Roman"/>
                <w:b w:val="0"/>
                <w:bCs/>
                <w:color w:val="auto"/>
                <w:kern w:val="0"/>
                <w:sz w:val="24"/>
              </w:rPr>
            </w:pPr>
            <w:r>
              <w:rPr>
                <w:rFonts w:hint="default" w:ascii="Times New Roman" w:hAnsi="Times New Roman" w:eastAsia="宋体" w:cs="Times New Roman"/>
                <w:b w:val="0"/>
                <w:bCs/>
                <w:color w:val="auto"/>
                <w:kern w:val="0"/>
                <w:sz w:val="24"/>
              </w:rPr>
              <w:t>根据《云南省水土保持公报（2019年）》和《芒市土壤侵蚀现状图》显示，芒市土地面积2987km</w:t>
            </w:r>
            <w:r>
              <w:rPr>
                <w:rFonts w:hint="default" w:ascii="Times New Roman" w:hAnsi="Times New Roman" w:eastAsia="宋体" w:cs="Times New Roman"/>
                <w:b w:val="0"/>
                <w:bCs/>
                <w:color w:val="auto"/>
                <w:kern w:val="0"/>
                <w:sz w:val="24"/>
                <w:vertAlign w:val="superscript"/>
              </w:rPr>
              <w:t>2</w:t>
            </w:r>
            <w:r>
              <w:rPr>
                <w:rFonts w:hint="default" w:ascii="Times New Roman" w:hAnsi="Times New Roman" w:eastAsia="宋体" w:cs="Times New Roman"/>
                <w:b w:val="0"/>
                <w:bCs/>
                <w:color w:val="auto"/>
                <w:kern w:val="0"/>
                <w:sz w:val="24"/>
              </w:rPr>
              <w:t>，微度流失面积2099.02km</w:t>
            </w:r>
            <w:r>
              <w:rPr>
                <w:rFonts w:hint="default" w:ascii="Times New Roman" w:hAnsi="Times New Roman" w:eastAsia="宋体" w:cs="Times New Roman"/>
                <w:b w:val="0"/>
                <w:bCs/>
                <w:color w:val="auto"/>
                <w:kern w:val="0"/>
                <w:sz w:val="24"/>
                <w:vertAlign w:val="superscript"/>
              </w:rPr>
              <w:t>2</w:t>
            </w:r>
            <w:r>
              <w:rPr>
                <w:rFonts w:hint="default" w:ascii="Times New Roman" w:hAnsi="Times New Roman" w:eastAsia="宋体" w:cs="Times New Roman"/>
                <w:b w:val="0"/>
                <w:bCs/>
                <w:color w:val="auto"/>
                <w:kern w:val="0"/>
                <w:sz w:val="24"/>
              </w:rPr>
              <w:t>，占土地总面积的70.27%；水土流失面积887.98km</w:t>
            </w:r>
            <w:r>
              <w:rPr>
                <w:rFonts w:hint="default" w:ascii="Times New Roman" w:hAnsi="Times New Roman" w:eastAsia="宋体" w:cs="Times New Roman"/>
                <w:b w:val="0"/>
                <w:bCs/>
                <w:color w:val="auto"/>
                <w:kern w:val="0"/>
                <w:sz w:val="24"/>
                <w:vertAlign w:val="superscript"/>
              </w:rPr>
              <w:t>2</w:t>
            </w:r>
            <w:r>
              <w:rPr>
                <w:rFonts w:hint="default" w:ascii="Times New Roman" w:hAnsi="Times New Roman" w:eastAsia="宋体" w:cs="Times New Roman"/>
                <w:b w:val="0"/>
                <w:bCs/>
                <w:color w:val="auto"/>
                <w:kern w:val="0"/>
                <w:sz w:val="24"/>
              </w:rPr>
              <w:t>，占土地总面积的29.73%，其中：轻度侵蚀面积537.88km</w:t>
            </w:r>
            <w:r>
              <w:rPr>
                <w:rFonts w:hint="default" w:ascii="Times New Roman" w:hAnsi="Times New Roman" w:eastAsia="宋体" w:cs="Times New Roman"/>
                <w:b w:val="0"/>
                <w:bCs/>
                <w:color w:val="auto"/>
                <w:kern w:val="0"/>
                <w:sz w:val="24"/>
                <w:vertAlign w:val="superscript"/>
              </w:rPr>
              <w:t>2</w:t>
            </w:r>
            <w:r>
              <w:rPr>
                <w:rFonts w:hint="default" w:ascii="Times New Roman" w:hAnsi="Times New Roman" w:eastAsia="宋体" w:cs="Times New Roman"/>
                <w:b w:val="0"/>
                <w:bCs/>
                <w:color w:val="auto"/>
                <w:kern w:val="0"/>
                <w:sz w:val="24"/>
              </w:rPr>
              <w:t>，占水土流失面积的60.57%；中度侵蚀面积106.53km</w:t>
            </w:r>
            <w:r>
              <w:rPr>
                <w:rFonts w:hint="default" w:ascii="Times New Roman" w:hAnsi="Times New Roman" w:eastAsia="宋体" w:cs="Times New Roman"/>
                <w:b w:val="0"/>
                <w:bCs/>
                <w:color w:val="auto"/>
                <w:kern w:val="0"/>
                <w:sz w:val="24"/>
                <w:vertAlign w:val="superscript"/>
              </w:rPr>
              <w:t>2</w:t>
            </w:r>
            <w:r>
              <w:rPr>
                <w:rFonts w:hint="default" w:ascii="Times New Roman" w:hAnsi="Times New Roman" w:eastAsia="宋体" w:cs="Times New Roman"/>
                <w:b w:val="0"/>
                <w:bCs/>
                <w:color w:val="auto"/>
                <w:kern w:val="0"/>
                <w:sz w:val="24"/>
              </w:rPr>
              <w:t>，占水土流失面积的12.00%；强烈侵蚀面积85.97km</w:t>
            </w:r>
            <w:r>
              <w:rPr>
                <w:rFonts w:hint="default" w:ascii="Times New Roman" w:hAnsi="Times New Roman" w:eastAsia="宋体" w:cs="Times New Roman"/>
                <w:b w:val="0"/>
                <w:bCs/>
                <w:color w:val="auto"/>
                <w:kern w:val="0"/>
                <w:sz w:val="24"/>
                <w:vertAlign w:val="superscript"/>
              </w:rPr>
              <w:t>2</w:t>
            </w:r>
            <w:r>
              <w:rPr>
                <w:rFonts w:hint="default" w:ascii="Times New Roman" w:hAnsi="Times New Roman" w:eastAsia="宋体" w:cs="Times New Roman"/>
                <w:b w:val="0"/>
                <w:bCs/>
                <w:color w:val="auto"/>
                <w:kern w:val="0"/>
                <w:sz w:val="24"/>
              </w:rPr>
              <w:t>，占水土流失面积的9.68%；极强烈侵蚀面积84.23km</w:t>
            </w:r>
            <w:r>
              <w:rPr>
                <w:rFonts w:hint="default" w:ascii="Times New Roman" w:hAnsi="Times New Roman" w:eastAsia="宋体" w:cs="Times New Roman"/>
                <w:b w:val="0"/>
                <w:bCs/>
                <w:color w:val="auto"/>
                <w:kern w:val="0"/>
                <w:sz w:val="24"/>
                <w:vertAlign w:val="superscript"/>
              </w:rPr>
              <w:t>2</w:t>
            </w:r>
            <w:r>
              <w:rPr>
                <w:rFonts w:hint="default" w:ascii="Times New Roman" w:hAnsi="Times New Roman" w:eastAsia="宋体" w:cs="Times New Roman"/>
                <w:b w:val="0"/>
                <w:bCs/>
                <w:color w:val="auto"/>
                <w:kern w:val="0"/>
                <w:sz w:val="24"/>
              </w:rPr>
              <w:t>，占水土流失面积的9.49%；剧烈侵蚀面积73.37km</w:t>
            </w:r>
            <w:r>
              <w:rPr>
                <w:rFonts w:hint="default" w:ascii="Times New Roman" w:hAnsi="Times New Roman" w:eastAsia="宋体" w:cs="Times New Roman"/>
                <w:b w:val="0"/>
                <w:bCs/>
                <w:color w:val="auto"/>
                <w:kern w:val="0"/>
                <w:sz w:val="24"/>
                <w:vertAlign w:val="superscript"/>
              </w:rPr>
              <w:t>2</w:t>
            </w:r>
            <w:r>
              <w:rPr>
                <w:rFonts w:hint="default" w:ascii="Times New Roman" w:hAnsi="Times New Roman" w:eastAsia="宋体" w:cs="Times New Roman"/>
                <w:b w:val="0"/>
                <w:bCs/>
                <w:color w:val="auto"/>
                <w:kern w:val="0"/>
                <w:sz w:val="24"/>
              </w:rPr>
              <w:t>，占水土流失面积的8.26%。</w:t>
            </w:r>
          </w:p>
          <w:p w14:paraId="36F832E6">
            <w:pPr>
              <w:rPr>
                <w:rFonts w:hint="default" w:ascii="Times New Roman" w:hAnsi="Times New Roman" w:eastAsia="宋体" w:cs="Times New Roman"/>
                <w:b w:val="0"/>
                <w:bCs/>
                <w:color w:val="auto"/>
                <w:kern w:val="0"/>
                <w:sz w:val="24"/>
              </w:rPr>
            </w:pPr>
            <w:r>
              <w:rPr>
                <w:rFonts w:hint="default" w:ascii="Times New Roman" w:hAnsi="Times New Roman" w:eastAsia="宋体" w:cs="Times New Roman"/>
                <w:b w:val="0"/>
                <w:bCs/>
                <w:color w:val="auto"/>
                <w:kern w:val="0"/>
                <w:sz w:val="24"/>
              </w:rPr>
              <w:t>根据《生产建设项目水土流失防治标准》（GB/T50434-2018）全国土壤侵蚀类型区划，项目区属西南岩溶区，土壤容许流失量为500t/km</w:t>
            </w:r>
            <w:r>
              <w:rPr>
                <w:rFonts w:hint="default" w:ascii="Times New Roman" w:hAnsi="Times New Roman" w:eastAsia="宋体" w:cs="Times New Roman"/>
                <w:b w:val="0"/>
                <w:bCs/>
                <w:color w:val="auto"/>
                <w:kern w:val="0"/>
                <w:sz w:val="24"/>
                <w:vertAlign w:val="superscript"/>
              </w:rPr>
              <w:t>2</w:t>
            </w:r>
            <w:r>
              <w:rPr>
                <w:rFonts w:hint="default" w:ascii="Times New Roman" w:hAnsi="Times New Roman" w:eastAsia="宋体" w:cs="Times New Roman"/>
                <w:b w:val="0"/>
                <w:bCs/>
                <w:color w:val="auto"/>
                <w:kern w:val="0"/>
                <w:sz w:val="24"/>
              </w:rPr>
              <w:t>.a。</w:t>
            </w:r>
          </w:p>
          <w:p w14:paraId="7A89EC7E">
            <w:pPr>
              <w:pStyle w:val="6"/>
              <w:keepNext w:val="0"/>
              <w:keepLines w:val="0"/>
              <w:pageBreakBefore w:val="0"/>
              <w:widowControl w:val="0"/>
              <w:kinsoku/>
              <w:wordWrap/>
              <w:overflowPunct/>
              <w:topLinePunct w:val="0"/>
              <w:autoSpaceDE/>
              <w:autoSpaceDN/>
              <w:bidi w:val="0"/>
              <w:adjustRightInd/>
              <w:snapToGrid/>
              <w:spacing w:before="0" w:after="0" w:line="360" w:lineRule="auto"/>
              <w:ind w:left="0" w:leftChars="0" w:firstLine="480" w:firstLineChars="200"/>
              <w:textAlignment w:val="auto"/>
              <w:rPr>
                <w:rFonts w:hint="default" w:ascii="Times New Roman" w:hAnsi="Times New Roman" w:eastAsia="宋体" w:cs="Times New Roman"/>
                <w:b w:val="0"/>
                <w:caps w:val="0"/>
                <w:smallCaps w:val="0"/>
                <w:color w:val="auto"/>
                <w:kern w:val="2"/>
                <w:sz w:val="24"/>
                <w:szCs w:val="24"/>
                <w:lang w:val="en-US" w:eastAsia="zh-CN" w:bidi="ar-SA"/>
              </w:rPr>
            </w:pPr>
            <w:r>
              <w:rPr>
                <w:rFonts w:hint="default" w:ascii="Times New Roman" w:hAnsi="Times New Roman" w:eastAsia="宋体" w:cs="Times New Roman"/>
                <w:b w:val="0"/>
                <w:caps w:val="0"/>
                <w:smallCaps w:val="0"/>
                <w:color w:val="auto"/>
                <w:kern w:val="2"/>
                <w:sz w:val="24"/>
                <w:szCs w:val="24"/>
                <w:lang w:val="en-US" w:eastAsia="zh-CN" w:bidi="ar-SA"/>
              </w:rPr>
              <w:t>根据现场调查，项目区主要占地类型为水田、旱地、园地、林地、交通运输用地、水域及水利设施用地。由于项目尚未开工建设，故并未实施相关的水土保持措施，在后续项目建设中建设单位根据主体设计和方案设计，严格实施各项水土保持措施，做好项目建设中的水土保持工作。</w:t>
            </w:r>
          </w:p>
          <w:p w14:paraId="7C793845">
            <w:pPr>
              <w:pStyle w:val="36"/>
              <w:bidi w:val="0"/>
              <w:rPr>
                <w:rFonts w:hint="eastAsia"/>
                <w:b/>
                <w:bCs/>
                <w:color w:val="auto"/>
                <w:lang w:eastAsia="zh-CN"/>
              </w:rPr>
            </w:pPr>
            <w:r>
              <w:rPr>
                <w:rFonts w:hint="eastAsia"/>
                <w:b/>
                <w:bCs/>
                <w:color w:val="auto"/>
                <w:lang w:eastAsia="zh-CN"/>
              </w:rPr>
              <w:t>三、流域概况</w:t>
            </w:r>
          </w:p>
          <w:p w14:paraId="42F9F769">
            <w:pPr>
              <w:pStyle w:val="36"/>
              <w:numPr>
                <w:ilvl w:val="0"/>
                <w:numId w:val="0"/>
              </w:numPr>
              <w:bidi w:val="0"/>
              <w:ind w:left="0" w:leftChars="0" w:right="0" w:rightChars="0" w:firstLine="480" w:firstLineChars="200"/>
              <w:rPr>
                <w:rFonts w:hint="eastAsia"/>
                <w:color w:val="auto"/>
              </w:rPr>
            </w:pPr>
            <w:r>
              <w:rPr>
                <w:rFonts w:hint="eastAsia"/>
                <w:color w:val="auto"/>
              </w:rPr>
              <w:t>果朗河属伊洛瓦底江水系主要支流龙江（瑞丽江）流域内芒市大河的主要支流，果朗河发源于勐戛镇八家寨，源头叫大新寨河，至勐戛叫勐戛河，至南必河村叫南必河，至当连村叫当连河，流向偏东北，其间有田丘河、南公河、南马河汇入，至盾中西折而偏西流，经芒弄、法破，在腊掌村新广沙河后流至芒市糖厂汇入芒市大河。流域面积483km</w:t>
            </w:r>
            <w:r>
              <w:rPr>
                <w:rFonts w:hint="eastAsia"/>
                <w:color w:val="auto"/>
                <w:vertAlign w:val="superscript"/>
              </w:rPr>
              <w:t>2</w:t>
            </w:r>
            <w:r>
              <w:rPr>
                <w:rFonts w:hint="eastAsia"/>
                <w:color w:val="auto"/>
              </w:rPr>
              <w:t>，全流域主河道长44.0km，主河道比降11.3‰。</w:t>
            </w:r>
          </w:p>
          <w:p w14:paraId="3FE835A5">
            <w:pPr>
              <w:pStyle w:val="36"/>
              <w:numPr>
                <w:ilvl w:val="0"/>
                <w:numId w:val="0"/>
              </w:numPr>
              <w:bidi w:val="0"/>
              <w:ind w:left="0" w:leftChars="0" w:right="0" w:rightChars="0" w:firstLine="480" w:firstLineChars="200"/>
              <w:rPr>
                <w:rFonts w:hint="eastAsia"/>
                <w:color w:val="auto"/>
              </w:rPr>
            </w:pPr>
            <w:r>
              <w:rPr>
                <w:rFonts w:hint="eastAsia"/>
                <w:color w:val="auto"/>
              </w:rPr>
              <w:t>本次整治河段起点为大新寨村，终点为芒里村。治理终点断面以上流域面积242.9km</w:t>
            </w:r>
            <w:r>
              <w:rPr>
                <w:rFonts w:hint="eastAsia"/>
                <w:color w:val="auto"/>
                <w:vertAlign w:val="superscript"/>
              </w:rPr>
              <w:t>2</w:t>
            </w:r>
            <w:r>
              <w:rPr>
                <w:rFonts w:hint="eastAsia"/>
                <w:color w:val="auto"/>
              </w:rPr>
              <w:t>，全流域主河道长6.4km，主河道比降21.8‰。</w:t>
            </w:r>
          </w:p>
          <w:p w14:paraId="22D60798">
            <w:pPr>
              <w:pStyle w:val="36"/>
              <w:numPr>
                <w:ilvl w:val="0"/>
                <w:numId w:val="0"/>
              </w:numPr>
              <w:bidi w:val="0"/>
              <w:ind w:left="0" w:leftChars="0" w:right="0" w:rightChars="0" w:firstLine="480" w:firstLineChars="200"/>
              <w:rPr>
                <w:rFonts w:hint="eastAsia"/>
                <w:color w:val="auto"/>
              </w:rPr>
            </w:pPr>
            <w:r>
              <w:rPr>
                <w:rFonts w:hint="eastAsia"/>
                <w:color w:val="auto"/>
              </w:rPr>
              <w:t>果朗河流域属南亚热带季风气候，11月至次年4月为干季，主要受自北非、中亚和印巴半岛等干热地区而来的西风南支气流控制，气候干燥，降水少；随着5月末、6月初南支气流的北跃，太平洋副热带高压随而北上，低纬度的高空东风带也北进到青藏高原南缘，至7月，随着南支气流的进一步北跃，印度低压发展强大，太平洋副热带高压也北上西伸，构成本地区的夏季环流形势，西南暖湿气流辐合，形成大量降水。根据芒市气象站观测资料统计：该地区多年平均降水量1647.1mm，降雨量的年际变化不大，年内分配不均，5～10月降水量占全年的92%；最大日降水量158.3mm（2001年10月25日）。多年平均风速1.0m/s、多年平均日照时数2402h、多年平均蒸发量（20cm蒸发皿）1708.7mm，相对湿度79%。多年平均气温11.9℃、极端最低气温-0.6℃（1963年1月5日）、极端最高气温36.2℃（1966年5月2日），风向为南西向。</w:t>
            </w:r>
          </w:p>
          <w:p w14:paraId="0AD7E62D">
            <w:pPr>
              <w:pStyle w:val="6"/>
              <w:keepNext w:val="0"/>
              <w:keepLines w:val="0"/>
              <w:pageBreakBefore w:val="0"/>
              <w:widowControl w:val="0"/>
              <w:kinsoku/>
              <w:wordWrap/>
              <w:overflowPunct/>
              <w:topLinePunct w:val="0"/>
              <w:autoSpaceDE/>
              <w:autoSpaceDN/>
              <w:bidi w:val="0"/>
              <w:adjustRightInd/>
              <w:snapToGrid/>
              <w:spacing w:before="0" w:after="0" w:line="360" w:lineRule="auto"/>
              <w:ind w:left="0" w:leftChars="0" w:firstLine="482" w:firstLineChars="200"/>
              <w:textAlignment w:val="auto"/>
              <w:rPr>
                <w:rFonts w:hint="default" w:ascii="Times New Roman" w:hAnsi="Times New Roman" w:eastAsia="宋体" w:cs="Times New Roman"/>
                <w:b/>
                <w:bCs/>
                <w:caps w:val="0"/>
                <w:smallCaps w:val="0"/>
                <w:color w:val="auto"/>
                <w:kern w:val="2"/>
                <w:sz w:val="24"/>
                <w:szCs w:val="24"/>
                <w:lang w:val="en-US" w:eastAsia="zh-CN" w:bidi="ar-SA"/>
              </w:rPr>
            </w:pPr>
            <w:r>
              <w:rPr>
                <w:rFonts w:hint="eastAsia" w:cs="Times New Roman"/>
                <w:b/>
                <w:bCs/>
                <w:caps w:val="0"/>
                <w:smallCaps w:val="0"/>
                <w:color w:val="auto"/>
                <w:kern w:val="2"/>
                <w:sz w:val="24"/>
                <w:szCs w:val="24"/>
                <w:lang w:val="en-US" w:eastAsia="zh-CN" w:bidi="ar-SA"/>
              </w:rPr>
              <w:t>四</w:t>
            </w:r>
            <w:r>
              <w:rPr>
                <w:rFonts w:hint="eastAsia" w:ascii="Times New Roman" w:hAnsi="Times New Roman" w:cs="Times New Roman"/>
                <w:b/>
                <w:bCs/>
                <w:caps w:val="0"/>
                <w:smallCaps w:val="0"/>
                <w:color w:val="auto"/>
                <w:kern w:val="2"/>
                <w:sz w:val="24"/>
                <w:szCs w:val="24"/>
                <w:lang w:val="en-US" w:eastAsia="zh-CN" w:bidi="ar-SA"/>
              </w:rPr>
              <w:t>、环境质量现状</w:t>
            </w:r>
          </w:p>
          <w:p w14:paraId="6B08BCB5">
            <w:pPr>
              <w:pStyle w:val="6"/>
              <w:keepNext w:val="0"/>
              <w:keepLines w:val="0"/>
              <w:pageBreakBefore w:val="0"/>
              <w:widowControl w:val="0"/>
              <w:kinsoku/>
              <w:wordWrap/>
              <w:overflowPunct/>
              <w:topLinePunct w:val="0"/>
              <w:autoSpaceDE/>
              <w:autoSpaceDN/>
              <w:bidi w:val="0"/>
              <w:adjustRightInd/>
              <w:snapToGrid/>
              <w:spacing w:before="0" w:after="0" w:line="360" w:lineRule="auto"/>
              <w:ind w:left="0" w:leftChars="0" w:firstLine="482" w:firstLineChars="200"/>
              <w:textAlignment w:val="auto"/>
              <w:rPr>
                <w:rFonts w:hint="default" w:ascii="Times New Roman" w:hAnsi="Times New Roman" w:eastAsia="宋体" w:cs="Times New Roman"/>
                <w:b/>
                <w:bCs/>
                <w:caps w:val="0"/>
                <w:smallCaps w:val="0"/>
                <w:color w:val="auto"/>
                <w:kern w:val="2"/>
                <w:sz w:val="24"/>
                <w:szCs w:val="24"/>
                <w:lang w:val="en-US" w:eastAsia="zh-CN" w:bidi="ar-SA"/>
              </w:rPr>
            </w:pPr>
            <w:r>
              <w:rPr>
                <w:rFonts w:hint="eastAsia" w:ascii="Times New Roman" w:hAnsi="Times New Roman" w:cs="Times New Roman"/>
                <w:b/>
                <w:bCs/>
                <w:caps w:val="0"/>
                <w:smallCaps w:val="0"/>
                <w:color w:val="auto"/>
                <w:kern w:val="2"/>
                <w:sz w:val="24"/>
                <w:szCs w:val="24"/>
                <w:lang w:val="en-US" w:eastAsia="zh-CN" w:bidi="ar-SA"/>
              </w:rPr>
              <w:t>1</w:t>
            </w:r>
            <w:r>
              <w:rPr>
                <w:rFonts w:hint="default" w:ascii="Times New Roman" w:hAnsi="Times New Roman" w:eastAsia="宋体" w:cs="Times New Roman"/>
                <w:b/>
                <w:bCs/>
                <w:caps w:val="0"/>
                <w:smallCaps w:val="0"/>
                <w:color w:val="auto"/>
                <w:kern w:val="2"/>
                <w:sz w:val="24"/>
                <w:szCs w:val="24"/>
                <w:lang w:val="en-US" w:eastAsia="zh-CN" w:bidi="ar-SA"/>
              </w:rPr>
              <w:t>、大气环境质量现状</w:t>
            </w:r>
          </w:p>
          <w:p w14:paraId="38790BE6">
            <w:pPr>
              <w:bidi w:val="0"/>
              <w:jc w:val="both"/>
              <w:rPr>
                <w:rFonts w:hint="default" w:ascii="Times New Roman" w:hAnsi="Times New Roman" w:eastAsia="宋体" w:cs="Times New Roman"/>
                <w:caps w:val="0"/>
                <w:smallCaps w:val="0"/>
                <w:color w:val="auto"/>
              </w:rPr>
            </w:pPr>
            <w:r>
              <w:rPr>
                <w:rFonts w:hint="default" w:ascii="Times New Roman" w:hAnsi="Times New Roman" w:eastAsia="宋体" w:cs="Times New Roman"/>
                <w:caps w:val="0"/>
                <w:smallCaps w:val="0"/>
                <w:color w:val="auto"/>
              </w:rPr>
              <w:t>本次</w:t>
            </w:r>
            <w:r>
              <w:rPr>
                <w:rFonts w:hint="default" w:ascii="Times New Roman" w:hAnsi="Times New Roman" w:eastAsia="宋体" w:cs="Times New Roman"/>
                <w:caps w:val="0"/>
                <w:smallCaps w:val="0"/>
                <w:color w:val="auto"/>
                <w:lang w:eastAsia="zh-CN"/>
              </w:rPr>
              <w:t>河道治理工程主要位于芒市南部</w:t>
            </w:r>
            <w:r>
              <w:rPr>
                <w:rFonts w:hint="default" w:ascii="Times New Roman" w:hAnsi="Times New Roman" w:eastAsia="宋体" w:cs="Times New Roman"/>
                <w:caps w:val="0"/>
                <w:smallCaps w:val="0"/>
                <w:color w:val="auto"/>
              </w:rPr>
              <w:t>，</w:t>
            </w:r>
            <w:r>
              <w:rPr>
                <w:rFonts w:hint="default" w:ascii="Times New Roman" w:hAnsi="Times New Roman" w:eastAsia="宋体" w:cs="Times New Roman"/>
                <w:caps w:val="0"/>
                <w:smallCaps w:val="0"/>
                <w:color w:val="auto"/>
                <w:lang w:eastAsia="zh-CN"/>
              </w:rPr>
              <w:t>工程</w:t>
            </w:r>
            <w:r>
              <w:rPr>
                <w:rFonts w:hint="default" w:ascii="Times New Roman" w:hAnsi="Times New Roman" w:eastAsia="宋体" w:cs="Times New Roman"/>
                <w:caps w:val="0"/>
                <w:smallCaps w:val="0"/>
                <w:color w:val="auto"/>
              </w:rPr>
              <w:t>总治理长度为</w:t>
            </w:r>
            <w:r>
              <w:rPr>
                <w:rFonts w:hint="eastAsia" w:ascii="Times New Roman" w:hAnsi="Times New Roman" w:cs="Times New Roman"/>
                <w:caps w:val="0"/>
                <w:smallCaps w:val="0"/>
                <w:color w:val="auto"/>
                <w:lang w:val="en-US" w:eastAsia="zh-CN"/>
              </w:rPr>
              <w:t>20.23</w:t>
            </w:r>
            <w:r>
              <w:rPr>
                <w:rFonts w:hint="default" w:ascii="Times New Roman" w:hAnsi="Times New Roman" w:eastAsia="宋体" w:cs="Times New Roman"/>
                <w:caps w:val="0"/>
                <w:smallCaps w:val="0"/>
                <w:color w:val="auto"/>
                <w:lang w:eastAsia="zh-CN"/>
              </w:rPr>
              <w:t>km。</w:t>
            </w:r>
            <w:r>
              <w:rPr>
                <w:rFonts w:hint="default" w:ascii="Times New Roman" w:hAnsi="Times New Roman" w:eastAsia="宋体" w:cs="Times New Roman"/>
                <w:caps w:val="0"/>
                <w:smallCaps w:val="0"/>
                <w:color w:val="auto"/>
              </w:rPr>
              <w:t>按环境功能区划评价区域属于《环境空气质量标准》（GB3095-2012）及其修改单中二类功能区，执行《环境空气质量标准》（GB3095-2012）及其修改单中二级标准要求。</w:t>
            </w:r>
          </w:p>
          <w:p w14:paraId="13CFCA37">
            <w:pPr>
              <w:keepNext w:val="0"/>
              <w:keepLines w:val="0"/>
              <w:pageBreakBefore w:val="0"/>
              <w:widowControl w:val="0"/>
              <w:tabs>
                <w:tab w:val="left" w:pos="6153"/>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napToGrid w:val="0"/>
                <w:color w:val="auto"/>
                <w:kern w:val="0"/>
                <w:sz w:val="24"/>
                <w:szCs w:val="24"/>
              </w:rPr>
            </w:pPr>
            <w:r>
              <w:rPr>
                <w:rFonts w:hint="default" w:ascii="Times New Roman" w:hAnsi="Times New Roman" w:eastAsia="宋体" w:cs="Times New Roman"/>
                <w:snapToGrid w:val="0"/>
                <w:color w:val="auto"/>
                <w:kern w:val="0"/>
                <w:sz w:val="24"/>
                <w:szCs w:val="24"/>
                <w:lang w:val="en-US" w:eastAsia="zh-CN"/>
              </w:rPr>
              <w:t>根据</w:t>
            </w:r>
            <w:r>
              <w:rPr>
                <w:rFonts w:hint="default" w:ascii="Times New Roman" w:hAnsi="Times New Roman" w:eastAsia="宋体" w:cs="Times New Roman"/>
                <w:snapToGrid w:val="0"/>
                <w:color w:val="auto"/>
                <w:kern w:val="0"/>
                <w:sz w:val="24"/>
                <w:szCs w:val="24"/>
              </w:rPr>
              <w:t>芒市</w:t>
            </w:r>
            <w:r>
              <w:rPr>
                <w:rFonts w:hint="default" w:ascii="Times New Roman" w:hAnsi="Times New Roman" w:eastAsia="宋体" w:cs="Times New Roman"/>
                <w:snapToGrid w:val="0"/>
                <w:color w:val="auto"/>
                <w:kern w:val="0"/>
                <w:sz w:val="24"/>
                <w:szCs w:val="24"/>
                <w:lang w:val="en-US" w:eastAsia="zh-CN"/>
              </w:rPr>
              <w:t>2022</w:t>
            </w:r>
            <w:r>
              <w:rPr>
                <w:rFonts w:hint="default" w:ascii="Times New Roman" w:hAnsi="Times New Roman" w:eastAsia="宋体" w:cs="Times New Roman"/>
                <w:snapToGrid w:val="0"/>
                <w:color w:val="auto"/>
                <w:kern w:val="0"/>
                <w:sz w:val="24"/>
                <w:szCs w:val="24"/>
              </w:rPr>
              <w:t>年的常规监测数据</w:t>
            </w:r>
            <w:r>
              <w:rPr>
                <w:rFonts w:hint="default" w:ascii="Times New Roman" w:hAnsi="Times New Roman" w:eastAsia="宋体" w:cs="Times New Roman"/>
                <w:snapToGrid w:val="0"/>
                <w:color w:val="auto"/>
                <w:kern w:val="0"/>
                <w:sz w:val="24"/>
                <w:szCs w:val="24"/>
                <w:lang w:eastAsia="zh-CN"/>
              </w:rPr>
              <w:t>，</w:t>
            </w:r>
            <w:r>
              <w:rPr>
                <w:rFonts w:hint="default" w:ascii="Times New Roman" w:hAnsi="Times New Roman" w:eastAsia="宋体" w:cs="Times New Roman"/>
                <w:snapToGrid w:val="0"/>
                <w:color w:val="auto"/>
                <w:kern w:val="0"/>
                <w:sz w:val="24"/>
                <w:szCs w:val="24"/>
                <w:lang w:val="en-US" w:eastAsia="zh-CN"/>
              </w:rPr>
              <w:t>2022</w:t>
            </w:r>
            <w:r>
              <w:rPr>
                <w:rFonts w:hint="default" w:ascii="Times New Roman" w:hAnsi="Times New Roman" w:eastAsia="宋体" w:cs="Times New Roman"/>
                <w:snapToGrid w:val="0"/>
                <w:color w:val="auto"/>
                <w:kern w:val="0"/>
                <w:sz w:val="24"/>
                <w:szCs w:val="24"/>
              </w:rPr>
              <w:t>年芒市环境空气各项指标均能满足《环境空气质量标准》</w:t>
            </w:r>
            <w:r>
              <w:rPr>
                <w:rFonts w:hint="default" w:ascii="Times New Roman" w:hAnsi="Times New Roman" w:eastAsia="宋体" w:cs="Times New Roman"/>
                <w:snapToGrid w:val="0"/>
                <w:color w:val="auto"/>
                <w:kern w:val="0"/>
                <w:sz w:val="24"/>
                <w:szCs w:val="24"/>
                <w:lang w:eastAsia="zh-CN"/>
              </w:rPr>
              <w:t>（</w:t>
            </w:r>
            <w:r>
              <w:rPr>
                <w:rFonts w:hint="default" w:ascii="Times New Roman" w:hAnsi="Times New Roman" w:eastAsia="宋体" w:cs="Times New Roman"/>
                <w:snapToGrid w:val="0"/>
                <w:color w:val="auto"/>
                <w:kern w:val="0"/>
                <w:sz w:val="24"/>
                <w:szCs w:val="24"/>
              </w:rPr>
              <w:t>GB3095-2012</w:t>
            </w:r>
            <w:r>
              <w:rPr>
                <w:rFonts w:hint="default" w:ascii="Times New Roman" w:hAnsi="Times New Roman" w:eastAsia="宋体" w:cs="Times New Roman"/>
                <w:snapToGrid w:val="0"/>
                <w:color w:val="auto"/>
                <w:kern w:val="0"/>
                <w:sz w:val="24"/>
                <w:szCs w:val="24"/>
                <w:lang w:eastAsia="zh-CN"/>
              </w:rPr>
              <w:t>）</w:t>
            </w:r>
            <w:r>
              <w:rPr>
                <w:rFonts w:hint="default" w:ascii="Times New Roman" w:hAnsi="Times New Roman" w:eastAsia="宋体" w:cs="Times New Roman"/>
                <w:snapToGrid w:val="0"/>
                <w:color w:val="auto"/>
                <w:kern w:val="0"/>
                <w:sz w:val="24"/>
                <w:szCs w:val="24"/>
              </w:rPr>
              <w:t>二级标准要求，因此可以判定，项目所在的芒市环境空气质量属于达标区。</w:t>
            </w:r>
          </w:p>
          <w:p w14:paraId="5524CACB">
            <w:pPr>
              <w:bidi w:val="0"/>
              <w:ind w:left="0" w:leftChars="0" w:firstLine="0" w:firstLineChars="0"/>
              <w:jc w:val="center"/>
              <w:rPr>
                <w:rFonts w:hint="default"/>
                <w:b/>
                <w:bCs/>
                <w:sz w:val="21"/>
                <w:szCs w:val="21"/>
                <w:lang w:val="en-US" w:eastAsia="zh-CN"/>
              </w:rPr>
            </w:pPr>
            <w:r>
              <w:rPr>
                <w:rFonts w:hint="default"/>
                <w:b/>
                <w:bCs/>
                <w:sz w:val="21"/>
                <w:szCs w:val="21"/>
                <w:lang w:val="en-US" w:eastAsia="zh-CN"/>
              </w:rPr>
              <w:t>表3-</w:t>
            </w:r>
            <w:r>
              <w:rPr>
                <w:rFonts w:hint="eastAsia"/>
                <w:b/>
                <w:bCs/>
                <w:sz w:val="21"/>
                <w:szCs w:val="21"/>
                <w:lang w:val="en-US" w:eastAsia="zh-CN"/>
              </w:rPr>
              <w:t>5</w:t>
            </w:r>
            <w:r>
              <w:rPr>
                <w:rFonts w:hint="default"/>
                <w:b/>
                <w:bCs/>
                <w:sz w:val="21"/>
                <w:szCs w:val="21"/>
                <w:lang w:val="en-US" w:eastAsia="zh-CN"/>
              </w:rPr>
              <w:t xml:space="preserve">  2022年德宏州芒市城市空气年均浓度监测结果</w:t>
            </w:r>
          </w:p>
          <w:tbl>
            <w:tblPr>
              <w:tblStyle w:val="22"/>
              <w:tblW w:w="7776" w:type="dxa"/>
              <w:jc w:val="center"/>
              <w:tblLayout w:type="fixed"/>
              <w:tblCellMar>
                <w:top w:w="0" w:type="dxa"/>
                <w:left w:w="108" w:type="dxa"/>
                <w:bottom w:w="0" w:type="dxa"/>
                <w:right w:w="108" w:type="dxa"/>
              </w:tblCellMar>
            </w:tblPr>
            <w:tblGrid>
              <w:gridCol w:w="1673"/>
              <w:gridCol w:w="2545"/>
              <w:gridCol w:w="1283"/>
              <w:gridCol w:w="1148"/>
              <w:gridCol w:w="1127"/>
            </w:tblGrid>
            <w:tr w14:paraId="143F7063">
              <w:tblPrEx>
                <w:tblCellMar>
                  <w:top w:w="0" w:type="dxa"/>
                  <w:left w:w="108" w:type="dxa"/>
                  <w:bottom w:w="0" w:type="dxa"/>
                  <w:right w:w="108" w:type="dxa"/>
                </w:tblCellMar>
              </w:tblPrEx>
              <w:trPr>
                <w:trHeight w:val="320" w:hRule="atLeast"/>
                <w:jc w:val="center"/>
              </w:trPr>
              <w:tc>
                <w:tcPr>
                  <w:tcW w:w="1673" w:type="dxa"/>
                  <w:tcBorders>
                    <w:top w:val="single" w:color="000000" w:sz="4" w:space="0"/>
                    <w:left w:val="single" w:color="000000" w:sz="4" w:space="0"/>
                    <w:bottom w:val="single" w:color="000000" w:sz="4" w:space="0"/>
                    <w:right w:val="single" w:color="000000" w:sz="4" w:space="0"/>
                  </w:tcBorders>
                  <w:noWrap/>
                  <w:vAlign w:val="center"/>
                </w:tcPr>
                <w:p w14:paraId="2E0A232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污染物</w:t>
                  </w:r>
                </w:p>
              </w:tc>
              <w:tc>
                <w:tcPr>
                  <w:tcW w:w="2545" w:type="dxa"/>
                  <w:tcBorders>
                    <w:top w:val="single" w:color="000000" w:sz="4" w:space="0"/>
                    <w:left w:val="single" w:color="000000" w:sz="4" w:space="0"/>
                    <w:bottom w:val="single" w:color="000000" w:sz="4" w:space="0"/>
                    <w:right w:val="single" w:color="000000" w:sz="4" w:space="0"/>
                  </w:tcBorders>
                  <w:noWrap/>
                  <w:vAlign w:val="center"/>
                </w:tcPr>
                <w:p w14:paraId="269467B0">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年评价指标</w:t>
                  </w:r>
                </w:p>
              </w:tc>
              <w:tc>
                <w:tcPr>
                  <w:tcW w:w="1283" w:type="dxa"/>
                  <w:tcBorders>
                    <w:top w:val="single" w:color="000000" w:sz="4" w:space="0"/>
                    <w:left w:val="single" w:color="000000" w:sz="4" w:space="0"/>
                    <w:bottom w:val="single" w:color="000000" w:sz="4" w:space="0"/>
                    <w:right w:val="single" w:color="000000" w:sz="4" w:space="0"/>
                  </w:tcBorders>
                  <w:noWrap/>
                  <w:vAlign w:val="center"/>
                </w:tcPr>
                <w:p w14:paraId="1308CACD">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现状浓度</w:t>
                  </w:r>
                </w:p>
              </w:tc>
              <w:tc>
                <w:tcPr>
                  <w:tcW w:w="1148" w:type="dxa"/>
                  <w:tcBorders>
                    <w:top w:val="single" w:color="000000" w:sz="4" w:space="0"/>
                    <w:left w:val="single" w:color="000000" w:sz="4" w:space="0"/>
                    <w:bottom w:val="single" w:color="000000" w:sz="4" w:space="0"/>
                    <w:right w:val="single" w:color="000000" w:sz="4" w:space="0"/>
                  </w:tcBorders>
                  <w:noWrap/>
                  <w:vAlign w:val="center"/>
                </w:tcPr>
                <w:p w14:paraId="44E9F7C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标准值</w:t>
                  </w:r>
                </w:p>
              </w:tc>
              <w:tc>
                <w:tcPr>
                  <w:tcW w:w="1127" w:type="dxa"/>
                  <w:tcBorders>
                    <w:top w:val="single" w:color="000000" w:sz="4" w:space="0"/>
                    <w:left w:val="single" w:color="000000" w:sz="4" w:space="0"/>
                    <w:bottom w:val="single" w:color="000000" w:sz="4" w:space="0"/>
                    <w:right w:val="single" w:color="000000" w:sz="4" w:space="0"/>
                  </w:tcBorders>
                  <w:noWrap/>
                  <w:vAlign w:val="center"/>
                </w:tcPr>
                <w:p w14:paraId="5551434D">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达标情况</w:t>
                  </w:r>
                </w:p>
              </w:tc>
            </w:tr>
            <w:tr w14:paraId="3934F848">
              <w:tblPrEx>
                <w:tblCellMar>
                  <w:top w:w="0" w:type="dxa"/>
                  <w:left w:w="108" w:type="dxa"/>
                  <w:bottom w:w="0" w:type="dxa"/>
                  <w:right w:w="108" w:type="dxa"/>
                </w:tblCellMar>
              </w:tblPrEx>
              <w:trPr>
                <w:trHeight w:val="320" w:hRule="atLeast"/>
                <w:jc w:val="center"/>
              </w:trPr>
              <w:tc>
                <w:tcPr>
                  <w:tcW w:w="1673" w:type="dxa"/>
                  <w:tcBorders>
                    <w:top w:val="single" w:color="000000" w:sz="4" w:space="0"/>
                    <w:left w:val="single" w:color="000000" w:sz="4" w:space="0"/>
                    <w:bottom w:val="single" w:color="000000" w:sz="4" w:space="0"/>
                    <w:right w:val="single" w:color="000000" w:sz="4" w:space="0"/>
                  </w:tcBorders>
                  <w:noWrap/>
                  <w:vAlign w:val="center"/>
                </w:tcPr>
                <w:p w14:paraId="4FB33F59">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SO</w:t>
                  </w:r>
                  <w:r>
                    <w:rPr>
                      <w:rFonts w:hint="default" w:ascii="Times New Roman" w:hAnsi="Times New Roman" w:eastAsia="宋体" w:cs="Times New Roman"/>
                      <w:b w:val="0"/>
                      <w:bCs w:val="0"/>
                      <w:color w:val="auto"/>
                      <w:sz w:val="21"/>
                      <w:szCs w:val="21"/>
                      <w:vertAlign w:val="subscript"/>
                      <w:lang w:val="en-US" w:eastAsia="zh-CN"/>
                    </w:rPr>
                    <w:t>2</w:t>
                  </w:r>
                </w:p>
              </w:tc>
              <w:tc>
                <w:tcPr>
                  <w:tcW w:w="2545" w:type="dxa"/>
                  <w:vMerge w:val="restart"/>
                  <w:tcBorders>
                    <w:top w:val="single" w:color="000000" w:sz="4" w:space="0"/>
                    <w:left w:val="single" w:color="000000" w:sz="4" w:space="0"/>
                    <w:bottom w:val="single" w:color="000000" w:sz="4" w:space="0"/>
                    <w:right w:val="single" w:color="000000" w:sz="4" w:space="0"/>
                  </w:tcBorders>
                  <w:noWrap/>
                  <w:vAlign w:val="center"/>
                </w:tcPr>
                <w:p w14:paraId="3C2D85DE">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年平均质量浓度</w:t>
                  </w:r>
                </w:p>
              </w:tc>
              <w:tc>
                <w:tcPr>
                  <w:tcW w:w="1283" w:type="dxa"/>
                  <w:tcBorders>
                    <w:top w:val="single" w:color="000000" w:sz="4" w:space="0"/>
                    <w:left w:val="single" w:color="000000" w:sz="4" w:space="0"/>
                    <w:bottom w:val="single" w:color="000000" w:sz="4" w:space="0"/>
                    <w:right w:val="single" w:color="000000" w:sz="4" w:space="0"/>
                  </w:tcBorders>
                  <w:noWrap/>
                  <w:vAlign w:val="center"/>
                </w:tcPr>
                <w:p w14:paraId="0821F081">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9</w:t>
                  </w:r>
                  <w:r>
                    <w:rPr>
                      <w:rFonts w:hint="default" w:ascii="Times New Roman" w:hAnsi="Times New Roman" w:eastAsia="宋体" w:cs="Times New Roman"/>
                      <w:b w:val="0"/>
                      <w:bCs w:val="0"/>
                      <w:color w:val="auto"/>
                      <w:sz w:val="21"/>
                      <w:szCs w:val="21"/>
                    </w:rPr>
                    <w:t>µg/</w:t>
                  </w:r>
                  <w:r>
                    <w:rPr>
                      <w:rFonts w:hint="default" w:ascii="Times New Roman" w:hAnsi="Times New Roman" w:eastAsia="宋体" w:cs="Times New Roman"/>
                      <w:b w:val="0"/>
                      <w:bCs w:val="0"/>
                      <w:color w:val="auto"/>
                      <w:sz w:val="21"/>
                      <w:szCs w:val="21"/>
                      <w:lang w:eastAsia="zh-CN"/>
                    </w:rPr>
                    <w:t>m</w:t>
                  </w:r>
                  <w:r>
                    <w:rPr>
                      <w:rFonts w:hint="default" w:ascii="Times New Roman" w:hAnsi="Times New Roman" w:eastAsia="宋体" w:cs="Times New Roman"/>
                      <w:b w:val="0"/>
                      <w:bCs w:val="0"/>
                      <w:color w:val="auto"/>
                      <w:sz w:val="21"/>
                      <w:szCs w:val="21"/>
                      <w:vertAlign w:val="superscript"/>
                      <w:lang w:eastAsia="zh-CN"/>
                    </w:rPr>
                    <w:t>3</w:t>
                  </w:r>
                </w:p>
              </w:tc>
              <w:tc>
                <w:tcPr>
                  <w:tcW w:w="1148" w:type="dxa"/>
                  <w:tcBorders>
                    <w:top w:val="single" w:color="000000" w:sz="4" w:space="0"/>
                    <w:left w:val="single" w:color="000000" w:sz="4" w:space="0"/>
                    <w:bottom w:val="single" w:color="000000" w:sz="4" w:space="0"/>
                    <w:right w:val="single" w:color="000000" w:sz="4" w:space="0"/>
                  </w:tcBorders>
                  <w:noWrap/>
                  <w:vAlign w:val="center"/>
                </w:tcPr>
                <w:p w14:paraId="2F349B16">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60</w:t>
                  </w:r>
                  <w:r>
                    <w:rPr>
                      <w:rFonts w:hint="default" w:ascii="Times New Roman" w:hAnsi="Times New Roman" w:eastAsia="宋体" w:cs="Times New Roman"/>
                      <w:b w:val="0"/>
                      <w:bCs w:val="0"/>
                      <w:color w:val="auto"/>
                      <w:sz w:val="21"/>
                      <w:szCs w:val="21"/>
                    </w:rPr>
                    <w:t>µg/</w:t>
                  </w:r>
                  <w:r>
                    <w:rPr>
                      <w:rFonts w:hint="default" w:ascii="Times New Roman" w:hAnsi="Times New Roman" w:eastAsia="宋体" w:cs="Times New Roman"/>
                      <w:b w:val="0"/>
                      <w:bCs w:val="0"/>
                      <w:color w:val="auto"/>
                      <w:sz w:val="21"/>
                      <w:szCs w:val="21"/>
                      <w:lang w:eastAsia="zh-CN"/>
                    </w:rPr>
                    <w:t>m</w:t>
                  </w:r>
                  <w:r>
                    <w:rPr>
                      <w:rFonts w:hint="default" w:ascii="Times New Roman" w:hAnsi="Times New Roman" w:eastAsia="宋体" w:cs="Times New Roman"/>
                      <w:b w:val="0"/>
                      <w:bCs w:val="0"/>
                      <w:color w:val="auto"/>
                      <w:sz w:val="21"/>
                      <w:szCs w:val="21"/>
                      <w:vertAlign w:val="superscript"/>
                      <w:lang w:eastAsia="zh-CN"/>
                    </w:rPr>
                    <w:t>3</w:t>
                  </w:r>
                </w:p>
              </w:tc>
              <w:tc>
                <w:tcPr>
                  <w:tcW w:w="1127" w:type="dxa"/>
                  <w:tcBorders>
                    <w:top w:val="single" w:color="000000" w:sz="4" w:space="0"/>
                    <w:left w:val="single" w:color="000000" w:sz="4" w:space="0"/>
                    <w:bottom w:val="single" w:color="000000" w:sz="4" w:space="0"/>
                    <w:right w:val="single" w:color="000000" w:sz="4" w:space="0"/>
                  </w:tcBorders>
                  <w:noWrap/>
                  <w:vAlign w:val="center"/>
                </w:tcPr>
                <w:p w14:paraId="58BE5599">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rPr>
                    <w:t>达标</w:t>
                  </w:r>
                </w:p>
              </w:tc>
            </w:tr>
            <w:tr w14:paraId="37427D02">
              <w:tblPrEx>
                <w:tblCellMar>
                  <w:top w:w="0" w:type="dxa"/>
                  <w:left w:w="108" w:type="dxa"/>
                  <w:bottom w:w="0" w:type="dxa"/>
                  <w:right w:w="108" w:type="dxa"/>
                </w:tblCellMar>
              </w:tblPrEx>
              <w:trPr>
                <w:trHeight w:val="320" w:hRule="atLeast"/>
                <w:jc w:val="center"/>
              </w:trPr>
              <w:tc>
                <w:tcPr>
                  <w:tcW w:w="1673" w:type="dxa"/>
                  <w:tcBorders>
                    <w:top w:val="single" w:color="000000" w:sz="4" w:space="0"/>
                    <w:left w:val="single" w:color="000000" w:sz="4" w:space="0"/>
                    <w:bottom w:val="single" w:color="000000" w:sz="4" w:space="0"/>
                    <w:right w:val="single" w:color="000000" w:sz="4" w:space="0"/>
                  </w:tcBorders>
                  <w:noWrap/>
                  <w:vAlign w:val="center"/>
                </w:tcPr>
                <w:p w14:paraId="7BC8B2D1">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NO</w:t>
                  </w:r>
                  <w:r>
                    <w:rPr>
                      <w:rFonts w:hint="default" w:ascii="Times New Roman" w:hAnsi="Times New Roman" w:eastAsia="宋体" w:cs="Times New Roman"/>
                      <w:b w:val="0"/>
                      <w:bCs w:val="0"/>
                      <w:color w:val="auto"/>
                      <w:sz w:val="21"/>
                      <w:szCs w:val="21"/>
                      <w:vertAlign w:val="subscript"/>
                      <w:lang w:val="en-US" w:eastAsia="zh-CN"/>
                    </w:rPr>
                    <w:t>2</w:t>
                  </w:r>
                </w:p>
              </w:tc>
              <w:tc>
                <w:tcPr>
                  <w:tcW w:w="2545" w:type="dxa"/>
                  <w:vMerge w:val="continue"/>
                  <w:tcBorders>
                    <w:top w:val="single" w:color="000000" w:sz="4" w:space="0"/>
                    <w:left w:val="single" w:color="000000" w:sz="4" w:space="0"/>
                    <w:bottom w:val="single" w:color="000000" w:sz="4" w:space="0"/>
                    <w:right w:val="single" w:color="000000" w:sz="4" w:space="0"/>
                  </w:tcBorders>
                  <w:noWrap/>
                  <w:vAlign w:val="center"/>
                </w:tcPr>
                <w:p w14:paraId="07297B90">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lang w:val="en-US" w:eastAsia="zh-CN"/>
                    </w:rPr>
                  </w:pPr>
                </w:p>
              </w:tc>
              <w:tc>
                <w:tcPr>
                  <w:tcW w:w="1283" w:type="dxa"/>
                  <w:tcBorders>
                    <w:top w:val="single" w:color="000000" w:sz="4" w:space="0"/>
                    <w:left w:val="single" w:color="000000" w:sz="4" w:space="0"/>
                    <w:bottom w:val="single" w:color="000000" w:sz="4" w:space="0"/>
                    <w:right w:val="single" w:color="000000" w:sz="4" w:space="0"/>
                  </w:tcBorders>
                  <w:noWrap/>
                  <w:vAlign w:val="center"/>
                </w:tcPr>
                <w:p w14:paraId="071F3FA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12</w:t>
                  </w:r>
                  <w:r>
                    <w:rPr>
                      <w:rFonts w:hint="default" w:ascii="Times New Roman" w:hAnsi="Times New Roman" w:eastAsia="宋体" w:cs="Times New Roman"/>
                      <w:b w:val="0"/>
                      <w:bCs w:val="0"/>
                      <w:color w:val="auto"/>
                      <w:sz w:val="21"/>
                      <w:szCs w:val="21"/>
                    </w:rPr>
                    <w:t>µg/</w:t>
                  </w:r>
                  <w:r>
                    <w:rPr>
                      <w:rFonts w:hint="default" w:ascii="Times New Roman" w:hAnsi="Times New Roman" w:eastAsia="宋体" w:cs="Times New Roman"/>
                      <w:b w:val="0"/>
                      <w:bCs w:val="0"/>
                      <w:color w:val="auto"/>
                      <w:sz w:val="21"/>
                      <w:szCs w:val="21"/>
                      <w:lang w:eastAsia="zh-CN"/>
                    </w:rPr>
                    <w:t>m</w:t>
                  </w:r>
                  <w:r>
                    <w:rPr>
                      <w:rFonts w:hint="default" w:ascii="Times New Roman" w:hAnsi="Times New Roman" w:eastAsia="宋体" w:cs="Times New Roman"/>
                      <w:b w:val="0"/>
                      <w:bCs w:val="0"/>
                      <w:color w:val="auto"/>
                      <w:sz w:val="21"/>
                      <w:szCs w:val="21"/>
                      <w:vertAlign w:val="superscript"/>
                      <w:lang w:eastAsia="zh-CN"/>
                    </w:rPr>
                    <w:t>3</w:t>
                  </w:r>
                </w:p>
              </w:tc>
              <w:tc>
                <w:tcPr>
                  <w:tcW w:w="1148" w:type="dxa"/>
                  <w:tcBorders>
                    <w:top w:val="single" w:color="000000" w:sz="4" w:space="0"/>
                    <w:left w:val="single" w:color="000000" w:sz="4" w:space="0"/>
                    <w:bottom w:val="single" w:color="000000" w:sz="4" w:space="0"/>
                    <w:right w:val="single" w:color="000000" w:sz="4" w:space="0"/>
                  </w:tcBorders>
                  <w:noWrap/>
                  <w:vAlign w:val="center"/>
                </w:tcPr>
                <w:p w14:paraId="440D6A03">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40</w:t>
                  </w:r>
                  <w:r>
                    <w:rPr>
                      <w:rFonts w:hint="default" w:ascii="Times New Roman" w:hAnsi="Times New Roman" w:eastAsia="宋体" w:cs="Times New Roman"/>
                      <w:b w:val="0"/>
                      <w:bCs w:val="0"/>
                      <w:color w:val="auto"/>
                      <w:sz w:val="21"/>
                      <w:szCs w:val="21"/>
                    </w:rPr>
                    <w:t>µg/</w:t>
                  </w:r>
                  <w:r>
                    <w:rPr>
                      <w:rFonts w:hint="default" w:ascii="Times New Roman" w:hAnsi="Times New Roman" w:eastAsia="宋体" w:cs="Times New Roman"/>
                      <w:b w:val="0"/>
                      <w:bCs w:val="0"/>
                      <w:color w:val="auto"/>
                      <w:sz w:val="21"/>
                      <w:szCs w:val="21"/>
                      <w:lang w:eastAsia="zh-CN"/>
                    </w:rPr>
                    <w:t>m</w:t>
                  </w:r>
                  <w:r>
                    <w:rPr>
                      <w:rFonts w:hint="default" w:ascii="Times New Roman" w:hAnsi="Times New Roman" w:eastAsia="宋体" w:cs="Times New Roman"/>
                      <w:b w:val="0"/>
                      <w:bCs w:val="0"/>
                      <w:color w:val="auto"/>
                      <w:sz w:val="21"/>
                      <w:szCs w:val="21"/>
                      <w:vertAlign w:val="superscript"/>
                      <w:lang w:eastAsia="zh-CN"/>
                    </w:rPr>
                    <w:t>3</w:t>
                  </w:r>
                </w:p>
              </w:tc>
              <w:tc>
                <w:tcPr>
                  <w:tcW w:w="1127" w:type="dxa"/>
                  <w:tcBorders>
                    <w:top w:val="single" w:color="000000" w:sz="4" w:space="0"/>
                    <w:left w:val="single" w:color="000000" w:sz="4" w:space="0"/>
                    <w:bottom w:val="single" w:color="000000" w:sz="4" w:space="0"/>
                    <w:right w:val="single" w:color="000000" w:sz="4" w:space="0"/>
                  </w:tcBorders>
                  <w:noWrap/>
                  <w:vAlign w:val="center"/>
                </w:tcPr>
                <w:p w14:paraId="7EA64D9F">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rPr>
                    <w:t>达标</w:t>
                  </w:r>
                </w:p>
              </w:tc>
            </w:tr>
            <w:tr w14:paraId="4FF28B9D">
              <w:tblPrEx>
                <w:tblCellMar>
                  <w:top w:w="0" w:type="dxa"/>
                  <w:left w:w="108" w:type="dxa"/>
                  <w:bottom w:w="0" w:type="dxa"/>
                  <w:right w:w="108" w:type="dxa"/>
                </w:tblCellMar>
              </w:tblPrEx>
              <w:trPr>
                <w:trHeight w:val="320" w:hRule="atLeast"/>
                <w:jc w:val="center"/>
              </w:trPr>
              <w:tc>
                <w:tcPr>
                  <w:tcW w:w="1673" w:type="dxa"/>
                  <w:tcBorders>
                    <w:top w:val="single" w:color="000000" w:sz="4" w:space="0"/>
                    <w:left w:val="single" w:color="000000" w:sz="4" w:space="0"/>
                    <w:bottom w:val="single" w:color="000000" w:sz="4" w:space="0"/>
                    <w:right w:val="single" w:color="000000" w:sz="4" w:space="0"/>
                  </w:tcBorders>
                  <w:noWrap/>
                  <w:vAlign w:val="center"/>
                </w:tcPr>
                <w:p w14:paraId="571B52B5">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PM</w:t>
                  </w:r>
                  <w:r>
                    <w:rPr>
                      <w:rFonts w:hint="default" w:ascii="Times New Roman" w:hAnsi="Times New Roman" w:eastAsia="宋体" w:cs="Times New Roman"/>
                      <w:b w:val="0"/>
                      <w:bCs w:val="0"/>
                      <w:color w:val="auto"/>
                      <w:sz w:val="21"/>
                      <w:szCs w:val="21"/>
                      <w:vertAlign w:val="subscript"/>
                      <w:lang w:val="en-US" w:eastAsia="zh-CN"/>
                    </w:rPr>
                    <w:t>10</w:t>
                  </w:r>
                </w:p>
              </w:tc>
              <w:tc>
                <w:tcPr>
                  <w:tcW w:w="2545" w:type="dxa"/>
                  <w:vMerge w:val="continue"/>
                  <w:tcBorders>
                    <w:top w:val="single" w:color="000000" w:sz="4" w:space="0"/>
                    <w:left w:val="single" w:color="000000" w:sz="4" w:space="0"/>
                    <w:bottom w:val="single" w:color="000000" w:sz="4" w:space="0"/>
                    <w:right w:val="single" w:color="000000" w:sz="4" w:space="0"/>
                  </w:tcBorders>
                  <w:noWrap/>
                  <w:vAlign w:val="center"/>
                </w:tcPr>
                <w:p w14:paraId="16641624">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lang w:val="en-US" w:eastAsia="zh-CN"/>
                    </w:rPr>
                  </w:pPr>
                </w:p>
              </w:tc>
              <w:tc>
                <w:tcPr>
                  <w:tcW w:w="1283" w:type="dxa"/>
                  <w:tcBorders>
                    <w:top w:val="single" w:color="000000" w:sz="4" w:space="0"/>
                    <w:left w:val="single" w:color="000000" w:sz="4" w:space="0"/>
                    <w:bottom w:val="single" w:color="000000" w:sz="4" w:space="0"/>
                    <w:right w:val="single" w:color="000000" w:sz="4" w:space="0"/>
                  </w:tcBorders>
                  <w:noWrap/>
                  <w:vAlign w:val="center"/>
                </w:tcPr>
                <w:p w14:paraId="4836AD15">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41</w:t>
                  </w:r>
                  <w:r>
                    <w:rPr>
                      <w:rFonts w:hint="default" w:ascii="Times New Roman" w:hAnsi="Times New Roman" w:eastAsia="宋体" w:cs="Times New Roman"/>
                      <w:b w:val="0"/>
                      <w:bCs w:val="0"/>
                      <w:color w:val="auto"/>
                      <w:sz w:val="21"/>
                      <w:szCs w:val="21"/>
                    </w:rPr>
                    <w:t>µg/</w:t>
                  </w:r>
                  <w:r>
                    <w:rPr>
                      <w:rFonts w:hint="default" w:ascii="Times New Roman" w:hAnsi="Times New Roman" w:eastAsia="宋体" w:cs="Times New Roman"/>
                      <w:b w:val="0"/>
                      <w:bCs w:val="0"/>
                      <w:color w:val="auto"/>
                      <w:sz w:val="21"/>
                      <w:szCs w:val="21"/>
                      <w:lang w:eastAsia="zh-CN"/>
                    </w:rPr>
                    <w:t>m</w:t>
                  </w:r>
                  <w:r>
                    <w:rPr>
                      <w:rFonts w:hint="default" w:ascii="Times New Roman" w:hAnsi="Times New Roman" w:eastAsia="宋体" w:cs="Times New Roman"/>
                      <w:b w:val="0"/>
                      <w:bCs w:val="0"/>
                      <w:color w:val="auto"/>
                      <w:sz w:val="21"/>
                      <w:szCs w:val="21"/>
                      <w:vertAlign w:val="superscript"/>
                      <w:lang w:eastAsia="zh-CN"/>
                    </w:rPr>
                    <w:t>3</w:t>
                  </w:r>
                </w:p>
              </w:tc>
              <w:tc>
                <w:tcPr>
                  <w:tcW w:w="1148" w:type="dxa"/>
                  <w:tcBorders>
                    <w:top w:val="single" w:color="000000" w:sz="4" w:space="0"/>
                    <w:left w:val="single" w:color="000000" w:sz="4" w:space="0"/>
                    <w:bottom w:val="single" w:color="000000" w:sz="4" w:space="0"/>
                    <w:right w:val="single" w:color="000000" w:sz="4" w:space="0"/>
                  </w:tcBorders>
                  <w:noWrap/>
                  <w:vAlign w:val="center"/>
                </w:tcPr>
                <w:p w14:paraId="1A6CED15">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70</w:t>
                  </w:r>
                  <w:r>
                    <w:rPr>
                      <w:rFonts w:hint="default" w:ascii="Times New Roman" w:hAnsi="Times New Roman" w:eastAsia="宋体" w:cs="Times New Roman"/>
                      <w:b w:val="0"/>
                      <w:bCs w:val="0"/>
                      <w:color w:val="auto"/>
                      <w:sz w:val="21"/>
                      <w:szCs w:val="21"/>
                    </w:rPr>
                    <w:t>µg/</w:t>
                  </w:r>
                  <w:r>
                    <w:rPr>
                      <w:rFonts w:hint="default" w:ascii="Times New Roman" w:hAnsi="Times New Roman" w:eastAsia="宋体" w:cs="Times New Roman"/>
                      <w:b w:val="0"/>
                      <w:bCs w:val="0"/>
                      <w:color w:val="auto"/>
                      <w:sz w:val="21"/>
                      <w:szCs w:val="21"/>
                      <w:lang w:eastAsia="zh-CN"/>
                    </w:rPr>
                    <w:t>m</w:t>
                  </w:r>
                  <w:r>
                    <w:rPr>
                      <w:rFonts w:hint="default" w:ascii="Times New Roman" w:hAnsi="Times New Roman" w:eastAsia="宋体" w:cs="Times New Roman"/>
                      <w:b w:val="0"/>
                      <w:bCs w:val="0"/>
                      <w:color w:val="auto"/>
                      <w:sz w:val="21"/>
                      <w:szCs w:val="21"/>
                      <w:vertAlign w:val="superscript"/>
                      <w:lang w:eastAsia="zh-CN"/>
                    </w:rPr>
                    <w:t>3</w:t>
                  </w:r>
                </w:p>
              </w:tc>
              <w:tc>
                <w:tcPr>
                  <w:tcW w:w="1127" w:type="dxa"/>
                  <w:tcBorders>
                    <w:top w:val="single" w:color="000000" w:sz="4" w:space="0"/>
                    <w:left w:val="single" w:color="000000" w:sz="4" w:space="0"/>
                    <w:bottom w:val="single" w:color="000000" w:sz="4" w:space="0"/>
                    <w:right w:val="single" w:color="000000" w:sz="4" w:space="0"/>
                  </w:tcBorders>
                  <w:noWrap/>
                  <w:vAlign w:val="center"/>
                </w:tcPr>
                <w:p w14:paraId="6DBD40A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rPr>
                    <w:t>达标</w:t>
                  </w:r>
                </w:p>
              </w:tc>
            </w:tr>
            <w:tr w14:paraId="63D86408">
              <w:tblPrEx>
                <w:tblCellMar>
                  <w:top w:w="0" w:type="dxa"/>
                  <w:left w:w="108" w:type="dxa"/>
                  <w:bottom w:w="0" w:type="dxa"/>
                  <w:right w:w="108" w:type="dxa"/>
                </w:tblCellMar>
              </w:tblPrEx>
              <w:trPr>
                <w:trHeight w:val="320" w:hRule="atLeast"/>
                <w:jc w:val="center"/>
              </w:trPr>
              <w:tc>
                <w:tcPr>
                  <w:tcW w:w="1673" w:type="dxa"/>
                  <w:tcBorders>
                    <w:top w:val="single" w:color="000000" w:sz="4" w:space="0"/>
                    <w:left w:val="single" w:color="000000" w:sz="4" w:space="0"/>
                    <w:bottom w:val="single" w:color="000000" w:sz="4" w:space="0"/>
                    <w:right w:val="single" w:color="000000" w:sz="4" w:space="0"/>
                  </w:tcBorders>
                  <w:noWrap/>
                  <w:vAlign w:val="center"/>
                </w:tcPr>
                <w:p w14:paraId="1B9F0B60">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rPr>
                    <w:t>PM</w:t>
                  </w:r>
                  <w:r>
                    <w:rPr>
                      <w:rFonts w:hint="default" w:ascii="Times New Roman" w:hAnsi="Times New Roman" w:eastAsia="宋体" w:cs="Times New Roman"/>
                      <w:b w:val="0"/>
                      <w:bCs w:val="0"/>
                      <w:color w:val="auto"/>
                      <w:sz w:val="21"/>
                      <w:szCs w:val="21"/>
                      <w:vertAlign w:val="subscript"/>
                    </w:rPr>
                    <w:t>2.5</w:t>
                  </w:r>
                </w:p>
              </w:tc>
              <w:tc>
                <w:tcPr>
                  <w:tcW w:w="2545" w:type="dxa"/>
                  <w:vMerge w:val="continue"/>
                  <w:tcBorders>
                    <w:top w:val="single" w:color="000000" w:sz="4" w:space="0"/>
                    <w:left w:val="single" w:color="000000" w:sz="4" w:space="0"/>
                    <w:bottom w:val="single" w:color="000000" w:sz="4" w:space="0"/>
                    <w:right w:val="single" w:color="000000" w:sz="4" w:space="0"/>
                  </w:tcBorders>
                  <w:noWrap/>
                  <w:vAlign w:val="center"/>
                </w:tcPr>
                <w:p w14:paraId="61C23BD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lang w:val="en-US" w:eastAsia="zh-CN"/>
                    </w:rPr>
                  </w:pPr>
                </w:p>
              </w:tc>
              <w:tc>
                <w:tcPr>
                  <w:tcW w:w="1283" w:type="dxa"/>
                  <w:tcBorders>
                    <w:top w:val="single" w:color="000000" w:sz="4" w:space="0"/>
                    <w:left w:val="single" w:color="000000" w:sz="4" w:space="0"/>
                    <w:bottom w:val="single" w:color="000000" w:sz="4" w:space="0"/>
                    <w:right w:val="single" w:color="000000" w:sz="4" w:space="0"/>
                  </w:tcBorders>
                  <w:noWrap/>
                  <w:vAlign w:val="center"/>
                </w:tcPr>
                <w:p w14:paraId="6B7BBFD6">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22</w:t>
                  </w:r>
                  <w:r>
                    <w:rPr>
                      <w:rFonts w:hint="default" w:ascii="Times New Roman" w:hAnsi="Times New Roman" w:eastAsia="宋体" w:cs="Times New Roman"/>
                      <w:b w:val="0"/>
                      <w:bCs w:val="0"/>
                      <w:color w:val="auto"/>
                      <w:sz w:val="21"/>
                      <w:szCs w:val="21"/>
                    </w:rPr>
                    <w:t>µg/</w:t>
                  </w:r>
                  <w:r>
                    <w:rPr>
                      <w:rFonts w:hint="default" w:ascii="Times New Roman" w:hAnsi="Times New Roman" w:eastAsia="宋体" w:cs="Times New Roman"/>
                      <w:b w:val="0"/>
                      <w:bCs w:val="0"/>
                      <w:color w:val="auto"/>
                      <w:sz w:val="21"/>
                      <w:szCs w:val="21"/>
                      <w:lang w:eastAsia="zh-CN"/>
                    </w:rPr>
                    <w:t>m</w:t>
                  </w:r>
                  <w:r>
                    <w:rPr>
                      <w:rFonts w:hint="default" w:ascii="Times New Roman" w:hAnsi="Times New Roman" w:eastAsia="宋体" w:cs="Times New Roman"/>
                      <w:b w:val="0"/>
                      <w:bCs w:val="0"/>
                      <w:color w:val="auto"/>
                      <w:sz w:val="21"/>
                      <w:szCs w:val="21"/>
                      <w:vertAlign w:val="superscript"/>
                      <w:lang w:eastAsia="zh-CN"/>
                    </w:rPr>
                    <w:t>3</w:t>
                  </w:r>
                </w:p>
              </w:tc>
              <w:tc>
                <w:tcPr>
                  <w:tcW w:w="1148" w:type="dxa"/>
                  <w:tcBorders>
                    <w:top w:val="single" w:color="000000" w:sz="4" w:space="0"/>
                    <w:left w:val="single" w:color="000000" w:sz="4" w:space="0"/>
                    <w:bottom w:val="single" w:color="000000" w:sz="4" w:space="0"/>
                    <w:right w:val="single" w:color="000000" w:sz="4" w:space="0"/>
                  </w:tcBorders>
                  <w:noWrap/>
                  <w:vAlign w:val="center"/>
                </w:tcPr>
                <w:p w14:paraId="29A8C243">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35</w:t>
                  </w:r>
                  <w:r>
                    <w:rPr>
                      <w:rFonts w:hint="default" w:ascii="Times New Roman" w:hAnsi="Times New Roman" w:eastAsia="宋体" w:cs="Times New Roman"/>
                      <w:b w:val="0"/>
                      <w:bCs w:val="0"/>
                      <w:color w:val="auto"/>
                      <w:sz w:val="21"/>
                      <w:szCs w:val="21"/>
                    </w:rPr>
                    <w:t>µg/</w:t>
                  </w:r>
                  <w:r>
                    <w:rPr>
                      <w:rFonts w:hint="default" w:ascii="Times New Roman" w:hAnsi="Times New Roman" w:eastAsia="宋体" w:cs="Times New Roman"/>
                      <w:b w:val="0"/>
                      <w:bCs w:val="0"/>
                      <w:color w:val="auto"/>
                      <w:sz w:val="21"/>
                      <w:szCs w:val="21"/>
                      <w:lang w:eastAsia="zh-CN"/>
                    </w:rPr>
                    <w:t>m</w:t>
                  </w:r>
                  <w:r>
                    <w:rPr>
                      <w:rFonts w:hint="default" w:ascii="Times New Roman" w:hAnsi="Times New Roman" w:eastAsia="宋体" w:cs="Times New Roman"/>
                      <w:b w:val="0"/>
                      <w:bCs w:val="0"/>
                      <w:color w:val="auto"/>
                      <w:sz w:val="21"/>
                      <w:szCs w:val="21"/>
                      <w:vertAlign w:val="superscript"/>
                      <w:lang w:eastAsia="zh-CN"/>
                    </w:rPr>
                    <w:t>3</w:t>
                  </w:r>
                </w:p>
              </w:tc>
              <w:tc>
                <w:tcPr>
                  <w:tcW w:w="1127" w:type="dxa"/>
                  <w:tcBorders>
                    <w:top w:val="single" w:color="000000" w:sz="4" w:space="0"/>
                    <w:left w:val="single" w:color="000000" w:sz="4" w:space="0"/>
                    <w:bottom w:val="single" w:color="000000" w:sz="4" w:space="0"/>
                    <w:right w:val="single" w:color="000000" w:sz="4" w:space="0"/>
                  </w:tcBorders>
                  <w:noWrap/>
                  <w:vAlign w:val="center"/>
                </w:tcPr>
                <w:p w14:paraId="39720324">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rPr>
                    <w:t>达标</w:t>
                  </w:r>
                </w:p>
              </w:tc>
            </w:tr>
            <w:tr w14:paraId="3F280A4D">
              <w:tblPrEx>
                <w:tblCellMar>
                  <w:top w:w="0" w:type="dxa"/>
                  <w:left w:w="108" w:type="dxa"/>
                  <w:bottom w:w="0" w:type="dxa"/>
                  <w:right w:w="108" w:type="dxa"/>
                </w:tblCellMar>
              </w:tblPrEx>
              <w:trPr>
                <w:trHeight w:val="629" w:hRule="atLeast"/>
                <w:jc w:val="center"/>
              </w:trPr>
              <w:tc>
                <w:tcPr>
                  <w:tcW w:w="1673" w:type="dxa"/>
                  <w:tcBorders>
                    <w:top w:val="single" w:color="000000" w:sz="4" w:space="0"/>
                    <w:left w:val="single" w:color="000000" w:sz="4" w:space="0"/>
                    <w:bottom w:val="single" w:color="000000" w:sz="4" w:space="0"/>
                    <w:right w:val="single" w:color="000000" w:sz="4" w:space="0"/>
                  </w:tcBorders>
                  <w:noWrap/>
                  <w:vAlign w:val="center"/>
                </w:tcPr>
                <w:p w14:paraId="5DCE8E97">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rPr>
                    <w:t>O</w:t>
                  </w:r>
                  <w:r>
                    <w:rPr>
                      <w:rFonts w:hint="default" w:ascii="Times New Roman" w:hAnsi="Times New Roman" w:eastAsia="宋体" w:cs="Times New Roman"/>
                      <w:b w:val="0"/>
                      <w:bCs w:val="0"/>
                      <w:color w:val="auto"/>
                      <w:sz w:val="21"/>
                      <w:szCs w:val="21"/>
                      <w:vertAlign w:val="subscript"/>
                    </w:rPr>
                    <w:t>3</w:t>
                  </w:r>
                </w:p>
              </w:tc>
              <w:tc>
                <w:tcPr>
                  <w:tcW w:w="2545" w:type="dxa"/>
                  <w:tcBorders>
                    <w:top w:val="single" w:color="000000" w:sz="4" w:space="0"/>
                    <w:left w:val="single" w:color="000000" w:sz="4" w:space="0"/>
                    <w:bottom w:val="single" w:color="000000" w:sz="4" w:space="0"/>
                    <w:right w:val="single" w:color="000000" w:sz="4" w:space="0"/>
                  </w:tcBorders>
                  <w:noWrap/>
                  <w:vAlign w:val="center"/>
                </w:tcPr>
                <w:p w14:paraId="03DE426E">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最大8小时平均第90百分位数</w:t>
                  </w:r>
                </w:p>
              </w:tc>
              <w:tc>
                <w:tcPr>
                  <w:tcW w:w="1283" w:type="dxa"/>
                  <w:tcBorders>
                    <w:top w:val="single" w:color="000000" w:sz="4" w:space="0"/>
                    <w:left w:val="single" w:color="000000" w:sz="4" w:space="0"/>
                    <w:bottom w:val="single" w:color="000000" w:sz="4" w:space="0"/>
                    <w:right w:val="single" w:color="000000" w:sz="4" w:space="0"/>
                  </w:tcBorders>
                  <w:noWrap/>
                  <w:vAlign w:val="center"/>
                </w:tcPr>
                <w:p w14:paraId="20D8A231">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118</w:t>
                  </w:r>
                  <w:r>
                    <w:rPr>
                      <w:rFonts w:hint="default" w:ascii="Times New Roman" w:hAnsi="Times New Roman" w:eastAsia="宋体" w:cs="Times New Roman"/>
                      <w:b w:val="0"/>
                      <w:bCs w:val="0"/>
                      <w:color w:val="auto"/>
                      <w:sz w:val="21"/>
                      <w:szCs w:val="21"/>
                    </w:rPr>
                    <w:t>µg/</w:t>
                  </w:r>
                  <w:r>
                    <w:rPr>
                      <w:rFonts w:hint="default" w:ascii="Times New Roman" w:hAnsi="Times New Roman" w:eastAsia="宋体" w:cs="Times New Roman"/>
                      <w:b w:val="0"/>
                      <w:bCs w:val="0"/>
                      <w:color w:val="auto"/>
                      <w:sz w:val="21"/>
                      <w:szCs w:val="21"/>
                      <w:lang w:eastAsia="zh-CN"/>
                    </w:rPr>
                    <w:t>m</w:t>
                  </w:r>
                  <w:r>
                    <w:rPr>
                      <w:rFonts w:hint="default" w:ascii="Times New Roman" w:hAnsi="Times New Roman" w:eastAsia="宋体" w:cs="Times New Roman"/>
                      <w:b w:val="0"/>
                      <w:bCs w:val="0"/>
                      <w:color w:val="auto"/>
                      <w:sz w:val="21"/>
                      <w:szCs w:val="21"/>
                      <w:vertAlign w:val="superscript"/>
                      <w:lang w:eastAsia="zh-CN"/>
                    </w:rPr>
                    <w:t>3</w:t>
                  </w:r>
                </w:p>
              </w:tc>
              <w:tc>
                <w:tcPr>
                  <w:tcW w:w="1148" w:type="dxa"/>
                  <w:tcBorders>
                    <w:top w:val="single" w:color="000000" w:sz="4" w:space="0"/>
                    <w:left w:val="single" w:color="000000" w:sz="4" w:space="0"/>
                    <w:bottom w:val="single" w:color="000000" w:sz="4" w:space="0"/>
                    <w:right w:val="single" w:color="000000" w:sz="4" w:space="0"/>
                  </w:tcBorders>
                  <w:noWrap/>
                  <w:vAlign w:val="center"/>
                </w:tcPr>
                <w:p w14:paraId="4D1729B7">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160</w:t>
                  </w:r>
                  <w:r>
                    <w:rPr>
                      <w:rFonts w:hint="default" w:ascii="Times New Roman" w:hAnsi="Times New Roman" w:eastAsia="宋体" w:cs="Times New Roman"/>
                      <w:b w:val="0"/>
                      <w:bCs w:val="0"/>
                      <w:color w:val="auto"/>
                      <w:sz w:val="21"/>
                      <w:szCs w:val="21"/>
                    </w:rPr>
                    <w:t>µg/</w:t>
                  </w:r>
                  <w:r>
                    <w:rPr>
                      <w:rFonts w:hint="default" w:ascii="Times New Roman" w:hAnsi="Times New Roman" w:eastAsia="宋体" w:cs="Times New Roman"/>
                      <w:b w:val="0"/>
                      <w:bCs w:val="0"/>
                      <w:color w:val="auto"/>
                      <w:sz w:val="21"/>
                      <w:szCs w:val="21"/>
                      <w:lang w:eastAsia="zh-CN"/>
                    </w:rPr>
                    <w:t>m</w:t>
                  </w:r>
                  <w:r>
                    <w:rPr>
                      <w:rFonts w:hint="default" w:ascii="Times New Roman" w:hAnsi="Times New Roman" w:eastAsia="宋体" w:cs="Times New Roman"/>
                      <w:b w:val="0"/>
                      <w:bCs w:val="0"/>
                      <w:color w:val="auto"/>
                      <w:sz w:val="21"/>
                      <w:szCs w:val="21"/>
                      <w:vertAlign w:val="superscript"/>
                      <w:lang w:eastAsia="zh-CN"/>
                    </w:rPr>
                    <w:t>3</w:t>
                  </w:r>
                </w:p>
              </w:tc>
              <w:tc>
                <w:tcPr>
                  <w:tcW w:w="1127" w:type="dxa"/>
                  <w:tcBorders>
                    <w:top w:val="single" w:color="000000" w:sz="4" w:space="0"/>
                    <w:left w:val="single" w:color="000000" w:sz="4" w:space="0"/>
                    <w:bottom w:val="single" w:color="000000" w:sz="4" w:space="0"/>
                    <w:right w:val="single" w:color="000000" w:sz="4" w:space="0"/>
                  </w:tcBorders>
                  <w:noWrap/>
                  <w:vAlign w:val="center"/>
                </w:tcPr>
                <w:p w14:paraId="19B3EAC2">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rPr>
                    <w:t>达标</w:t>
                  </w:r>
                </w:p>
              </w:tc>
            </w:tr>
            <w:tr w14:paraId="31FFE2F4">
              <w:tblPrEx>
                <w:tblCellMar>
                  <w:top w:w="0" w:type="dxa"/>
                  <w:left w:w="108" w:type="dxa"/>
                  <w:bottom w:w="0" w:type="dxa"/>
                  <w:right w:w="108" w:type="dxa"/>
                </w:tblCellMar>
              </w:tblPrEx>
              <w:trPr>
                <w:trHeight w:val="639" w:hRule="atLeast"/>
                <w:jc w:val="center"/>
              </w:trPr>
              <w:tc>
                <w:tcPr>
                  <w:tcW w:w="1673" w:type="dxa"/>
                  <w:tcBorders>
                    <w:top w:val="single" w:color="000000" w:sz="4" w:space="0"/>
                    <w:left w:val="single" w:color="000000" w:sz="4" w:space="0"/>
                    <w:bottom w:val="single" w:color="000000" w:sz="4" w:space="0"/>
                    <w:right w:val="single" w:color="000000" w:sz="4" w:space="0"/>
                  </w:tcBorders>
                  <w:noWrap/>
                  <w:vAlign w:val="center"/>
                </w:tcPr>
                <w:p w14:paraId="6B0F5AB9">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CO</w:t>
                  </w:r>
                </w:p>
              </w:tc>
              <w:tc>
                <w:tcPr>
                  <w:tcW w:w="2545" w:type="dxa"/>
                  <w:tcBorders>
                    <w:top w:val="single" w:color="000000" w:sz="4" w:space="0"/>
                    <w:left w:val="single" w:color="000000" w:sz="4" w:space="0"/>
                    <w:bottom w:val="single" w:color="000000" w:sz="4" w:space="0"/>
                    <w:right w:val="single" w:color="000000" w:sz="4" w:space="0"/>
                  </w:tcBorders>
                  <w:noWrap/>
                  <w:vAlign w:val="center"/>
                </w:tcPr>
                <w:p w14:paraId="5FCFF9A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24小时平均第95百分位数</w:t>
                  </w:r>
                </w:p>
              </w:tc>
              <w:tc>
                <w:tcPr>
                  <w:tcW w:w="1283" w:type="dxa"/>
                  <w:tcBorders>
                    <w:top w:val="single" w:color="000000" w:sz="4" w:space="0"/>
                    <w:left w:val="single" w:color="000000" w:sz="4" w:space="0"/>
                    <w:bottom w:val="single" w:color="000000" w:sz="4" w:space="0"/>
                    <w:right w:val="single" w:color="000000" w:sz="4" w:space="0"/>
                  </w:tcBorders>
                  <w:noWrap/>
                  <w:vAlign w:val="center"/>
                </w:tcPr>
                <w:p w14:paraId="06027B4A">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0.9(mg/</w:t>
                  </w:r>
                  <w:r>
                    <w:rPr>
                      <w:rFonts w:hint="default" w:ascii="Times New Roman" w:hAnsi="Times New Roman" w:eastAsia="宋体" w:cs="Times New Roman"/>
                      <w:b w:val="0"/>
                      <w:bCs w:val="0"/>
                      <w:color w:val="auto"/>
                      <w:sz w:val="21"/>
                      <w:szCs w:val="21"/>
                      <w:lang w:eastAsia="zh-CN"/>
                    </w:rPr>
                    <w:t>m</w:t>
                  </w:r>
                  <w:r>
                    <w:rPr>
                      <w:rFonts w:hint="default" w:ascii="Times New Roman" w:hAnsi="Times New Roman" w:eastAsia="宋体" w:cs="Times New Roman"/>
                      <w:b w:val="0"/>
                      <w:bCs w:val="0"/>
                      <w:color w:val="auto"/>
                      <w:sz w:val="21"/>
                      <w:szCs w:val="21"/>
                      <w:vertAlign w:val="superscript"/>
                      <w:lang w:eastAsia="zh-CN"/>
                    </w:rPr>
                    <w:t>3</w:t>
                  </w:r>
                  <w:r>
                    <w:rPr>
                      <w:rFonts w:hint="default" w:ascii="Times New Roman" w:hAnsi="Times New Roman" w:eastAsia="宋体" w:cs="Times New Roman"/>
                      <w:b w:val="0"/>
                      <w:bCs w:val="0"/>
                      <w:color w:val="auto"/>
                      <w:sz w:val="21"/>
                      <w:szCs w:val="21"/>
                      <w:lang w:val="en-US" w:eastAsia="zh-CN"/>
                    </w:rPr>
                    <w:t>)</w:t>
                  </w:r>
                </w:p>
              </w:tc>
              <w:tc>
                <w:tcPr>
                  <w:tcW w:w="1148" w:type="dxa"/>
                  <w:tcBorders>
                    <w:top w:val="single" w:color="000000" w:sz="4" w:space="0"/>
                    <w:left w:val="single" w:color="000000" w:sz="4" w:space="0"/>
                    <w:bottom w:val="single" w:color="000000" w:sz="4" w:space="0"/>
                    <w:right w:val="single" w:color="000000" w:sz="4" w:space="0"/>
                  </w:tcBorders>
                  <w:noWrap/>
                  <w:vAlign w:val="center"/>
                </w:tcPr>
                <w:p w14:paraId="722DAF0C">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4(mg/</w:t>
                  </w:r>
                  <w:r>
                    <w:rPr>
                      <w:rFonts w:hint="default" w:ascii="Times New Roman" w:hAnsi="Times New Roman" w:eastAsia="宋体" w:cs="Times New Roman"/>
                      <w:b w:val="0"/>
                      <w:bCs w:val="0"/>
                      <w:color w:val="auto"/>
                      <w:sz w:val="21"/>
                      <w:szCs w:val="21"/>
                      <w:lang w:eastAsia="zh-CN"/>
                    </w:rPr>
                    <w:t>m</w:t>
                  </w:r>
                  <w:r>
                    <w:rPr>
                      <w:rFonts w:hint="default" w:ascii="Times New Roman" w:hAnsi="Times New Roman" w:eastAsia="宋体" w:cs="Times New Roman"/>
                      <w:b w:val="0"/>
                      <w:bCs w:val="0"/>
                      <w:color w:val="auto"/>
                      <w:sz w:val="21"/>
                      <w:szCs w:val="21"/>
                      <w:vertAlign w:val="superscript"/>
                      <w:lang w:eastAsia="zh-CN"/>
                    </w:rPr>
                    <w:t>3</w:t>
                  </w:r>
                  <w:r>
                    <w:rPr>
                      <w:rFonts w:hint="default" w:ascii="Times New Roman" w:hAnsi="Times New Roman" w:eastAsia="宋体" w:cs="Times New Roman"/>
                      <w:b w:val="0"/>
                      <w:bCs w:val="0"/>
                      <w:color w:val="auto"/>
                      <w:sz w:val="21"/>
                      <w:szCs w:val="21"/>
                      <w:lang w:val="en-US" w:eastAsia="zh-CN"/>
                    </w:rPr>
                    <w:t>)</w:t>
                  </w:r>
                </w:p>
              </w:tc>
              <w:tc>
                <w:tcPr>
                  <w:tcW w:w="1127" w:type="dxa"/>
                  <w:tcBorders>
                    <w:top w:val="single" w:color="000000" w:sz="4" w:space="0"/>
                    <w:left w:val="single" w:color="000000" w:sz="4" w:space="0"/>
                    <w:bottom w:val="single" w:color="000000" w:sz="4" w:space="0"/>
                    <w:right w:val="single" w:color="000000" w:sz="4" w:space="0"/>
                  </w:tcBorders>
                  <w:noWrap/>
                  <w:vAlign w:val="center"/>
                </w:tcPr>
                <w:p w14:paraId="430FAC85">
                  <w:pPr>
                    <w:pStyle w:val="7"/>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rPr>
                    <w:t>达标</w:t>
                  </w:r>
                </w:p>
              </w:tc>
            </w:tr>
          </w:tbl>
          <w:p w14:paraId="454D4263">
            <w:pPr>
              <w:pStyle w:val="6"/>
              <w:keepNext w:val="0"/>
              <w:keepLines w:val="0"/>
              <w:pageBreakBefore w:val="0"/>
              <w:widowControl w:val="0"/>
              <w:kinsoku/>
              <w:wordWrap/>
              <w:overflowPunct/>
              <w:topLinePunct w:val="0"/>
              <w:autoSpaceDE/>
              <w:autoSpaceDN/>
              <w:bidi w:val="0"/>
              <w:adjustRightInd/>
              <w:snapToGrid/>
              <w:spacing w:before="0" w:after="0" w:line="360" w:lineRule="auto"/>
              <w:ind w:left="0" w:leftChars="0" w:firstLine="482" w:firstLineChars="200"/>
              <w:textAlignment w:val="auto"/>
              <w:rPr>
                <w:rFonts w:hint="default" w:ascii="Times New Roman" w:hAnsi="Times New Roman" w:cs="Times New Roman"/>
                <w:b/>
                <w:bCs/>
                <w:caps w:val="0"/>
                <w:smallCaps w:val="0"/>
                <w:color w:val="auto"/>
                <w:kern w:val="2"/>
                <w:sz w:val="24"/>
                <w:szCs w:val="24"/>
                <w:lang w:val="en-US" w:eastAsia="zh-CN" w:bidi="ar-SA"/>
              </w:rPr>
            </w:pPr>
            <w:r>
              <w:rPr>
                <w:rFonts w:hint="eastAsia" w:ascii="Times New Roman" w:hAnsi="Times New Roman" w:cs="Times New Roman"/>
                <w:b/>
                <w:bCs/>
                <w:caps w:val="0"/>
                <w:smallCaps w:val="0"/>
                <w:color w:val="auto"/>
                <w:kern w:val="2"/>
                <w:sz w:val="24"/>
                <w:szCs w:val="24"/>
                <w:lang w:val="en-US" w:eastAsia="zh-CN" w:bidi="ar-SA"/>
              </w:rPr>
              <w:t>2</w:t>
            </w:r>
            <w:r>
              <w:rPr>
                <w:rFonts w:hint="default" w:ascii="Times New Roman" w:hAnsi="Times New Roman" w:cs="Times New Roman"/>
                <w:b/>
                <w:bCs/>
                <w:caps w:val="0"/>
                <w:smallCaps w:val="0"/>
                <w:color w:val="auto"/>
                <w:kern w:val="2"/>
                <w:sz w:val="24"/>
                <w:szCs w:val="24"/>
                <w:lang w:val="en-US" w:eastAsia="zh-CN" w:bidi="ar-SA"/>
              </w:rPr>
              <w:t>、地表水环境质量现状</w:t>
            </w:r>
          </w:p>
          <w:p w14:paraId="2737A640">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aps w:val="0"/>
                <w:smallCaps w:val="0"/>
                <w:color w:val="auto"/>
              </w:rPr>
            </w:pPr>
            <w:r>
              <w:rPr>
                <w:rFonts w:hint="default" w:ascii="Times New Roman" w:hAnsi="Times New Roman" w:eastAsia="宋体" w:cs="Times New Roman"/>
                <w:color w:val="auto"/>
                <w:lang w:eastAsia="zh-CN"/>
              </w:rPr>
              <w:t>本次河道治理工程地表水主要为</w:t>
            </w:r>
            <w:r>
              <w:rPr>
                <w:rFonts w:hint="default" w:ascii="Times New Roman" w:hAnsi="Times New Roman" w:eastAsia="宋体" w:cs="Times New Roman"/>
                <w:color w:val="auto"/>
                <w:lang w:val="en-US" w:eastAsia="zh-CN"/>
              </w:rPr>
              <w:t>果朗河，其次治理河段两岸分布有</w:t>
            </w:r>
            <w:r>
              <w:rPr>
                <w:rFonts w:hint="default" w:ascii="Times New Roman" w:hAnsi="Times New Roman" w:eastAsia="宋体" w:cs="Times New Roman"/>
                <w:color w:val="auto"/>
                <w:kern w:val="0"/>
                <w:sz w:val="24"/>
                <w:szCs w:val="24"/>
                <w:lang w:val="en-US" w:eastAsia="zh-CN" w:bidi="ar"/>
              </w:rPr>
              <w:t>芒里大沟、下景坎大沟、那目大沟、弄么大沟、广沙河及南相章河共6条支流，</w:t>
            </w:r>
            <w:r>
              <w:rPr>
                <w:rFonts w:hint="default" w:ascii="Times New Roman" w:hAnsi="Times New Roman" w:eastAsia="宋体" w:cs="Times New Roman"/>
                <w:color w:val="auto"/>
                <w:lang w:val="en-US" w:eastAsia="zh-CN"/>
              </w:rPr>
              <w:t>果朗河为芒市大河支流</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aps w:val="0"/>
                <w:smallCaps w:val="0"/>
                <w:color w:val="auto"/>
              </w:rPr>
              <w:t>根据《云南省</w:t>
            </w:r>
            <w:r>
              <w:rPr>
                <w:rFonts w:hint="default" w:ascii="Times New Roman" w:hAnsi="Times New Roman" w:eastAsia="宋体" w:cs="Times New Roman"/>
                <w:caps w:val="0"/>
                <w:smallCaps w:val="0"/>
                <w:color w:val="auto"/>
                <w:lang w:eastAsia="zh-CN"/>
              </w:rPr>
              <w:t>水</w:t>
            </w:r>
            <w:r>
              <w:rPr>
                <w:rFonts w:hint="default" w:ascii="Times New Roman" w:hAnsi="Times New Roman" w:eastAsia="宋体" w:cs="Times New Roman"/>
                <w:caps w:val="0"/>
                <w:smallCaps w:val="0"/>
                <w:color w:val="auto"/>
              </w:rPr>
              <w:t>功能区划（</w:t>
            </w:r>
            <w:r>
              <w:rPr>
                <w:rFonts w:hint="default" w:ascii="Times New Roman" w:hAnsi="Times New Roman" w:eastAsia="宋体" w:cs="Times New Roman"/>
                <w:caps w:val="0"/>
                <w:smallCaps w:val="0"/>
                <w:color w:val="auto"/>
                <w:lang w:val="en-US" w:eastAsia="zh-CN"/>
              </w:rPr>
              <w:t>2014年修订</w:t>
            </w:r>
            <w:r>
              <w:rPr>
                <w:rFonts w:hint="default" w:ascii="Times New Roman" w:hAnsi="Times New Roman" w:eastAsia="宋体" w:cs="Times New Roman"/>
                <w:caps w:val="0"/>
                <w:smallCaps w:val="0"/>
                <w:color w:val="auto"/>
              </w:rPr>
              <w:t>）》</w:t>
            </w:r>
            <w:r>
              <w:rPr>
                <w:rFonts w:hint="default" w:ascii="Times New Roman" w:hAnsi="Times New Roman" w:eastAsia="宋体" w:cs="Times New Roman"/>
                <w:caps w:val="0"/>
                <w:smallCaps w:val="0"/>
                <w:color w:val="auto"/>
                <w:lang w:val="en-US" w:eastAsia="zh-CN"/>
              </w:rPr>
              <w:t>及《德宏州水功能区划复核和调整报告》（德政复〔2014〕257号）</w:t>
            </w:r>
            <w:r>
              <w:rPr>
                <w:rFonts w:hint="default" w:ascii="Times New Roman" w:hAnsi="Times New Roman" w:eastAsia="宋体" w:cs="Times New Roman"/>
                <w:caps w:val="0"/>
                <w:smallCaps w:val="0"/>
                <w:color w:val="auto"/>
              </w:rPr>
              <w:t>，</w:t>
            </w:r>
            <w:r>
              <w:rPr>
                <w:rFonts w:hint="default" w:ascii="Times New Roman" w:hAnsi="Times New Roman" w:eastAsia="宋体" w:cs="Times New Roman"/>
                <w:caps w:val="0"/>
                <w:smallCaps w:val="0"/>
                <w:color w:val="auto"/>
                <w:lang w:eastAsia="zh-CN"/>
              </w:rPr>
              <w:t>果朗河该河段属“芒浩～</w:t>
            </w:r>
            <w:r>
              <w:rPr>
                <w:rFonts w:hint="default" w:ascii="Times New Roman" w:hAnsi="Times New Roman" w:eastAsia="宋体" w:cs="Times New Roman"/>
                <w:caps w:val="0"/>
                <w:smallCaps w:val="0"/>
                <w:color w:val="auto"/>
                <w:lang w:val="en-US" w:eastAsia="zh-CN"/>
              </w:rPr>
              <w:t>入芒市河口</w:t>
            </w:r>
            <w:r>
              <w:rPr>
                <w:rFonts w:hint="default" w:ascii="Times New Roman" w:hAnsi="Times New Roman" w:eastAsia="宋体" w:cs="Times New Roman"/>
                <w:caps w:val="0"/>
                <w:smallCaps w:val="0"/>
                <w:color w:val="auto"/>
                <w:lang w:eastAsia="zh-CN"/>
              </w:rPr>
              <w:t>”段，主要</w:t>
            </w:r>
            <w:r>
              <w:rPr>
                <w:rFonts w:hint="default" w:ascii="Times New Roman" w:hAnsi="Times New Roman" w:eastAsia="宋体" w:cs="Times New Roman"/>
                <w:caps w:val="0"/>
                <w:smallCaps w:val="0"/>
                <w:color w:val="auto"/>
                <w:lang w:val="en-US" w:eastAsia="zh-CN"/>
              </w:rPr>
              <w:t>水环境功能为</w:t>
            </w:r>
            <w:r>
              <w:rPr>
                <w:rFonts w:hint="default" w:ascii="Times New Roman" w:hAnsi="Times New Roman" w:eastAsia="宋体" w:cs="Times New Roman"/>
                <w:caps w:val="0"/>
                <w:smallCaps w:val="0"/>
                <w:color w:val="auto"/>
                <w:lang w:eastAsia="zh-CN"/>
              </w:rPr>
              <w:t>农业用水和工业用水，现状水质为Ⅲ类，规划水平年水质目标为Ⅲ类；</w:t>
            </w:r>
            <w:r>
              <w:rPr>
                <w:rFonts w:hint="default" w:ascii="Times New Roman" w:hAnsi="Times New Roman" w:eastAsia="宋体" w:cs="Times New Roman"/>
                <w:caps w:val="0"/>
                <w:smallCaps w:val="0"/>
                <w:color w:val="auto"/>
                <w:lang w:val="en-US" w:eastAsia="zh-CN"/>
              </w:rPr>
              <w:t>芒市大河该河段属“木康水文站～等戛”</w:t>
            </w:r>
            <w:r>
              <w:rPr>
                <w:rFonts w:hint="default" w:ascii="Times New Roman" w:hAnsi="Times New Roman" w:eastAsia="宋体" w:cs="Times New Roman"/>
                <w:caps w:val="0"/>
                <w:smallCaps w:val="0"/>
                <w:color w:val="auto"/>
                <w:lang w:eastAsia="zh-CN"/>
              </w:rPr>
              <w:t>段，</w:t>
            </w:r>
            <w:r>
              <w:rPr>
                <w:rFonts w:hint="default" w:ascii="Times New Roman" w:hAnsi="Times New Roman" w:eastAsia="宋体" w:cs="Times New Roman"/>
                <w:caps w:val="0"/>
                <w:smallCaps w:val="0"/>
                <w:color w:val="auto"/>
                <w:lang w:val="en-US" w:eastAsia="zh-CN"/>
              </w:rPr>
              <w:t>主要水环境功能为工业﹑农业﹑景观用水，</w:t>
            </w:r>
            <w:r>
              <w:rPr>
                <w:rFonts w:hint="default" w:ascii="Times New Roman" w:hAnsi="Times New Roman" w:eastAsia="宋体" w:cs="Times New Roman"/>
                <w:caps w:val="0"/>
                <w:smallCaps w:val="0"/>
                <w:color w:val="auto"/>
                <w:lang w:eastAsia="zh-CN"/>
              </w:rPr>
              <w:t>现状水质为</w:t>
            </w:r>
            <w:r>
              <w:rPr>
                <w:rFonts w:hint="default" w:ascii="Times New Roman" w:hAnsi="Times New Roman" w:eastAsia="宋体" w:cs="Times New Roman"/>
                <w:caps w:val="0"/>
                <w:smallCaps w:val="0"/>
                <w:color w:val="auto"/>
                <w:lang w:eastAsia="zh-CN"/>
              </w:rPr>
              <w:fldChar w:fldCharType="begin"/>
            </w:r>
            <w:r>
              <w:rPr>
                <w:rFonts w:hint="default" w:ascii="Times New Roman" w:hAnsi="Times New Roman" w:eastAsia="宋体" w:cs="Times New Roman"/>
                <w:caps w:val="0"/>
                <w:smallCaps w:val="0"/>
                <w:color w:val="auto"/>
                <w:lang w:eastAsia="zh-CN"/>
              </w:rPr>
              <w:instrText xml:space="preserve"> = 4 \* ROMAN \* MERGEFORMAT </w:instrText>
            </w:r>
            <w:r>
              <w:rPr>
                <w:rFonts w:hint="default" w:ascii="Times New Roman" w:hAnsi="Times New Roman" w:eastAsia="宋体" w:cs="Times New Roman"/>
                <w:caps w:val="0"/>
                <w:smallCaps w:val="0"/>
                <w:color w:val="auto"/>
                <w:lang w:eastAsia="zh-CN"/>
              </w:rPr>
              <w:fldChar w:fldCharType="separate"/>
            </w:r>
            <w:r>
              <w:rPr>
                <w:rFonts w:hint="default" w:ascii="Times New Roman" w:hAnsi="Times New Roman" w:eastAsia="宋体" w:cs="Times New Roman"/>
                <w:color w:val="auto"/>
              </w:rPr>
              <w:t>IV</w:t>
            </w:r>
            <w:r>
              <w:rPr>
                <w:rFonts w:hint="default" w:ascii="Times New Roman" w:hAnsi="Times New Roman" w:eastAsia="宋体" w:cs="Times New Roman"/>
                <w:caps w:val="0"/>
                <w:smallCaps w:val="0"/>
                <w:color w:val="auto"/>
                <w:lang w:eastAsia="zh-CN"/>
              </w:rPr>
              <w:fldChar w:fldCharType="end"/>
            </w:r>
            <w:r>
              <w:rPr>
                <w:rFonts w:hint="default" w:ascii="Times New Roman" w:hAnsi="Times New Roman" w:eastAsia="宋体" w:cs="Times New Roman"/>
                <w:caps w:val="0"/>
                <w:smallCaps w:val="0"/>
                <w:color w:val="auto"/>
                <w:lang w:eastAsia="zh-CN"/>
              </w:rPr>
              <w:t>类，规划水平年水质目标为Ⅲ类。</w:t>
            </w:r>
            <w:r>
              <w:rPr>
                <w:rFonts w:hint="default" w:ascii="Times New Roman" w:hAnsi="Times New Roman" w:eastAsia="宋体" w:cs="Times New Roman"/>
                <w:caps w:val="0"/>
                <w:smallCaps w:val="0"/>
                <w:color w:val="auto"/>
                <w:lang w:val="en-US" w:eastAsia="zh-CN"/>
              </w:rPr>
              <w:t>经综合分析，区域地表水体均</w:t>
            </w:r>
            <w:r>
              <w:rPr>
                <w:rFonts w:hint="default" w:ascii="Times New Roman" w:hAnsi="Times New Roman" w:eastAsia="宋体" w:cs="Times New Roman"/>
                <w:caps w:val="0"/>
                <w:smallCaps w:val="0"/>
                <w:color w:val="auto"/>
              </w:rPr>
              <w:t>执行《地表水环境质量标准》（GB3838-2002）</w:t>
            </w:r>
            <w:r>
              <w:rPr>
                <w:rFonts w:hint="default" w:ascii="Times New Roman" w:hAnsi="Times New Roman" w:eastAsia="宋体" w:cs="Times New Roman"/>
                <w:caps w:val="0"/>
                <w:smallCaps w:val="0"/>
                <w:color w:val="auto"/>
              </w:rPr>
              <w:fldChar w:fldCharType="begin"/>
            </w:r>
            <w:r>
              <w:rPr>
                <w:rFonts w:hint="default" w:ascii="Times New Roman" w:hAnsi="Times New Roman" w:eastAsia="宋体" w:cs="Times New Roman"/>
                <w:caps w:val="0"/>
                <w:smallCaps w:val="0"/>
                <w:color w:val="auto"/>
              </w:rPr>
              <w:instrText xml:space="preserve"> = 3 \* ROMAN \* MERGEFORMAT </w:instrText>
            </w:r>
            <w:r>
              <w:rPr>
                <w:rFonts w:hint="default" w:ascii="Times New Roman" w:hAnsi="Times New Roman" w:eastAsia="宋体" w:cs="Times New Roman"/>
                <w:caps w:val="0"/>
                <w:smallCaps w:val="0"/>
                <w:color w:val="auto"/>
              </w:rPr>
              <w:fldChar w:fldCharType="separate"/>
            </w:r>
            <w:r>
              <w:rPr>
                <w:rFonts w:hint="default" w:ascii="Times New Roman" w:hAnsi="Times New Roman" w:eastAsia="宋体" w:cs="Times New Roman"/>
                <w:caps w:val="0"/>
                <w:smallCaps w:val="0"/>
                <w:color w:val="auto"/>
              </w:rPr>
              <w:t>III</w:t>
            </w:r>
            <w:r>
              <w:rPr>
                <w:rFonts w:hint="default" w:ascii="Times New Roman" w:hAnsi="Times New Roman" w:eastAsia="宋体" w:cs="Times New Roman"/>
                <w:caps w:val="0"/>
                <w:smallCaps w:val="0"/>
                <w:color w:val="auto"/>
              </w:rPr>
              <w:fldChar w:fldCharType="end"/>
            </w:r>
            <w:r>
              <w:rPr>
                <w:rFonts w:hint="default" w:ascii="Times New Roman" w:hAnsi="Times New Roman" w:eastAsia="宋体" w:cs="Times New Roman"/>
                <w:caps w:val="0"/>
                <w:smallCaps w:val="0"/>
                <w:color w:val="auto"/>
              </w:rPr>
              <w:t>类标准。</w:t>
            </w:r>
          </w:p>
          <w:p w14:paraId="61A16E8C">
            <w:pPr>
              <w:pStyle w:val="6"/>
              <w:pageBreakBefore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val="0"/>
                <w:caps w:val="0"/>
                <w:smallCaps w:val="0"/>
                <w:color w:val="auto"/>
                <w:kern w:val="2"/>
                <w:sz w:val="24"/>
                <w:szCs w:val="24"/>
                <w:lang w:val="en-US" w:eastAsia="zh-CN" w:bidi="ar-SA"/>
              </w:rPr>
            </w:pPr>
            <w:r>
              <w:rPr>
                <w:rFonts w:hint="default" w:ascii="Times New Roman" w:hAnsi="Times New Roman" w:eastAsia="宋体" w:cs="Times New Roman"/>
                <w:b w:val="0"/>
                <w:caps w:val="0"/>
                <w:smallCaps w:val="0"/>
                <w:color w:val="auto"/>
                <w:kern w:val="2"/>
                <w:sz w:val="24"/>
                <w:szCs w:val="24"/>
                <w:lang w:val="en-US" w:eastAsia="zh-CN" w:bidi="ar-SA"/>
              </w:rPr>
              <w:t>根据《2022年德宏州环境状况公报》，2022年全州6条河流水质总体良好，芒市大河水质为良好，全州11个国控、省控河流监测断面中，8个断面水质类别为Ⅱ类，3个断面水质类别为III类，其中II水质占72.7%，III水质占27.3%，所有河流断面均满足其水环境功能区水质目标要求，全州河流水质状况优良率100%。项目区周边主要为村庄、耕地等，基本不存在地表水环境污染源，区域地表水环境质量状况良好。</w:t>
            </w:r>
          </w:p>
          <w:p w14:paraId="0C1EA4E4">
            <w:pPr>
              <w:pStyle w:val="6"/>
              <w:keepNext/>
              <w:keepLines/>
              <w:pageBreakBefore w:val="0"/>
              <w:widowControl w:val="0"/>
              <w:kinsoku/>
              <w:wordWrap/>
              <w:overflowPunct/>
              <w:topLinePunct w:val="0"/>
              <w:autoSpaceDE/>
              <w:autoSpaceDN/>
              <w:bidi w:val="0"/>
              <w:adjustRightInd w:val="0"/>
              <w:snapToGrid/>
              <w:spacing w:before="0" w:after="0" w:line="360" w:lineRule="auto"/>
              <w:textAlignment w:val="auto"/>
              <w:rPr>
                <w:rFonts w:hint="default" w:ascii="Times New Roman" w:hAnsi="Times New Roman" w:eastAsia="宋体" w:cs="Times New Roman"/>
                <w:caps w:val="0"/>
                <w:smallCaps w:val="0"/>
                <w:color w:val="auto"/>
                <w:sz w:val="24"/>
                <w:szCs w:val="24"/>
              </w:rPr>
            </w:pPr>
            <w:r>
              <w:rPr>
                <w:rFonts w:hint="eastAsia" w:ascii="Times New Roman" w:hAnsi="Times New Roman" w:cs="Times New Roman"/>
                <w:caps w:val="0"/>
                <w:smallCaps w:val="0"/>
                <w:color w:val="auto"/>
                <w:sz w:val="24"/>
                <w:szCs w:val="24"/>
                <w:lang w:val="en-US" w:eastAsia="zh-CN"/>
              </w:rPr>
              <w:t>3</w:t>
            </w:r>
            <w:r>
              <w:rPr>
                <w:rFonts w:hint="default" w:ascii="Times New Roman" w:hAnsi="Times New Roman" w:eastAsia="宋体" w:cs="Times New Roman"/>
                <w:caps w:val="0"/>
                <w:smallCaps w:val="0"/>
                <w:color w:val="auto"/>
                <w:sz w:val="24"/>
                <w:szCs w:val="24"/>
                <w:lang w:val="en-US" w:eastAsia="zh-CN"/>
              </w:rPr>
              <w:t>、</w:t>
            </w:r>
            <w:r>
              <w:rPr>
                <w:rFonts w:hint="default" w:ascii="Times New Roman" w:hAnsi="Times New Roman" w:eastAsia="宋体" w:cs="Times New Roman"/>
                <w:caps w:val="0"/>
                <w:smallCaps w:val="0"/>
                <w:color w:val="auto"/>
                <w:sz w:val="24"/>
                <w:szCs w:val="24"/>
              </w:rPr>
              <w:t>声环境质量现状</w:t>
            </w:r>
          </w:p>
          <w:p w14:paraId="7C259D8A">
            <w:pPr>
              <w:bidi w:val="0"/>
              <w:rPr>
                <w:rFonts w:hint="default" w:ascii="Times New Roman" w:hAnsi="Times New Roman" w:eastAsia="宋体" w:cs="Times New Roman"/>
                <w:caps w:val="0"/>
                <w:smallCaps w:val="0"/>
                <w:color w:val="auto"/>
              </w:rPr>
            </w:pPr>
            <w:r>
              <w:rPr>
                <w:rFonts w:hint="default" w:ascii="Times New Roman" w:hAnsi="Times New Roman" w:eastAsia="宋体" w:cs="Times New Roman"/>
                <w:caps w:val="0"/>
                <w:smallCaps w:val="0"/>
                <w:color w:val="auto"/>
              </w:rPr>
              <w:t>本次</w:t>
            </w:r>
            <w:r>
              <w:rPr>
                <w:rFonts w:hint="default" w:ascii="Times New Roman" w:hAnsi="Times New Roman" w:eastAsia="宋体" w:cs="Times New Roman"/>
                <w:caps w:val="0"/>
                <w:smallCaps w:val="0"/>
                <w:color w:val="auto"/>
                <w:lang w:eastAsia="zh-CN"/>
              </w:rPr>
              <w:t>河道治理工程主要位于芒市</w:t>
            </w:r>
            <w:r>
              <w:rPr>
                <w:rFonts w:hint="eastAsia" w:ascii="Times New Roman" w:hAnsi="Times New Roman" w:cs="Times New Roman"/>
                <w:caps w:val="0"/>
                <w:smallCaps w:val="0"/>
                <w:color w:val="auto"/>
                <w:lang w:eastAsia="zh-CN"/>
              </w:rPr>
              <w:t>勐戛镇、风平镇</w:t>
            </w:r>
            <w:r>
              <w:rPr>
                <w:rFonts w:hint="default" w:ascii="Times New Roman" w:hAnsi="Times New Roman" w:eastAsia="宋体" w:cs="Times New Roman"/>
                <w:caps w:val="0"/>
                <w:smallCaps w:val="0"/>
                <w:color w:val="auto"/>
              </w:rPr>
              <w:t>，</w:t>
            </w:r>
            <w:r>
              <w:rPr>
                <w:color w:val="auto"/>
              </w:rPr>
              <w:t>项目区域内没有较大噪声污染源，主要的噪声源为车辆交通噪声，属于间歇性污染源</w:t>
            </w:r>
            <w:r>
              <w:rPr>
                <w:rFonts w:hint="default" w:ascii="Times New Roman" w:hAnsi="Times New Roman" w:eastAsia="宋体" w:cs="Times New Roman"/>
                <w:caps w:val="0"/>
                <w:smallCaps w:val="0"/>
                <w:color w:val="auto"/>
                <w:lang w:eastAsia="zh-CN"/>
              </w:rPr>
              <w:t>本次治理工程区域</w:t>
            </w:r>
            <w:r>
              <w:rPr>
                <w:rFonts w:hint="default" w:ascii="Times New Roman" w:hAnsi="Times New Roman" w:eastAsia="宋体" w:cs="Times New Roman"/>
                <w:caps w:val="0"/>
                <w:smallCaps w:val="0"/>
                <w:color w:val="auto"/>
              </w:rPr>
              <w:t>执行《声环境质量标准》（GB3096-2008）</w:t>
            </w:r>
            <w:r>
              <w:rPr>
                <w:rFonts w:hint="eastAsia" w:ascii="Times New Roman" w:hAnsi="Times New Roman" w:cs="Times New Roman"/>
                <w:caps w:val="0"/>
                <w:smallCaps w:val="0"/>
                <w:color w:val="auto"/>
                <w:lang w:val="en-US" w:eastAsia="zh-CN"/>
              </w:rPr>
              <w:t>2</w:t>
            </w:r>
            <w:r>
              <w:rPr>
                <w:rFonts w:hint="default" w:ascii="Times New Roman" w:hAnsi="Times New Roman" w:eastAsia="宋体" w:cs="Times New Roman"/>
                <w:caps w:val="0"/>
                <w:smallCaps w:val="0"/>
                <w:color w:val="auto"/>
              </w:rPr>
              <w:t>类标准。</w:t>
            </w:r>
          </w:p>
          <w:p w14:paraId="08CB3BA1">
            <w:pPr>
              <w:bidi w:val="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根据《202</w:t>
            </w: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lang w:eastAsia="zh-CN"/>
              </w:rPr>
              <w:t>年德宏州环境状况公报》，202</w:t>
            </w: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lang w:eastAsia="zh-CN"/>
              </w:rPr>
              <w:t>年</w:t>
            </w:r>
            <w:r>
              <w:rPr>
                <w:rFonts w:hint="default" w:ascii="Times New Roman" w:hAnsi="Times New Roman" w:eastAsia="宋体" w:cs="Times New Roman"/>
                <w:color w:val="auto"/>
              </w:rPr>
              <w:t>全州5个城市共设置35个功能区声环境质量监测点。</w:t>
            </w:r>
            <w:r>
              <w:rPr>
                <w:rFonts w:hint="default" w:ascii="Times New Roman" w:hAnsi="Times New Roman" w:eastAsia="宋体" w:cs="Times New Roman"/>
                <w:color w:val="auto"/>
                <w:lang w:eastAsia="zh-CN"/>
              </w:rPr>
              <w:t>各类功能区昼间达标率100%，夜间达标率97.0%，功能区声环境质量夜间有一定的改善。全州5县市平均等效声级无论昼夜均达到相应功能区标准，点次达标率除瑞丽市夜间外均达到100%，所有县市功能区声环境质量基本稳定持平。</w:t>
            </w:r>
          </w:p>
          <w:p w14:paraId="3CB82BCA">
            <w:pPr>
              <w:bidi w:val="0"/>
              <w:rPr>
                <w:rFonts w:hint="default" w:ascii="Times New Roman" w:hAnsi="Times New Roman" w:eastAsia="宋体" w:cs="Times New Roman"/>
                <w:color w:val="auto"/>
              </w:rPr>
            </w:pPr>
            <w:r>
              <w:rPr>
                <w:rFonts w:hint="default" w:ascii="Times New Roman" w:hAnsi="Times New Roman" w:eastAsia="宋体" w:cs="Times New Roman"/>
                <w:color w:val="auto"/>
                <w:lang w:eastAsia="zh-CN"/>
              </w:rPr>
              <w:t>根据现场调查，本工程</w:t>
            </w:r>
            <w:r>
              <w:rPr>
                <w:rFonts w:hint="default" w:ascii="Times New Roman" w:hAnsi="Times New Roman" w:eastAsia="宋体" w:cs="Times New Roman"/>
                <w:caps w:val="0"/>
                <w:smallCaps w:val="0"/>
                <w:color w:val="auto"/>
              </w:rPr>
              <w:t>所在区域主要为村庄、</w:t>
            </w:r>
            <w:r>
              <w:rPr>
                <w:rFonts w:hint="default" w:ascii="Times New Roman" w:hAnsi="Times New Roman" w:eastAsia="宋体" w:cs="Times New Roman"/>
                <w:caps w:val="0"/>
                <w:smallCaps w:val="0"/>
                <w:color w:val="auto"/>
                <w:lang w:val="en-US" w:eastAsia="zh-CN"/>
              </w:rPr>
              <w:t>耕地</w:t>
            </w:r>
            <w:r>
              <w:rPr>
                <w:rFonts w:hint="default" w:ascii="Times New Roman" w:hAnsi="Times New Roman" w:eastAsia="宋体" w:cs="Times New Roman"/>
                <w:caps w:val="0"/>
                <w:smallCaps w:val="0"/>
                <w:color w:val="auto"/>
              </w:rPr>
              <w:t>，无高噪声污染源</w:t>
            </w:r>
            <w:r>
              <w:rPr>
                <w:rFonts w:hint="default" w:ascii="Times New Roman" w:hAnsi="Times New Roman" w:eastAsia="宋体" w:cs="Times New Roman"/>
                <w:caps w:val="0"/>
                <w:smallCaps w:val="0"/>
                <w:color w:val="auto"/>
                <w:lang w:eastAsia="zh-CN"/>
              </w:rPr>
              <w:t>，</w:t>
            </w:r>
            <w:r>
              <w:rPr>
                <w:rFonts w:hint="default" w:ascii="Times New Roman" w:hAnsi="Times New Roman" w:eastAsia="宋体" w:cs="Times New Roman"/>
                <w:caps w:val="0"/>
                <w:smallCaps w:val="0"/>
                <w:color w:val="auto"/>
                <w:spacing w:val="0"/>
                <w:highlight w:val="none"/>
              </w:rPr>
              <w:t>噪声背景值低，声环境质量状况良好。</w:t>
            </w:r>
          </w:p>
          <w:p w14:paraId="0844FAD4">
            <w:pPr>
              <w:pStyle w:val="6"/>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color w:val="auto"/>
                <w:sz w:val="24"/>
                <w:szCs w:val="24"/>
              </w:rPr>
            </w:pPr>
            <w:r>
              <w:rPr>
                <w:rFonts w:hint="eastAsia" w:ascii="Times New Roman" w:hAnsi="Times New Roman" w:cs="Times New Roman"/>
                <w:color w:val="auto"/>
                <w:sz w:val="24"/>
                <w:szCs w:val="24"/>
                <w:lang w:val="en-US" w:eastAsia="zh-CN"/>
              </w:rPr>
              <w:t>4</w:t>
            </w:r>
            <w:r>
              <w:rPr>
                <w:rFonts w:hint="default"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rPr>
              <w:t>地下水、土壤环境质量现状</w:t>
            </w:r>
          </w:p>
          <w:p w14:paraId="18008716">
            <w:pPr>
              <w:pStyle w:val="36"/>
              <w:bidi w:val="0"/>
              <w:rPr>
                <w:rFonts w:hint="eastAsia" w:ascii="Times New Roman" w:hAnsi="Times New Roman" w:eastAsia="宋体" w:cs="Times New Roman"/>
                <w:color w:val="auto"/>
                <w:kern w:val="0"/>
                <w:lang w:eastAsia="zh-CN"/>
              </w:rPr>
            </w:pPr>
            <w:r>
              <w:rPr>
                <w:rFonts w:hint="default" w:ascii="Times New Roman" w:hAnsi="Times New Roman" w:eastAsia="宋体" w:cs="Times New Roman"/>
                <w:color w:val="auto"/>
              </w:rPr>
              <w:t>本项目治理河段位于</w:t>
            </w:r>
            <w:r>
              <w:rPr>
                <w:rFonts w:hint="default" w:ascii="Times New Roman" w:hAnsi="Times New Roman" w:eastAsia="宋体" w:cs="Times New Roman"/>
                <w:color w:val="auto"/>
                <w:lang w:eastAsia="zh-CN"/>
              </w:rPr>
              <w:t>芒市</w:t>
            </w:r>
            <w:r>
              <w:rPr>
                <w:rFonts w:hint="default" w:ascii="Times New Roman" w:hAnsi="Times New Roman" w:eastAsia="宋体" w:cs="Times New Roman"/>
                <w:color w:val="auto"/>
              </w:rPr>
              <w:t>，根据现场调查，工程沿线周边</w:t>
            </w:r>
            <w:r>
              <w:rPr>
                <w:rFonts w:hint="default" w:ascii="Times New Roman" w:hAnsi="Times New Roman" w:eastAsia="宋体" w:cs="Times New Roman"/>
                <w:color w:val="auto"/>
                <w:lang w:val="en-US" w:eastAsia="zh-CN"/>
              </w:rPr>
              <w:t>5</w:t>
            </w:r>
            <w:r>
              <w:rPr>
                <w:rFonts w:hint="default" w:ascii="Times New Roman" w:hAnsi="Times New Roman" w:eastAsia="宋体" w:cs="Times New Roman"/>
                <w:color w:val="auto"/>
              </w:rPr>
              <w:t>00m范围内不涉及集中式饮用水水源和热水、矿泉水、温泉等特殊地下水资源</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项目区</w:t>
            </w:r>
            <w:r>
              <w:rPr>
                <w:rFonts w:hint="default" w:ascii="Times New Roman" w:hAnsi="Times New Roman" w:eastAsia="宋体" w:cs="Times New Roman"/>
                <w:color w:val="auto"/>
              </w:rPr>
              <w:t>周边主要为村庄、耕地等，基本不存在土壤环境及地下水环境污染源，区域地下水及土壤环境质量状况良好</w:t>
            </w:r>
            <w:r>
              <w:rPr>
                <w:rFonts w:hint="default" w:ascii="Times New Roman" w:hAnsi="Times New Roman" w:eastAsia="宋体" w:cs="Times New Roman"/>
                <w:color w:val="auto"/>
                <w:lang w:eastAsia="zh-CN"/>
              </w:rPr>
              <w:t>。</w:t>
            </w:r>
            <w:bookmarkEnd w:id="37"/>
          </w:p>
        </w:tc>
      </w:tr>
      <w:tr w14:paraId="57D878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22" w:hRule="atLeast"/>
          <w:jc w:val="center"/>
        </w:trPr>
        <w:tc>
          <w:tcPr>
            <w:tcW w:w="352" w:type="pct"/>
            <w:vAlign w:val="center"/>
          </w:tcPr>
          <w:p w14:paraId="68FE5091">
            <w:pPr>
              <w:adjustRightInd w:val="0"/>
              <w:snapToGrid w:val="0"/>
              <w:ind w:left="0" w:leftChars="0" w:firstLine="0" w:firstLineChars="0"/>
              <w:jc w:val="center"/>
              <w:rPr>
                <w:rFonts w:hint="default" w:ascii="Times New Roman" w:hAnsi="Times New Roman" w:cs="Times New Roman"/>
                <w:color w:val="auto"/>
                <w:kern w:val="0"/>
                <w:sz w:val="24"/>
              </w:rPr>
            </w:pPr>
            <w:r>
              <w:rPr>
                <w:rFonts w:hint="default" w:ascii="Times New Roman" w:hAnsi="Times New Roman" w:cs="Times New Roman"/>
                <w:bCs/>
                <w:color w:val="auto"/>
                <w:sz w:val="24"/>
              </w:rPr>
              <w:t>与项目有关的原有环境污染和生态破坏问题</w:t>
            </w:r>
          </w:p>
        </w:tc>
        <w:tc>
          <w:tcPr>
            <w:tcW w:w="4647" w:type="pct"/>
            <w:vAlign w:val="top"/>
          </w:tcPr>
          <w:p w14:paraId="595BA946">
            <w:pPr>
              <w:keepNext w:val="0"/>
              <w:keepLines w:val="0"/>
              <w:pageBreakBefore w:val="0"/>
              <w:widowControl w:val="0"/>
              <w:kinsoku/>
              <w:wordWrap/>
              <w:overflowPunct/>
              <w:topLinePunct w:val="0"/>
              <w:autoSpaceDE/>
              <w:autoSpaceDN/>
              <w:bidi w:val="0"/>
              <w:adjustRightInd/>
              <w:snapToGrid/>
              <w:spacing w:line="360" w:lineRule="auto"/>
              <w:ind w:left="0" w:right="0" w:firstLine="481"/>
              <w:jc w:val="both"/>
              <w:textAlignment w:val="auto"/>
              <w:rPr>
                <w:rFonts w:ascii="宋体" w:hAnsi="宋体" w:eastAsia="宋体" w:cs="宋体"/>
                <w:color w:val="auto"/>
                <w:sz w:val="24"/>
                <w:szCs w:val="24"/>
              </w:rPr>
            </w:pPr>
            <w:r>
              <w:rPr>
                <w:rFonts w:ascii="宋体" w:hAnsi="宋体" w:eastAsia="宋体" w:cs="宋体"/>
                <w:color w:val="auto"/>
                <w:sz w:val="24"/>
                <w:szCs w:val="24"/>
              </w:rPr>
              <w:t>芒市果朗河大新寨至芒里大桥段治理工程治理起点为勐戛镇大新寨村，终点为</w:t>
            </w:r>
            <w:r>
              <w:rPr>
                <w:rFonts w:ascii="宋体" w:hAnsi="宋体" w:eastAsia="宋体" w:cs="宋体"/>
                <w:color w:val="auto"/>
                <w:spacing w:val="-3"/>
                <w:sz w:val="24"/>
                <w:szCs w:val="24"/>
              </w:rPr>
              <w:t>风平镇芒里村芒里大桥，河长</w:t>
            </w:r>
            <w:r>
              <w:rPr>
                <w:rFonts w:ascii="宋体" w:hAnsi="宋体" w:eastAsia="宋体" w:cs="宋体"/>
                <w:color w:val="auto"/>
                <w:spacing w:val="-45"/>
                <w:sz w:val="24"/>
                <w:szCs w:val="24"/>
              </w:rPr>
              <w:t xml:space="preserve"> </w:t>
            </w:r>
            <w:r>
              <w:rPr>
                <w:rFonts w:ascii="Times New Roman" w:hAnsi="Times New Roman" w:eastAsia="Times New Roman" w:cs="Times New Roman"/>
                <w:color w:val="auto"/>
                <w:spacing w:val="-3"/>
                <w:sz w:val="24"/>
                <w:szCs w:val="24"/>
              </w:rPr>
              <w:t>34.44km</w:t>
            </w:r>
            <w:r>
              <w:rPr>
                <w:rFonts w:ascii="宋体" w:hAnsi="宋体" w:eastAsia="宋体" w:cs="宋体"/>
                <w:color w:val="auto"/>
                <w:spacing w:val="-3"/>
                <w:sz w:val="24"/>
                <w:szCs w:val="24"/>
              </w:rPr>
              <w:t>，治理河段现状大部分不满足</w:t>
            </w:r>
            <w:r>
              <w:rPr>
                <w:rFonts w:ascii="Times New Roman" w:hAnsi="Times New Roman" w:eastAsia="Times New Roman" w:cs="Times New Roman"/>
                <w:color w:val="auto"/>
                <w:spacing w:val="-3"/>
                <w:sz w:val="24"/>
                <w:szCs w:val="24"/>
              </w:rPr>
              <w:t>10</w:t>
            </w:r>
            <w:r>
              <w:rPr>
                <w:rFonts w:ascii="宋体" w:hAnsi="宋体" w:eastAsia="宋体" w:cs="宋体"/>
                <w:color w:val="auto"/>
                <w:spacing w:val="-3"/>
                <w:sz w:val="24"/>
                <w:szCs w:val="24"/>
              </w:rPr>
              <w:t>年一遇防洪</w:t>
            </w:r>
            <w:r>
              <w:rPr>
                <w:rFonts w:ascii="宋体" w:hAnsi="宋体" w:eastAsia="宋体" w:cs="宋体"/>
                <w:color w:val="auto"/>
                <w:spacing w:val="-1"/>
                <w:sz w:val="24"/>
                <w:szCs w:val="24"/>
              </w:rPr>
              <w:t>标准，汛期洪水暴涨暴落，经常冲毁沿岸农田、道路。</w:t>
            </w:r>
          </w:p>
          <w:p w14:paraId="1D9B454F">
            <w:pPr>
              <w:keepNext w:val="0"/>
              <w:keepLines w:val="0"/>
              <w:pageBreakBefore w:val="0"/>
              <w:widowControl w:val="0"/>
              <w:kinsoku/>
              <w:wordWrap/>
              <w:overflowPunct/>
              <w:topLinePunct w:val="0"/>
              <w:autoSpaceDE/>
              <w:autoSpaceDN/>
              <w:bidi w:val="0"/>
              <w:adjustRightInd/>
              <w:snapToGrid/>
              <w:spacing w:line="360" w:lineRule="auto"/>
              <w:ind w:left="0" w:right="0" w:firstLine="464"/>
              <w:jc w:val="both"/>
              <w:textAlignment w:val="auto"/>
              <w:rPr>
                <w:rFonts w:ascii="宋体" w:hAnsi="宋体" w:eastAsia="宋体" w:cs="宋体"/>
                <w:color w:val="auto"/>
                <w:sz w:val="24"/>
                <w:szCs w:val="24"/>
              </w:rPr>
            </w:pPr>
            <w:r>
              <w:rPr>
                <w:rFonts w:ascii="宋体" w:hAnsi="宋体" w:eastAsia="宋体" w:cs="宋体"/>
                <w:color w:val="auto"/>
                <w:sz w:val="24"/>
                <w:szCs w:val="24"/>
              </w:rPr>
              <w:t>果朗河治理河段基本上都为土质天然河岸，两岸农田挤占河道行洪断面情况突出，过水断面不足，行洪障碍多，洪水流量大，现状部分河道行洪能力远远</w:t>
            </w:r>
            <w:r>
              <w:rPr>
                <w:rFonts w:ascii="宋体" w:hAnsi="宋体" w:eastAsia="宋体" w:cs="宋体"/>
                <w:color w:val="auto"/>
                <w:spacing w:val="-1"/>
                <w:sz w:val="24"/>
                <w:szCs w:val="24"/>
              </w:rPr>
              <w:t>达不到</w:t>
            </w:r>
            <w:r>
              <w:rPr>
                <w:rFonts w:ascii="宋体" w:hAnsi="宋体" w:eastAsia="宋体" w:cs="宋体"/>
                <w:color w:val="auto"/>
                <w:sz w:val="24"/>
                <w:szCs w:val="24"/>
              </w:rPr>
              <w:t>设计行洪要求，易造成严重的洪水灾害，当地的</w:t>
            </w:r>
            <w:r>
              <w:rPr>
                <w:rFonts w:ascii="宋体" w:hAnsi="宋体" w:eastAsia="宋体" w:cs="宋体"/>
                <w:color w:val="auto"/>
                <w:spacing w:val="-1"/>
                <w:sz w:val="24"/>
                <w:szCs w:val="24"/>
              </w:rPr>
              <w:t>人民生命财</w:t>
            </w:r>
            <w:r>
              <w:rPr>
                <w:rFonts w:hint="eastAsia" w:ascii="宋体" w:hAnsi="宋体" w:cs="宋体"/>
                <w:color w:val="auto"/>
                <w:spacing w:val="-1"/>
                <w:sz w:val="24"/>
                <w:szCs w:val="24"/>
                <w:lang w:val="en-US" w:eastAsia="zh-CN"/>
              </w:rPr>
              <w:t>产</w:t>
            </w:r>
            <w:r>
              <w:rPr>
                <w:rFonts w:ascii="宋体" w:hAnsi="宋体" w:eastAsia="宋体" w:cs="宋体"/>
                <w:color w:val="auto"/>
                <w:spacing w:val="-1"/>
                <w:sz w:val="24"/>
                <w:szCs w:val="24"/>
              </w:rPr>
              <w:t>安全面临着重大威胁。</w:t>
            </w:r>
          </w:p>
          <w:p w14:paraId="15E4487B">
            <w:pPr>
              <w:keepNext w:val="0"/>
              <w:keepLines w:val="0"/>
              <w:pageBreakBefore w:val="0"/>
              <w:widowControl w:val="0"/>
              <w:kinsoku/>
              <w:wordWrap/>
              <w:overflowPunct/>
              <w:topLinePunct w:val="0"/>
              <w:autoSpaceDE/>
              <w:autoSpaceDN/>
              <w:bidi w:val="0"/>
              <w:adjustRightInd/>
              <w:snapToGrid/>
              <w:spacing w:line="360" w:lineRule="auto"/>
              <w:ind w:left="0" w:right="0" w:firstLine="482"/>
              <w:jc w:val="both"/>
              <w:textAlignment w:val="auto"/>
              <w:rPr>
                <w:rFonts w:hint="eastAsia"/>
                <w:b/>
                <w:bCs/>
                <w:color w:val="auto"/>
                <w:lang w:val="en-US" w:eastAsia="zh-CN"/>
              </w:rPr>
            </w:pPr>
            <w:r>
              <w:rPr>
                <w:rFonts w:ascii="宋体" w:hAnsi="宋体" w:eastAsia="宋体" w:cs="宋体"/>
                <w:color w:val="auto"/>
                <w:sz w:val="24"/>
                <w:szCs w:val="24"/>
              </w:rPr>
              <w:t>果朗河沿线均分布农田及耕地。近年来极端气候频现，集中暴雨使果朗河常形成较大洪水，直接威胁着两岸人民群众生命财产安全，造成农田被淹、基础设施遭到毁坏，经济损失巨大，已成为严重制约当地经济发展的瓶颈，发展与防洪的矛盾日益突出。本次治理段均为天然河堤，河道多淤积严重，农田侵占行洪断面多有发</w:t>
            </w:r>
            <w:r>
              <w:rPr>
                <w:rFonts w:ascii="宋体" w:hAnsi="宋体" w:eastAsia="宋体" w:cs="宋体"/>
                <w:color w:val="auto"/>
                <w:spacing w:val="-1"/>
                <w:sz w:val="24"/>
                <w:szCs w:val="24"/>
              </w:rPr>
              <w:t>生，多数均无法满足行洪条件，对果朗河河道治理已迫在眉睫。</w:t>
            </w:r>
          </w:p>
          <w:p w14:paraId="77E01FA5">
            <w:pPr>
              <w:pStyle w:val="36"/>
              <w:bidi w:val="0"/>
              <w:rPr>
                <w:rFonts w:hint="default" w:eastAsia="宋体"/>
                <w:color w:val="auto"/>
                <w:lang w:val="en-US" w:eastAsia="zh-CN"/>
              </w:rPr>
            </w:pPr>
            <w:r>
              <w:rPr>
                <w:rFonts w:hint="eastAsia"/>
                <w:color w:val="auto"/>
              </w:rPr>
              <w:t>治理段河道治理起点为勐戛镇大新寨村，治理终点为风平镇芒里村芒里大桥，河长34.4365km，河道治理长度为20.23km。现状情况详细描述如下</w:t>
            </w:r>
            <w:r>
              <w:rPr>
                <w:rFonts w:hint="eastAsia"/>
                <w:color w:val="auto"/>
                <w:lang w:eastAsia="zh-CN"/>
              </w:rPr>
              <w:t>表</w:t>
            </w:r>
            <w:r>
              <w:rPr>
                <w:rFonts w:hint="eastAsia"/>
                <w:color w:val="auto"/>
                <w:lang w:val="en-US" w:eastAsia="zh-CN"/>
              </w:rPr>
              <w:t>3-6：</w:t>
            </w:r>
          </w:p>
          <w:p w14:paraId="7A8C5020">
            <w:pPr>
              <w:pStyle w:val="36"/>
              <w:bidi w:val="0"/>
              <w:ind w:left="0" w:leftChars="0" w:firstLine="0" w:firstLineChars="0"/>
              <w:jc w:val="center"/>
              <w:rPr>
                <w:rFonts w:hint="default" w:eastAsia="宋体"/>
                <w:b/>
                <w:bCs/>
                <w:color w:val="auto"/>
                <w:sz w:val="21"/>
                <w:szCs w:val="21"/>
                <w:lang w:val="en-US" w:eastAsia="zh-CN"/>
              </w:rPr>
            </w:pPr>
            <w:r>
              <w:rPr>
                <w:rFonts w:hint="eastAsia"/>
                <w:b/>
                <w:bCs/>
                <w:color w:val="auto"/>
                <w:sz w:val="21"/>
                <w:szCs w:val="21"/>
                <w:lang w:val="en-US" w:eastAsia="zh-CN"/>
              </w:rPr>
              <w:t>表3-6 果朗河现状</w:t>
            </w:r>
          </w:p>
          <w:tbl>
            <w:tblPr>
              <w:tblStyle w:val="23"/>
              <w:tblW w:w="76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0"/>
              <w:gridCol w:w="2056"/>
              <w:gridCol w:w="3910"/>
              <w:gridCol w:w="1021"/>
            </w:tblGrid>
            <w:tr w14:paraId="38056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0" w:type="dxa"/>
                  <w:vAlign w:val="center"/>
                </w:tcPr>
                <w:p w14:paraId="5D6483A7">
                  <w:pPr>
                    <w:pStyle w:val="29"/>
                    <w:bidi w:val="0"/>
                    <w:spacing w:line="240" w:lineRule="auto"/>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河段</w:t>
                  </w:r>
                </w:p>
              </w:tc>
              <w:tc>
                <w:tcPr>
                  <w:tcW w:w="2056" w:type="dxa"/>
                  <w:vAlign w:val="center"/>
                </w:tcPr>
                <w:p w14:paraId="213DEF3C">
                  <w:pPr>
                    <w:pStyle w:val="29"/>
                    <w:bidi w:val="0"/>
                    <w:spacing w:line="240" w:lineRule="auto"/>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桩号</w:t>
                  </w:r>
                </w:p>
              </w:tc>
              <w:tc>
                <w:tcPr>
                  <w:tcW w:w="3910" w:type="dxa"/>
                  <w:vAlign w:val="center"/>
                </w:tcPr>
                <w:p w14:paraId="3C75F8C4">
                  <w:pPr>
                    <w:pStyle w:val="29"/>
                    <w:bidi w:val="0"/>
                    <w:spacing w:line="240" w:lineRule="auto"/>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现状</w:t>
                  </w:r>
                </w:p>
              </w:tc>
              <w:tc>
                <w:tcPr>
                  <w:tcW w:w="1021" w:type="dxa"/>
                  <w:vAlign w:val="center"/>
                </w:tcPr>
                <w:p w14:paraId="6A3C374E">
                  <w:pPr>
                    <w:pStyle w:val="29"/>
                    <w:bidi w:val="0"/>
                    <w:spacing w:line="240" w:lineRule="auto"/>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备注</w:t>
                  </w:r>
                </w:p>
              </w:tc>
            </w:tr>
            <w:tr w14:paraId="0F283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0" w:type="dxa"/>
                  <w:vAlign w:val="center"/>
                </w:tcPr>
                <w:p w14:paraId="56BB84CD">
                  <w:pPr>
                    <w:pStyle w:val="29"/>
                    <w:bidi w:val="0"/>
                    <w:spacing w:line="240" w:lineRule="auto"/>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w:t>
                  </w:r>
                </w:p>
              </w:tc>
              <w:tc>
                <w:tcPr>
                  <w:tcW w:w="2056" w:type="dxa"/>
                  <w:vAlign w:val="center"/>
                </w:tcPr>
                <w:p w14:paraId="4A1BF102">
                  <w:pPr>
                    <w:pStyle w:val="36"/>
                    <w:bidi w:val="0"/>
                    <w:spacing w:line="240" w:lineRule="auto"/>
                    <w:ind w:left="0" w:leftChars="0" w:firstLine="0" w:firstLineChars="0"/>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color w:val="auto"/>
                      <w:sz w:val="21"/>
                      <w:szCs w:val="21"/>
                    </w:rPr>
                    <w:t>K0+000~K5+000 段</w:t>
                  </w:r>
                </w:p>
              </w:tc>
              <w:tc>
                <w:tcPr>
                  <w:tcW w:w="3910" w:type="dxa"/>
                  <w:vAlign w:val="center"/>
                </w:tcPr>
                <w:p w14:paraId="4090AF6F">
                  <w:pPr>
                    <w:pStyle w:val="36"/>
                    <w:bidi w:val="0"/>
                    <w:spacing w:line="240" w:lineRule="auto"/>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color w:val="auto"/>
                      <w:sz w:val="21"/>
                      <w:szCs w:val="21"/>
                    </w:rPr>
                    <w:t>该段长5.0km，河道两岸耕地狭窄，左、右岸大部分直接与山体相连，河道弯曲，现状宽3.0m~5.0m，天然土质河坎，高0.5m~2.0m，河道平均比降3.06%。</w:t>
                  </w:r>
                </w:p>
              </w:tc>
              <w:tc>
                <w:tcPr>
                  <w:tcW w:w="1021" w:type="dxa"/>
                  <w:vAlign w:val="center"/>
                </w:tcPr>
                <w:p w14:paraId="2F4D06D7">
                  <w:pPr>
                    <w:pStyle w:val="29"/>
                    <w:bidi w:val="0"/>
                    <w:spacing w:line="240" w:lineRule="auto"/>
                    <w:jc w:val="center"/>
                    <w:rPr>
                      <w:rFonts w:hint="default" w:ascii="Times New Roman" w:hAnsi="Times New Roman" w:cs="Times New Roman"/>
                      <w:b/>
                      <w:bCs/>
                      <w:color w:val="auto"/>
                      <w:sz w:val="21"/>
                      <w:szCs w:val="21"/>
                      <w:lang w:val="en-US" w:eastAsia="zh-CN"/>
                    </w:rPr>
                  </w:pPr>
                  <w:r>
                    <w:rPr>
                      <w:rFonts w:hint="eastAsia" w:ascii="Times New Roman" w:hAnsi="Times New Roman" w:cs="Times New Roman"/>
                      <w:b w:val="0"/>
                      <w:bCs w:val="0"/>
                      <w:color w:val="auto"/>
                      <w:sz w:val="21"/>
                      <w:szCs w:val="21"/>
                      <w:lang w:val="en-US" w:eastAsia="zh-CN"/>
                    </w:rPr>
                    <w:t>非本工程治理段</w:t>
                  </w:r>
                </w:p>
              </w:tc>
            </w:tr>
            <w:tr w14:paraId="75A3A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6" w:hRule="atLeast"/>
                <w:jc w:val="center"/>
              </w:trPr>
              <w:tc>
                <w:tcPr>
                  <w:tcW w:w="690" w:type="dxa"/>
                  <w:vAlign w:val="center"/>
                </w:tcPr>
                <w:p w14:paraId="0FC5248F">
                  <w:pPr>
                    <w:keepNext w:val="0"/>
                    <w:keepLines w:val="0"/>
                    <w:widowControl/>
                    <w:suppressLineNumbers w:val="0"/>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勐戛段</w:t>
                  </w:r>
                </w:p>
                <w:p w14:paraId="79DAC4D9">
                  <w:pPr>
                    <w:pStyle w:val="29"/>
                    <w:bidi w:val="0"/>
                    <w:spacing w:line="240" w:lineRule="auto"/>
                    <w:jc w:val="center"/>
                    <w:rPr>
                      <w:rFonts w:hint="default" w:ascii="Times New Roman" w:hAnsi="Times New Roman" w:cs="Times New Roman"/>
                      <w:color w:val="auto"/>
                      <w:sz w:val="21"/>
                      <w:szCs w:val="21"/>
                      <w:lang w:val="en-US" w:eastAsia="zh-CN"/>
                    </w:rPr>
                  </w:pPr>
                </w:p>
              </w:tc>
              <w:tc>
                <w:tcPr>
                  <w:tcW w:w="2056" w:type="dxa"/>
                  <w:vAlign w:val="center"/>
                </w:tcPr>
                <w:p w14:paraId="1156CB5C">
                  <w:pPr>
                    <w:pStyle w:val="29"/>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K5+000～K12+350 段</w:t>
                  </w:r>
                </w:p>
              </w:tc>
              <w:tc>
                <w:tcPr>
                  <w:tcW w:w="3910" w:type="dxa"/>
                  <w:vAlign w:val="center"/>
                </w:tcPr>
                <w:p w14:paraId="5329558B">
                  <w:pPr>
                    <w:pStyle w:val="29"/>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该段长 7.35km ，河道两岸均为耕地，耕地与河道直接相连，地势相对平坦，河道弯曲，现状河宽3.0m~10.0m，天然土质河坎，高1.0m~3.0m，两岸农田侵占河道行洪断面，行洪障碍多，局部河段河坎淘蚀垮塌。</w:t>
                  </w:r>
                </w:p>
              </w:tc>
              <w:tc>
                <w:tcPr>
                  <w:tcW w:w="1021" w:type="dxa"/>
                  <w:vAlign w:val="center"/>
                </w:tcPr>
                <w:p w14:paraId="6CC52B2A">
                  <w:pPr>
                    <w:pStyle w:val="29"/>
                    <w:bidi w:val="0"/>
                    <w:spacing w:line="240" w:lineRule="auto"/>
                    <w:jc w:val="center"/>
                    <w:rPr>
                      <w:rFonts w:hint="default" w:ascii="Times New Roman" w:hAnsi="Times New Roman" w:cs="Times New Roman"/>
                      <w:color w:val="auto"/>
                      <w:sz w:val="21"/>
                      <w:szCs w:val="21"/>
                      <w:lang w:val="en-US" w:eastAsia="zh-CN"/>
                    </w:rPr>
                  </w:pPr>
                  <w:r>
                    <w:rPr>
                      <w:rFonts w:hint="eastAsia" w:ascii="Times New Roman" w:hAnsi="Times New Roman" w:cs="Times New Roman"/>
                      <w:b w:val="0"/>
                      <w:bCs w:val="0"/>
                      <w:color w:val="auto"/>
                      <w:sz w:val="21"/>
                      <w:szCs w:val="21"/>
                      <w:lang w:val="en-US" w:eastAsia="zh-CN"/>
                    </w:rPr>
                    <w:t>本工程治理段</w:t>
                  </w:r>
                </w:p>
              </w:tc>
            </w:tr>
            <w:tr w14:paraId="71E94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0" w:type="dxa"/>
                  <w:vAlign w:val="center"/>
                </w:tcPr>
                <w:p w14:paraId="71055E6A">
                  <w:pPr>
                    <w:pStyle w:val="29"/>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2056" w:type="dxa"/>
                  <w:vAlign w:val="center"/>
                </w:tcPr>
                <w:p w14:paraId="24464931">
                  <w:pPr>
                    <w:pStyle w:val="29"/>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K12+350～K14+275 段</w:t>
                  </w:r>
                </w:p>
              </w:tc>
              <w:tc>
                <w:tcPr>
                  <w:tcW w:w="3910" w:type="dxa"/>
                  <w:vAlign w:val="center"/>
                </w:tcPr>
                <w:p w14:paraId="63C9A36C">
                  <w:pPr>
                    <w:pStyle w:val="29"/>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该段长 1.93km，河道两岸耕地狭窄，地势相对较陡，部分河段与山体直接相连，河岸植被发育，河道弯曲，现状河宽 5.0m~ 12.0m ，天然土质河坎，高 3.0m~5.0m。</w:t>
                  </w:r>
                </w:p>
              </w:tc>
              <w:tc>
                <w:tcPr>
                  <w:tcW w:w="1021" w:type="dxa"/>
                  <w:vAlign w:val="center"/>
                </w:tcPr>
                <w:p w14:paraId="41472AE3">
                  <w:pPr>
                    <w:pStyle w:val="29"/>
                    <w:bidi w:val="0"/>
                    <w:spacing w:line="240" w:lineRule="auto"/>
                    <w:jc w:val="center"/>
                    <w:rPr>
                      <w:rFonts w:hint="default" w:ascii="Times New Roman" w:hAnsi="Times New Roman" w:cs="Times New Roman"/>
                      <w:color w:val="auto"/>
                      <w:sz w:val="21"/>
                      <w:szCs w:val="21"/>
                      <w:lang w:val="en-US" w:eastAsia="zh-CN"/>
                    </w:rPr>
                  </w:pPr>
                  <w:r>
                    <w:rPr>
                      <w:rFonts w:hint="eastAsia" w:ascii="Times New Roman" w:hAnsi="Times New Roman" w:cs="Times New Roman"/>
                      <w:b w:val="0"/>
                      <w:bCs w:val="0"/>
                      <w:color w:val="auto"/>
                      <w:sz w:val="21"/>
                      <w:szCs w:val="21"/>
                      <w:lang w:val="en-US" w:eastAsia="zh-CN"/>
                    </w:rPr>
                    <w:t>非本工程治理段</w:t>
                  </w:r>
                </w:p>
              </w:tc>
            </w:tr>
            <w:tr w14:paraId="576BD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0" w:type="dxa"/>
                  <w:vAlign w:val="center"/>
                </w:tcPr>
                <w:p w14:paraId="7705218A">
                  <w:pPr>
                    <w:pStyle w:val="29"/>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勐稳段</w:t>
                  </w:r>
                </w:p>
              </w:tc>
              <w:tc>
                <w:tcPr>
                  <w:tcW w:w="2056" w:type="dxa"/>
                  <w:vAlign w:val="center"/>
                </w:tcPr>
                <w:p w14:paraId="2740AD78">
                  <w:pPr>
                    <w:pStyle w:val="29"/>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K14+275～K20+200 段</w:t>
                  </w:r>
                </w:p>
              </w:tc>
              <w:tc>
                <w:tcPr>
                  <w:tcW w:w="3910" w:type="dxa"/>
                  <w:vAlign w:val="center"/>
                </w:tcPr>
                <w:p w14:paraId="0566E66F">
                  <w:pPr>
                    <w:pStyle w:val="29"/>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该段长5.92km，河道两岸均为耕地，耕地与河道直接相连，地势相对平坦，河道弯曲，现状河宽5.0m~18.0m，天然土质河坎，高0.8m~3.5m，两岸农田侵占河道行洪断面，行洪障碍多，局部河段河坎淘蚀垮塌。</w:t>
                  </w:r>
                </w:p>
              </w:tc>
              <w:tc>
                <w:tcPr>
                  <w:tcW w:w="1021" w:type="dxa"/>
                  <w:vAlign w:val="center"/>
                </w:tcPr>
                <w:p w14:paraId="629A829C">
                  <w:pPr>
                    <w:pStyle w:val="29"/>
                    <w:bidi w:val="0"/>
                    <w:spacing w:line="240" w:lineRule="auto"/>
                    <w:jc w:val="center"/>
                    <w:rPr>
                      <w:rFonts w:hint="default" w:ascii="Times New Roman" w:hAnsi="Times New Roman" w:cs="Times New Roman"/>
                      <w:color w:val="auto"/>
                      <w:sz w:val="21"/>
                      <w:szCs w:val="21"/>
                      <w:lang w:val="en-US" w:eastAsia="zh-CN"/>
                    </w:rPr>
                  </w:pPr>
                  <w:r>
                    <w:rPr>
                      <w:rFonts w:hint="eastAsia" w:ascii="Times New Roman" w:hAnsi="Times New Roman" w:cs="Times New Roman"/>
                      <w:b w:val="0"/>
                      <w:bCs w:val="0"/>
                      <w:color w:val="auto"/>
                      <w:sz w:val="21"/>
                      <w:szCs w:val="21"/>
                      <w:lang w:val="en-US" w:eastAsia="zh-CN"/>
                    </w:rPr>
                    <w:t>本工程治理段</w:t>
                  </w:r>
                </w:p>
              </w:tc>
            </w:tr>
            <w:tr w14:paraId="42D8D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0" w:type="dxa"/>
                  <w:vAlign w:val="center"/>
                </w:tcPr>
                <w:p w14:paraId="742BF2DD">
                  <w:pPr>
                    <w:pStyle w:val="29"/>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2056" w:type="dxa"/>
                  <w:vAlign w:val="center"/>
                </w:tcPr>
                <w:p w14:paraId="6A1AE390">
                  <w:pPr>
                    <w:pStyle w:val="29"/>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K20+200～K24+250 段</w:t>
                  </w:r>
                </w:p>
                <w:p w14:paraId="5110434B">
                  <w:pPr>
                    <w:pStyle w:val="29"/>
                    <w:bidi w:val="0"/>
                    <w:spacing w:line="240" w:lineRule="auto"/>
                    <w:jc w:val="center"/>
                    <w:rPr>
                      <w:rFonts w:hint="default" w:ascii="Times New Roman" w:hAnsi="Times New Roman" w:cs="Times New Roman"/>
                      <w:color w:val="auto"/>
                      <w:sz w:val="21"/>
                      <w:szCs w:val="21"/>
                      <w:lang w:val="en-US" w:eastAsia="zh-CN"/>
                    </w:rPr>
                  </w:pPr>
                </w:p>
              </w:tc>
              <w:tc>
                <w:tcPr>
                  <w:tcW w:w="3910" w:type="dxa"/>
                  <w:vAlign w:val="center"/>
                </w:tcPr>
                <w:p w14:paraId="0AAC44BB">
                  <w:pPr>
                    <w:pStyle w:val="29"/>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该段长3.95km，河道两岸耕地相对狭窄，地势相对较陡，部分河段与山体直接相连，河岸植被发育，河道弯曲，河床比降大，河势较陡，河床基岩出露，现状河宽5.0m~12.0m，天然河坎，高2.5m~8.0m。</w:t>
                  </w:r>
                </w:p>
              </w:tc>
              <w:tc>
                <w:tcPr>
                  <w:tcW w:w="1021" w:type="dxa"/>
                  <w:vAlign w:val="center"/>
                </w:tcPr>
                <w:p w14:paraId="5401FB55">
                  <w:pPr>
                    <w:pStyle w:val="29"/>
                    <w:bidi w:val="0"/>
                    <w:spacing w:line="240" w:lineRule="auto"/>
                    <w:jc w:val="center"/>
                    <w:rPr>
                      <w:rFonts w:hint="default" w:ascii="Times New Roman" w:hAnsi="Times New Roman" w:cs="Times New Roman"/>
                      <w:color w:val="auto"/>
                      <w:sz w:val="21"/>
                      <w:szCs w:val="21"/>
                      <w:lang w:val="en-US" w:eastAsia="zh-CN"/>
                    </w:rPr>
                  </w:pPr>
                  <w:r>
                    <w:rPr>
                      <w:rFonts w:hint="eastAsia" w:ascii="Times New Roman" w:hAnsi="Times New Roman" w:cs="Times New Roman"/>
                      <w:b w:val="0"/>
                      <w:bCs w:val="0"/>
                      <w:color w:val="auto"/>
                      <w:sz w:val="21"/>
                      <w:szCs w:val="21"/>
                      <w:lang w:val="en-US" w:eastAsia="zh-CN"/>
                    </w:rPr>
                    <w:t>非本工程治理段</w:t>
                  </w:r>
                </w:p>
              </w:tc>
            </w:tr>
            <w:tr w14:paraId="748B9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0" w:type="dxa"/>
                  <w:vAlign w:val="center"/>
                </w:tcPr>
                <w:p w14:paraId="1FBAA2C9">
                  <w:pPr>
                    <w:pStyle w:val="29"/>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干沟坪段</w:t>
                  </w:r>
                </w:p>
              </w:tc>
              <w:tc>
                <w:tcPr>
                  <w:tcW w:w="2056" w:type="dxa"/>
                  <w:vAlign w:val="center"/>
                </w:tcPr>
                <w:p w14:paraId="2CB6BC0D">
                  <w:pPr>
                    <w:pStyle w:val="29"/>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K24+250～K29+460 段</w:t>
                  </w:r>
                </w:p>
              </w:tc>
              <w:tc>
                <w:tcPr>
                  <w:tcW w:w="3910" w:type="dxa"/>
                  <w:vAlign w:val="center"/>
                </w:tcPr>
                <w:p w14:paraId="5A37F8FC">
                  <w:pPr>
                    <w:pStyle w:val="29"/>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该段长5.21km，河道两岸均为耕地，耕地与河道直接相连，地势相对平坦，河道弯曲，河床比降相对较大，河势较陡，部分河段河床基岩出露，现状河宽10.0m~25.0m，天然河坎，高0.8m~3.5m，两岸农田侵占河道行洪断面，行洪障碍多，局部河段河坎淘蚀垮塌。</w:t>
                  </w:r>
                </w:p>
              </w:tc>
              <w:tc>
                <w:tcPr>
                  <w:tcW w:w="1021" w:type="dxa"/>
                  <w:vAlign w:val="center"/>
                </w:tcPr>
                <w:p w14:paraId="7983E1ED">
                  <w:pPr>
                    <w:pStyle w:val="29"/>
                    <w:bidi w:val="0"/>
                    <w:spacing w:line="240" w:lineRule="auto"/>
                    <w:jc w:val="center"/>
                    <w:rPr>
                      <w:rFonts w:hint="default" w:ascii="Times New Roman" w:hAnsi="Times New Roman" w:cs="Times New Roman"/>
                      <w:color w:val="auto"/>
                      <w:sz w:val="21"/>
                      <w:szCs w:val="21"/>
                      <w:lang w:val="en-US" w:eastAsia="zh-CN"/>
                    </w:rPr>
                  </w:pPr>
                  <w:r>
                    <w:rPr>
                      <w:rFonts w:hint="eastAsia" w:ascii="Times New Roman" w:hAnsi="Times New Roman" w:cs="Times New Roman"/>
                      <w:b w:val="0"/>
                      <w:bCs w:val="0"/>
                      <w:color w:val="auto"/>
                      <w:sz w:val="21"/>
                      <w:szCs w:val="21"/>
                      <w:lang w:val="en-US" w:eastAsia="zh-CN"/>
                    </w:rPr>
                    <w:t>本工程治理段</w:t>
                  </w:r>
                </w:p>
              </w:tc>
            </w:tr>
            <w:tr w14:paraId="71DFD7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0" w:type="dxa"/>
                  <w:vAlign w:val="center"/>
                </w:tcPr>
                <w:p w14:paraId="225BEB1E">
                  <w:pPr>
                    <w:pStyle w:val="29"/>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2056" w:type="dxa"/>
                  <w:vAlign w:val="center"/>
                </w:tcPr>
                <w:p w14:paraId="0AA94205">
                  <w:pPr>
                    <w:pStyle w:val="29"/>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K29+460～K31+870 段</w:t>
                  </w:r>
                </w:p>
              </w:tc>
              <w:tc>
                <w:tcPr>
                  <w:tcW w:w="3910" w:type="dxa"/>
                  <w:vAlign w:val="center"/>
                </w:tcPr>
                <w:p w14:paraId="1D0BE357">
                  <w:pPr>
                    <w:pStyle w:val="29"/>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该段长2.41km，河道两岸耕地相对狭窄，地势相对较陡，部分河段与山体直接 相连，河岸植被发育，河道弯曲，河床比降大，河势较陡，河床基岩出露，现状河宽10.0m~25.0m，天然河坎，高2.5m~8.0m。</w:t>
                  </w:r>
                </w:p>
              </w:tc>
              <w:tc>
                <w:tcPr>
                  <w:tcW w:w="1021" w:type="dxa"/>
                  <w:vAlign w:val="center"/>
                </w:tcPr>
                <w:p w14:paraId="0F21F41E">
                  <w:pPr>
                    <w:pStyle w:val="29"/>
                    <w:bidi w:val="0"/>
                    <w:spacing w:line="240" w:lineRule="auto"/>
                    <w:jc w:val="center"/>
                    <w:rPr>
                      <w:rFonts w:hint="default" w:ascii="Times New Roman" w:hAnsi="Times New Roman" w:cs="Times New Roman"/>
                      <w:color w:val="auto"/>
                      <w:sz w:val="21"/>
                      <w:szCs w:val="21"/>
                      <w:lang w:val="en-US" w:eastAsia="zh-CN"/>
                    </w:rPr>
                  </w:pPr>
                  <w:r>
                    <w:rPr>
                      <w:rFonts w:hint="eastAsia" w:ascii="Times New Roman" w:hAnsi="Times New Roman" w:cs="Times New Roman"/>
                      <w:b w:val="0"/>
                      <w:bCs w:val="0"/>
                      <w:color w:val="auto"/>
                      <w:sz w:val="21"/>
                      <w:szCs w:val="21"/>
                      <w:lang w:val="en-US" w:eastAsia="zh-CN"/>
                    </w:rPr>
                    <w:t>非本工程治理段</w:t>
                  </w:r>
                </w:p>
              </w:tc>
            </w:tr>
            <w:tr w14:paraId="0754F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0" w:type="dxa"/>
                  <w:vMerge w:val="restart"/>
                  <w:vAlign w:val="center"/>
                </w:tcPr>
                <w:p w14:paraId="524097EE">
                  <w:pPr>
                    <w:pStyle w:val="29"/>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芒里段</w:t>
                  </w:r>
                </w:p>
              </w:tc>
              <w:tc>
                <w:tcPr>
                  <w:tcW w:w="2056" w:type="dxa"/>
                  <w:vAlign w:val="center"/>
                </w:tcPr>
                <w:p w14:paraId="7E43BCA1">
                  <w:pPr>
                    <w:pStyle w:val="29"/>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上游段 K31+870～K32+970</w:t>
                  </w:r>
                </w:p>
              </w:tc>
              <w:tc>
                <w:tcPr>
                  <w:tcW w:w="3910" w:type="dxa"/>
                  <w:vAlign w:val="center"/>
                </w:tcPr>
                <w:p w14:paraId="48EEC5E8">
                  <w:pPr>
                    <w:pStyle w:val="29"/>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该段长1. 10km，该段属山区与坝区结合部，河道两岸耕地逐渐变宽，耕地与河 道直接相连，呈台阶状分布。河道弯曲，天然土质河坎，现状河宽10.0m~20.0m，河坎高0.8m~3.5m，两岸植被茂盛，两岸农田侵占河道行洪断面，行洪障碍多。</w:t>
                  </w:r>
                </w:p>
              </w:tc>
              <w:tc>
                <w:tcPr>
                  <w:tcW w:w="1021" w:type="dxa"/>
                  <w:vAlign w:val="center"/>
                </w:tcPr>
                <w:p w14:paraId="3C8F1EA9">
                  <w:pPr>
                    <w:pStyle w:val="29"/>
                    <w:bidi w:val="0"/>
                    <w:spacing w:line="240" w:lineRule="auto"/>
                    <w:jc w:val="center"/>
                    <w:rPr>
                      <w:rFonts w:hint="default" w:ascii="Times New Roman" w:hAnsi="Times New Roman" w:cs="Times New Roman"/>
                      <w:color w:val="auto"/>
                      <w:sz w:val="21"/>
                      <w:szCs w:val="21"/>
                      <w:lang w:val="en-US" w:eastAsia="zh-CN"/>
                    </w:rPr>
                  </w:pPr>
                  <w:r>
                    <w:rPr>
                      <w:rFonts w:hint="eastAsia" w:ascii="Times New Roman" w:hAnsi="Times New Roman" w:cs="Times New Roman"/>
                      <w:b w:val="0"/>
                      <w:bCs w:val="0"/>
                      <w:color w:val="auto"/>
                      <w:sz w:val="21"/>
                      <w:szCs w:val="21"/>
                      <w:lang w:val="en-US" w:eastAsia="zh-CN"/>
                    </w:rPr>
                    <w:t>本工程治理段</w:t>
                  </w:r>
                </w:p>
              </w:tc>
            </w:tr>
            <w:tr w14:paraId="72DF5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0" w:type="dxa"/>
                  <w:vMerge w:val="continue"/>
                  <w:vAlign w:val="center"/>
                </w:tcPr>
                <w:p w14:paraId="3E706010">
                  <w:pPr>
                    <w:pStyle w:val="29"/>
                    <w:bidi w:val="0"/>
                    <w:spacing w:line="240" w:lineRule="auto"/>
                    <w:jc w:val="center"/>
                    <w:rPr>
                      <w:rFonts w:hint="default" w:ascii="Times New Roman" w:hAnsi="Times New Roman" w:cs="Times New Roman"/>
                      <w:color w:val="auto"/>
                      <w:sz w:val="21"/>
                      <w:szCs w:val="21"/>
                      <w:lang w:val="en-US" w:eastAsia="zh-CN"/>
                    </w:rPr>
                  </w:pPr>
                </w:p>
              </w:tc>
              <w:tc>
                <w:tcPr>
                  <w:tcW w:w="2056" w:type="dxa"/>
                  <w:vAlign w:val="center"/>
                </w:tcPr>
                <w:p w14:paraId="2436DBD9">
                  <w:pPr>
                    <w:pStyle w:val="29"/>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下游段 K32+970～K34+435</w:t>
                  </w:r>
                </w:p>
              </w:tc>
              <w:tc>
                <w:tcPr>
                  <w:tcW w:w="3910" w:type="dxa"/>
                  <w:vAlign w:val="center"/>
                </w:tcPr>
                <w:p w14:paraId="7D9EEA61">
                  <w:pPr>
                    <w:pStyle w:val="29"/>
                    <w:bidi w:val="0"/>
                    <w:spacing w:line="240" w:lineRule="auto"/>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该段长1.47km，河道两岸均为耕地且地势平坦，耕地与河道直接相连，河道弯曲，天然土质河坎，现状河宽12.0～35.0m，现状河岸高0.8m～5.72m，两岸植被茂盛，两岸农田侵占河道行洪断面，行洪障碍多。</w:t>
                  </w:r>
                </w:p>
              </w:tc>
              <w:tc>
                <w:tcPr>
                  <w:tcW w:w="1021" w:type="dxa"/>
                  <w:vAlign w:val="center"/>
                </w:tcPr>
                <w:p w14:paraId="53D23A11">
                  <w:pPr>
                    <w:pStyle w:val="29"/>
                    <w:bidi w:val="0"/>
                    <w:spacing w:line="240" w:lineRule="auto"/>
                    <w:jc w:val="center"/>
                    <w:rPr>
                      <w:rFonts w:hint="default" w:ascii="Times New Roman" w:hAnsi="Times New Roman" w:cs="Times New Roman"/>
                      <w:color w:val="auto"/>
                      <w:sz w:val="21"/>
                      <w:szCs w:val="21"/>
                      <w:lang w:val="en-US" w:eastAsia="zh-CN"/>
                    </w:rPr>
                  </w:pPr>
                  <w:r>
                    <w:rPr>
                      <w:rFonts w:hint="eastAsia" w:ascii="Times New Roman" w:hAnsi="Times New Roman" w:cs="Times New Roman"/>
                      <w:b w:val="0"/>
                      <w:bCs w:val="0"/>
                      <w:color w:val="auto"/>
                      <w:sz w:val="21"/>
                      <w:szCs w:val="21"/>
                      <w:lang w:val="en-US" w:eastAsia="zh-CN"/>
                    </w:rPr>
                    <w:t>本工程治理段</w:t>
                  </w:r>
                </w:p>
              </w:tc>
            </w:tr>
          </w:tbl>
          <w:p w14:paraId="76BC5CE7">
            <w:pPr>
              <w:pStyle w:val="3"/>
              <w:bidi w:val="0"/>
              <w:rPr>
                <w:rFonts w:hint="default"/>
                <w:color w:val="auto"/>
                <w:lang w:val="en-US" w:eastAsia="zh-CN"/>
              </w:rPr>
            </w:pPr>
          </w:p>
        </w:tc>
      </w:tr>
      <w:tr w14:paraId="1928E3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2" w:type="pct"/>
            <w:vAlign w:val="center"/>
          </w:tcPr>
          <w:p w14:paraId="45B5B6C0">
            <w:pPr>
              <w:bidi w:val="0"/>
              <w:ind w:left="0" w:leftChars="0" w:firstLine="0" w:firstLineChars="0"/>
              <w:jc w:val="center"/>
              <w:rPr>
                <w:rFonts w:hint="default" w:ascii="Times New Roman" w:hAnsi="Times New Roman" w:cs="Times New Roman"/>
                <w:color w:val="auto"/>
                <w:kern w:val="0"/>
              </w:rPr>
            </w:pPr>
            <w:r>
              <w:rPr>
                <w:rFonts w:hint="default"/>
                <w:color w:val="auto"/>
              </w:rPr>
              <w:t>生态环境保护目标</w:t>
            </w:r>
          </w:p>
        </w:tc>
        <w:tc>
          <w:tcPr>
            <w:tcW w:w="4647" w:type="pct"/>
            <w:vAlign w:val="center"/>
          </w:tcPr>
          <w:p w14:paraId="7383F215">
            <w:pPr>
              <w:pStyle w:val="36"/>
              <w:bidi w:val="0"/>
              <w:rPr>
                <w:rFonts w:hint="eastAsia" w:eastAsia="宋体"/>
                <w:color w:val="auto"/>
                <w:lang w:eastAsia="zh-CN"/>
              </w:rPr>
            </w:pPr>
            <w:r>
              <w:rPr>
                <w:color w:val="auto"/>
              </w:rPr>
              <w:t>经调查工程不涉及自然保护区、风景名胜区、文物古迹等敏感保护目标。</w:t>
            </w:r>
            <w:r>
              <w:rPr>
                <w:rFonts w:hint="eastAsia"/>
                <w:color w:val="auto"/>
              </w:rPr>
              <w:t>环境保护范围为项目范围选址外500m区域，声环境保护范围为项目范围外50m范围</w:t>
            </w:r>
            <w:r>
              <w:rPr>
                <w:color w:val="auto"/>
              </w:rPr>
              <w:t>，具体目标见</w:t>
            </w:r>
            <w:r>
              <w:rPr>
                <w:rFonts w:hint="eastAsia"/>
                <w:color w:val="auto"/>
                <w:lang w:eastAsia="zh-CN"/>
              </w:rPr>
              <w:t>下</w:t>
            </w:r>
            <w:r>
              <w:rPr>
                <w:color w:val="auto"/>
              </w:rPr>
              <w:t>表</w:t>
            </w:r>
            <w:r>
              <w:rPr>
                <w:rFonts w:hint="eastAsia"/>
                <w:color w:val="auto"/>
                <w:lang w:eastAsia="zh-CN"/>
              </w:rPr>
              <w:t>：</w:t>
            </w:r>
          </w:p>
          <w:p w14:paraId="2A248C2E">
            <w:pPr>
              <w:pStyle w:val="31"/>
              <w:bidi w:val="0"/>
              <w:ind w:left="0" w:leftChars="0" w:firstLine="0" w:firstLineChars="0"/>
              <w:jc w:val="center"/>
              <w:rPr>
                <w:color w:val="auto"/>
              </w:rPr>
            </w:pPr>
            <w:r>
              <w:rPr>
                <w:rFonts w:hint="eastAsia"/>
                <w:color w:val="auto"/>
              </w:rPr>
              <w:t>表3-</w:t>
            </w:r>
            <w:r>
              <w:rPr>
                <w:rFonts w:hint="eastAsia"/>
                <w:color w:val="auto"/>
                <w:lang w:val="en-US" w:eastAsia="zh-CN"/>
              </w:rPr>
              <w:t>7</w:t>
            </w:r>
            <w:r>
              <w:rPr>
                <w:rFonts w:hint="eastAsia"/>
                <w:color w:val="auto"/>
              </w:rPr>
              <w:t xml:space="preserve"> 项目主要环境保护目标</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3"/>
              <w:gridCol w:w="805"/>
              <w:gridCol w:w="1486"/>
              <w:gridCol w:w="1277"/>
              <w:gridCol w:w="1185"/>
              <w:gridCol w:w="1160"/>
              <w:gridCol w:w="1096"/>
            </w:tblGrid>
            <w:tr w14:paraId="7019F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3" w:type="pct"/>
                  <w:vMerge w:val="restart"/>
                  <w:noWrap w:val="0"/>
                  <w:vAlign w:val="center"/>
                </w:tcPr>
                <w:p w14:paraId="096E527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环境要素</w:t>
                  </w:r>
                </w:p>
              </w:tc>
              <w:tc>
                <w:tcPr>
                  <w:tcW w:w="523" w:type="pct"/>
                  <w:vMerge w:val="restart"/>
                  <w:noWrap w:val="0"/>
                  <w:vAlign w:val="center"/>
                </w:tcPr>
                <w:p w14:paraId="40E2A43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保护目标</w:t>
                  </w:r>
                </w:p>
              </w:tc>
              <w:tc>
                <w:tcPr>
                  <w:tcW w:w="1796" w:type="pct"/>
                  <w:gridSpan w:val="2"/>
                  <w:noWrap w:val="0"/>
                  <w:vAlign w:val="center"/>
                </w:tcPr>
                <w:p w14:paraId="7035E85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坐标</w:t>
                  </w:r>
                </w:p>
              </w:tc>
              <w:tc>
                <w:tcPr>
                  <w:tcW w:w="770" w:type="pct"/>
                  <w:vMerge w:val="restart"/>
                  <w:noWrap w:val="0"/>
                  <w:vAlign w:val="center"/>
                </w:tcPr>
                <w:p w14:paraId="566036C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方位/距离</w:t>
                  </w:r>
                </w:p>
              </w:tc>
              <w:tc>
                <w:tcPr>
                  <w:tcW w:w="754" w:type="pct"/>
                  <w:vMerge w:val="restart"/>
                  <w:noWrap w:val="0"/>
                  <w:vAlign w:val="center"/>
                </w:tcPr>
                <w:p w14:paraId="0252B92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保护人数</w:t>
                  </w:r>
                </w:p>
              </w:tc>
              <w:tc>
                <w:tcPr>
                  <w:tcW w:w="712" w:type="pct"/>
                  <w:vMerge w:val="restart"/>
                  <w:noWrap w:val="0"/>
                  <w:vAlign w:val="center"/>
                </w:tcPr>
                <w:p w14:paraId="76CB010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执行标准</w:t>
                  </w:r>
                </w:p>
              </w:tc>
            </w:tr>
            <w:tr w14:paraId="65D9F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3" w:type="pct"/>
                  <w:vMerge w:val="continue"/>
                  <w:noWrap w:val="0"/>
                  <w:vAlign w:val="center"/>
                </w:tcPr>
                <w:p w14:paraId="0A35FE5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c>
                <w:tcPr>
                  <w:tcW w:w="523" w:type="pct"/>
                  <w:vMerge w:val="continue"/>
                  <w:noWrap w:val="0"/>
                  <w:vAlign w:val="center"/>
                </w:tcPr>
                <w:p w14:paraId="7890CDF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c>
                <w:tcPr>
                  <w:tcW w:w="965" w:type="pct"/>
                  <w:noWrap w:val="0"/>
                  <w:vAlign w:val="center"/>
                </w:tcPr>
                <w:p w14:paraId="243357E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经度</w:t>
                  </w:r>
                </w:p>
              </w:tc>
              <w:tc>
                <w:tcPr>
                  <w:tcW w:w="830" w:type="pct"/>
                  <w:noWrap w:val="0"/>
                  <w:vAlign w:val="center"/>
                </w:tcPr>
                <w:p w14:paraId="4A9A233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纬度</w:t>
                  </w:r>
                </w:p>
              </w:tc>
              <w:tc>
                <w:tcPr>
                  <w:tcW w:w="770" w:type="pct"/>
                  <w:vMerge w:val="continue"/>
                  <w:noWrap w:val="0"/>
                  <w:vAlign w:val="center"/>
                </w:tcPr>
                <w:p w14:paraId="2C2A981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color w:val="auto"/>
                      <w:sz w:val="21"/>
                      <w:szCs w:val="21"/>
                    </w:rPr>
                  </w:pPr>
                </w:p>
              </w:tc>
              <w:tc>
                <w:tcPr>
                  <w:tcW w:w="754" w:type="pct"/>
                  <w:vMerge w:val="continue"/>
                  <w:noWrap w:val="0"/>
                  <w:vAlign w:val="center"/>
                </w:tcPr>
                <w:p w14:paraId="35CD633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color w:val="auto"/>
                      <w:sz w:val="21"/>
                      <w:szCs w:val="21"/>
                    </w:rPr>
                  </w:pPr>
                </w:p>
              </w:tc>
              <w:tc>
                <w:tcPr>
                  <w:tcW w:w="712" w:type="pct"/>
                  <w:vMerge w:val="continue"/>
                  <w:noWrap w:val="0"/>
                  <w:vAlign w:val="center"/>
                </w:tcPr>
                <w:p w14:paraId="207F6FD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b/>
                      <w:color w:val="auto"/>
                      <w:sz w:val="21"/>
                      <w:szCs w:val="21"/>
                    </w:rPr>
                  </w:pPr>
                </w:p>
              </w:tc>
            </w:tr>
            <w:tr w14:paraId="39971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3" w:type="pct"/>
                  <w:vMerge w:val="restart"/>
                  <w:noWrap w:val="0"/>
                  <w:vAlign w:val="center"/>
                </w:tcPr>
                <w:p w14:paraId="5971AC2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大气环境</w:t>
                  </w:r>
                </w:p>
              </w:tc>
              <w:tc>
                <w:tcPr>
                  <w:tcW w:w="523" w:type="pct"/>
                  <w:noWrap w:val="0"/>
                  <w:vAlign w:val="center"/>
                </w:tcPr>
                <w:p w14:paraId="7140453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勐戛</w:t>
                  </w:r>
                  <w:r>
                    <w:rPr>
                      <w:rFonts w:hint="default" w:ascii="Times New Roman" w:hAnsi="Times New Roman" w:cs="Times New Roman"/>
                      <w:color w:val="auto"/>
                      <w:sz w:val="21"/>
                      <w:szCs w:val="21"/>
                      <w:lang w:eastAsia="zh-CN"/>
                    </w:rPr>
                    <w:t>村</w:t>
                  </w:r>
                </w:p>
              </w:tc>
              <w:tc>
                <w:tcPr>
                  <w:tcW w:w="965" w:type="pct"/>
                  <w:noWrap w:val="0"/>
                  <w:vAlign w:val="center"/>
                </w:tcPr>
                <w:p w14:paraId="01E20FA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98.443485</w:t>
                  </w:r>
                </w:p>
              </w:tc>
              <w:tc>
                <w:tcPr>
                  <w:tcW w:w="830" w:type="pct"/>
                  <w:noWrap w:val="0"/>
                  <w:vAlign w:val="center"/>
                </w:tcPr>
                <w:p w14:paraId="06D9A08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24.264858</w:t>
                  </w:r>
                </w:p>
              </w:tc>
              <w:tc>
                <w:tcPr>
                  <w:tcW w:w="770" w:type="pct"/>
                  <w:noWrap w:val="0"/>
                  <w:vAlign w:val="center"/>
                </w:tcPr>
                <w:p w14:paraId="4D8039B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eastAsia="zh-CN"/>
                    </w:rPr>
                    <w:t>河岸</w:t>
                  </w:r>
                  <w:r>
                    <w:rPr>
                      <w:rFonts w:hint="eastAsia" w:ascii="Times New Roman" w:hAnsi="Times New Roman" w:cs="Times New Roman"/>
                      <w:color w:val="auto"/>
                      <w:sz w:val="21"/>
                      <w:szCs w:val="21"/>
                      <w:lang w:eastAsia="zh-CN"/>
                    </w:rPr>
                    <w:t>左</w:t>
                  </w:r>
                  <w:r>
                    <w:rPr>
                      <w:rFonts w:hint="default" w:ascii="Times New Roman" w:hAnsi="Times New Roman" w:cs="Times New Roman"/>
                      <w:color w:val="auto"/>
                      <w:sz w:val="21"/>
                      <w:szCs w:val="21"/>
                      <w:lang w:eastAsia="zh-CN"/>
                    </w:rPr>
                    <w:t>侧，</w:t>
                  </w:r>
                  <w:r>
                    <w:rPr>
                      <w:rFonts w:hint="eastAsia" w:ascii="Times New Roman" w:hAnsi="Times New Roman" w:cs="Times New Roman"/>
                      <w:color w:val="auto"/>
                      <w:sz w:val="21"/>
                      <w:szCs w:val="21"/>
                      <w:lang w:val="en-US" w:eastAsia="zh-CN"/>
                    </w:rPr>
                    <w:t>170</w:t>
                  </w:r>
                  <w:r>
                    <w:rPr>
                      <w:rFonts w:hint="default" w:ascii="Times New Roman" w:hAnsi="Times New Roman" w:cs="Times New Roman"/>
                      <w:color w:val="auto"/>
                      <w:sz w:val="21"/>
                      <w:szCs w:val="21"/>
                      <w:lang w:val="en-US" w:eastAsia="zh-CN"/>
                    </w:rPr>
                    <w:t>m</w:t>
                  </w:r>
                </w:p>
              </w:tc>
              <w:tc>
                <w:tcPr>
                  <w:tcW w:w="754" w:type="pct"/>
                  <w:noWrap w:val="0"/>
                  <w:vAlign w:val="center"/>
                </w:tcPr>
                <w:p w14:paraId="69C23D0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约</w:t>
                  </w:r>
                  <w:r>
                    <w:rPr>
                      <w:rFonts w:hint="eastAsia" w:ascii="Times New Roman" w:hAnsi="Times New Roman" w:cs="Times New Roman"/>
                      <w:color w:val="auto"/>
                      <w:sz w:val="21"/>
                      <w:szCs w:val="21"/>
                      <w:lang w:val="en-US" w:eastAsia="zh-CN"/>
                    </w:rPr>
                    <w:t>112</w:t>
                  </w:r>
                  <w:r>
                    <w:rPr>
                      <w:rFonts w:hint="default" w:ascii="Times New Roman" w:hAnsi="Times New Roman" w:cs="Times New Roman"/>
                      <w:color w:val="auto"/>
                      <w:sz w:val="21"/>
                      <w:szCs w:val="21"/>
                    </w:rPr>
                    <w:t>户，</w:t>
                  </w:r>
                  <w:r>
                    <w:rPr>
                      <w:rFonts w:hint="eastAsia" w:ascii="Times New Roman" w:hAnsi="Times New Roman" w:cs="Times New Roman"/>
                      <w:color w:val="auto"/>
                      <w:sz w:val="21"/>
                      <w:szCs w:val="21"/>
                      <w:lang w:val="en-US" w:eastAsia="zh-CN"/>
                    </w:rPr>
                    <w:t>395</w:t>
                  </w:r>
                  <w:r>
                    <w:rPr>
                      <w:rFonts w:hint="default" w:ascii="Times New Roman" w:hAnsi="Times New Roman" w:cs="Times New Roman"/>
                      <w:color w:val="auto"/>
                      <w:sz w:val="21"/>
                      <w:szCs w:val="21"/>
                    </w:rPr>
                    <w:t>人</w:t>
                  </w:r>
                </w:p>
              </w:tc>
              <w:tc>
                <w:tcPr>
                  <w:tcW w:w="712" w:type="pct"/>
                  <w:vMerge w:val="restart"/>
                  <w:noWrap w:val="0"/>
                  <w:vAlign w:val="center"/>
                </w:tcPr>
                <w:p w14:paraId="39C8E1C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《环境空气质量标准》（GB3095-2012）二级</w:t>
                  </w:r>
                </w:p>
              </w:tc>
            </w:tr>
            <w:tr w14:paraId="58057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3" w:type="pct"/>
                  <w:vMerge w:val="continue"/>
                  <w:noWrap w:val="0"/>
                  <w:vAlign w:val="center"/>
                </w:tcPr>
                <w:p w14:paraId="35C7282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c>
                <w:tcPr>
                  <w:tcW w:w="523" w:type="pct"/>
                  <w:noWrap w:val="0"/>
                  <w:vAlign w:val="center"/>
                </w:tcPr>
                <w:p w14:paraId="732B4EE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勐戛</w:t>
                  </w:r>
                  <w:r>
                    <w:rPr>
                      <w:rFonts w:hint="default" w:ascii="Times New Roman" w:hAnsi="Times New Roman" w:cs="Times New Roman"/>
                      <w:color w:val="auto"/>
                      <w:sz w:val="21"/>
                      <w:szCs w:val="21"/>
                      <w:lang w:eastAsia="zh-CN"/>
                    </w:rPr>
                    <w:t>村</w:t>
                  </w:r>
                </w:p>
              </w:tc>
              <w:tc>
                <w:tcPr>
                  <w:tcW w:w="965" w:type="pct"/>
                  <w:noWrap w:val="0"/>
                  <w:vAlign w:val="center"/>
                </w:tcPr>
                <w:p w14:paraId="489E3C5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9</w:t>
                  </w:r>
                  <w:r>
                    <w:rPr>
                      <w:rFonts w:hint="default" w:ascii="Times New Roman" w:hAnsi="Times New Roman" w:cs="Times New Roman"/>
                      <w:color w:val="auto"/>
                      <w:sz w:val="21"/>
                      <w:szCs w:val="21"/>
                    </w:rPr>
                    <w:t>8.467601</w:t>
                  </w:r>
                </w:p>
              </w:tc>
              <w:tc>
                <w:tcPr>
                  <w:tcW w:w="830" w:type="pct"/>
                  <w:noWrap w:val="0"/>
                  <w:vAlign w:val="center"/>
                </w:tcPr>
                <w:p w14:paraId="2E53D4B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24.263731</w:t>
                  </w:r>
                </w:p>
              </w:tc>
              <w:tc>
                <w:tcPr>
                  <w:tcW w:w="770" w:type="pct"/>
                  <w:noWrap w:val="0"/>
                  <w:vAlign w:val="center"/>
                </w:tcPr>
                <w:p w14:paraId="4B5F55F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河岸右侧，</w:t>
                  </w:r>
                  <w:r>
                    <w:rPr>
                      <w:rFonts w:hint="eastAsia" w:ascii="Times New Roman" w:hAnsi="Times New Roman" w:cs="Times New Roman"/>
                      <w:color w:val="auto"/>
                      <w:sz w:val="21"/>
                      <w:szCs w:val="21"/>
                      <w:lang w:val="en-US" w:eastAsia="zh-CN"/>
                    </w:rPr>
                    <w:t>70</w:t>
                  </w:r>
                  <w:r>
                    <w:rPr>
                      <w:rFonts w:hint="default" w:ascii="Times New Roman" w:hAnsi="Times New Roman" w:cs="Times New Roman"/>
                      <w:color w:val="auto"/>
                      <w:sz w:val="21"/>
                      <w:szCs w:val="21"/>
                      <w:lang w:val="en-US" w:eastAsia="zh-CN"/>
                    </w:rPr>
                    <w:t>m</w:t>
                  </w:r>
                </w:p>
              </w:tc>
              <w:tc>
                <w:tcPr>
                  <w:tcW w:w="754" w:type="pct"/>
                  <w:noWrap w:val="0"/>
                  <w:vAlign w:val="center"/>
                </w:tcPr>
                <w:p w14:paraId="6010BA3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约</w:t>
                  </w:r>
                  <w:r>
                    <w:rPr>
                      <w:rFonts w:hint="eastAsia" w:ascii="Times New Roman" w:hAnsi="Times New Roman" w:cs="Times New Roman"/>
                      <w:color w:val="auto"/>
                      <w:sz w:val="21"/>
                      <w:szCs w:val="21"/>
                      <w:lang w:val="en-US" w:eastAsia="zh-CN"/>
                    </w:rPr>
                    <w:t>45</w:t>
                  </w:r>
                  <w:r>
                    <w:rPr>
                      <w:rFonts w:hint="default" w:ascii="Times New Roman" w:hAnsi="Times New Roman" w:cs="Times New Roman"/>
                      <w:color w:val="auto"/>
                      <w:sz w:val="21"/>
                      <w:szCs w:val="21"/>
                    </w:rPr>
                    <w:t>户，</w:t>
                  </w:r>
                  <w:r>
                    <w:rPr>
                      <w:rFonts w:hint="eastAsia" w:ascii="Times New Roman" w:hAnsi="Times New Roman" w:cs="Times New Roman"/>
                      <w:color w:val="auto"/>
                      <w:sz w:val="21"/>
                      <w:szCs w:val="21"/>
                      <w:lang w:val="en-US" w:eastAsia="zh-CN"/>
                    </w:rPr>
                    <w:t>158</w:t>
                  </w:r>
                  <w:r>
                    <w:rPr>
                      <w:rFonts w:hint="default" w:ascii="Times New Roman" w:hAnsi="Times New Roman" w:cs="Times New Roman"/>
                      <w:color w:val="auto"/>
                      <w:sz w:val="21"/>
                      <w:szCs w:val="21"/>
                    </w:rPr>
                    <w:t>人</w:t>
                  </w:r>
                </w:p>
              </w:tc>
              <w:tc>
                <w:tcPr>
                  <w:tcW w:w="712" w:type="pct"/>
                  <w:vMerge w:val="continue"/>
                  <w:noWrap w:val="0"/>
                  <w:vAlign w:val="center"/>
                </w:tcPr>
                <w:p w14:paraId="0FA3159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r>
            <w:tr w14:paraId="44FE3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3" w:type="pct"/>
                  <w:vMerge w:val="continue"/>
                  <w:noWrap w:val="0"/>
                  <w:vAlign w:val="center"/>
                </w:tcPr>
                <w:p w14:paraId="5230DFA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c>
                <w:tcPr>
                  <w:tcW w:w="523" w:type="pct"/>
                  <w:noWrap w:val="0"/>
                  <w:vAlign w:val="center"/>
                </w:tcPr>
                <w:p w14:paraId="56F080A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朗碧河</w:t>
                  </w:r>
                  <w:r>
                    <w:rPr>
                      <w:rFonts w:hint="default" w:ascii="Times New Roman" w:hAnsi="Times New Roman" w:cs="Times New Roman"/>
                      <w:color w:val="auto"/>
                      <w:sz w:val="21"/>
                      <w:szCs w:val="21"/>
                      <w:lang w:eastAsia="zh-CN"/>
                    </w:rPr>
                    <w:t>村</w:t>
                  </w:r>
                </w:p>
              </w:tc>
              <w:tc>
                <w:tcPr>
                  <w:tcW w:w="965" w:type="pct"/>
                  <w:noWrap w:val="0"/>
                  <w:vAlign w:val="center"/>
                </w:tcPr>
                <w:p w14:paraId="6354EC3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eastAsia"/>
                      <w:color w:val="auto"/>
                      <w:sz w:val="21"/>
                      <w:szCs w:val="21"/>
                    </w:rPr>
                    <w:t>98.499294</w:t>
                  </w:r>
                </w:p>
              </w:tc>
              <w:tc>
                <w:tcPr>
                  <w:tcW w:w="830" w:type="pct"/>
                  <w:noWrap w:val="0"/>
                  <w:vAlign w:val="center"/>
                </w:tcPr>
                <w:p w14:paraId="16E1585A">
                  <w:pPr>
                    <w:keepNext w:val="0"/>
                    <w:keepLines w:val="0"/>
                    <w:pageBreakBefore w:val="0"/>
                    <w:widowControl w:val="0"/>
                    <w:kinsoku/>
                    <w:wordWrap/>
                    <w:overflowPunct/>
                    <w:topLinePunct w:val="0"/>
                    <w:autoSpaceDE/>
                    <w:autoSpaceDN/>
                    <w:bidi w:val="0"/>
                    <w:spacing w:line="240" w:lineRule="auto"/>
                    <w:ind w:firstLine="0" w:firstLineChars="0"/>
                    <w:jc w:val="both"/>
                    <w:textAlignment w:val="auto"/>
                    <w:rPr>
                      <w:rFonts w:hint="default" w:ascii="Times New Roman" w:hAnsi="Times New Roman" w:cs="Times New Roman"/>
                      <w:color w:val="auto"/>
                      <w:sz w:val="21"/>
                      <w:szCs w:val="21"/>
                    </w:rPr>
                  </w:pPr>
                  <w:r>
                    <w:rPr>
                      <w:rFonts w:hint="eastAsia"/>
                      <w:color w:val="auto"/>
                      <w:sz w:val="21"/>
                      <w:szCs w:val="21"/>
                    </w:rPr>
                    <w:t>24.277365</w:t>
                  </w:r>
                </w:p>
              </w:tc>
              <w:tc>
                <w:tcPr>
                  <w:tcW w:w="770" w:type="pct"/>
                  <w:noWrap w:val="0"/>
                  <w:vAlign w:val="center"/>
                </w:tcPr>
                <w:p w14:paraId="01015D0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河岸右侧，</w:t>
                  </w:r>
                  <w:r>
                    <w:rPr>
                      <w:rFonts w:hint="eastAsia" w:ascii="Times New Roman" w:hAnsi="Times New Roman" w:cs="Times New Roman"/>
                      <w:color w:val="auto"/>
                      <w:sz w:val="21"/>
                      <w:szCs w:val="21"/>
                      <w:lang w:val="en-US" w:eastAsia="zh-CN"/>
                    </w:rPr>
                    <w:t>78</w:t>
                  </w:r>
                  <w:r>
                    <w:rPr>
                      <w:rFonts w:hint="default" w:ascii="Times New Roman" w:hAnsi="Times New Roman" w:cs="Times New Roman"/>
                      <w:color w:val="auto"/>
                      <w:sz w:val="21"/>
                      <w:szCs w:val="21"/>
                      <w:lang w:val="en-US" w:eastAsia="zh-CN"/>
                    </w:rPr>
                    <w:t>m</w:t>
                  </w:r>
                </w:p>
              </w:tc>
              <w:tc>
                <w:tcPr>
                  <w:tcW w:w="754" w:type="pct"/>
                  <w:noWrap w:val="0"/>
                  <w:vAlign w:val="center"/>
                </w:tcPr>
                <w:p w14:paraId="516707F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约</w:t>
                  </w:r>
                  <w:r>
                    <w:rPr>
                      <w:rFonts w:hint="default" w:ascii="Times New Roman" w:hAnsi="Times New Roman" w:cs="Times New Roman"/>
                      <w:color w:val="auto"/>
                      <w:sz w:val="21"/>
                      <w:szCs w:val="21"/>
                      <w:lang w:val="en-US" w:eastAsia="zh-CN"/>
                    </w:rPr>
                    <w:t>1</w:t>
                  </w:r>
                  <w:r>
                    <w:rPr>
                      <w:rFonts w:hint="eastAsia" w:ascii="Times New Roman" w:hAnsi="Times New Roman" w:cs="Times New Roman"/>
                      <w:color w:val="auto"/>
                      <w:sz w:val="21"/>
                      <w:szCs w:val="21"/>
                      <w:lang w:val="en-US" w:eastAsia="zh-CN"/>
                    </w:rPr>
                    <w:t>20</w:t>
                  </w:r>
                  <w:r>
                    <w:rPr>
                      <w:rFonts w:hint="default" w:ascii="Times New Roman" w:hAnsi="Times New Roman" w:cs="Times New Roman"/>
                      <w:color w:val="auto"/>
                      <w:sz w:val="21"/>
                      <w:szCs w:val="21"/>
                    </w:rPr>
                    <w:t>户，</w:t>
                  </w:r>
                  <w:r>
                    <w:rPr>
                      <w:rFonts w:hint="eastAsia" w:ascii="Times New Roman" w:hAnsi="Times New Roman" w:cs="Times New Roman"/>
                      <w:color w:val="auto"/>
                      <w:sz w:val="21"/>
                      <w:szCs w:val="21"/>
                      <w:lang w:val="en-US" w:eastAsia="zh-CN"/>
                    </w:rPr>
                    <w:t>45</w:t>
                  </w:r>
                  <w:r>
                    <w:rPr>
                      <w:rFonts w:hint="default" w:ascii="Times New Roman" w:hAnsi="Times New Roman" w:cs="Times New Roman"/>
                      <w:color w:val="auto"/>
                      <w:sz w:val="21"/>
                      <w:szCs w:val="21"/>
                      <w:lang w:val="en-US" w:eastAsia="zh-CN"/>
                    </w:rPr>
                    <w:t>7</w:t>
                  </w:r>
                  <w:r>
                    <w:rPr>
                      <w:rFonts w:hint="default" w:ascii="Times New Roman" w:hAnsi="Times New Roman" w:cs="Times New Roman"/>
                      <w:color w:val="auto"/>
                      <w:sz w:val="21"/>
                      <w:szCs w:val="21"/>
                    </w:rPr>
                    <w:t>人</w:t>
                  </w:r>
                </w:p>
              </w:tc>
              <w:tc>
                <w:tcPr>
                  <w:tcW w:w="712" w:type="pct"/>
                  <w:vMerge w:val="continue"/>
                  <w:noWrap w:val="0"/>
                  <w:vAlign w:val="center"/>
                </w:tcPr>
                <w:p w14:paraId="1F74E2F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r>
            <w:tr w14:paraId="02F39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3" w:type="pct"/>
                  <w:vMerge w:val="continue"/>
                  <w:noWrap w:val="0"/>
                  <w:vAlign w:val="center"/>
                </w:tcPr>
                <w:p w14:paraId="1B5E443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c>
                <w:tcPr>
                  <w:tcW w:w="523" w:type="pct"/>
                  <w:noWrap w:val="0"/>
                  <w:vAlign w:val="center"/>
                </w:tcPr>
                <w:p w14:paraId="72B9328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外五寨</w:t>
                  </w:r>
                </w:p>
              </w:tc>
              <w:tc>
                <w:tcPr>
                  <w:tcW w:w="965" w:type="pct"/>
                  <w:noWrap w:val="0"/>
                  <w:vAlign w:val="center"/>
                </w:tcPr>
                <w:p w14:paraId="16AF74D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98.507148</w:t>
                  </w:r>
                </w:p>
              </w:tc>
              <w:tc>
                <w:tcPr>
                  <w:tcW w:w="830" w:type="pct"/>
                  <w:noWrap w:val="0"/>
                  <w:vAlign w:val="center"/>
                </w:tcPr>
                <w:p w14:paraId="0AD806D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24.282762</w:t>
                  </w:r>
                </w:p>
              </w:tc>
              <w:tc>
                <w:tcPr>
                  <w:tcW w:w="770" w:type="pct"/>
                  <w:noWrap w:val="0"/>
                  <w:vAlign w:val="center"/>
                </w:tcPr>
                <w:p w14:paraId="3C98819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河岸</w:t>
                  </w:r>
                  <w:r>
                    <w:rPr>
                      <w:rFonts w:hint="eastAsia" w:ascii="Times New Roman" w:hAnsi="Times New Roman" w:cs="Times New Roman"/>
                      <w:color w:val="auto"/>
                      <w:sz w:val="21"/>
                      <w:szCs w:val="21"/>
                      <w:lang w:eastAsia="zh-CN"/>
                    </w:rPr>
                    <w:t>右</w:t>
                  </w:r>
                  <w:r>
                    <w:rPr>
                      <w:rFonts w:hint="default" w:ascii="Times New Roman" w:hAnsi="Times New Roman" w:cs="Times New Roman"/>
                      <w:color w:val="auto"/>
                      <w:sz w:val="21"/>
                      <w:szCs w:val="21"/>
                      <w:lang w:eastAsia="zh-CN"/>
                    </w:rPr>
                    <w:t>侧，</w:t>
                  </w:r>
                  <w:r>
                    <w:rPr>
                      <w:rFonts w:hint="eastAsia" w:ascii="Times New Roman" w:hAnsi="Times New Roman" w:cs="Times New Roman"/>
                      <w:color w:val="auto"/>
                      <w:sz w:val="21"/>
                      <w:szCs w:val="21"/>
                      <w:lang w:val="en-US" w:eastAsia="zh-CN"/>
                    </w:rPr>
                    <w:t>146</w:t>
                  </w:r>
                  <w:r>
                    <w:rPr>
                      <w:rFonts w:hint="default" w:ascii="Times New Roman" w:hAnsi="Times New Roman" w:cs="Times New Roman"/>
                      <w:color w:val="auto"/>
                      <w:sz w:val="21"/>
                      <w:szCs w:val="21"/>
                      <w:lang w:val="en-US" w:eastAsia="zh-CN"/>
                    </w:rPr>
                    <w:t>m</w:t>
                  </w:r>
                </w:p>
              </w:tc>
              <w:tc>
                <w:tcPr>
                  <w:tcW w:w="754" w:type="pct"/>
                  <w:noWrap w:val="0"/>
                  <w:vAlign w:val="center"/>
                </w:tcPr>
                <w:p w14:paraId="210E074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约</w:t>
                  </w:r>
                  <w:r>
                    <w:rPr>
                      <w:rFonts w:hint="eastAsia" w:ascii="Times New Roman" w:hAnsi="Times New Roman" w:cs="Times New Roman"/>
                      <w:color w:val="auto"/>
                      <w:sz w:val="21"/>
                      <w:szCs w:val="21"/>
                      <w:lang w:val="en-US" w:eastAsia="zh-CN"/>
                    </w:rPr>
                    <w:t>84</w:t>
                  </w:r>
                  <w:r>
                    <w:rPr>
                      <w:rFonts w:hint="default" w:ascii="Times New Roman" w:hAnsi="Times New Roman" w:cs="Times New Roman"/>
                      <w:color w:val="auto"/>
                      <w:sz w:val="21"/>
                      <w:szCs w:val="21"/>
                    </w:rPr>
                    <w:t>户，</w:t>
                  </w:r>
                  <w:r>
                    <w:rPr>
                      <w:rFonts w:hint="eastAsia" w:ascii="Times New Roman" w:hAnsi="Times New Roman" w:cs="Times New Roman"/>
                      <w:color w:val="auto"/>
                      <w:sz w:val="21"/>
                      <w:szCs w:val="21"/>
                      <w:lang w:val="en-US" w:eastAsia="zh-CN"/>
                    </w:rPr>
                    <w:t>268</w:t>
                  </w:r>
                  <w:r>
                    <w:rPr>
                      <w:rFonts w:hint="default" w:ascii="Times New Roman" w:hAnsi="Times New Roman" w:cs="Times New Roman"/>
                      <w:color w:val="auto"/>
                      <w:sz w:val="21"/>
                      <w:szCs w:val="21"/>
                    </w:rPr>
                    <w:t>人</w:t>
                  </w:r>
                </w:p>
              </w:tc>
              <w:tc>
                <w:tcPr>
                  <w:tcW w:w="712" w:type="pct"/>
                  <w:vMerge w:val="continue"/>
                  <w:noWrap w:val="0"/>
                  <w:vAlign w:val="center"/>
                </w:tcPr>
                <w:p w14:paraId="3579CE6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r>
            <w:tr w14:paraId="4A07F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3" w:type="pct"/>
                  <w:vMerge w:val="continue"/>
                  <w:noWrap w:val="0"/>
                  <w:vAlign w:val="center"/>
                </w:tcPr>
                <w:p w14:paraId="6D4FB4E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c>
                <w:tcPr>
                  <w:tcW w:w="523" w:type="pct"/>
                  <w:noWrap w:val="0"/>
                  <w:vAlign w:val="center"/>
                </w:tcPr>
                <w:p w14:paraId="1B6DABD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小桥村</w:t>
                  </w:r>
                </w:p>
              </w:tc>
              <w:tc>
                <w:tcPr>
                  <w:tcW w:w="965" w:type="pct"/>
                  <w:noWrap w:val="0"/>
                  <w:vAlign w:val="center"/>
                </w:tcPr>
                <w:p w14:paraId="288BFCD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98.509159</w:t>
                  </w:r>
                </w:p>
              </w:tc>
              <w:tc>
                <w:tcPr>
                  <w:tcW w:w="830" w:type="pct"/>
                  <w:noWrap w:val="0"/>
                  <w:vAlign w:val="center"/>
                </w:tcPr>
                <w:p w14:paraId="7EC0DAD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24.289837</w:t>
                  </w:r>
                </w:p>
              </w:tc>
              <w:tc>
                <w:tcPr>
                  <w:tcW w:w="770" w:type="pct"/>
                  <w:noWrap w:val="0"/>
                  <w:vAlign w:val="center"/>
                </w:tcPr>
                <w:p w14:paraId="2A86A48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eastAsia="zh-CN"/>
                    </w:rPr>
                    <w:t>河岸左侧，</w:t>
                  </w:r>
                  <w:r>
                    <w:rPr>
                      <w:rFonts w:hint="eastAsia" w:cs="Times New Roman"/>
                      <w:color w:val="auto"/>
                      <w:sz w:val="21"/>
                      <w:szCs w:val="21"/>
                      <w:lang w:val="en-US" w:eastAsia="zh-CN"/>
                    </w:rPr>
                    <w:t>208m</w:t>
                  </w:r>
                </w:p>
              </w:tc>
              <w:tc>
                <w:tcPr>
                  <w:tcW w:w="754" w:type="pct"/>
                  <w:noWrap w:val="0"/>
                  <w:vAlign w:val="center"/>
                </w:tcPr>
                <w:p w14:paraId="775E89F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约65户，198人</w:t>
                  </w:r>
                </w:p>
              </w:tc>
              <w:tc>
                <w:tcPr>
                  <w:tcW w:w="712" w:type="pct"/>
                  <w:vMerge w:val="continue"/>
                  <w:noWrap w:val="0"/>
                  <w:vAlign w:val="center"/>
                </w:tcPr>
                <w:p w14:paraId="180C6AF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r>
            <w:tr w14:paraId="2E539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3" w:type="pct"/>
                  <w:vMerge w:val="continue"/>
                  <w:noWrap w:val="0"/>
                  <w:vAlign w:val="center"/>
                </w:tcPr>
                <w:p w14:paraId="2BB1E95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c>
                <w:tcPr>
                  <w:tcW w:w="523" w:type="pct"/>
                  <w:noWrap w:val="0"/>
                  <w:vAlign w:val="center"/>
                </w:tcPr>
                <w:p w14:paraId="6259553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cs="Times New Roman"/>
                      <w:color w:val="auto"/>
                      <w:sz w:val="21"/>
                      <w:szCs w:val="21"/>
                      <w:lang w:eastAsia="zh-CN"/>
                    </w:rPr>
                  </w:pPr>
                  <w:r>
                    <w:rPr>
                      <w:rFonts w:hint="eastAsia" w:cs="Times New Roman"/>
                      <w:color w:val="auto"/>
                      <w:sz w:val="21"/>
                      <w:szCs w:val="21"/>
                      <w:lang w:eastAsia="zh-CN"/>
                    </w:rPr>
                    <w:t>河边寨</w:t>
                  </w:r>
                </w:p>
              </w:tc>
              <w:tc>
                <w:tcPr>
                  <w:tcW w:w="965" w:type="pct"/>
                  <w:noWrap w:val="0"/>
                  <w:vAlign w:val="center"/>
                </w:tcPr>
                <w:p w14:paraId="3D38D66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98.519668</w:t>
                  </w:r>
                </w:p>
              </w:tc>
              <w:tc>
                <w:tcPr>
                  <w:tcW w:w="830" w:type="pct"/>
                  <w:noWrap w:val="0"/>
                  <w:vAlign w:val="center"/>
                </w:tcPr>
                <w:p w14:paraId="41FD91A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24.287050</w:t>
                  </w:r>
                </w:p>
              </w:tc>
              <w:tc>
                <w:tcPr>
                  <w:tcW w:w="770" w:type="pct"/>
                  <w:noWrap w:val="0"/>
                  <w:vAlign w:val="center"/>
                </w:tcPr>
                <w:p w14:paraId="2EF05C2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eastAsia="zh-CN"/>
                    </w:rPr>
                    <w:t>河岸右侧，</w:t>
                  </w:r>
                  <w:r>
                    <w:rPr>
                      <w:rFonts w:hint="eastAsia" w:cs="Times New Roman"/>
                      <w:color w:val="auto"/>
                      <w:sz w:val="21"/>
                      <w:szCs w:val="21"/>
                      <w:lang w:val="en-US" w:eastAsia="zh-CN"/>
                    </w:rPr>
                    <w:t>330m</w:t>
                  </w:r>
                </w:p>
              </w:tc>
              <w:tc>
                <w:tcPr>
                  <w:tcW w:w="754" w:type="pct"/>
                  <w:noWrap w:val="0"/>
                  <w:vAlign w:val="center"/>
                </w:tcPr>
                <w:p w14:paraId="3028B79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约82户，275人</w:t>
                  </w:r>
                </w:p>
              </w:tc>
              <w:tc>
                <w:tcPr>
                  <w:tcW w:w="712" w:type="pct"/>
                  <w:vMerge w:val="continue"/>
                  <w:noWrap w:val="0"/>
                  <w:vAlign w:val="center"/>
                </w:tcPr>
                <w:p w14:paraId="228E926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r>
            <w:tr w14:paraId="278F1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3" w:type="pct"/>
                  <w:vMerge w:val="continue"/>
                  <w:noWrap w:val="0"/>
                  <w:vAlign w:val="center"/>
                </w:tcPr>
                <w:p w14:paraId="3A0B897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c>
                <w:tcPr>
                  <w:tcW w:w="523" w:type="pct"/>
                  <w:noWrap w:val="0"/>
                  <w:vAlign w:val="center"/>
                </w:tcPr>
                <w:p w14:paraId="0B57F0B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外河边寨</w:t>
                  </w:r>
                </w:p>
              </w:tc>
              <w:tc>
                <w:tcPr>
                  <w:tcW w:w="965" w:type="pct"/>
                  <w:noWrap w:val="0"/>
                  <w:vAlign w:val="center"/>
                </w:tcPr>
                <w:p w14:paraId="5B374CC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98.525089</w:t>
                  </w:r>
                </w:p>
              </w:tc>
              <w:tc>
                <w:tcPr>
                  <w:tcW w:w="830" w:type="pct"/>
                  <w:noWrap w:val="0"/>
                  <w:vAlign w:val="center"/>
                </w:tcPr>
                <w:p w14:paraId="17361D7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24.290320</w:t>
                  </w:r>
                </w:p>
              </w:tc>
              <w:tc>
                <w:tcPr>
                  <w:tcW w:w="770" w:type="pct"/>
                  <w:noWrap w:val="0"/>
                  <w:vAlign w:val="center"/>
                </w:tcPr>
                <w:p w14:paraId="3D71D8E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河岸右侧，</w:t>
                  </w:r>
                  <w:r>
                    <w:rPr>
                      <w:rFonts w:hint="eastAsia" w:ascii="Times New Roman" w:hAnsi="Times New Roman" w:cs="Times New Roman"/>
                      <w:color w:val="auto"/>
                      <w:sz w:val="21"/>
                      <w:szCs w:val="21"/>
                      <w:lang w:val="en-US" w:eastAsia="zh-CN"/>
                    </w:rPr>
                    <w:t>115</w:t>
                  </w:r>
                  <w:r>
                    <w:rPr>
                      <w:rFonts w:hint="default" w:ascii="Times New Roman" w:hAnsi="Times New Roman" w:cs="Times New Roman"/>
                      <w:color w:val="auto"/>
                      <w:sz w:val="21"/>
                      <w:szCs w:val="21"/>
                      <w:lang w:val="en-US" w:eastAsia="zh-CN"/>
                    </w:rPr>
                    <w:t>m</w:t>
                  </w:r>
                </w:p>
              </w:tc>
              <w:tc>
                <w:tcPr>
                  <w:tcW w:w="754" w:type="pct"/>
                  <w:noWrap w:val="0"/>
                  <w:vAlign w:val="center"/>
                </w:tcPr>
                <w:p w14:paraId="1FA943F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约</w:t>
                  </w:r>
                  <w:r>
                    <w:rPr>
                      <w:rFonts w:hint="eastAsia" w:ascii="Times New Roman" w:hAnsi="Times New Roman" w:cs="Times New Roman"/>
                      <w:color w:val="auto"/>
                      <w:sz w:val="21"/>
                      <w:szCs w:val="21"/>
                      <w:lang w:val="en-US" w:eastAsia="zh-CN"/>
                    </w:rPr>
                    <w:t>158</w:t>
                  </w:r>
                  <w:r>
                    <w:rPr>
                      <w:rFonts w:hint="default" w:ascii="Times New Roman" w:hAnsi="Times New Roman" w:cs="Times New Roman"/>
                      <w:color w:val="auto"/>
                      <w:sz w:val="21"/>
                      <w:szCs w:val="21"/>
                    </w:rPr>
                    <w:t>户，</w:t>
                  </w:r>
                  <w:r>
                    <w:rPr>
                      <w:rFonts w:hint="eastAsia" w:ascii="Times New Roman" w:hAnsi="Times New Roman" w:cs="Times New Roman"/>
                      <w:color w:val="auto"/>
                      <w:sz w:val="21"/>
                      <w:szCs w:val="21"/>
                      <w:lang w:val="en-US" w:eastAsia="zh-CN"/>
                    </w:rPr>
                    <w:t>553</w:t>
                  </w:r>
                  <w:r>
                    <w:rPr>
                      <w:rFonts w:hint="default" w:ascii="Times New Roman" w:hAnsi="Times New Roman" w:cs="Times New Roman"/>
                      <w:color w:val="auto"/>
                      <w:sz w:val="21"/>
                      <w:szCs w:val="21"/>
                    </w:rPr>
                    <w:t>人</w:t>
                  </w:r>
                </w:p>
              </w:tc>
              <w:tc>
                <w:tcPr>
                  <w:tcW w:w="712" w:type="pct"/>
                  <w:vMerge w:val="continue"/>
                  <w:noWrap w:val="0"/>
                  <w:vAlign w:val="center"/>
                </w:tcPr>
                <w:p w14:paraId="13A69AA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r>
            <w:tr w14:paraId="432B7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3" w:type="pct"/>
                  <w:vMerge w:val="continue"/>
                  <w:noWrap w:val="0"/>
                  <w:vAlign w:val="center"/>
                </w:tcPr>
                <w:p w14:paraId="3C2549D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c>
                <w:tcPr>
                  <w:tcW w:w="523" w:type="pct"/>
                  <w:noWrap w:val="0"/>
                  <w:vAlign w:val="center"/>
                </w:tcPr>
                <w:p w14:paraId="423B90C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勐稳</w:t>
                  </w:r>
                  <w:r>
                    <w:rPr>
                      <w:rFonts w:hint="default" w:ascii="Times New Roman" w:hAnsi="Times New Roman" w:cs="Times New Roman"/>
                      <w:color w:val="auto"/>
                      <w:sz w:val="21"/>
                      <w:szCs w:val="21"/>
                      <w:lang w:eastAsia="zh-CN"/>
                    </w:rPr>
                    <w:t>村</w:t>
                  </w:r>
                </w:p>
              </w:tc>
              <w:tc>
                <w:tcPr>
                  <w:tcW w:w="965" w:type="pct"/>
                  <w:noWrap w:val="0"/>
                  <w:vAlign w:val="center"/>
                </w:tcPr>
                <w:p w14:paraId="3733E43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98.524898</w:t>
                  </w:r>
                </w:p>
              </w:tc>
              <w:tc>
                <w:tcPr>
                  <w:tcW w:w="830" w:type="pct"/>
                  <w:noWrap w:val="0"/>
                  <w:vAlign w:val="center"/>
                </w:tcPr>
                <w:p w14:paraId="28DF576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24.292854</w:t>
                  </w:r>
                </w:p>
              </w:tc>
              <w:tc>
                <w:tcPr>
                  <w:tcW w:w="770" w:type="pct"/>
                  <w:noWrap w:val="0"/>
                  <w:vAlign w:val="center"/>
                </w:tcPr>
                <w:p w14:paraId="43A05F7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河岸左侧，</w:t>
                  </w:r>
                  <w:r>
                    <w:rPr>
                      <w:rFonts w:hint="default" w:ascii="Times New Roman" w:hAnsi="Times New Roman" w:cs="Times New Roman"/>
                      <w:color w:val="auto"/>
                      <w:sz w:val="21"/>
                      <w:szCs w:val="21"/>
                      <w:lang w:val="en-US" w:eastAsia="zh-CN"/>
                    </w:rPr>
                    <w:t>1</w:t>
                  </w:r>
                  <w:r>
                    <w:rPr>
                      <w:rFonts w:hint="eastAsia" w:ascii="Times New Roman" w:hAnsi="Times New Roman" w:cs="Times New Roman"/>
                      <w:color w:val="auto"/>
                      <w:sz w:val="21"/>
                      <w:szCs w:val="21"/>
                      <w:lang w:val="en-US" w:eastAsia="zh-CN"/>
                    </w:rPr>
                    <w:t>17</w:t>
                  </w:r>
                  <w:r>
                    <w:rPr>
                      <w:rFonts w:hint="default" w:ascii="Times New Roman" w:hAnsi="Times New Roman" w:cs="Times New Roman"/>
                      <w:color w:val="auto"/>
                      <w:sz w:val="21"/>
                      <w:szCs w:val="21"/>
                      <w:lang w:val="en-US" w:eastAsia="zh-CN"/>
                    </w:rPr>
                    <w:t>m</w:t>
                  </w:r>
                </w:p>
              </w:tc>
              <w:tc>
                <w:tcPr>
                  <w:tcW w:w="754" w:type="pct"/>
                  <w:noWrap w:val="0"/>
                  <w:vAlign w:val="center"/>
                </w:tcPr>
                <w:p w14:paraId="305765D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约5</w:t>
                  </w:r>
                  <w:r>
                    <w:rPr>
                      <w:rFonts w:hint="default" w:ascii="Times New Roman" w:hAnsi="Times New Roman" w:cs="Times New Roman"/>
                      <w:color w:val="auto"/>
                      <w:sz w:val="21"/>
                      <w:szCs w:val="21"/>
                      <w:lang w:val="en-US" w:eastAsia="zh-CN"/>
                    </w:rPr>
                    <w:t>0</w:t>
                  </w:r>
                  <w:r>
                    <w:rPr>
                      <w:rFonts w:hint="default" w:ascii="Times New Roman" w:hAnsi="Times New Roman" w:cs="Times New Roman"/>
                      <w:color w:val="auto"/>
                      <w:sz w:val="21"/>
                      <w:szCs w:val="21"/>
                    </w:rPr>
                    <w:t>户，20</w:t>
                  </w:r>
                  <w:r>
                    <w:rPr>
                      <w:rFonts w:hint="default" w:ascii="Times New Roman" w:hAnsi="Times New Roman" w:cs="Times New Roman"/>
                      <w:color w:val="auto"/>
                      <w:sz w:val="21"/>
                      <w:szCs w:val="21"/>
                      <w:lang w:val="en-US" w:eastAsia="zh-CN"/>
                    </w:rPr>
                    <w:t>0</w:t>
                  </w:r>
                  <w:r>
                    <w:rPr>
                      <w:rFonts w:hint="default" w:ascii="Times New Roman" w:hAnsi="Times New Roman" w:cs="Times New Roman"/>
                      <w:color w:val="auto"/>
                      <w:sz w:val="21"/>
                      <w:szCs w:val="21"/>
                    </w:rPr>
                    <w:t>人</w:t>
                  </w:r>
                </w:p>
              </w:tc>
              <w:tc>
                <w:tcPr>
                  <w:tcW w:w="712" w:type="pct"/>
                  <w:vMerge w:val="continue"/>
                  <w:noWrap w:val="0"/>
                  <w:vAlign w:val="center"/>
                </w:tcPr>
                <w:p w14:paraId="044E54E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r>
            <w:tr w14:paraId="7407D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3" w:type="pct"/>
                  <w:vMerge w:val="continue"/>
                  <w:noWrap w:val="0"/>
                  <w:vAlign w:val="center"/>
                </w:tcPr>
                <w:p w14:paraId="0842982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c>
                <w:tcPr>
                  <w:tcW w:w="523" w:type="pct"/>
                  <w:noWrap w:val="0"/>
                  <w:vAlign w:val="center"/>
                </w:tcPr>
                <w:p w14:paraId="3C64C17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cs="Times New Roman"/>
                      <w:color w:val="auto"/>
                      <w:sz w:val="21"/>
                      <w:szCs w:val="21"/>
                      <w:lang w:eastAsia="zh-CN"/>
                    </w:rPr>
                  </w:pPr>
                  <w:r>
                    <w:rPr>
                      <w:rFonts w:hint="eastAsia" w:cs="Times New Roman"/>
                      <w:color w:val="auto"/>
                      <w:sz w:val="21"/>
                      <w:szCs w:val="21"/>
                      <w:lang w:eastAsia="zh-CN"/>
                    </w:rPr>
                    <w:t>党良村</w:t>
                  </w:r>
                </w:p>
              </w:tc>
              <w:tc>
                <w:tcPr>
                  <w:tcW w:w="965" w:type="pct"/>
                  <w:noWrap w:val="0"/>
                  <w:vAlign w:val="center"/>
                </w:tcPr>
                <w:p w14:paraId="5D2B6D3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98.594931</w:t>
                  </w:r>
                </w:p>
              </w:tc>
              <w:tc>
                <w:tcPr>
                  <w:tcW w:w="830" w:type="pct"/>
                  <w:noWrap w:val="0"/>
                  <w:vAlign w:val="center"/>
                </w:tcPr>
                <w:p w14:paraId="19C822F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24.330899</w:t>
                  </w:r>
                </w:p>
              </w:tc>
              <w:tc>
                <w:tcPr>
                  <w:tcW w:w="770" w:type="pct"/>
                  <w:noWrap w:val="0"/>
                  <w:vAlign w:val="center"/>
                </w:tcPr>
                <w:p w14:paraId="5733B06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eastAsia="zh-CN"/>
                    </w:rPr>
                    <w:t>河岸右侧，</w:t>
                  </w:r>
                  <w:r>
                    <w:rPr>
                      <w:rFonts w:hint="eastAsia" w:cs="Times New Roman"/>
                      <w:color w:val="auto"/>
                      <w:sz w:val="21"/>
                      <w:szCs w:val="21"/>
                      <w:lang w:val="en-US" w:eastAsia="zh-CN"/>
                    </w:rPr>
                    <w:t>263m</w:t>
                  </w:r>
                </w:p>
              </w:tc>
              <w:tc>
                <w:tcPr>
                  <w:tcW w:w="754" w:type="pct"/>
                  <w:noWrap w:val="0"/>
                  <w:vAlign w:val="center"/>
                </w:tcPr>
                <w:p w14:paraId="4D9A962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约80户，268人</w:t>
                  </w:r>
                </w:p>
              </w:tc>
              <w:tc>
                <w:tcPr>
                  <w:tcW w:w="712" w:type="pct"/>
                  <w:vMerge w:val="continue"/>
                  <w:noWrap w:val="0"/>
                  <w:vAlign w:val="center"/>
                </w:tcPr>
                <w:p w14:paraId="5E73C9A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r>
            <w:tr w14:paraId="06531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3" w:type="pct"/>
                  <w:vMerge w:val="continue"/>
                  <w:noWrap w:val="0"/>
                  <w:vAlign w:val="center"/>
                </w:tcPr>
                <w:p w14:paraId="379F551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c>
                <w:tcPr>
                  <w:tcW w:w="523" w:type="pct"/>
                  <w:noWrap w:val="0"/>
                  <w:vAlign w:val="center"/>
                </w:tcPr>
                <w:p w14:paraId="200B7BC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芒浩</w:t>
                  </w:r>
                  <w:r>
                    <w:rPr>
                      <w:rFonts w:hint="default" w:ascii="Times New Roman" w:hAnsi="Times New Roman" w:cs="Times New Roman"/>
                      <w:color w:val="auto"/>
                      <w:sz w:val="21"/>
                      <w:szCs w:val="21"/>
                      <w:lang w:eastAsia="zh-CN"/>
                    </w:rPr>
                    <w:t>村</w:t>
                  </w:r>
                </w:p>
              </w:tc>
              <w:tc>
                <w:tcPr>
                  <w:tcW w:w="965" w:type="pct"/>
                  <w:noWrap w:val="0"/>
                  <w:vAlign w:val="center"/>
                </w:tcPr>
                <w:p w14:paraId="6F4C6F2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98.580194</w:t>
                  </w:r>
                </w:p>
              </w:tc>
              <w:tc>
                <w:tcPr>
                  <w:tcW w:w="830" w:type="pct"/>
                  <w:noWrap w:val="0"/>
                  <w:vAlign w:val="center"/>
                </w:tcPr>
                <w:p w14:paraId="05E0F97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24.349084</w:t>
                  </w:r>
                </w:p>
              </w:tc>
              <w:tc>
                <w:tcPr>
                  <w:tcW w:w="770" w:type="pct"/>
                  <w:noWrap w:val="0"/>
                  <w:vAlign w:val="center"/>
                </w:tcPr>
                <w:p w14:paraId="61923DB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河岸</w:t>
                  </w:r>
                  <w:r>
                    <w:rPr>
                      <w:rFonts w:hint="eastAsia" w:ascii="Times New Roman" w:hAnsi="Times New Roman" w:cs="Times New Roman"/>
                      <w:color w:val="auto"/>
                      <w:sz w:val="21"/>
                      <w:szCs w:val="21"/>
                      <w:lang w:eastAsia="zh-CN"/>
                    </w:rPr>
                    <w:t>左侧</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1</w:t>
                  </w:r>
                  <w:r>
                    <w:rPr>
                      <w:rFonts w:hint="eastAsia" w:ascii="Times New Roman" w:hAnsi="Times New Roman" w:cs="Times New Roman"/>
                      <w:color w:val="auto"/>
                      <w:sz w:val="21"/>
                      <w:szCs w:val="21"/>
                      <w:lang w:val="en-US" w:eastAsia="zh-CN"/>
                    </w:rPr>
                    <w:t>74</w:t>
                  </w:r>
                  <w:r>
                    <w:rPr>
                      <w:rFonts w:hint="default" w:ascii="Times New Roman" w:hAnsi="Times New Roman" w:cs="Times New Roman"/>
                      <w:color w:val="auto"/>
                      <w:sz w:val="21"/>
                      <w:szCs w:val="21"/>
                      <w:lang w:val="en-US" w:eastAsia="zh-CN"/>
                    </w:rPr>
                    <w:t>m</w:t>
                  </w:r>
                </w:p>
              </w:tc>
              <w:tc>
                <w:tcPr>
                  <w:tcW w:w="754" w:type="pct"/>
                  <w:noWrap w:val="0"/>
                  <w:vAlign w:val="center"/>
                </w:tcPr>
                <w:p w14:paraId="048D327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约</w:t>
                  </w:r>
                  <w:r>
                    <w:rPr>
                      <w:rFonts w:hint="default" w:ascii="Times New Roman" w:hAnsi="Times New Roman" w:cs="Times New Roman"/>
                      <w:color w:val="auto"/>
                      <w:sz w:val="21"/>
                      <w:szCs w:val="21"/>
                      <w:lang w:val="en-US" w:eastAsia="zh-CN"/>
                    </w:rPr>
                    <w:t>1</w:t>
                  </w:r>
                  <w:r>
                    <w:rPr>
                      <w:rFonts w:hint="eastAsia" w:ascii="Times New Roman" w:hAnsi="Times New Roman" w:cs="Times New Roman"/>
                      <w:color w:val="auto"/>
                      <w:sz w:val="21"/>
                      <w:szCs w:val="21"/>
                      <w:lang w:val="en-US" w:eastAsia="zh-CN"/>
                    </w:rPr>
                    <w:t>15</w:t>
                  </w:r>
                  <w:r>
                    <w:rPr>
                      <w:rFonts w:hint="default" w:ascii="Times New Roman" w:hAnsi="Times New Roman" w:cs="Times New Roman"/>
                      <w:color w:val="auto"/>
                      <w:sz w:val="21"/>
                      <w:szCs w:val="21"/>
                    </w:rPr>
                    <w:t>户，</w:t>
                  </w:r>
                  <w:r>
                    <w:rPr>
                      <w:rFonts w:hint="eastAsia" w:ascii="Times New Roman" w:hAnsi="Times New Roman" w:cs="Times New Roman"/>
                      <w:color w:val="auto"/>
                      <w:sz w:val="21"/>
                      <w:szCs w:val="21"/>
                      <w:lang w:val="en-US" w:eastAsia="zh-CN"/>
                    </w:rPr>
                    <w:t>375</w:t>
                  </w:r>
                  <w:r>
                    <w:rPr>
                      <w:rFonts w:hint="default" w:ascii="Times New Roman" w:hAnsi="Times New Roman" w:cs="Times New Roman"/>
                      <w:color w:val="auto"/>
                      <w:sz w:val="21"/>
                      <w:szCs w:val="21"/>
                    </w:rPr>
                    <w:t>人</w:t>
                  </w:r>
                </w:p>
              </w:tc>
              <w:tc>
                <w:tcPr>
                  <w:tcW w:w="712" w:type="pct"/>
                  <w:vMerge w:val="continue"/>
                  <w:noWrap w:val="0"/>
                  <w:vAlign w:val="center"/>
                </w:tcPr>
                <w:p w14:paraId="1D670C6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r>
            <w:tr w14:paraId="7B102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3" w:type="pct"/>
                  <w:vMerge w:val="continue"/>
                  <w:noWrap w:val="0"/>
                  <w:vAlign w:val="center"/>
                </w:tcPr>
                <w:p w14:paraId="41B692B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c>
                <w:tcPr>
                  <w:tcW w:w="523" w:type="pct"/>
                  <w:noWrap w:val="0"/>
                  <w:vAlign w:val="center"/>
                </w:tcPr>
                <w:p w14:paraId="7C5A236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cs="Times New Roman"/>
                      <w:color w:val="auto"/>
                      <w:sz w:val="21"/>
                      <w:szCs w:val="21"/>
                      <w:lang w:eastAsia="zh-CN"/>
                    </w:rPr>
                  </w:pPr>
                  <w:r>
                    <w:rPr>
                      <w:rFonts w:hint="eastAsia" w:cs="Times New Roman"/>
                      <w:color w:val="auto"/>
                      <w:sz w:val="21"/>
                      <w:szCs w:val="21"/>
                      <w:lang w:eastAsia="zh-CN"/>
                    </w:rPr>
                    <w:t>芒弄村</w:t>
                  </w:r>
                </w:p>
              </w:tc>
              <w:tc>
                <w:tcPr>
                  <w:tcW w:w="965" w:type="pct"/>
                  <w:noWrap w:val="0"/>
                  <w:vAlign w:val="center"/>
                </w:tcPr>
                <w:p w14:paraId="521DB15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98.570354</w:t>
                  </w:r>
                </w:p>
              </w:tc>
              <w:tc>
                <w:tcPr>
                  <w:tcW w:w="830" w:type="pct"/>
                  <w:noWrap w:val="0"/>
                  <w:vAlign w:val="center"/>
                </w:tcPr>
                <w:p w14:paraId="4C651A5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24.354331</w:t>
                  </w:r>
                </w:p>
              </w:tc>
              <w:tc>
                <w:tcPr>
                  <w:tcW w:w="770" w:type="pct"/>
                  <w:noWrap w:val="0"/>
                  <w:vAlign w:val="center"/>
                </w:tcPr>
                <w:p w14:paraId="0DB88E5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eastAsia="zh-CN"/>
                    </w:rPr>
                    <w:t>河岸左侧，</w:t>
                  </w:r>
                  <w:r>
                    <w:rPr>
                      <w:rFonts w:hint="eastAsia" w:cs="Times New Roman"/>
                      <w:color w:val="auto"/>
                      <w:sz w:val="21"/>
                      <w:szCs w:val="21"/>
                      <w:lang w:val="en-US" w:eastAsia="zh-CN"/>
                    </w:rPr>
                    <w:t>216m</w:t>
                  </w:r>
                </w:p>
              </w:tc>
              <w:tc>
                <w:tcPr>
                  <w:tcW w:w="754" w:type="pct"/>
                  <w:noWrap w:val="0"/>
                  <w:vAlign w:val="center"/>
                </w:tcPr>
                <w:p w14:paraId="5C40513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约138户，496人</w:t>
                  </w:r>
                </w:p>
              </w:tc>
              <w:tc>
                <w:tcPr>
                  <w:tcW w:w="712" w:type="pct"/>
                  <w:vMerge w:val="continue"/>
                  <w:noWrap w:val="0"/>
                  <w:vAlign w:val="center"/>
                </w:tcPr>
                <w:p w14:paraId="2E61772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r>
            <w:tr w14:paraId="7F8BD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3" w:type="pct"/>
                  <w:vMerge w:val="continue"/>
                  <w:noWrap w:val="0"/>
                  <w:vAlign w:val="center"/>
                </w:tcPr>
                <w:p w14:paraId="3BFDDE4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c>
                <w:tcPr>
                  <w:tcW w:w="523" w:type="pct"/>
                  <w:noWrap w:val="0"/>
                  <w:vAlign w:val="center"/>
                </w:tcPr>
                <w:p w14:paraId="310FF86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芒里村</w:t>
                  </w:r>
                </w:p>
              </w:tc>
              <w:tc>
                <w:tcPr>
                  <w:tcW w:w="965" w:type="pct"/>
                  <w:noWrap w:val="0"/>
                  <w:vAlign w:val="center"/>
                </w:tcPr>
                <w:p w14:paraId="6B5DD49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98.573425</w:t>
                  </w:r>
                </w:p>
              </w:tc>
              <w:tc>
                <w:tcPr>
                  <w:tcW w:w="830" w:type="pct"/>
                  <w:noWrap w:val="0"/>
                  <w:vAlign w:val="center"/>
                </w:tcPr>
                <w:p w14:paraId="60A54CB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24.359030</w:t>
                  </w:r>
                </w:p>
              </w:tc>
              <w:tc>
                <w:tcPr>
                  <w:tcW w:w="770" w:type="pct"/>
                  <w:noWrap w:val="0"/>
                  <w:vAlign w:val="center"/>
                </w:tcPr>
                <w:p w14:paraId="61B691C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河岸</w:t>
                  </w:r>
                  <w:r>
                    <w:rPr>
                      <w:rFonts w:hint="eastAsia" w:ascii="Times New Roman" w:hAnsi="Times New Roman" w:cs="Times New Roman"/>
                      <w:color w:val="auto"/>
                      <w:sz w:val="21"/>
                      <w:szCs w:val="21"/>
                      <w:lang w:eastAsia="zh-CN"/>
                    </w:rPr>
                    <w:t>右</w:t>
                  </w:r>
                  <w:r>
                    <w:rPr>
                      <w:rFonts w:hint="default" w:ascii="Times New Roman" w:hAnsi="Times New Roman" w:cs="Times New Roman"/>
                      <w:color w:val="auto"/>
                      <w:sz w:val="21"/>
                      <w:szCs w:val="21"/>
                      <w:lang w:eastAsia="zh-CN"/>
                    </w:rPr>
                    <w:t>侧，</w:t>
                  </w:r>
                  <w:r>
                    <w:rPr>
                      <w:rFonts w:hint="eastAsia" w:ascii="Times New Roman" w:hAnsi="Times New Roman" w:cs="Times New Roman"/>
                      <w:color w:val="auto"/>
                      <w:sz w:val="21"/>
                      <w:szCs w:val="21"/>
                      <w:lang w:val="en-US" w:eastAsia="zh-CN"/>
                    </w:rPr>
                    <w:t>177</w:t>
                  </w:r>
                  <w:r>
                    <w:rPr>
                      <w:rFonts w:hint="default" w:ascii="Times New Roman" w:hAnsi="Times New Roman" w:cs="Times New Roman"/>
                      <w:color w:val="auto"/>
                      <w:sz w:val="21"/>
                      <w:szCs w:val="21"/>
                      <w:lang w:val="en-US" w:eastAsia="zh-CN"/>
                    </w:rPr>
                    <w:t>m</w:t>
                  </w:r>
                </w:p>
              </w:tc>
              <w:tc>
                <w:tcPr>
                  <w:tcW w:w="754" w:type="pct"/>
                  <w:noWrap w:val="0"/>
                  <w:vAlign w:val="center"/>
                </w:tcPr>
                <w:p w14:paraId="252ABAF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约</w:t>
                  </w:r>
                  <w:r>
                    <w:rPr>
                      <w:rFonts w:hint="eastAsia" w:ascii="Times New Roman" w:hAnsi="Times New Roman" w:cs="Times New Roman"/>
                      <w:color w:val="auto"/>
                      <w:sz w:val="21"/>
                      <w:szCs w:val="21"/>
                      <w:lang w:val="en-US" w:eastAsia="zh-CN"/>
                    </w:rPr>
                    <w:t>80</w:t>
                  </w:r>
                  <w:r>
                    <w:rPr>
                      <w:rFonts w:hint="default" w:ascii="Times New Roman" w:hAnsi="Times New Roman" w:cs="Times New Roman"/>
                      <w:color w:val="auto"/>
                      <w:sz w:val="21"/>
                      <w:szCs w:val="21"/>
                    </w:rPr>
                    <w:t>户，</w:t>
                  </w:r>
                  <w:r>
                    <w:rPr>
                      <w:rFonts w:hint="eastAsia" w:ascii="Times New Roman" w:hAnsi="Times New Roman" w:cs="Times New Roman"/>
                      <w:color w:val="auto"/>
                      <w:sz w:val="21"/>
                      <w:szCs w:val="21"/>
                      <w:lang w:val="en-US" w:eastAsia="zh-CN"/>
                    </w:rPr>
                    <w:t>252</w:t>
                  </w:r>
                  <w:r>
                    <w:rPr>
                      <w:rFonts w:hint="default" w:ascii="Times New Roman" w:hAnsi="Times New Roman" w:cs="Times New Roman"/>
                      <w:color w:val="auto"/>
                      <w:sz w:val="21"/>
                      <w:szCs w:val="21"/>
                    </w:rPr>
                    <w:t>人</w:t>
                  </w:r>
                </w:p>
              </w:tc>
              <w:tc>
                <w:tcPr>
                  <w:tcW w:w="712" w:type="pct"/>
                  <w:vMerge w:val="continue"/>
                  <w:noWrap w:val="0"/>
                  <w:vAlign w:val="center"/>
                </w:tcPr>
                <w:p w14:paraId="74B0D5B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r>
            <w:tr w14:paraId="72003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3" w:type="pct"/>
                  <w:noWrap w:val="0"/>
                  <w:vAlign w:val="center"/>
                </w:tcPr>
                <w:p w14:paraId="4F21F1E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声环境</w:t>
                  </w:r>
                </w:p>
              </w:tc>
              <w:tc>
                <w:tcPr>
                  <w:tcW w:w="4556" w:type="pct"/>
                  <w:gridSpan w:val="6"/>
                  <w:noWrap w:val="0"/>
                  <w:vAlign w:val="center"/>
                </w:tcPr>
                <w:p w14:paraId="0906009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eastAsia" w:ascii="Times New Roman" w:hAnsi="Times New Roman" w:cs="Times New Roman"/>
                      <w:color w:val="auto"/>
                      <w:kern w:val="2"/>
                      <w:sz w:val="21"/>
                      <w:szCs w:val="21"/>
                      <w:lang w:val="en-US" w:eastAsia="zh-CN" w:bidi="ar-SA"/>
                    </w:rPr>
                    <w:t>项目50m范围内无声环境保护目标</w:t>
                  </w:r>
                </w:p>
              </w:tc>
            </w:tr>
            <w:tr w14:paraId="00127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3" w:type="pct"/>
                  <w:vMerge w:val="restart"/>
                  <w:noWrap w:val="0"/>
                  <w:vAlign w:val="center"/>
                </w:tcPr>
                <w:p w14:paraId="6649AD9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水环境</w:t>
                  </w:r>
                </w:p>
              </w:tc>
              <w:tc>
                <w:tcPr>
                  <w:tcW w:w="523" w:type="pct"/>
                  <w:noWrap w:val="0"/>
                  <w:vAlign w:val="center"/>
                </w:tcPr>
                <w:p w14:paraId="23C3C5D5">
                  <w:pPr>
                    <w:pStyle w:val="6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rPr>
                  </w:pPr>
                  <w:r>
                    <w:rPr>
                      <w:color w:val="auto"/>
                      <w:spacing w:val="-4"/>
                      <w:sz w:val="21"/>
                      <w:szCs w:val="21"/>
                    </w:rPr>
                    <w:t>果朗河</w:t>
                  </w:r>
                </w:p>
              </w:tc>
              <w:tc>
                <w:tcPr>
                  <w:tcW w:w="965" w:type="pct"/>
                  <w:noWrap w:val="0"/>
                  <w:vAlign w:val="center"/>
                </w:tcPr>
                <w:p w14:paraId="2B5699B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830" w:type="pct"/>
                  <w:noWrap w:val="0"/>
                  <w:vAlign w:val="center"/>
                </w:tcPr>
                <w:p w14:paraId="1A620A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w:t>
                  </w:r>
                </w:p>
              </w:tc>
              <w:tc>
                <w:tcPr>
                  <w:tcW w:w="770" w:type="pct"/>
                  <w:noWrap w:val="0"/>
                  <w:vAlign w:val="center"/>
                </w:tcPr>
                <w:p w14:paraId="1C531E0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eastAsia="zh-CN"/>
                    </w:rPr>
                    <w:t>本项目区</w:t>
                  </w:r>
                </w:p>
              </w:tc>
              <w:tc>
                <w:tcPr>
                  <w:tcW w:w="754" w:type="pct"/>
                  <w:noWrap w:val="0"/>
                  <w:vAlign w:val="center"/>
                </w:tcPr>
                <w:p w14:paraId="464E516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w:t>
                  </w:r>
                </w:p>
              </w:tc>
              <w:tc>
                <w:tcPr>
                  <w:tcW w:w="712" w:type="pct"/>
                  <w:vMerge w:val="restart"/>
                  <w:noWrap w:val="0"/>
                  <w:vAlign w:val="center"/>
                </w:tcPr>
                <w:p w14:paraId="3E121C3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《地表水环境</w:t>
                  </w:r>
                </w:p>
                <w:p w14:paraId="242D493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质量》</w:t>
                  </w:r>
                </w:p>
                <w:p w14:paraId="463D4FF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（GB3838-2002）</w:t>
                  </w:r>
                  <w:r>
                    <w:rPr>
                      <w:rFonts w:ascii="Times New Roman" w:hAnsi="Times New Roman" w:eastAsia="Times New Roman" w:cs="Times New Roman"/>
                      <w:color w:val="auto"/>
                      <w:spacing w:val="-2"/>
                      <w:sz w:val="21"/>
                      <w:szCs w:val="21"/>
                    </w:rPr>
                    <w:t>Ⅲ</w:t>
                  </w:r>
                  <w:r>
                    <w:rPr>
                      <w:rFonts w:hint="default" w:ascii="Times New Roman" w:hAnsi="Times New Roman" w:cs="Times New Roman"/>
                      <w:color w:val="auto"/>
                      <w:sz w:val="21"/>
                      <w:szCs w:val="21"/>
                    </w:rPr>
                    <w:t>类</w:t>
                  </w:r>
                </w:p>
              </w:tc>
            </w:tr>
            <w:tr w14:paraId="00CA0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3" w:type="pct"/>
                  <w:vMerge w:val="continue"/>
                  <w:noWrap w:val="0"/>
                  <w:vAlign w:val="center"/>
                </w:tcPr>
                <w:p w14:paraId="73C415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p>
              </w:tc>
              <w:tc>
                <w:tcPr>
                  <w:tcW w:w="523" w:type="pct"/>
                  <w:noWrap w:val="0"/>
                  <w:vAlign w:val="center"/>
                </w:tcPr>
                <w:p w14:paraId="0B6F7C8F">
                  <w:pPr>
                    <w:pStyle w:val="6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rPr>
                  </w:pPr>
                  <w:r>
                    <w:rPr>
                      <w:rFonts w:hint="eastAsia"/>
                      <w:color w:val="auto"/>
                      <w:spacing w:val="-4"/>
                      <w:sz w:val="21"/>
                      <w:szCs w:val="21"/>
                      <w:lang w:eastAsia="zh-CN"/>
                    </w:rPr>
                    <w:t>鸡蛋山河</w:t>
                  </w:r>
                </w:p>
              </w:tc>
              <w:tc>
                <w:tcPr>
                  <w:tcW w:w="965" w:type="pct"/>
                  <w:noWrap w:val="0"/>
                  <w:vAlign w:val="center"/>
                </w:tcPr>
                <w:p w14:paraId="73B487C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w:t>
                  </w:r>
                </w:p>
              </w:tc>
              <w:tc>
                <w:tcPr>
                  <w:tcW w:w="830" w:type="pct"/>
                  <w:noWrap w:val="0"/>
                  <w:vAlign w:val="center"/>
                </w:tcPr>
                <w:p w14:paraId="1A765EA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w:t>
                  </w:r>
                </w:p>
              </w:tc>
              <w:tc>
                <w:tcPr>
                  <w:tcW w:w="770" w:type="pct"/>
                  <w:noWrap w:val="0"/>
                  <w:vAlign w:val="center"/>
                </w:tcPr>
                <w:p w14:paraId="3B6A7A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西南</w:t>
                  </w:r>
                  <w:r>
                    <w:rPr>
                      <w:rFonts w:hint="default" w:ascii="Times New Roman" w:hAnsi="Times New Roman" w:cs="Times New Roman"/>
                      <w:color w:val="auto"/>
                      <w:sz w:val="21"/>
                      <w:szCs w:val="21"/>
                      <w:lang w:val="en-US" w:eastAsia="zh-CN"/>
                    </w:rPr>
                    <w:t>侧，</w:t>
                  </w:r>
                  <w:r>
                    <w:rPr>
                      <w:rFonts w:hint="eastAsia" w:ascii="Times New Roman" w:hAnsi="Times New Roman" w:cs="Times New Roman"/>
                      <w:color w:val="auto"/>
                      <w:sz w:val="21"/>
                      <w:szCs w:val="21"/>
                      <w:lang w:val="en-US" w:eastAsia="zh-CN"/>
                    </w:rPr>
                    <w:t>512</w:t>
                  </w:r>
                  <w:r>
                    <w:rPr>
                      <w:rFonts w:hint="default" w:ascii="Times New Roman" w:hAnsi="Times New Roman" w:cs="Times New Roman"/>
                      <w:color w:val="auto"/>
                      <w:sz w:val="21"/>
                      <w:szCs w:val="21"/>
                      <w:lang w:val="en-US" w:eastAsia="zh-CN"/>
                    </w:rPr>
                    <w:t>m</w:t>
                  </w:r>
                </w:p>
              </w:tc>
              <w:tc>
                <w:tcPr>
                  <w:tcW w:w="754" w:type="pct"/>
                  <w:noWrap w:val="0"/>
                  <w:vAlign w:val="center"/>
                </w:tcPr>
                <w:p w14:paraId="2D70123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w:t>
                  </w:r>
                </w:p>
              </w:tc>
              <w:tc>
                <w:tcPr>
                  <w:tcW w:w="712" w:type="pct"/>
                  <w:vMerge w:val="continue"/>
                  <w:noWrap w:val="0"/>
                  <w:vAlign w:val="center"/>
                </w:tcPr>
                <w:p w14:paraId="7006ACF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p>
              </w:tc>
            </w:tr>
            <w:tr w14:paraId="7D86E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7" w:hRule="atLeast"/>
              </w:trPr>
              <w:tc>
                <w:tcPr>
                  <w:tcW w:w="443" w:type="pct"/>
                  <w:vMerge w:val="continue"/>
                  <w:noWrap w:val="0"/>
                  <w:vAlign w:val="center"/>
                </w:tcPr>
                <w:p w14:paraId="3310C12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p>
              </w:tc>
              <w:tc>
                <w:tcPr>
                  <w:tcW w:w="523" w:type="pct"/>
                  <w:noWrap w:val="0"/>
                  <w:vAlign w:val="center"/>
                </w:tcPr>
                <w:p w14:paraId="562A8228">
                  <w:pPr>
                    <w:pStyle w:val="6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rPr>
                  </w:pPr>
                  <w:r>
                    <w:rPr>
                      <w:rFonts w:hint="eastAsia"/>
                      <w:color w:val="auto"/>
                      <w:spacing w:val="-4"/>
                      <w:sz w:val="21"/>
                      <w:szCs w:val="21"/>
                      <w:lang w:eastAsia="zh-CN"/>
                    </w:rPr>
                    <w:t>芒浩上条沟</w:t>
                  </w:r>
                </w:p>
              </w:tc>
              <w:tc>
                <w:tcPr>
                  <w:tcW w:w="965" w:type="pct"/>
                  <w:noWrap w:val="0"/>
                  <w:vAlign w:val="center"/>
                </w:tcPr>
                <w:p w14:paraId="4961F73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w:t>
                  </w:r>
                </w:p>
              </w:tc>
              <w:tc>
                <w:tcPr>
                  <w:tcW w:w="830" w:type="pct"/>
                  <w:noWrap w:val="0"/>
                  <w:vAlign w:val="center"/>
                </w:tcPr>
                <w:p w14:paraId="120D396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w:t>
                  </w:r>
                </w:p>
              </w:tc>
              <w:tc>
                <w:tcPr>
                  <w:tcW w:w="770" w:type="pct"/>
                  <w:noWrap w:val="0"/>
                  <w:vAlign w:val="center"/>
                </w:tcPr>
                <w:p w14:paraId="27578F6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南侧，19m</w:t>
                  </w:r>
                </w:p>
              </w:tc>
              <w:tc>
                <w:tcPr>
                  <w:tcW w:w="754" w:type="pct"/>
                  <w:noWrap w:val="0"/>
                  <w:vAlign w:val="center"/>
                </w:tcPr>
                <w:p w14:paraId="69E3755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w:t>
                  </w:r>
                </w:p>
              </w:tc>
              <w:tc>
                <w:tcPr>
                  <w:tcW w:w="712" w:type="pct"/>
                  <w:vMerge w:val="continue"/>
                  <w:noWrap w:val="0"/>
                  <w:vAlign w:val="center"/>
                </w:tcPr>
                <w:p w14:paraId="38B09F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p>
              </w:tc>
            </w:tr>
            <w:tr w14:paraId="4BB67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3" w:type="pct"/>
                  <w:vMerge w:val="continue"/>
                  <w:noWrap w:val="0"/>
                  <w:vAlign w:val="center"/>
                </w:tcPr>
                <w:p w14:paraId="4D06F2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p>
              </w:tc>
              <w:tc>
                <w:tcPr>
                  <w:tcW w:w="523" w:type="pct"/>
                  <w:noWrap w:val="0"/>
                  <w:vAlign w:val="center"/>
                </w:tcPr>
                <w:p w14:paraId="7109DA6C">
                  <w:pPr>
                    <w:pStyle w:val="6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rPr>
                  </w:pPr>
                  <w:r>
                    <w:rPr>
                      <w:rFonts w:hint="eastAsia"/>
                      <w:color w:val="auto"/>
                      <w:spacing w:val="-4"/>
                      <w:sz w:val="21"/>
                      <w:szCs w:val="21"/>
                      <w:lang w:eastAsia="zh-CN"/>
                    </w:rPr>
                    <w:t>芒留大沟</w:t>
                  </w:r>
                </w:p>
              </w:tc>
              <w:tc>
                <w:tcPr>
                  <w:tcW w:w="965" w:type="pct"/>
                  <w:noWrap w:val="0"/>
                  <w:vAlign w:val="center"/>
                </w:tcPr>
                <w:p w14:paraId="300CD9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830" w:type="pct"/>
                  <w:noWrap w:val="0"/>
                  <w:vAlign w:val="center"/>
                </w:tcPr>
                <w:p w14:paraId="0C57CA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770" w:type="pct"/>
                  <w:noWrap w:val="0"/>
                  <w:vAlign w:val="center"/>
                </w:tcPr>
                <w:p w14:paraId="265332C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西</w:t>
                  </w:r>
                  <w:r>
                    <w:rPr>
                      <w:rFonts w:hint="default" w:ascii="Times New Roman" w:hAnsi="Times New Roman" w:cs="Times New Roman"/>
                      <w:color w:val="auto"/>
                      <w:sz w:val="21"/>
                      <w:szCs w:val="21"/>
                      <w:lang w:val="en-US" w:eastAsia="zh-CN"/>
                    </w:rPr>
                    <w:t>侧，</w:t>
                  </w:r>
                  <w:r>
                    <w:rPr>
                      <w:rFonts w:hint="eastAsia" w:ascii="Times New Roman" w:hAnsi="Times New Roman" w:cs="Times New Roman"/>
                      <w:color w:val="auto"/>
                      <w:sz w:val="21"/>
                      <w:szCs w:val="21"/>
                      <w:lang w:val="en-US" w:eastAsia="zh-CN"/>
                    </w:rPr>
                    <w:t>20</w:t>
                  </w:r>
                  <w:r>
                    <w:rPr>
                      <w:rFonts w:hint="default" w:ascii="Times New Roman" w:hAnsi="Times New Roman" w:cs="Times New Roman"/>
                      <w:color w:val="auto"/>
                      <w:sz w:val="21"/>
                      <w:szCs w:val="21"/>
                      <w:lang w:val="en-US" w:eastAsia="zh-CN"/>
                    </w:rPr>
                    <w:t>m</w:t>
                  </w:r>
                </w:p>
              </w:tc>
              <w:tc>
                <w:tcPr>
                  <w:tcW w:w="754" w:type="pct"/>
                  <w:noWrap w:val="0"/>
                  <w:vAlign w:val="center"/>
                </w:tcPr>
                <w:p w14:paraId="2E3CD5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712" w:type="pct"/>
                  <w:vMerge w:val="continue"/>
                  <w:noWrap w:val="0"/>
                  <w:vAlign w:val="center"/>
                </w:tcPr>
                <w:p w14:paraId="312A5E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rPr>
                  </w:pPr>
                </w:p>
              </w:tc>
            </w:tr>
            <w:tr w14:paraId="70B03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3" w:type="pct"/>
                  <w:vMerge w:val="restart"/>
                  <w:noWrap w:val="0"/>
                  <w:vAlign w:val="center"/>
                </w:tcPr>
                <w:p w14:paraId="70DA9A7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生态环境</w:t>
                  </w:r>
                </w:p>
              </w:tc>
              <w:tc>
                <w:tcPr>
                  <w:tcW w:w="4556" w:type="pct"/>
                  <w:gridSpan w:val="6"/>
                  <w:noWrap w:val="0"/>
                  <w:vAlign w:val="center"/>
                </w:tcPr>
                <w:p w14:paraId="54B9A4F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保护评价范围内的水生生物不受项目建设而产生不良影响</w:t>
                  </w:r>
                </w:p>
              </w:tc>
            </w:tr>
            <w:tr w14:paraId="7BD31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3" w:type="pct"/>
                  <w:vMerge w:val="continue"/>
                  <w:noWrap w:val="0"/>
                  <w:vAlign w:val="center"/>
                </w:tcPr>
                <w:p w14:paraId="39DE7A5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p>
              </w:tc>
              <w:tc>
                <w:tcPr>
                  <w:tcW w:w="4556" w:type="pct"/>
                  <w:gridSpan w:val="6"/>
                  <w:noWrap w:val="0"/>
                  <w:vAlign w:val="center"/>
                </w:tcPr>
                <w:p w14:paraId="0445EDE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保护生态评价范围内周边植被植物、野生动物、水土流失、景观，不得随意破坏和降低当地的生态环境质量，尽量减小对生态环境的影响</w:t>
                  </w:r>
                </w:p>
              </w:tc>
            </w:tr>
          </w:tbl>
          <w:p w14:paraId="397CAE4A">
            <w:pPr>
              <w:pStyle w:val="31"/>
              <w:bidi w:val="0"/>
              <w:ind w:left="0" w:leftChars="0" w:firstLine="0" w:firstLineChars="0"/>
              <w:jc w:val="both"/>
              <w:rPr>
                <w:rFonts w:hint="default"/>
                <w:color w:val="auto"/>
                <w:lang w:val="en-US" w:eastAsia="zh-CN"/>
              </w:rPr>
            </w:pPr>
          </w:p>
        </w:tc>
      </w:tr>
      <w:tr w14:paraId="654F14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2" w:type="pct"/>
            <w:vAlign w:val="center"/>
          </w:tcPr>
          <w:p w14:paraId="5669190F">
            <w:pPr>
              <w:bidi w:val="0"/>
              <w:ind w:left="0" w:leftChars="0" w:firstLine="0" w:firstLineChars="0"/>
              <w:jc w:val="center"/>
              <w:rPr>
                <w:rFonts w:hint="default"/>
                <w:color w:val="auto"/>
              </w:rPr>
            </w:pPr>
            <w:r>
              <w:rPr>
                <w:rFonts w:hint="default"/>
                <w:color w:val="auto"/>
              </w:rPr>
              <w:t>评价</w:t>
            </w:r>
          </w:p>
          <w:p w14:paraId="226D67DE">
            <w:pPr>
              <w:bidi w:val="0"/>
              <w:ind w:left="0" w:leftChars="0" w:firstLine="0" w:firstLineChars="0"/>
              <w:jc w:val="center"/>
              <w:rPr>
                <w:rFonts w:hint="default" w:ascii="Times New Roman" w:hAnsi="Times New Roman" w:cs="Times New Roman"/>
                <w:color w:val="auto"/>
                <w:kern w:val="0"/>
              </w:rPr>
            </w:pPr>
            <w:r>
              <w:rPr>
                <w:rFonts w:hint="default"/>
                <w:color w:val="auto"/>
              </w:rPr>
              <w:t>标准</w:t>
            </w:r>
          </w:p>
        </w:tc>
        <w:tc>
          <w:tcPr>
            <w:tcW w:w="4647" w:type="pct"/>
            <w:vAlign w:val="center"/>
          </w:tcPr>
          <w:p w14:paraId="7B1B0B63">
            <w:pPr>
              <w:pStyle w:val="36"/>
              <w:bidi w:val="0"/>
              <w:rPr>
                <w:rFonts w:hint="default"/>
                <w:color w:val="auto"/>
              </w:rPr>
            </w:pPr>
            <w:r>
              <w:rPr>
                <w:rFonts w:hint="default"/>
                <w:color w:val="auto"/>
              </w:rPr>
              <w:t>根据项目区功能区划以及对照各标准要求确定本项目环境影响评价执行以下标准：</w:t>
            </w:r>
          </w:p>
          <w:p w14:paraId="0CCD0DC5">
            <w:pPr>
              <w:pStyle w:val="36"/>
              <w:bidi w:val="0"/>
              <w:rPr>
                <w:rFonts w:hint="default"/>
                <w:b/>
                <w:bCs/>
                <w:color w:val="auto"/>
              </w:rPr>
            </w:pPr>
            <w:r>
              <w:rPr>
                <w:rFonts w:hint="eastAsia"/>
                <w:b/>
                <w:bCs/>
                <w:color w:val="auto"/>
                <w:lang w:val="en-US" w:eastAsia="zh-CN"/>
              </w:rPr>
              <w:t>一、</w:t>
            </w:r>
            <w:r>
              <w:rPr>
                <w:rFonts w:hint="default"/>
                <w:b/>
                <w:bCs/>
                <w:color w:val="auto"/>
              </w:rPr>
              <w:t>环境质量标准</w:t>
            </w:r>
          </w:p>
          <w:p w14:paraId="76FDD970">
            <w:pPr>
              <w:pStyle w:val="36"/>
              <w:bidi w:val="0"/>
              <w:rPr>
                <w:b/>
                <w:bCs/>
                <w:color w:val="auto"/>
              </w:rPr>
            </w:pPr>
            <w:r>
              <w:rPr>
                <w:rFonts w:hint="eastAsia"/>
                <w:b/>
                <w:bCs/>
                <w:color w:val="auto"/>
                <w:lang w:val="en-US" w:eastAsia="zh-CN"/>
              </w:rPr>
              <w:t>1、</w:t>
            </w:r>
            <w:r>
              <w:rPr>
                <w:rFonts w:hint="default"/>
                <w:b/>
                <w:bCs/>
                <w:color w:val="auto"/>
              </w:rPr>
              <w:t>环境空气质量标准</w:t>
            </w:r>
          </w:p>
          <w:p w14:paraId="3608EE7D">
            <w:pPr>
              <w:pStyle w:val="36"/>
              <w:bidi w:val="0"/>
              <w:rPr>
                <w:rFonts w:hint="default"/>
                <w:color w:val="auto"/>
              </w:rPr>
            </w:pPr>
            <w:r>
              <w:rPr>
                <w:color w:val="auto"/>
              </w:rPr>
              <w:t>本工程建设涉及的区域</w:t>
            </w:r>
            <w:r>
              <w:rPr>
                <w:rFonts w:hint="eastAsia"/>
                <w:color w:val="auto"/>
              </w:rPr>
              <w:t>为乡镇</w:t>
            </w:r>
            <w:r>
              <w:rPr>
                <w:color w:val="auto"/>
              </w:rPr>
              <w:t>属于居住区，按照《环境空气质量标准》（GB3095-2012）的要求，本工程建设区域空气环境质量执行二级标准</w:t>
            </w:r>
            <w:r>
              <w:rPr>
                <w:rFonts w:hint="default"/>
                <w:color w:val="auto"/>
              </w:rPr>
              <w:t>。具体标准限值如下：</w:t>
            </w:r>
          </w:p>
          <w:p w14:paraId="2B452D52">
            <w:pPr>
              <w:pStyle w:val="31"/>
              <w:bidi w:val="0"/>
              <w:rPr>
                <w:rFonts w:hint="default"/>
                <w:color w:val="auto"/>
              </w:rPr>
            </w:pPr>
            <w:r>
              <w:rPr>
                <w:rFonts w:hint="default"/>
                <w:color w:val="auto"/>
              </w:rPr>
              <w:t>表3-</w:t>
            </w:r>
            <w:r>
              <w:rPr>
                <w:rFonts w:hint="eastAsia"/>
                <w:color w:val="auto"/>
                <w:lang w:val="en-US" w:eastAsia="zh-CN"/>
              </w:rPr>
              <w:t>8</w:t>
            </w:r>
            <w:r>
              <w:rPr>
                <w:rFonts w:hint="default"/>
                <w:color w:val="auto"/>
              </w:rPr>
              <w:t xml:space="preserve"> 环境空气质量标准限值</w:t>
            </w:r>
          </w:p>
          <w:tbl>
            <w:tblPr>
              <w:tblStyle w:val="23"/>
              <w:tblW w:w="4998"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0"/>
              <w:gridCol w:w="1311"/>
              <w:gridCol w:w="690"/>
              <w:gridCol w:w="1056"/>
              <w:gridCol w:w="946"/>
              <w:gridCol w:w="926"/>
              <w:gridCol w:w="891"/>
              <w:gridCol w:w="903"/>
            </w:tblGrid>
            <w:tr w14:paraId="19AE6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0" w:type="pct"/>
                  <w:vMerge w:val="restart"/>
                  <w:tcBorders>
                    <w:tl2br w:val="nil"/>
                    <w:tr2bl w:val="nil"/>
                  </w:tcBorders>
                  <w:vAlign w:val="center"/>
                </w:tcPr>
                <w:p w14:paraId="26C2CBF5">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color w:val="auto"/>
                    </w:rPr>
                  </w:pPr>
                  <w:r>
                    <w:rPr>
                      <w:rFonts w:hint="default"/>
                      <w:b/>
                      <w:bCs/>
                      <w:color w:val="auto"/>
                    </w:rPr>
                    <w:t>区域名称</w:t>
                  </w:r>
                </w:p>
              </w:tc>
              <w:tc>
                <w:tcPr>
                  <w:tcW w:w="852" w:type="pct"/>
                  <w:vMerge w:val="restart"/>
                  <w:tcBorders>
                    <w:tl2br w:val="nil"/>
                    <w:tr2bl w:val="nil"/>
                  </w:tcBorders>
                  <w:vAlign w:val="center"/>
                </w:tcPr>
                <w:p w14:paraId="45BF3494">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color w:val="auto"/>
                    </w:rPr>
                  </w:pPr>
                  <w:r>
                    <w:rPr>
                      <w:rFonts w:hint="default"/>
                      <w:b/>
                      <w:bCs/>
                      <w:color w:val="auto"/>
                    </w:rPr>
                    <w:t>执行标准</w:t>
                  </w:r>
                </w:p>
              </w:tc>
              <w:tc>
                <w:tcPr>
                  <w:tcW w:w="448" w:type="pct"/>
                  <w:vMerge w:val="restart"/>
                  <w:tcBorders>
                    <w:tl2br w:val="nil"/>
                    <w:tr2bl w:val="nil"/>
                  </w:tcBorders>
                  <w:vAlign w:val="center"/>
                </w:tcPr>
                <w:p w14:paraId="5B80634F">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color w:val="auto"/>
                    </w:rPr>
                  </w:pPr>
                  <w:r>
                    <w:rPr>
                      <w:rFonts w:hint="default"/>
                      <w:b/>
                      <w:bCs/>
                      <w:color w:val="auto"/>
                    </w:rPr>
                    <w:t>级别</w:t>
                  </w:r>
                </w:p>
              </w:tc>
              <w:tc>
                <w:tcPr>
                  <w:tcW w:w="686" w:type="pct"/>
                  <w:vMerge w:val="restart"/>
                  <w:tcBorders>
                    <w:tl2br w:val="nil"/>
                    <w:tr2bl w:val="nil"/>
                  </w:tcBorders>
                  <w:vAlign w:val="center"/>
                </w:tcPr>
                <w:p w14:paraId="1D3BB8D9">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color w:val="auto"/>
                    </w:rPr>
                  </w:pPr>
                  <w:r>
                    <w:rPr>
                      <w:rFonts w:hint="default"/>
                      <w:b/>
                      <w:bCs/>
                      <w:color w:val="auto"/>
                    </w:rPr>
                    <w:t>污染物指标</w:t>
                  </w:r>
                </w:p>
              </w:tc>
              <w:tc>
                <w:tcPr>
                  <w:tcW w:w="614" w:type="pct"/>
                  <w:vMerge w:val="restart"/>
                  <w:tcBorders>
                    <w:tl2br w:val="nil"/>
                    <w:tr2bl w:val="nil"/>
                  </w:tcBorders>
                  <w:vAlign w:val="center"/>
                </w:tcPr>
                <w:p w14:paraId="19B4259D">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color w:val="auto"/>
                    </w:rPr>
                  </w:pPr>
                  <w:r>
                    <w:rPr>
                      <w:rFonts w:hint="default"/>
                      <w:b/>
                      <w:bCs/>
                      <w:color w:val="auto"/>
                    </w:rPr>
                    <w:t>单位</w:t>
                  </w:r>
                </w:p>
              </w:tc>
              <w:tc>
                <w:tcPr>
                  <w:tcW w:w="1768" w:type="pct"/>
                  <w:gridSpan w:val="3"/>
                  <w:tcBorders>
                    <w:tl2br w:val="nil"/>
                    <w:tr2bl w:val="nil"/>
                  </w:tcBorders>
                  <w:vAlign w:val="center"/>
                </w:tcPr>
                <w:p w14:paraId="2C905E83">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color w:val="auto"/>
                    </w:rPr>
                  </w:pPr>
                  <w:r>
                    <w:rPr>
                      <w:rFonts w:hint="default"/>
                      <w:b/>
                      <w:bCs/>
                      <w:color w:val="auto"/>
                    </w:rPr>
                    <w:t>标准限值</w:t>
                  </w:r>
                </w:p>
              </w:tc>
            </w:tr>
            <w:tr w14:paraId="3002E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0" w:type="pct"/>
                  <w:vMerge w:val="continue"/>
                  <w:tcBorders>
                    <w:tl2br w:val="nil"/>
                    <w:tr2bl w:val="nil"/>
                  </w:tcBorders>
                  <w:vAlign w:val="center"/>
                </w:tcPr>
                <w:p w14:paraId="356284D0">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color w:val="auto"/>
                    </w:rPr>
                  </w:pPr>
                </w:p>
              </w:tc>
              <w:tc>
                <w:tcPr>
                  <w:tcW w:w="852" w:type="pct"/>
                  <w:vMerge w:val="continue"/>
                  <w:tcBorders>
                    <w:tl2br w:val="nil"/>
                    <w:tr2bl w:val="nil"/>
                  </w:tcBorders>
                  <w:vAlign w:val="center"/>
                </w:tcPr>
                <w:p w14:paraId="085E58C1">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color w:val="auto"/>
                    </w:rPr>
                  </w:pPr>
                </w:p>
              </w:tc>
              <w:tc>
                <w:tcPr>
                  <w:tcW w:w="448" w:type="pct"/>
                  <w:vMerge w:val="continue"/>
                  <w:tcBorders>
                    <w:tl2br w:val="nil"/>
                    <w:tr2bl w:val="nil"/>
                  </w:tcBorders>
                  <w:vAlign w:val="center"/>
                </w:tcPr>
                <w:p w14:paraId="6EFED6B4">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color w:val="auto"/>
                    </w:rPr>
                  </w:pPr>
                </w:p>
              </w:tc>
              <w:tc>
                <w:tcPr>
                  <w:tcW w:w="686" w:type="pct"/>
                  <w:vMerge w:val="continue"/>
                  <w:tcBorders>
                    <w:tl2br w:val="nil"/>
                    <w:tr2bl w:val="nil"/>
                  </w:tcBorders>
                  <w:vAlign w:val="center"/>
                </w:tcPr>
                <w:p w14:paraId="018B2F22">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color w:val="auto"/>
                    </w:rPr>
                  </w:pPr>
                </w:p>
              </w:tc>
              <w:tc>
                <w:tcPr>
                  <w:tcW w:w="614" w:type="pct"/>
                  <w:vMerge w:val="continue"/>
                  <w:tcBorders>
                    <w:tl2br w:val="nil"/>
                    <w:tr2bl w:val="nil"/>
                  </w:tcBorders>
                  <w:vAlign w:val="center"/>
                </w:tcPr>
                <w:p w14:paraId="49328C30">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color w:val="auto"/>
                    </w:rPr>
                  </w:pPr>
                </w:p>
              </w:tc>
              <w:tc>
                <w:tcPr>
                  <w:tcW w:w="602" w:type="pct"/>
                  <w:tcBorders>
                    <w:tl2br w:val="nil"/>
                    <w:tr2bl w:val="nil"/>
                  </w:tcBorders>
                  <w:vAlign w:val="center"/>
                </w:tcPr>
                <w:p w14:paraId="1AAC8439">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color w:val="auto"/>
                    </w:rPr>
                  </w:pPr>
                  <w:r>
                    <w:rPr>
                      <w:rFonts w:hint="default"/>
                      <w:b/>
                      <w:bCs/>
                      <w:color w:val="auto"/>
                    </w:rPr>
                    <w:t>1小时平均</w:t>
                  </w:r>
                </w:p>
              </w:tc>
              <w:tc>
                <w:tcPr>
                  <w:tcW w:w="579" w:type="pct"/>
                  <w:tcBorders>
                    <w:tl2br w:val="nil"/>
                    <w:tr2bl w:val="nil"/>
                  </w:tcBorders>
                  <w:vAlign w:val="center"/>
                </w:tcPr>
                <w:p w14:paraId="404E653E">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color w:val="auto"/>
                    </w:rPr>
                  </w:pPr>
                  <w:r>
                    <w:rPr>
                      <w:rFonts w:hint="default"/>
                      <w:b/>
                      <w:bCs/>
                      <w:color w:val="auto"/>
                    </w:rPr>
                    <w:t>24小时平均</w:t>
                  </w:r>
                </w:p>
              </w:tc>
              <w:tc>
                <w:tcPr>
                  <w:tcW w:w="587" w:type="pct"/>
                  <w:tcBorders>
                    <w:tl2br w:val="nil"/>
                    <w:tr2bl w:val="nil"/>
                  </w:tcBorders>
                  <w:vAlign w:val="center"/>
                </w:tcPr>
                <w:p w14:paraId="5ABD488F">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bCs/>
                      <w:color w:val="auto"/>
                    </w:rPr>
                  </w:pPr>
                  <w:r>
                    <w:rPr>
                      <w:rFonts w:hint="default"/>
                      <w:b/>
                      <w:bCs/>
                      <w:color w:val="auto"/>
                    </w:rPr>
                    <w:t>年平均</w:t>
                  </w:r>
                </w:p>
              </w:tc>
            </w:tr>
            <w:tr w14:paraId="6790B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0" w:type="pct"/>
                  <w:vMerge w:val="restart"/>
                  <w:tcBorders>
                    <w:tl2br w:val="nil"/>
                    <w:tr2bl w:val="nil"/>
                  </w:tcBorders>
                  <w:vAlign w:val="center"/>
                </w:tcPr>
                <w:p w14:paraId="5ED8AB30">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项目所在区域</w:t>
                  </w:r>
                </w:p>
              </w:tc>
              <w:tc>
                <w:tcPr>
                  <w:tcW w:w="852" w:type="pct"/>
                  <w:vMerge w:val="restart"/>
                  <w:tcBorders>
                    <w:tl2br w:val="nil"/>
                    <w:tr2bl w:val="nil"/>
                  </w:tcBorders>
                  <w:vAlign w:val="center"/>
                </w:tcPr>
                <w:p w14:paraId="1369FAC9">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《环境空气质量标准》（GB3095-2012）</w:t>
                  </w:r>
                </w:p>
              </w:tc>
              <w:tc>
                <w:tcPr>
                  <w:tcW w:w="448" w:type="pct"/>
                  <w:vMerge w:val="restart"/>
                  <w:tcBorders>
                    <w:tl2br w:val="nil"/>
                    <w:tr2bl w:val="nil"/>
                  </w:tcBorders>
                  <w:vAlign w:val="center"/>
                </w:tcPr>
                <w:p w14:paraId="79D87E4B">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二级标准</w:t>
                  </w:r>
                </w:p>
              </w:tc>
              <w:tc>
                <w:tcPr>
                  <w:tcW w:w="686" w:type="pct"/>
                  <w:tcBorders>
                    <w:tl2br w:val="nil"/>
                    <w:tr2bl w:val="nil"/>
                  </w:tcBorders>
                  <w:vAlign w:val="center"/>
                </w:tcPr>
                <w:p w14:paraId="329A77D7">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SO</w:t>
                  </w:r>
                  <w:r>
                    <w:rPr>
                      <w:rFonts w:hint="default"/>
                      <w:color w:val="auto"/>
                      <w:vertAlign w:val="subscript"/>
                    </w:rPr>
                    <w:t>2</w:t>
                  </w:r>
                </w:p>
              </w:tc>
              <w:tc>
                <w:tcPr>
                  <w:tcW w:w="614" w:type="pct"/>
                  <w:vMerge w:val="restart"/>
                  <w:tcBorders>
                    <w:tl2br w:val="nil"/>
                    <w:tr2bl w:val="nil"/>
                  </w:tcBorders>
                  <w:vAlign w:val="center"/>
                </w:tcPr>
                <w:p w14:paraId="1FFD489A">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ug/m³</w:t>
                  </w:r>
                </w:p>
              </w:tc>
              <w:tc>
                <w:tcPr>
                  <w:tcW w:w="602" w:type="pct"/>
                  <w:tcBorders>
                    <w:tl2br w:val="nil"/>
                    <w:tr2bl w:val="nil"/>
                  </w:tcBorders>
                  <w:vAlign w:val="center"/>
                </w:tcPr>
                <w:p w14:paraId="3C57F7E9">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500</w:t>
                  </w:r>
                </w:p>
              </w:tc>
              <w:tc>
                <w:tcPr>
                  <w:tcW w:w="579" w:type="pct"/>
                  <w:tcBorders>
                    <w:tl2br w:val="nil"/>
                    <w:tr2bl w:val="nil"/>
                  </w:tcBorders>
                  <w:vAlign w:val="center"/>
                </w:tcPr>
                <w:p w14:paraId="3C6B1B6F">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150</w:t>
                  </w:r>
                </w:p>
              </w:tc>
              <w:tc>
                <w:tcPr>
                  <w:tcW w:w="587" w:type="pct"/>
                  <w:tcBorders>
                    <w:tl2br w:val="nil"/>
                    <w:tr2bl w:val="nil"/>
                  </w:tcBorders>
                  <w:vAlign w:val="center"/>
                </w:tcPr>
                <w:p w14:paraId="7403BB32">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60</w:t>
                  </w:r>
                </w:p>
              </w:tc>
            </w:tr>
            <w:tr w14:paraId="6B1EA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0" w:type="pct"/>
                  <w:vMerge w:val="continue"/>
                  <w:tcBorders>
                    <w:tl2br w:val="nil"/>
                    <w:tr2bl w:val="nil"/>
                  </w:tcBorders>
                  <w:vAlign w:val="center"/>
                </w:tcPr>
                <w:p w14:paraId="7FA2DD41">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852" w:type="pct"/>
                  <w:vMerge w:val="continue"/>
                  <w:tcBorders>
                    <w:tl2br w:val="nil"/>
                    <w:tr2bl w:val="nil"/>
                  </w:tcBorders>
                  <w:vAlign w:val="center"/>
                </w:tcPr>
                <w:p w14:paraId="719ED1D0">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448" w:type="pct"/>
                  <w:vMerge w:val="continue"/>
                  <w:tcBorders>
                    <w:tl2br w:val="nil"/>
                    <w:tr2bl w:val="nil"/>
                  </w:tcBorders>
                  <w:vAlign w:val="center"/>
                </w:tcPr>
                <w:p w14:paraId="07746D9D">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686" w:type="pct"/>
                  <w:tcBorders>
                    <w:tl2br w:val="nil"/>
                    <w:tr2bl w:val="nil"/>
                  </w:tcBorders>
                  <w:vAlign w:val="center"/>
                </w:tcPr>
                <w:p w14:paraId="6CAD74A6">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PM10</w:t>
                  </w:r>
                </w:p>
              </w:tc>
              <w:tc>
                <w:tcPr>
                  <w:tcW w:w="614" w:type="pct"/>
                  <w:vMerge w:val="continue"/>
                  <w:tcBorders>
                    <w:tl2br w:val="nil"/>
                    <w:tr2bl w:val="nil"/>
                  </w:tcBorders>
                  <w:vAlign w:val="center"/>
                </w:tcPr>
                <w:p w14:paraId="18B38A7A">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602" w:type="pct"/>
                  <w:tcBorders>
                    <w:tl2br w:val="nil"/>
                    <w:tr2bl w:val="nil"/>
                  </w:tcBorders>
                  <w:vAlign w:val="center"/>
                </w:tcPr>
                <w:p w14:paraId="22EC56EE">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w:t>
                  </w:r>
                </w:p>
              </w:tc>
              <w:tc>
                <w:tcPr>
                  <w:tcW w:w="579" w:type="pct"/>
                  <w:tcBorders>
                    <w:tl2br w:val="nil"/>
                    <w:tr2bl w:val="nil"/>
                  </w:tcBorders>
                  <w:vAlign w:val="center"/>
                </w:tcPr>
                <w:p w14:paraId="79787C57">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150</w:t>
                  </w:r>
                </w:p>
              </w:tc>
              <w:tc>
                <w:tcPr>
                  <w:tcW w:w="587" w:type="pct"/>
                  <w:tcBorders>
                    <w:tl2br w:val="nil"/>
                    <w:tr2bl w:val="nil"/>
                  </w:tcBorders>
                  <w:vAlign w:val="center"/>
                </w:tcPr>
                <w:p w14:paraId="51555EB7">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70</w:t>
                  </w:r>
                </w:p>
              </w:tc>
            </w:tr>
            <w:tr w14:paraId="39403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0" w:type="pct"/>
                  <w:vMerge w:val="continue"/>
                  <w:tcBorders>
                    <w:tl2br w:val="nil"/>
                    <w:tr2bl w:val="nil"/>
                  </w:tcBorders>
                  <w:vAlign w:val="center"/>
                </w:tcPr>
                <w:p w14:paraId="67B746A7">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852" w:type="pct"/>
                  <w:vMerge w:val="continue"/>
                  <w:tcBorders>
                    <w:tl2br w:val="nil"/>
                    <w:tr2bl w:val="nil"/>
                  </w:tcBorders>
                  <w:vAlign w:val="center"/>
                </w:tcPr>
                <w:p w14:paraId="4BC1B1E7">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448" w:type="pct"/>
                  <w:vMerge w:val="continue"/>
                  <w:tcBorders>
                    <w:tl2br w:val="nil"/>
                    <w:tr2bl w:val="nil"/>
                  </w:tcBorders>
                  <w:vAlign w:val="center"/>
                </w:tcPr>
                <w:p w14:paraId="0B9EA0FC">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686" w:type="pct"/>
                  <w:tcBorders>
                    <w:tl2br w:val="nil"/>
                    <w:tr2bl w:val="nil"/>
                  </w:tcBorders>
                  <w:vAlign w:val="center"/>
                </w:tcPr>
                <w:p w14:paraId="7E830CCE">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P</w:t>
                  </w:r>
                  <w:r>
                    <w:rPr>
                      <w:rFonts w:hint="eastAsia"/>
                      <w:color w:val="auto"/>
                      <w:lang w:eastAsia="zh-CN"/>
                    </w:rPr>
                    <w:t>m2</w:t>
                  </w:r>
                  <w:r>
                    <w:rPr>
                      <w:rFonts w:hint="default"/>
                      <w:color w:val="auto"/>
                    </w:rPr>
                    <w:t>.5</w:t>
                  </w:r>
                </w:p>
              </w:tc>
              <w:tc>
                <w:tcPr>
                  <w:tcW w:w="614" w:type="pct"/>
                  <w:vMerge w:val="continue"/>
                  <w:tcBorders>
                    <w:tl2br w:val="nil"/>
                    <w:tr2bl w:val="nil"/>
                  </w:tcBorders>
                  <w:vAlign w:val="center"/>
                </w:tcPr>
                <w:p w14:paraId="2947EA72">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602" w:type="pct"/>
                  <w:tcBorders>
                    <w:tl2br w:val="nil"/>
                    <w:tr2bl w:val="nil"/>
                  </w:tcBorders>
                  <w:vAlign w:val="center"/>
                </w:tcPr>
                <w:p w14:paraId="41BFDE97">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w:t>
                  </w:r>
                </w:p>
              </w:tc>
              <w:tc>
                <w:tcPr>
                  <w:tcW w:w="579" w:type="pct"/>
                  <w:tcBorders>
                    <w:tl2br w:val="nil"/>
                    <w:tr2bl w:val="nil"/>
                  </w:tcBorders>
                  <w:vAlign w:val="center"/>
                </w:tcPr>
                <w:p w14:paraId="75215FC6">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75</w:t>
                  </w:r>
                </w:p>
              </w:tc>
              <w:tc>
                <w:tcPr>
                  <w:tcW w:w="587" w:type="pct"/>
                  <w:tcBorders>
                    <w:tl2br w:val="nil"/>
                    <w:tr2bl w:val="nil"/>
                  </w:tcBorders>
                  <w:vAlign w:val="center"/>
                </w:tcPr>
                <w:p w14:paraId="45CDDF3B">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35</w:t>
                  </w:r>
                </w:p>
              </w:tc>
            </w:tr>
            <w:tr w14:paraId="328E2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0" w:type="pct"/>
                  <w:vMerge w:val="continue"/>
                  <w:tcBorders>
                    <w:tl2br w:val="nil"/>
                    <w:tr2bl w:val="nil"/>
                  </w:tcBorders>
                  <w:vAlign w:val="center"/>
                </w:tcPr>
                <w:p w14:paraId="23016D44">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852" w:type="pct"/>
                  <w:vMerge w:val="continue"/>
                  <w:tcBorders>
                    <w:tl2br w:val="nil"/>
                    <w:tr2bl w:val="nil"/>
                  </w:tcBorders>
                  <w:vAlign w:val="center"/>
                </w:tcPr>
                <w:p w14:paraId="11121865">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448" w:type="pct"/>
                  <w:vMerge w:val="continue"/>
                  <w:tcBorders>
                    <w:tl2br w:val="nil"/>
                    <w:tr2bl w:val="nil"/>
                  </w:tcBorders>
                  <w:vAlign w:val="center"/>
                </w:tcPr>
                <w:p w14:paraId="0389DE1A">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686" w:type="pct"/>
                  <w:tcBorders>
                    <w:tl2br w:val="nil"/>
                    <w:tr2bl w:val="nil"/>
                  </w:tcBorders>
                  <w:vAlign w:val="center"/>
                </w:tcPr>
                <w:p w14:paraId="56BC247F">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NO</w:t>
                  </w:r>
                  <w:r>
                    <w:rPr>
                      <w:rFonts w:hint="default"/>
                      <w:color w:val="auto"/>
                      <w:vertAlign w:val="subscript"/>
                    </w:rPr>
                    <w:t>2</w:t>
                  </w:r>
                </w:p>
              </w:tc>
              <w:tc>
                <w:tcPr>
                  <w:tcW w:w="614" w:type="pct"/>
                  <w:vMerge w:val="continue"/>
                  <w:tcBorders>
                    <w:tl2br w:val="nil"/>
                    <w:tr2bl w:val="nil"/>
                  </w:tcBorders>
                  <w:vAlign w:val="center"/>
                </w:tcPr>
                <w:p w14:paraId="22168845">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602" w:type="pct"/>
                  <w:tcBorders>
                    <w:tl2br w:val="nil"/>
                    <w:tr2bl w:val="nil"/>
                  </w:tcBorders>
                  <w:vAlign w:val="center"/>
                </w:tcPr>
                <w:p w14:paraId="58F10684">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200</w:t>
                  </w:r>
                </w:p>
              </w:tc>
              <w:tc>
                <w:tcPr>
                  <w:tcW w:w="579" w:type="pct"/>
                  <w:tcBorders>
                    <w:tl2br w:val="nil"/>
                    <w:tr2bl w:val="nil"/>
                  </w:tcBorders>
                  <w:vAlign w:val="center"/>
                </w:tcPr>
                <w:p w14:paraId="4B870EB2">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80</w:t>
                  </w:r>
                </w:p>
              </w:tc>
              <w:tc>
                <w:tcPr>
                  <w:tcW w:w="587" w:type="pct"/>
                  <w:tcBorders>
                    <w:tl2br w:val="nil"/>
                    <w:tr2bl w:val="nil"/>
                  </w:tcBorders>
                  <w:vAlign w:val="center"/>
                </w:tcPr>
                <w:p w14:paraId="011FB11B">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40</w:t>
                  </w:r>
                </w:p>
              </w:tc>
            </w:tr>
            <w:tr w14:paraId="1C16C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0" w:type="pct"/>
                  <w:vMerge w:val="continue"/>
                  <w:tcBorders>
                    <w:tl2br w:val="nil"/>
                    <w:tr2bl w:val="nil"/>
                  </w:tcBorders>
                  <w:vAlign w:val="center"/>
                </w:tcPr>
                <w:p w14:paraId="0EDEE7FC">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852" w:type="pct"/>
                  <w:vMerge w:val="continue"/>
                  <w:tcBorders>
                    <w:tl2br w:val="nil"/>
                    <w:tr2bl w:val="nil"/>
                  </w:tcBorders>
                  <w:vAlign w:val="center"/>
                </w:tcPr>
                <w:p w14:paraId="5B7F75EE">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448" w:type="pct"/>
                  <w:vMerge w:val="continue"/>
                  <w:tcBorders>
                    <w:tl2br w:val="nil"/>
                    <w:tr2bl w:val="nil"/>
                  </w:tcBorders>
                  <w:vAlign w:val="center"/>
                </w:tcPr>
                <w:p w14:paraId="6599C69D">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686" w:type="pct"/>
                  <w:tcBorders>
                    <w:tl2br w:val="nil"/>
                    <w:tr2bl w:val="nil"/>
                  </w:tcBorders>
                  <w:vAlign w:val="center"/>
                </w:tcPr>
                <w:p w14:paraId="28090AD1">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TSP</w:t>
                  </w:r>
                </w:p>
              </w:tc>
              <w:tc>
                <w:tcPr>
                  <w:tcW w:w="614" w:type="pct"/>
                  <w:vMerge w:val="continue"/>
                  <w:tcBorders>
                    <w:tl2br w:val="nil"/>
                    <w:tr2bl w:val="nil"/>
                  </w:tcBorders>
                  <w:vAlign w:val="center"/>
                </w:tcPr>
                <w:p w14:paraId="31B34530">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602" w:type="pct"/>
                  <w:tcBorders>
                    <w:tl2br w:val="nil"/>
                    <w:tr2bl w:val="nil"/>
                  </w:tcBorders>
                  <w:vAlign w:val="center"/>
                </w:tcPr>
                <w:p w14:paraId="0175F166">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w:t>
                  </w:r>
                </w:p>
              </w:tc>
              <w:tc>
                <w:tcPr>
                  <w:tcW w:w="579" w:type="pct"/>
                  <w:tcBorders>
                    <w:tl2br w:val="nil"/>
                    <w:tr2bl w:val="nil"/>
                  </w:tcBorders>
                  <w:vAlign w:val="center"/>
                </w:tcPr>
                <w:p w14:paraId="4EF97137">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300</w:t>
                  </w:r>
                </w:p>
              </w:tc>
              <w:tc>
                <w:tcPr>
                  <w:tcW w:w="587" w:type="pct"/>
                  <w:tcBorders>
                    <w:tl2br w:val="nil"/>
                    <w:tr2bl w:val="nil"/>
                  </w:tcBorders>
                  <w:vAlign w:val="center"/>
                </w:tcPr>
                <w:p w14:paraId="6B8D1BB4">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200</w:t>
                  </w:r>
                </w:p>
              </w:tc>
            </w:tr>
            <w:tr w14:paraId="2F211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0" w:type="pct"/>
                  <w:vMerge w:val="continue"/>
                  <w:tcBorders>
                    <w:tl2br w:val="nil"/>
                    <w:tr2bl w:val="nil"/>
                  </w:tcBorders>
                  <w:vAlign w:val="center"/>
                </w:tcPr>
                <w:p w14:paraId="25F8CA87">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852" w:type="pct"/>
                  <w:vMerge w:val="continue"/>
                  <w:tcBorders>
                    <w:tl2br w:val="nil"/>
                    <w:tr2bl w:val="nil"/>
                  </w:tcBorders>
                  <w:vAlign w:val="center"/>
                </w:tcPr>
                <w:p w14:paraId="4790EDC6">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448" w:type="pct"/>
                  <w:vMerge w:val="continue"/>
                  <w:tcBorders>
                    <w:tl2br w:val="nil"/>
                    <w:tr2bl w:val="nil"/>
                  </w:tcBorders>
                  <w:vAlign w:val="center"/>
                </w:tcPr>
                <w:p w14:paraId="06B533CC">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686" w:type="pct"/>
                  <w:tcBorders>
                    <w:tl2br w:val="nil"/>
                    <w:tr2bl w:val="nil"/>
                  </w:tcBorders>
                  <w:vAlign w:val="center"/>
                </w:tcPr>
                <w:p w14:paraId="45AC9D3D">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NO</w:t>
                  </w:r>
                  <w:r>
                    <w:rPr>
                      <w:rFonts w:hint="default"/>
                      <w:color w:val="auto"/>
                      <w:vertAlign w:val="subscript"/>
                    </w:rPr>
                    <w:t>X</w:t>
                  </w:r>
                </w:p>
              </w:tc>
              <w:tc>
                <w:tcPr>
                  <w:tcW w:w="614" w:type="pct"/>
                  <w:vMerge w:val="continue"/>
                  <w:tcBorders>
                    <w:tl2br w:val="nil"/>
                    <w:tr2bl w:val="nil"/>
                  </w:tcBorders>
                  <w:vAlign w:val="center"/>
                </w:tcPr>
                <w:p w14:paraId="6D9F67A6">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602" w:type="pct"/>
                  <w:tcBorders>
                    <w:tl2br w:val="nil"/>
                    <w:tr2bl w:val="nil"/>
                  </w:tcBorders>
                  <w:vAlign w:val="center"/>
                </w:tcPr>
                <w:p w14:paraId="5B91F70C">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250</w:t>
                  </w:r>
                </w:p>
              </w:tc>
              <w:tc>
                <w:tcPr>
                  <w:tcW w:w="579" w:type="pct"/>
                  <w:tcBorders>
                    <w:tl2br w:val="nil"/>
                    <w:tr2bl w:val="nil"/>
                  </w:tcBorders>
                  <w:vAlign w:val="center"/>
                </w:tcPr>
                <w:p w14:paraId="7828FE74">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100</w:t>
                  </w:r>
                </w:p>
              </w:tc>
              <w:tc>
                <w:tcPr>
                  <w:tcW w:w="587" w:type="pct"/>
                  <w:tcBorders>
                    <w:tl2br w:val="nil"/>
                    <w:tr2bl w:val="nil"/>
                  </w:tcBorders>
                  <w:vAlign w:val="center"/>
                </w:tcPr>
                <w:p w14:paraId="5243690D">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50</w:t>
                  </w:r>
                </w:p>
              </w:tc>
            </w:tr>
            <w:tr w14:paraId="75B0D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0" w:type="pct"/>
                  <w:vMerge w:val="continue"/>
                  <w:tcBorders>
                    <w:tl2br w:val="nil"/>
                    <w:tr2bl w:val="nil"/>
                  </w:tcBorders>
                  <w:vAlign w:val="center"/>
                </w:tcPr>
                <w:p w14:paraId="20CC427A">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852" w:type="pct"/>
                  <w:vMerge w:val="continue"/>
                  <w:tcBorders>
                    <w:tl2br w:val="nil"/>
                    <w:tr2bl w:val="nil"/>
                  </w:tcBorders>
                  <w:vAlign w:val="center"/>
                </w:tcPr>
                <w:p w14:paraId="6CA1F4BB">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448" w:type="pct"/>
                  <w:vMerge w:val="continue"/>
                  <w:tcBorders>
                    <w:tl2br w:val="nil"/>
                    <w:tr2bl w:val="nil"/>
                  </w:tcBorders>
                  <w:vAlign w:val="center"/>
                </w:tcPr>
                <w:p w14:paraId="229A1501">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686" w:type="pct"/>
                  <w:tcBorders>
                    <w:tl2br w:val="nil"/>
                    <w:tr2bl w:val="nil"/>
                  </w:tcBorders>
                  <w:vAlign w:val="center"/>
                </w:tcPr>
                <w:p w14:paraId="657ED729">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O</w:t>
                  </w:r>
                  <w:r>
                    <w:rPr>
                      <w:rFonts w:hint="default"/>
                      <w:color w:val="auto"/>
                      <w:vertAlign w:val="subscript"/>
                    </w:rPr>
                    <w:t>3</w:t>
                  </w:r>
                </w:p>
              </w:tc>
              <w:tc>
                <w:tcPr>
                  <w:tcW w:w="614" w:type="pct"/>
                  <w:vMerge w:val="continue"/>
                  <w:tcBorders>
                    <w:tl2br w:val="nil"/>
                    <w:tr2bl w:val="nil"/>
                  </w:tcBorders>
                  <w:vAlign w:val="center"/>
                </w:tcPr>
                <w:p w14:paraId="6D3F09B1">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602" w:type="pct"/>
                  <w:tcBorders>
                    <w:tl2br w:val="nil"/>
                    <w:tr2bl w:val="nil"/>
                  </w:tcBorders>
                  <w:vAlign w:val="center"/>
                </w:tcPr>
                <w:p w14:paraId="0BDC75B9">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200</w:t>
                  </w:r>
                </w:p>
              </w:tc>
              <w:tc>
                <w:tcPr>
                  <w:tcW w:w="579" w:type="pct"/>
                  <w:tcBorders>
                    <w:tl2br w:val="nil"/>
                    <w:tr2bl w:val="nil"/>
                  </w:tcBorders>
                  <w:vAlign w:val="center"/>
                </w:tcPr>
                <w:p w14:paraId="7D780A5B">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w:t>
                  </w:r>
                </w:p>
              </w:tc>
              <w:tc>
                <w:tcPr>
                  <w:tcW w:w="587" w:type="pct"/>
                  <w:tcBorders>
                    <w:tl2br w:val="nil"/>
                    <w:tr2bl w:val="nil"/>
                  </w:tcBorders>
                  <w:vAlign w:val="center"/>
                </w:tcPr>
                <w:p w14:paraId="43A857CE">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w:t>
                  </w:r>
                </w:p>
              </w:tc>
            </w:tr>
            <w:tr w14:paraId="23E29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630" w:type="pct"/>
                  <w:vMerge w:val="continue"/>
                  <w:tcBorders>
                    <w:tl2br w:val="nil"/>
                    <w:tr2bl w:val="nil"/>
                  </w:tcBorders>
                  <w:vAlign w:val="center"/>
                </w:tcPr>
                <w:p w14:paraId="7D535439">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852" w:type="pct"/>
                  <w:vMerge w:val="continue"/>
                  <w:tcBorders>
                    <w:tl2br w:val="nil"/>
                    <w:tr2bl w:val="nil"/>
                  </w:tcBorders>
                  <w:vAlign w:val="center"/>
                </w:tcPr>
                <w:p w14:paraId="42F606A7">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448" w:type="pct"/>
                  <w:vMerge w:val="continue"/>
                  <w:tcBorders>
                    <w:tl2br w:val="nil"/>
                    <w:tr2bl w:val="nil"/>
                  </w:tcBorders>
                  <w:vAlign w:val="center"/>
                </w:tcPr>
                <w:p w14:paraId="10299371">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686" w:type="pct"/>
                  <w:tcBorders>
                    <w:tl2br w:val="nil"/>
                    <w:tr2bl w:val="nil"/>
                  </w:tcBorders>
                  <w:vAlign w:val="center"/>
                </w:tcPr>
                <w:p w14:paraId="0C2899A3">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CO</w:t>
                  </w:r>
                </w:p>
              </w:tc>
              <w:tc>
                <w:tcPr>
                  <w:tcW w:w="614" w:type="pct"/>
                  <w:tcBorders>
                    <w:tl2br w:val="nil"/>
                    <w:tr2bl w:val="nil"/>
                  </w:tcBorders>
                  <w:vAlign w:val="center"/>
                </w:tcPr>
                <w:p w14:paraId="539C90D3">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mg/m³</w:t>
                  </w:r>
                </w:p>
              </w:tc>
              <w:tc>
                <w:tcPr>
                  <w:tcW w:w="602" w:type="pct"/>
                  <w:tcBorders>
                    <w:tl2br w:val="nil"/>
                    <w:tr2bl w:val="nil"/>
                  </w:tcBorders>
                  <w:vAlign w:val="center"/>
                </w:tcPr>
                <w:p w14:paraId="158C784E">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10</w:t>
                  </w:r>
                </w:p>
              </w:tc>
              <w:tc>
                <w:tcPr>
                  <w:tcW w:w="579" w:type="pct"/>
                  <w:tcBorders>
                    <w:tl2br w:val="nil"/>
                    <w:tr2bl w:val="nil"/>
                  </w:tcBorders>
                  <w:vAlign w:val="center"/>
                </w:tcPr>
                <w:p w14:paraId="6B9DBB07">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4</w:t>
                  </w:r>
                </w:p>
              </w:tc>
              <w:tc>
                <w:tcPr>
                  <w:tcW w:w="587" w:type="pct"/>
                  <w:tcBorders>
                    <w:tl2br w:val="nil"/>
                    <w:tr2bl w:val="nil"/>
                  </w:tcBorders>
                  <w:vAlign w:val="center"/>
                </w:tcPr>
                <w:p w14:paraId="3A67F21A">
                  <w:pPr>
                    <w:pStyle w:val="34"/>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w:t>
                  </w:r>
                </w:p>
              </w:tc>
            </w:tr>
          </w:tbl>
          <w:p w14:paraId="08DB6342">
            <w:pPr>
              <w:pStyle w:val="36"/>
              <w:bidi w:val="0"/>
              <w:rPr>
                <w:rFonts w:hint="default"/>
                <w:b/>
                <w:bCs/>
                <w:color w:val="auto"/>
              </w:rPr>
            </w:pPr>
            <w:r>
              <w:rPr>
                <w:rFonts w:hint="eastAsia"/>
                <w:b/>
                <w:bCs/>
                <w:color w:val="auto"/>
                <w:lang w:val="en-US" w:eastAsia="zh-CN"/>
              </w:rPr>
              <w:t>2、</w:t>
            </w:r>
            <w:r>
              <w:rPr>
                <w:rFonts w:hint="default"/>
                <w:b/>
                <w:bCs/>
                <w:color w:val="auto"/>
              </w:rPr>
              <w:t>声环境质量标准</w:t>
            </w:r>
          </w:p>
          <w:p w14:paraId="51ACFA1E">
            <w:pPr>
              <w:pStyle w:val="36"/>
              <w:bidi w:val="0"/>
              <w:rPr>
                <w:rFonts w:hint="default"/>
                <w:color w:val="auto"/>
              </w:rPr>
            </w:pPr>
            <w:r>
              <w:rPr>
                <w:color w:val="auto"/>
              </w:rPr>
              <w:t>本工程建设区域</w:t>
            </w:r>
            <w:r>
              <w:rPr>
                <w:rFonts w:hint="eastAsia"/>
                <w:color w:val="auto"/>
                <w:lang w:eastAsia="zh-CN"/>
              </w:rPr>
              <w:t>主要为村庄、耕地，</w:t>
            </w:r>
            <w:r>
              <w:rPr>
                <w:color w:val="auto"/>
              </w:rPr>
              <w:t>根据环境管理的需要</w:t>
            </w:r>
            <w:r>
              <w:rPr>
                <w:rFonts w:hint="eastAsia"/>
                <w:color w:val="auto"/>
              </w:rPr>
              <w:t>。结合本</w:t>
            </w:r>
            <w:r>
              <w:rPr>
                <w:color w:val="auto"/>
              </w:rPr>
              <w:t>工程的实际情况，声环境执行《声环境质量标准》（GB3096-2008）中的2类声环境功能区噪声限值</w:t>
            </w:r>
            <w:r>
              <w:rPr>
                <w:rFonts w:hint="eastAsia"/>
                <w:color w:val="auto"/>
                <w:lang w:eastAsia="zh-CN"/>
              </w:rPr>
              <w:t>。</w:t>
            </w:r>
            <w:r>
              <w:rPr>
                <w:rFonts w:hint="default"/>
                <w:color w:val="auto"/>
              </w:rPr>
              <w:t>具体限值如下：</w:t>
            </w:r>
          </w:p>
          <w:p w14:paraId="376376D6">
            <w:pPr>
              <w:pStyle w:val="31"/>
              <w:bidi w:val="0"/>
              <w:rPr>
                <w:rFonts w:hint="default"/>
                <w:color w:val="auto"/>
              </w:rPr>
            </w:pPr>
            <w:r>
              <w:rPr>
                <w:rFonts w:hint="default"/>
                <w:color w:val="auto"/>
              </w:rPr>
              <w:t>表3-</w:t>
            </w:r>
            <w:r>
              <w:rPr>
                <w:rFonts w:hint="eastAsia"/>
                <w:color w:val="auto"/>
                <w:lang w:val="en-US" w:eastAsia="zh-CN"/>
              </w:rPr>
              <w:t>9</w:t>
            </w:r>
            <w:r>
              <w:rPr>
                <w:rFonts w:hint="default"/>
                <w:color w:val="auto"/>
              </w:rPr>
              <w:t>环境噪声限值  等效声级LeqdB（A）</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63"/>
              <w:gridCol w:w="2493"/>
              <w:gridCol w:w="2437"/>
            </w:tblGrid>
            <w:tr w14:paraId="55BDF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95" w:type="pct"/>
                  <w:tcBorders>
                    <w:tl2br w:val="nil"/>
                    <w:tr2bl w:val="nil"/>
                  </w:tcBorders>
                  <w:vAlign w:val="center"/>
                </w:tcPr>
                <w:p w14:paraId="4F8C8BBF">
                  <w:pPr>
                    <w:pStyle w:val="34"/>
                    <w:bidi w:val="0"/>
                    <w:rPr>
                      <w:rFonts w:hint="default"/>
                      <w:b/>
                      <w:bCs/>
                      <w:color w:val="auto"/>
                    </w:rPr>
                  </w:pPr>
                  <w:r>
                    <w:rPr>
                      <w:rFonts w:hint="default"/>
                      <w:b/>
                      <w:bCs/>
                      <w:color w:val="auto"/>
                    </w:rPr>
                    <w:t>类别</w:t>
                  </w:r>
                </w:p>
              </w:tc>
              <w:tc>
                <w:tcPr>
                  <w:tcW w:w="1620" w:type="pct"/>
                  <w:tcBorders>
                    <w:tl2br w:val="nil"/>
                    <w:tr2bl w:val="nil"/>
                  </w:tcBorders>
                  <w:vAlign w:val="center"/>
                </w:tcPr>
                <w:p w14:paraId="06AE0110">
                  <w:pPr>
                    <w:pStyle w:val="34"/>
                    <w:bidi w:val="0"/>
                    <w:rPr>
                      <w:rFonts w:hint="default"/>
                      <w:b/>
                      <w:bCs/>
                      <w:color w:val="auto"/>
                    </w:rPr>
                  </w:pPr>
                  <w:r>
                    <w:rPr>
                      <w:rFonts w:hint="default"/>
                      <w:b/>
                      <w:bCs/>
                      <w:color w:val="auto"/>
                    </w:rPr>
                    <w:t>昼间</w:t>
                  </w:r>
                </w:p>
              </w:tc>
              <w:tc>
                <w:tcPr>
                  <w:tcW w:w="1583" w:type="pct"/>
                  <w:tcBorders>
                    <w:tl2br w:val="nil"/>
                    <w:tr2bl w:val="nil"/>
                  </w:tcBorders>
                  <w:vAlign w:val="center"/>
                </w:tcPr>
                <w:p w14:paraId="08B7BC6F">
                  <w:pPr>
                    <w:pStyle w:val="34"/>
                    <w:bidi w:val="0"/>
                    <w:rPr>
                      <w:rFonts w:hint="default"/>
                      <w:b/>
                      <w:bCs/>
                      <w:color w:val="auto"/>
                    </w:rPr>
                  </w:pPr>
                  <w:r>
                    <w:rPr>
                      <w:rFonts w:hint="default"/>
                      <w:b/>
                      <w:bCs/>
                      <w:color w:val="auto"/>
                    </w:rPr>
                    <w:t>夜间</w:t>
                  </w:r>
                </w:p>
              </w:tc>
            </w:tr>
            <w:tr w14:paraId="086B1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95" w:type="pct"/>
                  <w:tcBorders>
                    <w:tl2br w:val="nil"/>
                    <w:tr2bl w:val="nil"/>
                  </w:tcBorders>
                  <w:vAlign w:val="center"/>
                </w:tcPr>
                <w:p w14:paraId="0BA06E26">
                  <w:pPr>
                    <w:pStyle w:val="34"/>
                    <w:bidi w:val="0"/>
                    <w:rPr>
                      <w:rFonts w:hint="default"/>
                      <w:color w:val="auto"/>
                    </w:rPr>
                  </w:pPr>
                  <w:r>
                    <w:rPr>
                      <w:rFonts w:hint="eastAsia"/>
                      <w:color w:val="auto"/>
                      <w:lang w:val="en-US" w:eastAsia="zh-CN"/>
                    </w:rPr>
                    <w:t>2类</w:t>
                  </w:r>
                  <w:r>
                    <w:rPr>
                      <w:rFonts w:hint="default"/>
                      <w:color w:val="auto"/>
                    </w:rPr>
                    <w:t>标准</w:t>
                  </w:r>
                </w:p>
              </w:tc>
              <w:tc>
                <w:tcPr>
                  <w:tcW w:w="1620" w:type="pct"/>
                  <w:tcBorders>
                    <w:tl2br w:val="nil"/>
                    <w:tr2bl w:val="nil"/>
                  </w:tcBorders>
                  <w:vAlign w:val="center"/>
                </w:tcPr>
                <w:p w14:paraId="7528B86D">
                  <w:pPr>
                    <w:pStyle w:val="34"/>
                    <w:bidi w:val="0"/>
                    <w:rPr>
                      <w:rFonts w:hint="default"/>
                      <w:color w:val="auto"/>
                      <w:lang w:val="en-US" w:eastAsia="zh-CN"/>
                    </w:rPr>
                  </w:pPr>
                  <w:r>
                    <w:rPr>
                      <w:rFonts w:hint="eastAsia"/>
                      <w:color w:val="auto"/>
                      <w:lang w:val="en-US" w:eastAsia="zh-CN"/>
                    </w:rPr>
                    <w:t>60</w:t>
                  </w:r>
                </w:p>
              </w:tc>
              <w:tc>
                <w:tcPr>
                  <w:tcW w:w="1583" w:type="pct"/>
                  <w:tcBorders>
                    <w:tl2br w:val="nil"/>
                    <w:tr2bl w:val="nil"/>
                  </w:tcBorders>
                  <w:vAlign w:val="center"/>
                </w:tcPr>
                <w:p w14:paraId="25D3B06D">
                  <w:pPr>
                    <w:pStyle w:val="34"/>
                    <w:bidi w:val="0"/>
                    <w:rPr>
                      <w:rFonts w:hint="default"/>
                      <w:color w:val="auto"/>
                      <w:lang w:val="en-US" w:eastAsia="zh-CN"/>
                    </w:rPr>
                  </w:pPr>
                  <w:r>
                    <w:rPr>
                      <w:rFonts w:hint="eastAsia"/>
                      <w:color w:val="auto"/>
                      <w:lang w:val="en-US" w:eastAsia="zh-CN"/>
                    </w:rPr>
                    <w:t>50</w:t>
                  </w:r>
                </w:p>
              </w:tc>
            </w:tr>
          </w:tbl>
          <w:p w14:paraId="76608725">
            <w:pPr>
              <w:pStyle w:val="36"/>
              <w:bidi w:val="0"/>
              <w:rPr>
                <w:rFonts w:hint="default"/>
                <w:b/>
                <w:bCs/>
                <w:color w:val="auto"/>
              </w:rPr>
            </w:pPr>
            <w:r>
              <w:rPr>
                <w:rFonts w:hint="eastAsia"/>
                <w:b/>
                <w:bCs/>
                <w:color w:val="auto"/>
                <w:lang w:val="en-US" w:eastAsia="zh-CN"/>
              </w:rPr>
              <w:t>3、</w:t>
            </w:r>
            <w:r>
              <w:rPr>
                <w:rFonts w:hint="default"/>
                <w:b/>
                <w:bCs/>
                <w:color w:val="auto"/>
              </w:rPr>
              <w:t>地表水环境质量标准</w:t>
            </w:r>
          </w:p>
          <w:p w14:paraId="53868626">
            <w:pPr>
              <w:pStyle w:val="36"/>
              <w:bidi w:val="0"/>
              <w:rPr>
                <w:rFonts w:hint="default"/>
                <w:color w:val="auto"/>
              </w:rPr>
            </w:pPr>
            <w:r>
              <w:rPr>
                <w:rFonts w:hint="eastAsia"/>
                <w:color w:val="auto"/>
              </w:rPr>
              <w:t>本次河道治理工程地表水主要为果朗河，其次治理河段两岸分布有芒里</w:t>
            </w:r>
            <w:r>
              <w:rPr>
                <w:rFonts w:hint="eastAsia"/>
                <w:color w:val="auto"/>
                <w:lang w:eastAsia="zh-CN"/>
              </w:rPr>
              <w:t>鸡蛋山河、芒浩上条沟、芒留大沟等</w:t>
            </w:r>
            <w:r>
              <w:rPr>
                <w:rFonts w:hint="eastAsia"/>
                <w:color w:val="auto"/>
              </w:rPr>
              <w:t>支流，果朗河为芒市大河支流。根据《云南省水功能区划（2014年修订）》及《德宏州水功能区划复核和调整报告》（德政复〔2014〕257号），果朗河该河段属“芒浩～入芒市河口”段，主要水环境功能为农业用水和工业用水，现状水质为Ⅲ类，规划水平年水质目标为Ⅲ类；芒市大河该河段属“木康水文站～等戛”段，主要水环境功能为工业﹑农业﹑景观用水，现状水质为IV类，规划水平年水质目标为Ⅲ类。经综合分析，区域地表水体均执行《地表水环境质量标准》（GB3838-2002）III类标准。</w:t>
            </w:r>
            <w:r>
              <w:rPr>
                <w:rFonts w:hint="default"/>
                <w:color w:val="auto"/>
              </w:rPr>
              <w:t>具体标准限值如下：</w:t>
            </w:r>
          </w:p>
          <w:p w14:paraId="6513B78F">
            <w:pPr>
              <w:pStyle w:val="31"/>
              <w:bidi w:val="0"/>
              <w:rPr>
                <w:rFonts w:hint="default"/>
                <w:color w:val="auto"/>
              </w:rPr>
            </w:pPr>
            <w:r>
              <w:rPr>
                <w:rFonts w:hint="default"/>
                <w:color w:val="auto"/>
              </w:rPr>
              <w:t>表3-</w:t>
            </w:r>
            <w:r>
              <w:rPr>
                <w:rFonts w:hint="eastAsia"/>
                <w:color w:val="auto"/>
                <w:lang w:val="en-US" w:eastAsia="zh-CN"/>
              </w:rPr>
              <w:t>10</w:t>
            </w:r>
            <w:r>
              <w:rPr>
                <w:rFonts w:hint="default"/>
                <w:color w:val="auto"/>
              </w:rPr>
              <w:t xml:space="preserve"> 地表水环境质量标准 单位：mg/L ，pH</w:t>
            </w:r>
            <w:r>
              <w:rPr>
                <w:rFonts w:hint="eastAsia"/>
                <w:color w:val="auto"/>
                <w:lang w:eastAsia="zh-CN"/>
              </w:rPr>
              <w:t>（</w:t>
            </w:r>
            <w:r>
              <w:rPr>
                <w:rFonts w:hint="default"/>
                <w:color w:val="auto"/>
              </w:rPr>
              <w:t>无量纲</w:t>
            </w:r>
            <w:r>
              <w:rPr>
                <w:rFonts w:hint="eastAsia"/>
                <w:color w:val="auto"/>
                <w:lang w:eastAsia="zh-CN"/>
              </w:rPr>
              <w:t>）</w:t>
            </w:r>
          </w:p>
          <w:tbl>
            <w:tblPr>
              <w:tblStyle w:val="22"/>
              <w:tblW w:w="76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17"/>
              <w:gridCol w:w="2635"/>
              <w:gridCol w:w="1947"/>
            </w:tblGrid>
            <w:tr w14:paraId="139F7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3117" w:type="dxa"/>
                  <w:tcBorders>
                    <w:tl2br w:val="nil"/>
                    <w:tr2bl w:val="nil"/>
                  </w:tcBorders>
                  <w:noWrap w:val="0"/>
                  <w:vAlign w:val="center"/>
                </w:tcPr>
                <w:p w14:paraId="18A3CB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aps w:val="0"/>
                      <w:smallCaps w:val="0"/>
                      <w:color w:val="auto"/>
                      <w:sz w:val="21"/>
                      <w:szCs w:val="21"/>
                    </w:rPr>
                  </w:pPr>
                  <w:r>
                    <w:rPr>
                      <w:rFonts w:hint="default" w:ascii="Times New Roman" w:hAnsi="Times New Roman" w:eastAsia="宋体" w:cs="Times New Roman"/>
                      <w:b/>
                      <w:bCs/>
                      <w:caps w:val="0"/>
                      <w:smallCaps w:val="0"/>
                      <w:color w:val="auto"/>
                      <w:sz w:val="21"/>
                      <w:szCs w:val="21"/>
                    </w:rPr>
                    <w:t>指标</w:t>
                  </w:r>
                </w:p>
              </w:tc>
              <w:tc>
                <w:tcPr>
                  <w:tcW w:w="2635" w:type="dxa"/>
                  <w:tcBorders>
                    <w:tl2br w:val="nil"/>
                    <w:tr2bl w:val="nil"/>
                  </w:tcBorders>
                  <w:noWrap w:val="0"/>
                  <w:vAlign w:val="center"/>
                </w:tcPr>
                <w:p w14:paraId="1BD7D8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aps w:val="0"/>
                      <w:smallCaps w:val="0"/>
                      <w:color w:val="auto"/>
                      <w:sz w:val="21"/>
                      <w:szCs w:val="21"/>
                      <w:lang w:eastAsia="zh-CN"/>
                    </w:rPr>
                  </w:pPr>
                  <w:r>
                    <w:rPr>
                      <w:rFonts w:hint="default" w:ascii="Times New Roman" w:hAnsi="Times New Roman" w:eastAsia="宋体" w:cs="Times New Roman"/>
                      <w:b/>
                      <w:bCs/>
                      <w:caps w:val="0"/>
                      <w:smallCaps w:val="0"/>
                      <w:color w:val="auto"/>
                      <w:sz w:val="21"/>
                      <w:szCs w:val="21"/>
                    </w:rPr>
                    <w:t>准值</w:t>
                  </w:r>
                  <w:r>
                    <w:rPr>
                      <w:rFonts w:hint="default" w:ascii="Times New Roman" w:hAnsi="Times New Roman" w:eastAsia="宋体" w:cs="Times New Roman"/>
                      <w:b/>
                      <w:bCs/>
                      <w:caps w:val="0"/>
                      <w:smallCaps w:val="0"/>
                      <w:color w:val="auto"/>
                      <w:sz w:val="21"/>
                      <w:szCs w:val="21"/>
                      <w:lang w:eastAsia="zh-CN"/>
                    </w:rPr>
                    <w:t>限值</w:t>
                  </w:r>
                </w:p>
              </w:tc>
              <w:tc>
                <w:tcPr>
                  <w:tcW w:w="1947" w:type="dxa"/>
                  <w:tcBorders>
                    <w:tl2br w:val="nil"/>
                    <w:tr2bl w:val="nil"/>
                  </w:tcBorders>
                  <w:noWrap w:val="0"/>
                  <w:vAlign w:val="center"/>
                </w:tcPr>
                <w:p w14:paraId="241812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aps w:val="0"/>
                      <w:smallCaps w:val="0"/>
                      <w:color w:val="auto"/>
                      <w:sz w:val="21"/>
                      <w:szCs w:val="21"/>
                      <w:lang w:eastAsia="zh-CN"/>
                    </w:rPr>
                  </w:pPr>
                  <w:r>
                    <w:rPr>
                      <w:rFonts w:hint="default" w:ascii="Times New Roman" w:hAnsi="Times New Roman" w:eastAsia="宋体" w:cs="Times New Roman"/>
                      <w:b/>
                      <w:bCs/>
                      <w:caps w:val="0"/>
                      <w:smallCaps w:val="0"/>
                      <w:color w:val="auto"/>
                      <w:sz w:val="21"/>
                      <w:szCs w:val="21"/>
                    </w:rPr>
                    <w:t>标准</w:t>
                  </w:r>
                  <w:r>
                    <w:rPr>
                      <w:rFonts w:hint="default" w:ascii="Times New Roman" w:hAnsi="Times New Roman" w:eastAsia="宋体" w:cs="Times New Roman"/>
                      <w:b/>
                      <w:bCs/>
                      <w:caps w:val="0"/>
                      <w:smallCaps w:val="0"/>
                      <w:color w:val="auto"/>
                      <w:sz w:val="21"/>
                      <w:szCs w:val="21"/>
                      <w:lang w:eastAsia="zh-CN"/>
                    </w:rPr>
                    <w:t>来源</w:t>
                  </w:r>
                </w:p>
              </w:tc>
            </w:tr>
            <w:tr w14:paraId="446AE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3117" w:type="dxa"/>
                  <w:tcBorders>
                    <w:tl2br w:val="nil"/>
                    <w:tr2bl w:val="nil"/>
                  </w:tcBorders>
                  <w:noWrap w:val="0"/>
                  <w:vAlign w:val="center"/>
                </w:tcPr>
                <w:p w14:paraId="648158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pH</w:t>
                  </w:r>
                </w:p>
              </w:tc>
              <w:tc>
                <w:tcPr>
                  <w:tcW w:w="2635" w:type="dxa"/>
                  <w:tcBorders>
                    <w:tl2br w:val="nil"/>
                    <w:tr2bl w:val="nil"/>
                  </w:tcBorders>
                  <w:noWrap w:val="0"/>
                  <w:vAlign w:val="center"/>
                </w:tcPr>
                <w:p w14:paraId="5E690D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eastAsia="zh-CN"/>
                    </w:rPr>
                  </w:pPr>
                  <w:r>
                    <w:rPr>
                      <w:rFonts w:hint="default" w:ascii="Times New Roman" w:hAnsi="Times New Roman" w:eastAsia="宋体" w:cs="Times New Roman"/>
                      <w:caps w:val="0"/>
                      <w:smallCaps w:val="0"/>
                      <w:color w:val="auto"/>
                      <w:sz w:val="21"/>
                      <w:szCs w:val="21"/>
                    </w:rPr>
                    <w:t>6～9</w:t>
                  </w:r>
                  <w:r>
                    <w:rPr>
                      <w:rFonts w:hint="default" w:ascii="Times New Roman" w:hAnsi="Times New Roman" w:eastAsia="宋体" w:cs="Times New Roman"/>
                      <w:caps w:val="0"/>
                      <w:smallCaps w:val="0"/>
                      <w:color w:val="auto"/>
                      <w:sz w:val="21"/>
                      <w:szCs w:val="21"/>
                      <w:lang w:eastAsia="zh-CN"/>
                    </w:rPr>
                    <w:t>（无量纲）</w:t>
                  </w:r>
                </w:p>
              </w:tc>
              <w:tc>
                <w:tcPr>
                  <w:tcW w:w="1947" w:type="dxa"/>
                  <w:vMerge w:val="restart"/>
                  <w:tcBorders>
                    <w:tl2br w:val="nil"/>
                    <w:tr2bl w:val="nil"/>
                  </w:tcBorders>
                  <w:noWrap w:val="0"/>
                  <w:vAlign w:val="center"/>
                </w:tcPr>
                <w:p w14:paraId="43404D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《地表水环境质量标准》(GB3838—2002)</w:t>
                  </w:r>
                  <w:r>
                    <w:rPr>
                      <w:rFonts w:hint="default" w:ascii="Times New Roman" w:hAnsi="Times New Roman" w:eastAsia="宋体" w:cs="Times New Roman"/>
                      <w:caps w:val="0"/>
                      <w:smallCaps w:val="0"/>
                      <w:color w:val="auto"/>
                      <w:sz w:val="21"/>
                      <w:szCs w:val="21"/>
                    </w:rPr>
                    <w:fldChar w:fldCharType="begin"/>
                  </w:r>
                  <w:r>
                    <w:rPr>
                      <w:rFonts w:hint="default" w:ascii="Times New Roman" w:hAnsi="Times New Roman" w:eastAsia="宋体" w:cs="Times New Roman"/>
                      <w:caps w:val="0"/>
                      <w:smallCaps w:val="0"/>
                      <w:color w:val="auto"/>
                      <w:sz w:val="21"/>
                      <w:szCs w:val="21"/>
                    </w:rPr>
                    <w:instrText xml:space="preserve"> = 3 \* ROMAN \* MERGEFORMAT </w:instrText>
                  </w:r>
                  <w:r>
                    <w:rPr>
                      <w:rFonts w:hint="default" w:ascii="Times New Roman" w:hAnsi="Times New Roman" w:eastAsia="宋体" w:cs="Times New Roman"/>
                      <w:caps w:val="0"/>
                      <w:smallCaps w:val="0"/>
                      <w:color w:val="auto"/>
                      <w:sz w:val="21"/>
                      <w:szCs w:val="21"/>
                    </w:rPr>
                    <w:fldChar w:fldCharType="separate"/>
                  </w:r>
                  <w:r>
                    <w:rPr>
                      <w:rFonts w:hint="default" w:ascii="Times New Roman" w:hAnsi="Times New Roman" w:eastAsia="宋体" w:cs="Times New Roman"/>
                      <w:caps w:val="0"/>
                      <w:smallCaps w:val="0"/>
                      <w:color w:val="auto"/>
                      <w:sz w:val="21"/>
                      <w:szCs w:val="21"/>
                    </w:rPr>
                    <w:t>III</w:t>
                  </w:r>
                  <w:r>
                    <w:rPr>
                      <w:rFonts w:hint="default" w:ascii="Times New Roman" w:hAnsi="Times New Roman" w:eastAsia="宋体" w:cs="Times New Roman"/>
                      <w:caps w:val="0"/>
                      <w:smallCaps w:val="0"/>
                      <w:color w:val="auto"/>
                      <w:sz w:val="21"/>
                      <w:szCs w:val="21"/>
                    </w:rPr>
                    <w:fldChar w:fldCharType="end"/>
                  </w:r>
                  <w:r>
                    <w:rPr>
                      <w:rFonts w:hint="default" w:ascii="Times New Roman" w:hAnsi="Times New Roman" w:eastAsia="宋体" w:cs="Times New Roman"/>
                      <w:caps w:val="0"/>
                      <w:smallCaps w:val="0"/>
                      <w:color w:val="auto"/>
                      <w:sz w:val="21"/>
                      <w:szCs w:val="21"/>
                    </w:rPr>
                    <w:t>类标准</w:t>
                  </w:r>
                </w:p>
              </w:tc>
            </w:tr>
            <w:tr w14:paraId="5F92E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3117" w:type="dxa"/>
                  <w:tcBorders>
                    <w:tl2br w:val="nil"/>
                    <w:tr2bl w:val="nil"/>
                  </w:tcBorders>
                  <w:noWrap w:val="0"/>
                  <w:vAlign w:val="center"/>
                </w:tcPr>
                <w:p w14:paraId="57ADEB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COD</w:t>
                  </w:r>
                </w:p>
              </w:tc>
              <w:tc>
                <w:tcPr>
                  <w:tcW w:w="2635" w:type="dxa"/>
                  <w:tcBorders>
                    <w:tl2br w:val="nil"/>
                    <w:tr2bl w:val="nil"/>
                  </w:tcBorders>
                  <w:noWrap w:val="0"/>
                  <w:vAlign w:val="center"/>
                </w:tcPr>
                <w:p w14:paraId="0B709B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w:t>
                  </w:r>
                  <w:r>
                    <w:rPr>
                      <w:rFonts w:hint="default" w:ascii="Times New Roman" w:hAnsi="Times New Roman" w:eastAsia="宋体" w:cs="Times New Roman"/>
                      <w:caps w:val="0"/>
                      <w:smallCaps w:val="0"/>
                      <w:color w:val="auto"/>
                      <w:sz w:val="21"/>
                      <w:szCs w:val="21"/>
                      <w:lang w:val="en-US" w:eastAsia="zh-CN"/>
                    </w:rPr>
                    <w:t>20</w:t>
                  </w:r>
                  <w:r>
                    <w:rPr>
                      <w:rFonts w:hint="default" w:ascii="Times New Roman" w:hAnsi="Times New Roman" w:eastAsia="宋体" w:cs="Times New Roman"/>
                      <w:caps w:val="0"/>
                      <w:smallCaps w:val="0"/>
                      <w:color w:val="auto"/>
                      <w:sz w:val="21"/>
                      <w:szCs w:val="21"/>
                    </w:rPr>
                    <w:t>mg/L</w:t>
                  </w:r>
                </w:p>
              </w:tc>
              <w:tc>
                <w:tcPr>
                  <w:tcW w:w="1947" w:type="dxa"/>
                  <w:vMerge w:val="continue"/>
                  <w:tcBorders>
                    <w:tl2br w:val="nil"/>
                    <w:tr2bl w:val="nil"/>
                  </w:tcBorders>
                  <w:noWrap w:val="0"/>
                  <w:vAlign w:val="center"/>
                </w:tcPr>
                <w:p w14:paraId="53D950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p>
              </w:tc>
            </w:tr>
            <w:tr w14:paraId="67C77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3117" w:type="dxa"/>
                  <w:tcBorders>
                    <w:tl2br w:val="nil"/>
                    <w:tr2bl w:val="nil"/>
                  </w:tcBorders>
                  <w:noWrap w:val="0"/>
                  <w:vAlign w:val="center"/>
                </w:tcPr>
                <w:p w14:paraId="43EF70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BOD</w:t>
                  </w:r>
                  <w:r>
                    <w:rPr>
                      <w:rFonts w:hint="default" w:ascii="Times New Roman" w:hAnsi="Times New Roman" w:eastAsia="宋体" w:cs="Times New Roman"/>
                      <w:caps w:val="0"/>
                      <w:smallCaps w:val="0"/>
                      <w:color w:val="auto"/>
                      <w:sz w:val="21"/>
                      <w:szCs w:val="21"/>
                      <w:vertAlign w:val="subscript"/>
                    </w:rPr>
                    <w:t>5</w:t>
                  </w:r>
                </w:p>
              </w:tc>
              <w:tc>
                <w:tcPr>
                  <w:tcW w:w="2635" w:type="dxa"/>
                  <w:tcBorders>
                    <w:tl2br w:val="nil"/>
                    <w:tr2bl w:val="nil"/>
                  </w:tcBorders>
                  <w:noWrap w:val="0"/>
                  <w:vAlign w:val="center"/>
                </w:tcPr>
                <w:p w14:paraId="7616E7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w:t>
                  </w:r>
                  <w:r>
                    <w:rPr>
                      <w:rFonts w:hint="default" w:ascii="Times New Roman" w:hAnsi="Times New Roman" w:eastAsia="宋体" w:cs="Times New Roman"/>
                      <w:caps w:val="0"/>
                      <w:smallCaps w:val="0"/>
                      <w:color w:val="auto"/>
                      <w:sz w:val="21"/>
                      <w:szCs w:val="21"/>
                      <w:lang w:val="en-US" w:eastAsia="zh-CN"/>
                    </w:rPr>
                    <w:t>4</w:t>
                  </w:r>
                  <w:r>
                    <w:rPr>
                      <w:rFonts w:hint="default" w:ascii="Times New Roman" w:hAnsi="Times New Roman" w:eastAsia="宋体" w:cs="Times New Roman"/>
                      <w:caps w:val="0"/>
                      <w:smallCaps w:val="0"/>
                      <w:color w:val="auto"/>
                      <w:sz w:val="21"/>
                      <w:szCs w:val="21"/>
                    </w:rPr>
                    <w:t>mg/L</w:t>
                  </w:r>
                </w:p>
              </w:tc>
              <w:tc>
                <w:tcPr>
                  <w:tcW w:w="1947" w:type="dxa"/>
                  <w:vMerge w:val="continue"/>
                  <w:tcBorders>
                    <w:tl2br w:val="nil"/>
                    <w:tr2bl w:val="nil"/>
                  </w:tcBorders>
                  <w:noWrap w:val="0"/>
                  <w:vAlign w:val="center"/>
                </w:tcPr>
                <w:p w14:paraId="269A1F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p>
              </w:tc>
            </w:tr>
            <w:tr w14:paraId="6DEED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3117" w:type="dxa"/>
                  <w:tcBorders>
                    <w:tl2br w:val="nil"/>
                    <w:tr2bl w:val="nil"/>
                  </w:tcBorders>
                  <w:noWrap w:val="0"/>
                  <w:vAlign w:val="center"/>
                </w:tcPr>
                <w:p w14:paraId="23AF7E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DO</w:t>
                  </w:r>
                </w:p>
              </w:tc>
              <w:tc>
                <w:tcPr>
                  <w:tcW w:w="2635" w:type="dxa"/>
                  <w:tcBorders>
                    <w:tl2br w:val="nil"/>
                    <w:tr2bl w:val="nil"/>
                  </w:tcBorders>
                  <w:noWrap w:val="0"/>
                  <w:vAlign w:val="center"/>
                </w:tcPr>
                <w:p w14:paraId="6BADD9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w:t>
                  </w:r>
                  <w:r>
                    <w:rPr>
                      <w:rFonts w:hint="default" w:ascii="Times New Roman" w:hAnsi="Times New Roman" w:eastAsia="宋体" w:cs="Times New Roman"/>
                      <w:caps w:val="0"/>
                      <w:smallCaps w:val="0"/>
                      <w:color w:val="auto"/>
                      <w:sz w:val="21"/>
                      <w:szCs w:val="21"/>
                      <w:lang w:val="en-US" w:eastAsia="zh-CN"/>
                    </w:rPr>
                    <w:t>5</w:t>
                  </w:r>
                  <w:r>
                    <w:rPr>
                      <w:rFonts w:hint="default" w:ascii="Times New Roman" w:hAnsi="Times New Roman" w:eastAsia="宋体" w:cs="Times New Roman"/>
                      <w:caps w:val="0"/>
                      <w:smallCaps w:val="0"/>
                      <w:color w:val="auto"/>
                      <w:sz w:val="21"/>
                      <w:szCs w:val="21"/>
                    </w:rPr>
                    <w:t>mg/L</w:t>
                  </w:r>
                </w:p>
              </w:tc>
              <w:tc>
                <w:tcPr>
                  <w:tcW w:w="1947" w:type="dxa"/>
                  <w:vMerge w:val="continue"/>
                  <w:tcBorders>
                    <w:tl2br w:val="nil"/>
                    <w:tr2bl w:val="nil"/>
                  </w:tcBorders>
                  <w:noWrap w:val="0"/>
                  <w:vAlign w:val="center"/>
                </w:tcPr>
                <w:p w14:paraId="0235C7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p>
              </w:tc>
            </w:tr>
            <w:tr w14:paraId="144E4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3117" w:type="dxa"/>
                  <w:tcBorders>
                    <w:tl2br w:val="nil"/>
                    <w:tr2bl w:val="nil"/>
                  </w:tcBorders>
                  <w:noWrap w:val="0"/>
                  <w:vAlign w:val="center"/>
                </w:tcPr>
                <w:p w14:paraId="2B8EC6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石油类</w:t>
                  </w:r>
                </w:p>
              </w:tc>
              <w:tc>
                <w:tcPr>
                  <w:tcW w:w="2635" w:type="dxa"/>
                  <w:tcBorders>
                    <w:tl2br w:val="nil"/>
                    <w:tr2bl w:val="nil"/>
                  </w:tcBorders>
                  <w:noWrap w:val="0"/>
                  <w:vAlign w:val="center"/>
                </w:tcPr>
                <w:p w14:paraId="4CAEEE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≤0.</w:t>
                  </w:r>
                  <w:r>
                    <w:rPr>
                      <w:rFonts w:hint="default" w:ascii="Times New Roman" w:hAnsi="Times New Roman" w:eastAsia="宋体" w:cs="Times New Roman"/>
                      <w:caps w:val="0"/>
                      <w:smallCaps w:val="0"/>
                      <w:color w:val="auto"/>
                      <w:sz w:val="21"/>
                      <w:szCs w:val="21"/>
                      <w:lang w:val="en-US" w:eastAsia="zh-CN"/>
                    </w:rPr>
                    <w:t>0</w:t>
                  </w:r>
                  <w:r>
                    <w:rPr>
                      <w:rFonts w:hint="default" w:ascii="Times New Roman" w:hAnsi="Times New Roman" w:eastAsia="宋体" w:cs="Times New Roman"/>
                      <w:caps w:val="0"/>
                      <w:smallCaps w:val="0"/>
                      <w:color w:val="auto"/>
                      <w:sz w:val="21"/>
                      <w:szCs w:val="21"/>
                    </w:rPr>
                    <w:t>5mg/L</w:t>
                  </w:r>
                </w:p>
              </w:tc>
              <w:tc>
                <w:tcPr>
                  <w:tcW w:w="1947" w:type="dxa"/>
                  <w:vMerge w:val="continue"/>
                  <w:tcBorders>
                    <w:tl2br w:val="nil"/>
                    <w:tr2bl w:val="nil"/>
                  </w:tcBorders>
                  <w:noWrap w:val="0"/>
                  <w:vAlign w:val="center"/>
                </w:tcPr>
                <w:p w14:paraId="38A720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p>
              </w:tc>
            </w:tr>
            <w:tr w14:paraId="61FAD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3117" w:type="dxa"/>
                  <w:tcBorders>
                    <w:tl2br w:val="nil"/>
                    <w:tr2bl w:val="nil"/>
                  </w:tcBorders>
                  <w:noWrap w:val="0"/>
                  <w:vAlign w:val="center"/>
                </w:tcPr>
                <w:p w14:paraId="3642E1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NH</w:t>
                  </w:r>
                  <w:r>
                    <w:rPr>
                      <w:rFonts w:hint="default" w:ascii="Times New Roman" w:hAnsi="Times New Roman" w:eastAsia="宋体" w:cs="Times New Roman"/>
                      <w:caps w:val="0"/>
                      <w:smallCaps w:val="0"/>
                      <w:color w:val="auto"/>
                      <w:sz w:val="21"/>
                      <w:szCs w:val="21"/>
                      <w:vertAlign w:val="subscript"/>
                    </w:rPr>
                    <w:t>3</w:t>
                  </w:r>
                  <w:r>
                    <w:rPr>
                      <w:rFonts w:hint="default" w:ascii="Times New Roman" w:hAnsi="Times New Roman" w:eastAsia="宋体" w:cs="Times New Roman"/>
                      <w:caps w:val="0"/>
                      <w:smallCaps w:val="0"/>
                      <w:color w:val="auto"/>
                      <w:sz w:val="21"/>
                      <w:szCs w:val="21"/>
                    </w:rPr>
                    <w:t>-N</w:t>
                  </w:r>
                </w:p>
              </w:tc>
              <w:tc>
                <w:tcPr>
                  <w:tcW w:w="2635" w:type="dxa"/>
                  <w:tcBorders>
                    <w:tl2br w:val="nil"/>
                    <w:tr2bl w:val="nil"/>
                  </w:tcBorders>
                  <w:noWrap w:val="0"/>
                  <w:vAlign w:val="center"/>
                </w:tcPr>
                <w:p w14:paraId="5C537E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≤1.</w:t>
                  </w:r>
                  <w:r>
                    <w:rPr>
                      <w:rFonts w:hint="default" w:ascii="Times New Roman" w:hAnsi="Times New Roman" w:eastAsia="宋体" w:cs="Times New Roman"/>
                      <w:caps w:val="0"/>
                      <w:smallCaps w:val="0"/>
                      <w:color w:val="auto"/>
                      <w:sz w:val="21"/>
                      <w:szCs w:val="21"/>
                      <w:lang w:val="en-US" w:eastAsia="zh-CN"/>
                    </w:rPr>
                    <w:t>0</w:t>
                  </w:r>
                  <w:r>
                    <w:rPr>
                      <w:rFonts w:hint="default" w:ascii="Times New Roman" w:hAnsi="Times New Roman" w:eastAsia="宋体" w:cs="Times New Roman"/>
                      <w:caps w:val="0"/>
                      <w:smallCaps w:val="0"/>
                      <w:color w:val="auto"/>
                      <w:sz w:val="21"/>
                      <w:szCs w:val="21"/>
                    </w:rPr>
                    <w:t>mg/L</w:t>
                  </w:r>
                </w:p>
              </w:tc>
              <w:tc>
                <w:tcPr>
                  <w:tcW w:w="1947" w:type="dxa"/>
                  <w:vMerge w:val="continue"/>
                  <w:tcBorders>
                    <w:tl2br w:val="nil"/>
                    <w:tr2bl w:val="nil"/>
                  </w:tcBorders>
                  <w:noWrap w:val="0"/>
                  <w:vAlign w:val="center"/>
                </w:tcPr>
                <w:p w14:paraId="42C65D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p>
              </w:tc>
            </w:tr>
            <w:tr w14:paraId="0DB64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3117" w:type="dxa"/>
                  <w:tcBorders>
                    <w:tl2br w:val="nil"/>
                    <w:tr2bl w:val="nil"/>
                  </w:tcBorders>
                  <w:noWrap w:val="0"/>
                  <w:vAlign w:val="center"/>
                </w:tcPr>
                <w:p w14:paraId="7ADFF9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TP</w:t>
                  </w:r>
                </w:p>
              </w:tc>
              <w:tc>
                <w:tcPr>
                  <w:tcW w:w="2635" w:type="dxa"/>
                  <w:tcBorders>
                    <w:tl2br w:val="nil"/>
                    <w:tr2bl w:val="nil"/>
                  </w:tcBorders>
                  <w:noWrap w:val="0"/>
                  <w:vAlign w:val="center"/>
                </w:tcPr>
                <w:p w14:paraId="7CC988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≤0.</w:t>
                  </w:r>
                  <w:r>
                    <w:rPr>
                      <w:rFonts w:hint="default" w:ascii="Times New Roman" w:hAnsi="Times New Roman" w:eastAsia="宋体" w:cs="Times New Roman"/>
                      <w:caps w:val="0"/>
                      <w:smallCaps w:val="0"/>
                      <w:color w:val="auto"/>
                      <w:sz w:val="21"/>
                      <w:szCs w:val="21"/>
                      <w:lang w:val="en-US" w:eastAsia="zh-CN"/>
                    </w:rPr>
                    <w:t>2</w:t>
                  </w:r>
                  <w:r>
                    <w:rPr>
                      <w:rFonts w:hint="default" w:ascii="Times New Roman" w:hAnsi="Times New Roman" w:eastAsia="宋体" w:cs="Times New Roman"/>
                      <w:caps w:val="0"/>
                      <w:smallCaps w:val="0"/>
                      <w:color w:val="auto"/>
                      <w:sz w:val="21"/>
                      <w:szCs w:val="21"/>
                    </w:rPr>
                    <w:t>mg/L</w:t>
                  </w:r>
                </w:p>
              </w:tc>
              <w:tc>
                <w:tcPr>
                  <w:tcW w:w="1947" w:type="dxa"/>
                  <w:vMerge w:val="continue"/>
                  <w:tcBorders>
                    <w:tl2br w:val="nil"/>
                    <w:tr2bl w:val="nil"/>
                  </w:tcBorders>
                  <w:noWrap w:val="0"/>
                  <w:vAlign w:val="center"/>
                </w:tcPr>
                <w:p w14:paraId="6A7466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p>
              </w:tc>
            </w:tr>
            <w:tr w14:paraId="220D7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3117" w:type="dxa"/>
                  <w:tcBorders>
                    <w:tl2br w:val="nil"/>
                    <w:tr2bl w:val="nil"/>
                  </w:tcBorders>
                  <w:noWrap w:val="0"/>
                  <w:vAlign w:val="center"/>
                </w:tcPr>
                <w:p w14:paraId="444DEA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粪大肠菌群</w:t>
                  </w:r>
                </w:p>
              </w:tc>
              <w:tc>
                <w:tcPr>
                  <w:tcW w:w="2635" w:type="dxa"/>
                  <w:tcBorders>
                    <w:tl2br w:val="nil"/>
                    <w:tr2bl w:val="nil"/>
                  </w:tcBorders>
                  <w:noWrap w:val="0"/>
                  <w:vAlign w:val="center"/>
                </w:tcPr>
                <w:p w14:paraId="360606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w:t>
                  </w:r>
                  <w:r>
                    <w:rPr>
                      <w:rFonts w:hint="default" w:ascii="Times New Roman" w:hAnsi="Times New Roman" w:eastAsia="宋体" w:cs="Times New Roman"/>
                      <w:caps w:val="0"/>
                      <w:smallCaps w:val="0"/>
                      <w:color w:val="auto"/>
                      <w:sz w:val="21"/>
                      <w:szCs w:val="21"/>
                      <w:lang w:val="en-US" w:eastAsia="zh-CN"/>
                    </w:rPr>
                    <w:t>1</w:t>
                  </w:r>
                  <w:r>
                    <w:rPr>
                      <w:rFonts w:hint="default" w:ascii="Times New Roman" w:hAnsi="Times New Roman" w:eastAsia="宋体" w:cs="Times New Roman"/>
                      <w:caps w:val="0"/>
                      <w:smallCaps w:val="0"/>
                      <w:color w:val="auto"/>
                      <w:sz w:val="21"/>
                      <w:szCs w:val="21"/>
                    </w:rPr>
                    <w:t>0000个/L</w:t>
                  </w:r>
                </w:p>
              </w:tc>
              <w:tc>
                <w:tcPr>
                  <w:tcW w:w="1947" w:type="dxa"/>
                  <w:vMerge w:val="continue"/>
                  <w:tcBorders>
                    <w:tl2br w:val="nil"/>
                    <w:tr2bl w:val="nil"/>
                  </w:tcBorders>
                  <w:noWrap w:val="0"/>
                  <w:vAlign w:val="center"/>
                </w:tcPr>
                <w:p w14:paraId="5285C1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p>
              </w:tc>
            </w:tr>
            <w:tr w14:paraId="7B3FC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3117" w:type="dxa"/>
                  <w:tcBorders>
                    <w:tl2br w:val="nil"/>
                    <w:tr2bl w:val="nil"/>
                  </w:tcBorders>
                  <w:noWrap w:val="0"/>
                  <w:vAlign w:val="center"/>
                </w:tcPr>
                <w:p w14:paraId="08F661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铜</w:t>
                  </w:r>
                </w:p>
              </w:tc>
              <w:tc>
                <w:tcPr>
                  <w:tcW w:w="2635" w:type="dxa"/>
                  <w:tcBorders>
                    <w:tl2br w:val="nil"/>
                    <w:tr2bl w:val="nil"/>
                  </w:tcBorders>
                  <w:noWrap w:val="0"/>
                  <w:vAlign w:val="center"/>
                </w:tcPr>
                <w:p w14:paraId="3FEE32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r>
                    <w:rPr>
                      <w:rFonts w:hint="default" w:ascii="Times New Roman" w:hAnsi="Times New Roman" w:eastAsia="宋体" w:cs="Times New Roman"/>
                      <w:caps w:val="0"/>
                      <w:smallCaps w:val="0"/>
                      <w:color w:val="auto"/>
                      <w:sz w:val="21"/>
                      <w:szCs w:val="21"/>
                    </w:rPr>
                    <w:t>≤</w:t>
                  </w:r>
                  <w:r>
                    <w:rPr>
                      <w:rFonts w:hint="default" w:ascii="Times New Roman" w:hAnsi="Times New Roman" w:eastAsia="宋体" w:cs="Times New Roman"/>
                      <w:caps w:val="0"/>
                      <w:smallCaps w:val="0"/>
                      <w:color w:val="auto"/>
                      <w:sz w:val="21"/>
                      <w:szCs w:val="21"/>
                      <w:lang w:val="en-US" w:eastAsia="zh-CN"/>
                    </w:rPr>
                    <w:t>1.0</w:t>
                  </w:r>
                  <w:r>
                    <w:rPr>
                      <w:rFonts w:hint="default" w:ascii="Times New Roman" w:hAnsi="Times New Roman" w:eastAsia="宋体" w:cs="Times New Roman"/>
                      <w:caps w:val="0"/>
                      <w:smallCaps w:val="0"/>
                      <w:color w:val="auto"/>
                      <w:sz w:val="21"/>
                      <w:szCs w:val="21"/>
                    </w:rPr>
                    <w:t>mg/L</w:t>
                  </w:r>
                </w:p>
              </w:tc>
              <w:tc>
                <w:tcPr>
                  <w:tcW w:w="1947" w:type="dxa"/>
                  <w:vMerge w:val="continue"/>
                  <w:tcBorders>
                    <w:tl2br w:val="nil"/>
                    <w:tr2bl w:val="nil"/>
                  </w:tcBorders>
                  <w:noWrap w:val="0"/>
                  <w:vAlign w:val="center"/>
                </w:tcPr>
                <w:p w14:paraId="5125B8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p>
              </w:tc>
            </w:tr>
            <w:tr w14:paraId="44273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3117" w:type="dxa"/>
                  <w:tcBorders>
                    <w:tl2br w:val="nil"/>
                    <w:tr2bl w:val="nil"/>
                  </w:tcBorders>
                  <w:noWrap w:val="0"/>
                  <w:vAlign w:val="center"/>
                </w:tcPr>
                <w:p w14:paraId="4858BB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锌</w:t>
                  </w:r>
                </w:p>
              </w:tc>
              <w:tc>
                <w:tcPr>
                  <w:tcW w:w="2635" w:type="dxa"/>
                  <w:tcBorders>
                    <w:tl2br w:val="nil"/>
                    <w:tr2bl w:val="nil"/>
                  </w:tcBorders>
                  <w:noWrap w:val="0"/>
                  <w:vAlign w:val="center"/>
                </w:tcPr>
                <w:p w14:paraId="70494C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r>
                    <w:rPr>
                      <w:rFonts w:hint="default" w:ascii="Times New Roman" w:hAnsi="Times New Roman" w:eastAsia="宋体" w:cs="Times New Roman"/>
                      <w:caps w:val="0"/>
                      <w:smallCaps w:val="0"/>
                      <w:color w:val="auto"/>
                      <w:sz w:val="21"/>
                      <w:szCs w:val="21"/>
                    </w:rPr>
                    <w:t>≤</w:t>
                  </w:r>
                  <w:r>
                    <w:rPr>
                      <w:rFonts w:hint="default" w:ascii="Times New Roman" w:hAnsi="Times New Roman" w:eastAsia="宋体" w:cs="Times New Roman"/>
                      <w:caps w:val="0"/>
                      <w:smallCaps w:val="0"/>
                      <w:color w:val="auto"/>
                      <w:sz w:val="21"/>
                      <w:szCs w:val="21"/>
                      <w:lang w:val="en-US" w:eastAsia="zh-CN"/>
                    </w:rPr>
                    <w:t>1.0</w:t>
                  </w:r>
                  <w:r>
                    <w:rPr>
                      <w:rFonts w:hint="default" w:ascii="Times New Roman" w:hAnsi="Times New Roman" w:eastAsia="宋体" w:cs="Times New Roman"/>
                      <w:caps w:val="0"/>
                      <w:smallCaps w:val="0"/>
                      <w:color w:val="auto"/>
                      <w:sz w:val="21"/>
                      <w:szCs w:val="21"/>
                    </w:rPr>
                    <w:t>mg/L</w:t>
                  </w:r>
                </w:p>
              </w:tc>
              <w:tc>
                <w:tcPr>
                  <w:tcW w:w="1947" w:type="dxa"/>
                  <w:vMerge w:val="continue"/>
                  <w:tcBorders>
                    <w:tl2br w:val="nil"/>
                    <w:tr2bl w:val="nil"/>
                  </w:tcBorders>
                  <w:noWrap w:val="0"/>
                  <w:vAlign w:val="center"/>
                </w:tcPr>
                <w:p w14:paraId="766EC2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p>
              </w:tc>
            </w:tr>
            <w:tr w14:paraId="34A11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3117" w:type="dxa"/>
                  <w:tcBorders>
                    <w:tl2br w:val="nil"/>
                    <w:tr2bl w:val="nil"/>
                  </w:tcBorders>
                  <w:noWrap w:val="0"/>
                  <w:vAlign w:val="center"/>
                </w:tcPr>
                <w:p w14:paraId="417ECA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氟化物</w:t>
                  </w:r>
                </w:p>
              </w:tc>
              <w:tc>
                <w:tcPr>
                  <w:tcW w:w="2635" w:type="dxa"/>
                  <w:tcBorders>
                    <w:tl2br w:val="nil"/>
                    <w:tr2bl w:val="nil"/>
                  </w:tcBorders>
                  <w:noWrap w:val="0"/>
                  <w:vAlign w:val="center"/>
                </w:tcPr>
                <w:p w14:paraId="4BCDF7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r>
                    <w:rPr>
                      <w:rFonts w:hint="default" w:ascii="Times New Roman" w:hAnsi="Times New Roman" w:eastAsia="宋体" w:cs="Times New Roman"/>
                      <w:caps w:val="0"/>
                      <w:smallCaps w:val="0"/>
                      <w:color w:val="auto"/>
                      <w:sz w:val="21"/>
                      <w:szCs w:val="21"/>
                    </w:rPr>
                    <w:t>≤</w:t>
                  </w:r>
                  <w:r>
                    <w:rPr>
                      <w:rFonts w:hint="default" w:ascii="Times New Roman" w:hAnsi="Times New Roman" w:eastAsia="宋体" w:cs="Times New Roman"/>
                      <w:caps w:val="0"/>
                      <w:smallCaps w:val="0"/>
                      <w:color w:val="auto"/>
                      <w:sz w:val="21"/>
                      <w:szCs w:val="21"/>
                      <w:lang w:val="en-US" w:eastAsia="zh-CN"/>
                    </w:rPr>
                    <w:t>1.0</w:t>
                  </w:r>
                  <w:r>
                    <w:rPr>
                      <w:rFonts w:hint="default" w:ascii="Times New Roman" w:hAnsi="Times New Roman" w:eastAsia="宋体" w:cs="Times New Roman"/>
                      <w:caps w:val="0"/>
                      <w:smallCaps w:val="0"/>
                      <w:color w:val="auto"/>
                      <w:sz w:val="21"/>
                      <w:szCs w:val="21"/>
                    </w:rPr>
                    <w:t>mg/L</w:t>
                  </w:r>
                </w:p>
              </w:tc>
              <w:tc>
                <w:tcPr>
                  <w:tcW w:w="1947" w:type="dxa"/>
                  <w:vMerge w:val="continue"/>
                  <w:tcBorders>
                    <w:tl2br w:val="nil"/>
                    <w:tr2bl w:val="nil"/>
                  </w:tcBorders>
                  <w:noWrap w:val="0"/>
                  <w:vAlign w:val="center"/>
                </w:tcPr>
                <w:p w14:paraId="6643D6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p>
              </w:tc>
            </w:tr>
            <w:tr w14:paraId="6446D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3117" w:type="dxa"/>
                  <w:tcBorders>
                    <w:tl2br w:val="nil"/>
                    <w:tr2bl w:val="nil"/>
                  </w:tcBorders>
                  <w:noWrap w:val="0"/>
                  <w:vAlign w:val="center"/>
                </w:tcPr>
                <w:p w14:paraId="31BDF8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硒</w:t>
                  </w:r>
                </w:p>
              </w:tc>
              <w:tc>
                <w:tcPr>
                  <w:tcW w:w="2635" w:type="dxa"/>
                  <w:tcBorders>
                    <w:tl2br w:val="nil"/>
                    <w:tr2bl w:val="nil"/>
                  </w:tcBorders>
                  <w:noWrap w:val="0"/>
                  <w:vAlign w:val="center"/>
                </w:tcPr>
                <w:p w14:paraId="5090D7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r>
                    <w:rPr>
                      <w:rFonts w:hint="default" w:ascii="Times New Roman" w:hAnsi="Times New Roman" w:eastAsia="宋体" w:cs="Times New Roman"/>
                      <w:caps w:val="0"/>
                      <w:smallCaps w:val="0"/>
                      <w:color w:val="auto"/>
                      <w:sz w:val="21"/>
                      <w:szCs w:val="21"/>
                    </w:rPr>
                    <w:t>≤</w:t>
                  </w:r>
                  <w:r>
                    <w:rPr>
                      <w:rFonts w:hint="default" w:ascii="Times New Roman" w:hAnsi="Times New Roman" w:eastAsia="宋体" w:cs="Times New Roman"/>
                      <w:caps w:val="0"/>
                      <w:smallCaps w:val="0"/>
                      <w:color w:val="auto"/>
                      <w:sz w:val="21"/>
                      <w:szCs w:val="21"/>
                      <w:lang w:val="en-US" w:eastAsia="zh-CN"/>
                    </w:rPr>
                    <w:t>0.01</w:t>
                  </w:r>
                  <w:r>
                    <w:rPr>
                      <w:rFonts w:hint="default" w:ascii="Times New Roman" w:hAnsi="Times New Roman" w:eastAsia="宋体" w:cs="Times New Roman"/>
                      <w:caps w:val="0"/>
                      <w:smallCaps w:val="0"/>
                      <w:color w:val="auto"/>
                      <w:sz w:val="21"/>
                      <w:szCs w:val="21"/>
                    </w:rPr>
                    <w:t>mg/L</w:t>
                  </w:r>
                </w:p>
              </w:tc>
              <w:tc>
                <w:tcPr>
                  <w:tcW w:w="1947" w:type="dxa"/>
                  <w:vMerge w:val="continue"/>
                  <w:tcBorders>
                    <w:tl2br w:val="nil"/>
                    <w:tr2bl w:val="nil"/>
                  </w:tcBorders>
                  <w:noWrap w:val="0"/>
                  <w:vAlign w:val="center"/>
                </w:tcPr>
                <w:p w14:paraId="453B6F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p>
              </w:tc>
            </w:tr>
            <w:tr w14:paraId="2D4D8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3117" w:type="dxa"/>
                  <w:tcBorders>
                    <w:tl2br w:val="nil"/>
                    <w:tr2bl w:val="nil"/>
                  </w:tcBorders>
                  <w:noWrap w:val="0"/>
                  <w:vAlign w:val="center"/>
                </w:tcPr>
                <w:p w14:paraId="0D501C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砷</w:t>
                  </w:r>
                </w:p>
              </w:tc>
              <w:tc>
                <w:tcPr>
                  <w:tcW w:w="2635" w:type="dxa"/>
                  <w:tcBorders>
                    <w:tl2br w:val="nil"/>
                    <w:tr2bl w:val="nil"/>
                  </w:tcBorders>
                  <w:noWrap w:val="0"/>
                  <w:vAlign w:val="center"/>
                </w:tcPr>
                <w:p w14:paraId="1DC7BB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r>
                    <w:rPr>
                      <w:rFonts w:hint="default" w:ascii="Times New Roman" w:hAnsi="Times New Roman" w:eastAsia="宋体" w:cs="Times New Roman"/>
                      <w:caps w:val="0"/>
                      <w:smallCaps w:val="0"/>
                      <w:color w:val="auto"/>
                      <w:sz w:val="21"/>
                      <w:szCs w:val="21"/>
                    </w:rPr>
                    <w:t>≤</w:t>
                  </w:r>
                  <w:r>
                    <w:rPr>
                      <w:rFonts w:hint="default" w:ascii="Times New Roman" w:hAnsi="Times New Roman" w:eastAsia="宋体" w:cs="Times New Roman"/>
                      <w:caps w:val="0"/>
                      <w:smallCaps w:val="0"/>
                      <w:color w:val="auto"/>
                      <w:sz w:val="21"/>
                      <w:szCs w:val="21"/>
                      <w:lang w:val="en-US" w:eastAsia="zh-CN"/>
                    </w:rPr>
                    <w:t>0.05</w:t>
                  </w:r>
                  <w:r>
                    <w:rPr>
                      <w:rFonts w:hint="default" w:ascii="Times New Roman" w:hAnsi="Times New Roman" w:eastAsia="宋体" w:cs="Times New Roman"/>
                      <w:caps w:val="0"/>
                      <w:smallCaps w:val="0"/>
                      <w:color w:val="auto"/>
                      <w:sz w:val="21"/>
                      <w:szCs w:val="21"/>
                    </w:rPr>
                    <w:t>mg/L</w:t>
                  </w:r>
                </w:p>
              </w:tc>
              <w:tc>
                <w:tcPr>
                  <w:tcW w:w="1947" w:type="dxa"/>
                  <w:vMerge w:val="continue"/>
                  <w:tcBorders>
                    <w:tl2br w:val="nil"/>
                    <w:tr2bl w:val="nil"/>
                  </w:tcBorders>
                  <w:noWrap w:val="0"/>
                  <w:vAlign w:val="center"/>
                </w:tcPr>
                <w:p w14:paraId="7D28F2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p>
              </w:tc>
            </w:tr>
            <w:tr w14:paraId="6D4875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3117" w:type="dxa"/>
                  <w:tcBorders>
                    <w:tl2br w:val="nil"/>
                    <w:tr2bl w:val="nil"/>
                  </w:tcBorders>
                  <w:noWrap w:val="0"/>
                  <w:vAlign w:val="center"/>
                </w:tcPr>
                <w:p w14:paraId="0B3A06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汞</w:t>
                  </w:r>
                </w:p>
              </w:tc>
              <w:tc>
                <w:tcPr>
                  <w:tcW w:w="2635" w:type="dxa"/>
                  <w:tcBorders>
                    <w:tl2br w:val="nil"/>
                    <w:tr2bl w:val="nil"/>
                  </w:tcBorders>
                  <w:noWrap w:val="0"/>
                  <w:vAlign w:val="center"/>
                </w:tcPr>
                <w:p w14:paraId="20B076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r>
                    <w:rPr>
                      <w:rFonts w:hint="default" w:ascii="Times New Roman" w:hAnsi="Times New Roman" w:eastAsia="宋体" w:cs="Times New Roman"/>
                      <w:caps w:val="0"/>
                      <w:smallCaps w:val="0"/>
                      <w:color w:val="auto"/>
                      <w:sz w:val="21"/>
                      <w:szCs w:val="21"/>
                    </w:rPr>
                    <w:t>≤</w:t>
                  </w:r>
                  <w:r>
                    <w:rPr>
                      <w:rFonts w:hint="default" w:ascii="Times New Roman" w:hAnsi="Times New Roman" w:eastAsia="宋体" w:cs="Times New Roman"/>
                      <w:caps w:val="0"/>
                      <w:smallCaps w:val="0"/>
                      <w:color w:val="auto"/>
                      <w:sz w:val="21"/>
                      <w:szCs w:val="21"/>
                      <w:lang w:val="en-US" w:eastAsia="zh-CN"/>
                    </w:rPr>
                    <w:t>01</w:t>
                  </w:r>
                  <w:r>
                    <w:rPr>
                      <w:rFonts w:hint="default" w:ascii="Times New Roman" w:hAnsi="Times New Roman" w:eastAsia="宋体" w:cs="Times New Roman"/>
                      <w:caps w:val="0"/>
                      <w:smallCaps w:val="0"/>
                      <w:color w:val="auto"/>
                      <w:sz w:val="21"/>
                      <w:szCs w:val="21"/>
                    </w:rPr>
                    <w:t>mg/L</w:t>
                  </w:r>
                </w:p>
              </w:tc>
              <w:tc>
                <w:tcPr>
                  <w:tcW w:w="1947" w:type="dxa"/>
                  <w:vMerge w:val="continue"/>
                  <w:tcBorders>
                    <w:tl2br w:val="nil"/>
                    <w:tr2bl w:val="nil"/>
                  </w:tcBorders>
                  <w:noWrap w:val="0"/>
                  <w:vAlign w:val="center"/>
                </w:tcPr>
                <w:p w14:paraId="23D4EB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p>
              </w:tc>
            </w:tr>
            <w:tr w14:paraId="3C4E9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3117" w:type="dxa"/>
                  <w:tcBorders>
                    <w:tl2br w:val="nil"/>
                    <w:tr2bl w:val="nil"/>
                  </w:tcBorders>
                  <w:noWrap w:val="0"/>
                  <w:vAlign w:val="center"/>
                </w:tcPr>
                <w:p w14:paraId="6A5DF1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镉</w:t>
                  </w:r>
                </w:p>
              </w:tc>
              <w:tc>
                <w:tcPr>
                  <w:tcW w:w="2635" w:type="dxa"/>
                  <w:tcBorders>
                    <w:tl2br w:val="nil"/>
                    <w:tr2bl w:val="nil"/>
                  </w:tcBorders>
                  <w:noWrap w:val="0"/>
                  <w:vAlign w:val="center"/>
                </w:tcPr>
                <w:p w14:paraId="6AAEAD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r>
                    <w:rPr>
                      <w:rFonts w:hint="default" w:ascii="Times New Roman" w:hAnsi="Times New Roman" w:eastAsia="宋体" w:cs="Times New Roman"/>
                      <w:caps w:val="0"/>
                      <w:smallCaps w:val="0"/>
                      <w:color w:val="auto"/>
                      <w:sz w:val="21"/>
                      <w:szCs w:val="21"/>
                    </w:rPr>
                    <w:t>≤</w:t>
                  </w:r>
                  <w:r>
                    <w:rPr>
                      <w:rFonts w:hint="default" w:ascii="Times New Roman" w:hAnsi="Times New Roman" w:eastAsia="宋体" w:cs="Times New Roman"/>
                      <w:caps w:val="0"/>
                      <w:smallCaps w:val="0"/>
                      <w:color w:val="auto"/>
                      <w:sz w:val="21"/>
                      <w:szCs w:val="21"/>
                      <w:lang w:val="en-US" w:eastAsia="zh-CN"/>
                    </w:rPr>
                    <w:t>0.005</w:t>
                  </w:r>
                  <w:r>
                    <w:rPr>
                      <w:rFonts w:hint="default" w:ascii="Times New Roman" w:hAnsi="Times New Roman" w:eastAsia="宋体" w:cs="Times New Roman"/>
                      <w:caps w:val="0"/>
                      <w:smallCaps w:val="0"/>
                      <w:color w:val="auto"/>
                      <w:sz w:val="21"/>
                      <w:szCs w:val="21"/>
                    </w:rPr>
                    <w:t>mg/L</w:t>
                  </w:r>
                </w:p>
              </w:tc>
              <w:tc>
                <w:tcPr>
                  <w:tcW w:w="1947" w:type="dxa"/>
                  <w:vMerge w:val="continue"/>
                  <w:tcBorders>
                    <w:tl2br w:val="nil"/>
                    <w:tr2bl w:val="nil"/>
                  </w:tcBorders>
                  <w:noWrap w:val="0"/>
                  <w:vAlign w:val="center"/>
                </w:tcPr>
                <w:p w14:paraId="6D89A8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p>
              </w:tc>
            </w:tr>
            <w:tr w14:paraId="3C854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3117" w:type="dxa"/>
                  <w:tcBorders>
                    <w:tl2br w:val="nil"/>
                    <w:tr2bl w:val="nil"/>
                  </w:tcBorders>
                  <w:noWrap w:val="0"/>
                  <w:vAlign w:val="center"/>
                </w:tcPr>
                <w:p w14:paraId="7F6C6B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铬（六价）</w:t>
                  </w:r>
                </w:p>
              </w:tc>
              <w:tc>
                <w:tcPr>
                  <w:tcW w:w="2635" w:type="dxa"/>
                  <w:tcBorders>
                    <w:tl2br w:val="nil"/>
                    <w:tr2bl w:val="nil"/>
                  </w:tcBorders>
                  <w:noWrap w:val="0"/>
                  <w:vAlign w:val="center"/>
                </w:tcPr>
                <w:p w14:paraId="2C1052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r>
                    <w:rPr>
                      <w:rFonts w:hint="default" w:ascii="Times New Roman" w:hAnsi="Times New Roman" w:eastAsia="宋体" w:cs="Times New Roman"/>
                      <w:caps w:val="0"/>
                      <w:smallCaps w:val="0"/>
                      <w:color w:val="auto"/>
                      <w:sz w:val="21"/>
                      <w:szCs w:val="21"/>
                    </w:rPr>
                    <w:t>≤</w:t>
                  </w:r>
                  <w:r>
                    <w:rPr>
                      <w:rFonts w:hint="default" w:ascii="Times New Roman" w:hAnsi="Times New Roman" w:eastAsia="宋体" w:cs="Times New Roman"/>
                      <w:caps w:val="0"/>
                      <w:smallCaps w:val="0"/>
                      <w:color w:val="auto"/>
                      <w:sz w:val="21"/>
                      <w:szCs w:val="21"/>
                      <w:lang w:val="en-US" w:eastAsia="zh-CN"/>
                    </w:rPr>
                    <w:t>0.05</w:t>
                  </w:r>
                  <w:r>
                    <w:rPr>
                      <w:rFonts w:hint="default" w:ascii="Times New Roman" w:hAnsi="Times New Roman" w:eastAsia="宋体" w:cs="Times New Roman"/>
                      <w:caps w:val="0"/>
                      <w:smallCaps w:val="0"/>
                      <w:color w:val="auto"/>
                      <w:sz w:val="21"/>
                      <w:szCs w:val="21"/>
                    </w:rPr>
                    <w:t>mg/L</w:t>
                  </w:r>
                </w:p>
              </w:tc>
              <w:tc>
                <w:tcPr>
                  <w:tcW w:w="1947" w:type="dxa"/>
                  <w:vMerge w:val="continue"/>
                  <w:tcBorders>
                    <w:tl2br w:val="nil"/>
                    <w:tr2bl w:val="nil"/>
                  </w:tcBorders>
                  <w:noWrap w:val="0"/>
                  <w:vAlign w:val="center"/>
                </w:tcPr>
                <w:p w14:paraId="312B19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p>
              </w:tc>
            </w:tr>
            <w:tr w14:paraId="11A11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3117" w:type="dxa"/>
                  <w:tcBorders>
                    <w:tl2br w:val="nil"/>
                    <w:tr2bl w:val="nil"/>
                  </w:tcBorders>
                  <w:noWrap w:val="0"/>
                  <w:vAlign w:val="center"/>
                </w:tcPr>
                <w:p w14:paraId="502268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阴离子</w:t>
                  </w:r>
                  <w:r>
                    <w:rPr>
                      <w:rFonts w:hint="default" w:ascii="Times New Roman" w:hAnsi="Times New Roman" w:eastAsia="宋体" w:cs="Times New Roman"/>
                      <w:caps w:val="0"/>
                      <w:smallCaps w:val="0"/>
                      <w:color w:val="auto"/>
                      <w:sz w:val="21"/>
                      <w:szCs w:val="21"/>
                      <w:lang w:eastAsia="zh-CN"/>
                    </w:rPr>
                    <w:t>活性剂</w:t>
                  </w:r>
                </w:p>
              </w:tc>
              <w:tc>
                <w:tcPr>
                  <w:tcW w:w="2635" w:type="dxa"/>
                  <w:tcBorders>
                    <w:tl2br w:val="nil"/>
                    <w:tr2bl w:val="nil"/>
                  </w:tcBorders>
                  <w:noWrap w:val="0"/>
                  <w:vAlign w:val="center"/>
                </w:tcPr>
                <w:p w14:paraId="13BC39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r>
                    <w:rPr>
                      <w:rFonts w:hint="default" w:ascii="Times New Roman" w:hAnsi="Times New Roman" w:eastAsia="宋体" w:cs="Times New Roman"/>
                      <w:caps w:val="0"/>
                      <w:smallCaps w:val="0"/>
                      <w:color w:val="auto"/>
                      <w:sz w:val="21"/>
                      <w:szCs w:val="21"/>
                    </w:rPr>
                    <w:t>≤</w:t>
                  </w:r>
                  <w:r>
                    <w:rPr>
                      <w:rFonts w:hint="default" w:ascii="Times New Roman" w:hAnsi="Times New Roman" w:eastAsia="宋体" w:cs="Times New Roman"/>
                      <w:caps w:val="0"/>
                      <w:smallCaps w:val="0"/>
                      <w:color w:val="auto"/>
                      <w:sz w:val="21"/>
                      <w:szCs w:val="21"/>
                      <w:lang w:val="en-US" w:eastAsia="zh-CN"/>
                    </w:rPr>
                    <w:t>0.2</w:t>
                  </w:r>
                  <w:r>
                    <w:rPr>
                      <w:rFonts w:hint="default" w:ascii="Times New Roman" w:hAnsi="Times New Roman" w:eastAsia="宋体" w:cs="Times New Roman"/>
                      <w:caps w:val="0"/>
                      <w:smallCaps w:val="0"/>
                      <w:color w:val="auto"/>
                      <w:sz w:val="21"/>
                      <w:szCs w:val="21"/>
                    </w:rPr>
                    <w:t>mg/L</w:t>
                  </w:r>
                </w:p>
              </w:tc>
              <w:tc>
                <w:tcPr>
                  <w:tcW w:w="1947" w:type="dxa"/>
                  <w:vMerge w:val="continue"/>
                  <w:tcBorders>
                    <w:tl2br w:val="nil"/>
                    <w:tr2bl w:val="nil"/>
                  </w:tcBorders>
                  <w:noWrap w:val="0"/>
                  <w:vAlign w:val="center"/>
                </w:tcPr>
                <w:p w14:paraId="10B5B7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p>
              </w:tc>
            </w:tr>
            <w:tr w14:paraId="6C6C8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3117" w:type="dxa"/>
                  <w:tcBorders>
                    <w:tl2br w:val="nil"/>
                    <w:tr2bl w:val="nil"/>
                  </w:tcBorders>
                  <w:noWrap w:val="0"/>
                  <w:vAlign w:val="center"/>
                </w:tcPr>
                <w:p w14:paraId="06420D9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lang w:val="en-US" w:eastAsia="zh-CN"/>
                    </w:rPr>
                    <w:t>氰化物</w:t>
                  </w:r>
                </w:p>
              </w:tc>
              <w:tc>
                <w:tcPr>
                  <w:tcW w:w="2635" w:type="dxa"/>
                  <w:tcBorders>
                    <w:tl2br w:val="nil"/>
                    <w:tr2bl w:val="nil"/>
                  </w:tcBorders>
                  <w:noWrap w:val="0"/>
                  <w:vAlign w:val="center"/>
                </w:tcPr>
                <w:p w14:paraId="30FCED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r>
                    <w:rPr>
                      <w:rFonts w:hint="default" w:ascii="Times New Roman" w:hAnsi="Times New Roman" w:eastAsia="宋体" w:cs="Times New Roman"/>
                      <w:caps w:val="0"/>
                      <w:smallCaps w:val="0"/>
                      <w:color w:val="auto"/>
                      <w:sz w:val="21"/>
                      <w:szCs w:val="21"/>
                    </w:rPr>
                    <w:t>≤</w:t>
                  </w:r>
                  <w:r>
                    <w:rPr>
                      <w:rFonts w:hint="default" w:ascii="Times New Roman" w:hAnsi="Times New Roman" w:eastAsia="宋体" w:cs="Times New Roman"/>
                      <w:caps w:val="0"/>
                      <w:smallCaps w:val="0"/>
                      <w:color w:val="auto"/>
                      <w:sz w:val="21"/>
                      <w:szCs w:val="21"/>
                      <w:lang w:val="en-US" w:eastAsia="zh-CN"/>
                    </w:rPr>
                    <w:t>0.2</w:t>
                  </w:r>
                  <w:r>
                    <w:rPr>
                      <w:rFonts w:hint="default" w:ascii="Times New Roman" w:hAnsi="Times New Roman" w:eastAsia="宋体" w:cs="Times New Roman"/>
                      <w:caps w:val="0"/>
                      <w:smallCaps w:val="0"/>
                      <w:color w:val="auto"/>
                      <w:sz w:val="21"/>
                      <w:szCs w:val="21"/>
                    </w:rPr>
                    <w:t>mg/L</w:t>
                  </w:r>
                </w:p>
              </w:tc>
              <w:tc>
                <w:tcPr>
                  <w:tcW w:w="1947" w:type="dxa"/>
                  <w:vMerge w:val="continue"/>
                  <w:tcBorders>
                    <w:tl2br w:val="nil"/>
                    <w:tr2bl w:val="nil"/>
                  </w:tcBorders>
                  <w:noWrap w:val="0"/>
                  <w:vAlign w:val="center"/>
                </w:tcPr>
                <w:p w14:paraId="208A5E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p>
              </w:tc>
            </w:tr>
            <w:tr w14:paraId="00D9D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3117" w:type="dxa"/>
                  <w:tcBorders>
                    <w:tl2br w:val="nil"/>
                    <w:tr2bl w:val="nil"/>
                  </w:tcBorders>
                  <w:noWrap w:val="0"/>
                  <w:vAlign w:val="center"/>
                </w:tcPr>
                <w:p w14:paraId="43F5C0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r>
                    <w:rPr>
                      <w:rFonts w:hint="default" w:ascii="Times New Roman" w:hAnsi="Times New Roman" w:eastAsia="宋体" w:cs="Times New Roman"/>
                      <w:caps w:val="0"/>
                      <w:smallCaps w:val="0"/>
                      <w:color w:val="auto"/>
                      <w:sz w:val="21"/>
                      <w:szCs w:val="21"/>
                      <w:lang w:val="en-US" w:eastAsia="zh-CN"/>
                    </w:rPr>
                    <w:t>高锰酸盐指数</w:t>
                  </w:r>
                </w:p>
              </w:tc>
              <w:tc>
                <w:tcPr>
                  <w:tcW w:w="2635" w:type="dxa"/>
                  <w:tcBorders>
                    <w:tl2br w:val="nil"/>
                    <w:tr2bl w:val="nil"/>
                  </w:tcBorders>
                  <w:noWrap w:val="0"/>
                  <w:vAlign w:val="center"/>
                </w:tcPr>
                <w:p w14:paraId="59F685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w:t>
                  </w:r>
                  <w:r>
                    <w:rPr>
                      <w:rFonts w:hint="default" w:ascii="Times New Roman" w:hAnsi="Times New Roman" w:eastAsia="宋体" w:cs="Times New Roman"/>
                      <w:caps w:val="0"/>
                      <w:smallCaps w:val="0"/>
                      <w:color w:val="auto"/>
                      <w:sz w:val="21"/>
                      <w:szCs w:val="21"/>
                      <w:lang w:val="en-US" w:eastAsia="zh-CN"/>
                    </w:rPr>
                    <w:t>6</w:t>
                  </w:r>
                  <w:r>
                    <w:rPr>
                      <w:rFonts w:hint="default" w:ascii="Times New Roman" w:hAnsi="Times New Roman" w:eastAsia="宋体" w:cs="Times New Roman"/>
                      <w:caps w:val="0"/>
                      <w:smallCaps w:val="0"/>
                      <w:color w:val="auto"/>
                      <w:sz w:val="21"/>
                      <w:szCs w:val="21"/>
                    </w:rPr>
                    <w:t>mg/L</w:t>
                  </w:r>
                </w:p>
              </w:tc>
              <w:tc>
                <w:tcPr>
                  <w:tcW w:w="1947" w:type="dxa"/>
                  <w:vMerge w:val="continue"/>
                  <w:tcBorders>
                    <w:tl2br w:val="nil"/>
                    <w:tr2bl w:val="nil"/>
                  </w:tcBorders>
                  <w:noWrap w:val="0"/>
                  <w:vAlign w:val="center"/>
                </w:tcPr>
                <w:p w14:paraId="1955A4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p>
              </w:tc>
            </w:tr>
            <w:tr w14:paraId="73D087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3117" w:type="dxa"/>
                  <w:tcBorders>
                    <w:tl2br w:val="nil"/>
                    <w:tr2bl w:val="nil"/>
                  </w:tcBorders>
                  <w:noWrap w:val="0"/>
                  <w:vAlign w:val="center"/>
                </w:tcPr>
                <w:p w14:paraId="15043D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r>
                    <w:rPr>
                      <w:rFonts w:hint="default" w:ascii="Times New Roman" w:hAnsi="Times New Roman" w:eastAsia="宋体" w:cs="Times New Roman"/>
                      <w:caps w:val="0"/>
                      <w:smallCaps w:val="0"/>
                      <w:color w:val="auto"/>
                      <w:sz w:val="21"/>
                      <w:szCs w:val="21"/>
                      <w:lang w:val="en-US" w:eastAsia="zh-CN"/>
                    </w:rPr>
                    <w:t>挥发酚</w:t>
                  </w:r>
                </w:p>
              </w:tc>
              <w:tc>
                <w:tcPr>
                  <w:tcW w:w="2635" w:type="dxa"/>
                  <w:tcBorders>
                    <w:tl2br w:val="nil"/>
                    <w:tr2bl w:val="nil"/>
                  </w:tcBorders>
                  <w:noWrap w:val="0"/>
                  <w:vAlign w:val="center"/>
                </w:tcPr>
                <w:p w14:paraId="1A10F8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w:t>
                  </w:r>
                  <w:r>
                    <w:rPr>
                      <w:rFonts w:hint="default" w:ascii="Times New Roman" w:hAnsi="Times New Roman" w:eastAsia="宋体" w:cs="Times New Roman"/>
                      <w:caps w:val="0"/>
                      <w:smallCaps w:val="0"/>
                      <w:color w:val="auto"/>
                      <w:sz w:val="21"/>
                      <w:szCs w:val="21"/>
                      <w:lang w:val="en-US" w:eastAsia="zh-CN"/>
                    </w:rPr>
                    <w:t>0.005</w:t>
                  </w:r>
                  <w:r>
                    <w:rPr>
                      <w:rFonts w:hint="default" w:ascii="Times New Roman" w:hAnsi="Times New Roman" w:eastAsia="宋体" w:cs="Times New Roman"/>
                      <w:caps w:val="0"/>
                      <w:smallCaps w:val="0"/>
                      <w:color w:val="auto"/>
                      <w:sz w:val="21"/>
                      <w:szCs w:val="21"/>
                    </w:rPr>
                    <w:t>mg/L</w:t>
                  </w:r>
                </w:p>
              </w:tc>
              <w:tc>
                <w:tcPr>
                  <w:tcW w:w="1947" w:type="dxa"/>
                  <w:vMerge w:val="continue"/>
                  <w:tcBorders>
                    <w:tl2br w:val="nil"/>
                    <w:tr2bl w:val="nil"/>
                  </w:tcBorders>
                  <w:noWrap w:val="0"/>
                  <w:vAlign w:val="center"/>
                </w:tcPr>
                <w:p w14:paraId="371F18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p>
              </w:tc>
            </w:tr>
            <w:tr w14:paraId="4C7A9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3117" w:type="dxa"/>
                  <w:tcBorders>
                    <w:tl2br w:val="nil"/>
                    <w:tr2bl w:val="nil"/>
                  </w:tcBorders>
                  <w:noWrap w:val="0"/>
                  <w:vAlign w:val="center"/>
                </w:tcPr>
                <w:p w14:paraId="61D2ED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lang w:val="en-US" w:eastAsia="zh-CN"/>
                    </w:rPr>
                  </w:pPr>
                  <w:r>
                    <w:rPr>
                      <w:rFonts w:hint="default" w:ascii="Times New Roman" w:hAnsi="Times New Roman" w:eastAsia="宋体" w:cs="Times New Roman"/>
                      <w:caps w:val="0"/>
                      <w:smallCaps w:val="0"/>
                      <w:color w:val="auto"/>
                      <w:sz w:val="21"/>
                      <w:szCs w:val="21"/>
                      <w:lang w:val="en-US" w:eastAsia="zh-CN"/>
                    </w:rPr>
                    <w:t>铅</w:t>
                  </w:r>
                </w:p>
              </w:tc>
              <w:tc>
                <w:tcPr>
                  <w:tcW w:w="2635" w:type="dxa"/>
                  <w:tcBorders>
                    <w:tl2br w:val="nil"/>
                    <w:tr2bl w:val="nil"/>
                  </w:tcBorders>
                  <w:noWrap w:val="0"/>
                  <w:vAlign w:val="center"/>
                </w:tcPr>
                <w:p w14:paraId="606E66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r>
                    <w:rPr>
                      <w:rFonts w:hint="default" w:ascii="Times New Roman" w:hAnsi="Times New Roman" w:eastAsia="宋体" w:cs="Times New Roman"/>
                      <w:caps w:val="0"/>
                      <w:smallCaps w:val="0"/>
                      <w:color w:val="auto"/>
                      <w:sz w:val="21"/>
                      <w:szCs w:val="21"/>
                    </w:rPr>
                    <w:t>≤</w:t>
                  </w:r>
                  <w:r>
                    <w:rPr>
                      <w:rFonts w:hint="default" w:ascii="Times New Roman" w:hAnsi="Times New Roman" w:eastAsia="宋体" w:cs="Times New Roman"/>
                      <w:caps w:val="0"/>
                      <w:smallCaps w:val="0"/>
                      <w:color w:val="auto"/>
                      <w:sz w:val="21"/>
                      <w:szCs w:val="21"/>
                      <w:lang w:val="en-US" w:eastAsia="zh-CN"/>
                    </w:rPr>
                    <w:t>0.05</w:t>
                  </w:r>
                  <w:r>
                    <w:rPr>
                      <w:rFonts w:hint="default" w:ascii="Times New Roman" w:hAnsi="Times New Roman" w:eastAsia="宋体" w:cs="Times New Roman"/>
                      <w:caps w:val="0"/>
                      <w:smallCaps w:val="0"/>
                      <w:color w:val="auto"/>
                      <w:sz w:val="21"/>
                      <w:szCs w:val="21"/>
                    </w:rPr>
                    <w:t>mg/L</w:t>
                  </w:r>
                </w:p>
              </w:tc>
              <w:tc>
                <w:tcPr>
                  <w:tcW w:w="1947" w:type="dxa"/>
                  <w:vMerge w:val="continue"/>
                  <w:tcBorders>
                    <w:tl2br w:val="nil"/>
                    <w:tr2bl w:val="nil"/>
                  </w:tcBorders>
                  <w:noWrap w:val="0"/>
                  <w:vAlign w:val="center"/>
                </w:tcPr>
                <w:p w14:paraId="47FE9E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z w:val="21"/>
                      <w:szCs w:val="21"/>
                    </w:rPr>
                  </w:pPr>
                </w:p>
              </w:tc>
            </w:tr>
          </w:tbl>
          <w:p w14:paraId="75676EEF">
            <w:pPr>
              <w:pStyle w:val="36"/>
              <w:bidi w:val="0"/>
              <w:rPr>
                <w:rFonts w:hint="default"/>
                <w:b/>
                <w:bCs/>
                <w:color w:val="auto"/>
              </w:rPr>
            </w:pPr>
            <w:r>
              <w:rPr>
                <w:rFonts w:hint="eastAsia"/>
                <w:b/>
                <w:bCs/>
                <w:color w:val="auto"/>
                <w:lang w:val="en-US" w:eastAsia="zh-CN"/>
              </w:rPr>
              <w:t>二、</w:t>
            </w:r>
            <w:r>
              <w:rPr>
                <w:rFonts w:hint="default"/>
                <w:b/>
                <w:bCs/>
                <w:color w:val="auto"/>
              </w:rPr>
              <w:t>污染物排放标准</w:t>
            </w:r>
          </w:p>
          <w:p w14:paraId="7D4A34C7">
            <w:pPr>
              <w:pStyle w:val="36"/>
              <w:bidi w:val="0"/>
              <w:rPr>
                <w:rFonts w:hint="default"/>
                <w:b/>
                <w:bCs/>
                <w:color w:val="auto"/>
              </w:rPr>
            </w:pPr>
            <w:r>
              <w:rPr>
                <w:rFonts w:hint="eastAsia"/>
                <w:b/>
                <w:bCs/>
                <w:color w:val="auto"/>
                <w:lang w:val="en-US" w:eastAsia="zh-CN"/>
              </w:rPr>
              <w:t>1、</w:t>
            </w:r>
            <w:r>
              <w:rPr>
                <w:rFonts w:hint="default"/>
                <w:b/>
                <w:bCs/>
                <w:color w:val="auto"/>
              </w:rPr>
              <w:t>大气污染物排放标准</w:t>
            </w:r>
          </w:p>
          <w:p w14:paraId="69C083BF">
            <w:pPr>
              <w:pStyle w:val="36"/>
              <w:bidi w:val="0"/>
              <w:rPr>
                <w:rFonts w:hint="default"/>
                <w:color w:val="auto"/>
              </w:rPr>
            </w:pPr>
            <w:r>
              <w:rPr>
                <w:rFonts w:hint="default"/>
                <w:color w:val="auto"/>
              </w:rPr>
              <w:t>项目施工期，施工扬尘无组织排放执行《大气污染物综合排放标准》（GB16297-1996）表2标准限值，即无组织排放颗粒物周界外最高浓度≤1.0mg/m³。项目运营期不产生废气。</w:t>
            </w:r>
          </w:p>
          <w:p w14:paraId="193C1816">
            <w:pPr>
              <w:pStyle w:val="36"/>
              <w:bidi w:val="0"/>
              <w:rPr>
                <w:rFonts w:hint="default"/>
                <w:b/>
                <w:bCs/>
                <w:color w:val="auto"/>
              </w:rPr>
            </w:pPr>
            <w:r>
              <w:rPr>
                <w:rFonts w:hint="eastAsia"/>
                <w:b/>
                <w:bCs/>
                <w:color w:val="auto"/>
                <w:lang w:val="en-US" w:eastAsia="zh-CN"/>
              </w:rPr>
              <w:t>2、</w:t>
            </w:r>
            <w:r>
              <w:rPr>
                <w:rFonts w:hint="default"/>
                <w:b/>
                <w:bCs/>
                <w:color w:val="auto"/>
              </w:rPr>
              <w:t>噪声排放标准</w:t>
            </w:r>
          </w:p>
          <w:p w14:paraId="6F031273">
            <w:pPr>
              <w:pStyle w:val="36"/>
              <w:bidi w:val="0"/>
              <w:rPr>
                <w:rFonts w:hint="eastAsia" w:eastAsia="宋体"/>
                <w:color w:val="auto"/>
                <w:lang w:eastAsia="zh-CN"/>
              </w:rPr>
            </w:pPr>
            <w:r>
              <w:rPr>
                <w:rFonts w:hint="default"/>
                <w:color w:val="auto"/>
              </w:rPr>
              <w:t>项目施工期噪声排放执行《建筑施工场界环境噪声排放标准》</w:t>
            </w:r>
            <w:r>
              <w:rPr>
                <w:rFonts w:hint="eastAsia"/>
                <w:color w:val="auto"/>
                <w:lang w:eastAsia="zh-CN"/>
              </w:rPr>
              <w:t>（</w:t>
            </w:r>
            <w:r>
              <w:rPr>
                <w:rFonts w:hint="default"/>
                <w:color w:val="auto"/>
              </w:rPr>
              <w:t>GB12523-2011</w:t>
            </w:r>
            <w:r>
              <w:rPr>
                <w:rFonts w:hint="eastAsia"/>
                <w:color w:val="auto"/>
                <w:lang w:eastAsia="zh-CN"/>
              </w:rPr>
              <w:t>）</w:t>
            </w:r>
            <w:r>
              <w:rPr>
                <w:rFonts w:hint="default"/>
                <w:color w:val="auto"/>
              </w:rPr>
              <w:t>，标准值见表3-</w:t>
            </w:r>
            <w:r>
              <w:rPr>
                <w:rFonts w:hint="eastAsia"/>
                <w:color w:val="auto"/>
                <w:lang w:val="en-US" w:eastAsia="zh-CN"/>
              </w:rPr>
              <w:t>11</w:t>
            </w:r>
            <w:r>
              <w:rPr>
                <w:rFonts w:hint="default"/>
                <w:color w:val="auto"/>
              </w:rPr>
              <w:t>；</w:t>
            </w:r>
            <w:r>
              <w:rPr>
                <w:rFonts w:hint="eastAsia"/>
                <w:color w:val="auto"/>
                <w:lang w:eastAsia="zh-CN"/>
              </w:rPr>
              <w:t>本项目运营期间不产生噪声。</w:t>
            </w:r>
          </w:p>
          <w:p w14:paraId="6F3E37F9">
            <w:pPr>
              <w:pStyle w:val="31"/>
              <w:bidi w:val="0"/>
              <w:rPr>
                <w:rFonts w:hint="default"/>
                <w:color w:val="auto"/>
              </w:rPr>
            </w:pPr>
            <w:r>
              <w:rPr>
                <w:rFonts w:hint="default"/>
                <w:color w:val="auto"/>
              </w:rPr>
              <w:t>表3-</w:t>
            </w:r>
            <w:r>
              <w:rPr>
                <w:rFonts w:hint="eastAsia"/>
                <w:color w:val="auto"/>
                <w:lang w:val="en-US" w:eastAsia="zh-CN"/>
              </w:rPr>
              <w:t>11</w:t>
            </w:r>
            <w:r>
              <w:rPr>
                <w:rFonts w:hint="default"/>
                <w:color w:val="auto"/>
              </w:rPr>
              <w:t xml:space="preserve"> 建筑施工场界环境噪声排放标准（单位dB&lt;A&gt;）</w:t>
            </w:r>
          </w:p>
          <w:tbl>
            <w:tblPr>
              <w:tblStyle w:val="22"/>
              <w:tblW w:w="491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69"/>
              <w:gridCol w:w="3898"/>
            </w:tblGrid>
            <w:tr w14:paraId="3598B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38" w:type="dxa"/>
                  <w:tcBorders>
                    <w:tl2br w:val="nil"/>
                    <w:tr2bl w:val="nil"/>
                  </w:tcBorders>
                  <w:vAlign w:val="center"/>
                </w:tcPr>
                <w:p w14:paraId="6248DAB9">
                  <w:pPr>
                    <w:pStyle w:val="34"/>
                    <w:bidi w:val="0"/>
                    <w:rPr>
                      <w:rFonts w:hint="default"/>
                      <w:b/>
                      <w:bCs/>
                      <w:color w:val="auto"/>
                    </w:rPr>
                  </w:pPr>
                  <w:r>
                    <w:rPr>
                      <w:rFonts w:hint="default"/>
                      <w:b/>
                      <w:bCs/>
                      <w:color w:val="auto"/>
                    </w:rPr>
                    <w:t>昼间</w:t>
                  </w:r>
                </w:p>
              </w:tc>
              <w:tc>
                <w:tcPr>
                  <w:tcW w:w="4080" w:type="dxa"/>
                  <w:tcBorders>
                    <w:tl2br w:val="nil"/>
                    <w:tr2bl w:val="nil"/>
                  </w:tcBorders>
                  <w:vAlign w:val="center"/>
                </w:tcPr>
                <w:p w14:paraId="4A3FC26A">
                  <w:pPr>
                    <w:pStyle w:val="34"/>
                    <w:bidi w:val="0"/>
                    <w:rPr>
                      <w:rFonts w:hint="default"/>
                      <w:b/>
                      <w:bCs/>
                      <w:color w:val="auto"/>
                    </w:rPr>
                  </w:pPr>
                  <w:r>
                    <w:rPr>
                      <w:rFonts w:hint="default"/>
                      <w:b/>
                      <w:bCs/>
                      <w:color w:val="auto"/>
                    </w:rPr>
                    <w:t>夜间</w:t>
                  </w:r>
                </w:p>
              </w:tc>
            </w:tr>
            <w:tr w14:paraId="042EE8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838" w:type="dxa"/>
                  <w:tcBorders>
                    <w:tl2br w:val="nil"/>
                    <w:tr2bl w:val="nil"/>
                  </w:tcBorders>
                  <w:vAlign w:val="center"/>
                </w:tcPr>
                <w:p w14:paraId="29B84E06">
                  <w:pPr>
                    <w:pStyle w:val="34"/>
                    <w:bidi w:val="0"/>
                    <w:rPr>
                      <w:rFonts w:hint="default"/>
                      <w:color w:val="auto"/>
                    </w:rPr>
                  </w:pPr>
                  <w:r>
                    <w:rPr>
                      <w:rFonts w:hint="default"/>
                      <w:color w:val="auto"/>
                    </w:rPr>
                    <w:t>≤70</w:t>
                  </w:r>
                </w:p>
              </w:tc>
              <w:tc>
                <w:tcPr>
                  <w:tcW w:w="4080" w:type="dxa"/>
                  <w:tcBorders>
                    <w:tl2br w:val="nil"/>
                    <w:tr2bl w:val="nil"/>
                  </w:tcBorders>
                  <w:vAlign w:val="center"/>
                </w:tcPr>
                <w:p w14:paraId="6BF15A8D">
                  <w:pPr>
                    <w:pStyle w:val="34"/>
                    <w:bidi w:val="0"/>
                    <w:rPr>
                      <w:rFonts w:hint="default"/>
                      <w:color w:val="auto"/>
                    </w:rPr>
                  </w:pPr>
                  <w:r>
                    <w:rPr>
                      <w:rFonts w:hint="default"/>
                      <w:color w:val="auto"/>
                    </w:rPr>
                    <w:t>≤55</w:t>
                  </w:r>
                </w:p>
              </w:tc>
            </w:tr>
          </w:tbl>
          <w:p w14:paraId="76859436">
            <w:pPr>
              <w:pStyle w:val="36"/>
              <w:bidi w:val="0"/>
              <w:rPr>
                <w:rFonts w:hint="default"/>
                <w:b/>
                <w:bCs/>
                <w:color w:val="auto"/>
              </w:rPr>
            </w:pPr>
            <w:r>
              <w:rPr>
                <w:rFonts w:hint="eastAsia"/>
                <w:b/>
                <w:bCs/>
                <w:color w:val="auto"/>
                <w:lang w:val="en-US" w:eastAsia="zh-CN"/>
              </w:rPr>
              <w:t>3、</w:t>
            </w:r>
            <w:r>
              <w:rPr>
                <w:rFonts w:hint="default"/>
                <w:b/>
                <w:bCs/>
                <w:color w:val="auto"/>
              </w:rPr>
              <w:t>废水排放标准</w:t>
            </w:r>
          </w:p>
          <w:p w14:paraId="356A5DB9">
            <w:pPr>
              <w:ind w:firstLine="480"/>
              <w:rPr>
                <w:rFonts w:hint="default"/>
                <w:color w:val="auto"/>
              </w:rPr>
            </w:pPr>
            <w:r>
              <w:rPr>
                <w:color w:val="auto"/>
              </w:rPr>
              <w:t>本工程建设区域涉及地表水为</w:t>
            </w:r>
            <w:r>
              <w:rPr>
                <w:rFonts w:hint="eastAsia"/>
                <w:color w:val="auto"/>
                <w:lang w:eastAsia="zh-CN"/>
              </w:rPr>
              <w:t>果朗河</w:t>
            </w:r>
            <w:r>
              <w:rPr>
                <w:color w:val="auto"/>
              </w:rPr>
              <w:t>，</w:t>
            </w:r>
            <w:r>
              <w:rPr>
                <w:rFonts w:hint="eastAsia"/>
                <w:color w:val="auto"/>
                <w:lang w:eastAsia="zh-CN"/>
              </w:rPr>
              <w:t>果朗河</w:t>
            </w:r>
            <w:r>
              <w:rPr>
                <w:color w:val="auto"/>
              </w:rPr>
              <w:t>执行《地表水环境质量标准》（GB3838-2002）中</w:t>
            </w:r>
            <w:r>
              <w:rPr>
                <w:rFonts w:hint="eastAsia"/>
                <w:color w:val="auto"/>
              </w:rPr>
              <w:t>Ⅲ</w:t>
            </w:r>
            <w:r>
              <w:rPr>
                <w:color w:val="auto"/>
              </w:rPr>
              <w:t>类标准，根据《污水综合排放标准》（GB8978-1996）的要求，</w:t>
            </w:r>
            <w:r>
              <w:rPr>
                <w:rFonts w:hint="eastAsia"/>
                <w:color w:val="auto"/>
              </w:rPr>
              <w:t>Ⅲ</w:t>
            </w:r>
            <w:r>
              <w:rPr>
                <w:color w:val="auto"/>
              </w:rPr>
              <w:t>类水域中排水应执行</w:t>
            </w:r>
            <w:r>
              <w:rPr>
                <w:rFonts w:hint="eastAsia"/>
                <w:color w:val="auto"/>
              </w:rPr>
              <w:t>表1第一类</w:t>
            </w:r>
            <w:r>
              <w:rPr>
                <w:color w:val="auto"/>
              </w:rPr>
              <w:t>污染物</w:t>
            </w:r>
            <w:r>
              <w:rPr>
                <w:rFonts w:hint="eastAsia"/>
                <w:color w:val="auto"/>
              </w:rPr>
              <w:t>最高</w:t>
            </w:r>
            <w:r>
              <w:rPr>
                <w:color w:val="auto"/>
              </w:rPr>
              <w:t>允许排放浓度标准。因</w:t>
            </w:r>
            <w:r>
              <w:rPr>
                <w:rFonts w:hint="eastAsia"/>
                <w:color w:val="auto"/>
                <w:lang w:eastAsia="zh-CN"/>
              </w:rPr>
              <w:t>德宏州</w:t>
            </w:r>
            <w:r>
              <w:rPr>
                <w:color w:val="auto"/>
              </w:rPr>
              <w:t>大力推行河长制，实现河流水清、岸绿、河畅，为保护项目区水源不被破坏及污染，本工程拟将生产生活废水收集处理后全部回用，不外排</w:t>
            </w:r>
            <w:r>
              <w:rPr>
                <w:rFonts w:hint="default"/>
                <w:color w:val="auto"/>
              </w:rPr>
              <w:t>；项目运营期无废水产生。因此，不设废水排放标准。</w:t>
            </w:r>
          </w:p>
          <w:p w14:paraId="575D2883">
            <w:pPr>
              <w:pStyle w:val="36"/>
              <w:bidi w:val="0"/>
              <w:rPr>
                <w:rFonts w:hint="default"/>
                <w:b/>
                <w:bCs/>
                <w:color w:val="auto"/>
              </w:rPr>
            </w:pPr>
            <w:r>
              <w:rPr>
                <w:rFonts w:hint="eastAsia"/>
                <w:b/>
                <w:bCs/>
                <w:color w:val="auto"/>
                <w:lang w:val="en-US" w:eastAsia="zh-CN"/>
              </w:rPr>
              <w:t>4、</w:t>
            </w:r>
            <w:r>
              <w:rPr>
                <w:rFonts w:hint="default"/>
                <w:b/>
                <w:bCs/>
                <w:color w:val="auto"/>
              </w:rPr>
              <w:t>固体废物</w:t>
            </w:r>
          </w:p>
          <w:p w14:paraId="77FD72A4">
            <w:pPr>
              <w:spacing w:line="360" w:lineRule="auto"/>
              <w:rPr>
                <w:rFonts w:hint="eastAsia" w:ascii="Times New Roman" w:hAnsi="Times New Roman" w:eastAsia="宋体" w:cs="Times New Roman"/>
                <w:color w:val="auto"/>
                <w:sz w:val="24"/>
                <w:szCs w:val="24"/>
                <w:lang w:eastAsia="zh-CN"/>
              </w:rPr>
            </w:pPr>
            <w:r>
              <w:rPr>
                <w:color w:val="auto"/>
              </w:rPr>
              <w:t>项目施工期间产生的生活垃圾、表土、废渣等一般工业固体执行《一般工业固体废物贮存和填埋污染物控制标准》（GB18599-2020）</w:t>
            </w:r>
            <w:r>
              <w:rPr>
                <w:rFonts w:hint="eastAsia"/>
                <w:color w:val="auto"/>
                <w:lang w:eastAsia="zh-CN"/>
              </w:rPr>
              <w:t>。</w:t>
            </w:r>
          </w:p>
        </w:tc>
      </w:tr>
      <w:tr w14:paraId="280185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86" w:hRule="atLeast"/>
          <w:jc w:val="center"/>
        </w:trPr>
        <w:tc>
          <w:tcPr>
            <w:tcW w:w="352" w:type="pct"/>
            <w:vAlign w:val="center"/>
          </w:tcPr>
          <w:p w14:paraId="4E8D9FA8">
            <w:pPr>
              <w:adjustRightInd w:val="0"/>
              <w:snapToGrid w:val="0"/>
              <w:spacing w:line="360" w:lineRule="auto"/>
              <w:ind w:left="0" w:leftChars="0" w:firstLine="0" w:firstLineChars="0"/>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其他</w:t>
            </w:r>
          </w:p>
        </w:tc>
        <w:tc>
          <w:tcPr>
            <w:tcW w:w="4647" w:type="pct"/>
            <w:vAlign w:val="center"/>
          </w:tcPr>
          <w:p w14:paraId="61545A43">
            <w:pPr>
              <w:keepNext w:val="0"/>
              <w:keepLines w:val="0"/>
              <w:pageBreakBefore w:val="0"/>
              <w:widowControl w:val="0"/>
              <w:kinsoku/>
              <w:wordWrap/>
              <w:overflowPunct/>
              <w:topLinePunct w:val="0"/>
              <w:autoSpaceDE/>
              <w:autoSpaceDN/>
              <w:bidi w:val="0"/>
              <w:adjustRightInd/>
              <w:snapToGrid w:val="0"/>
              <w:spacing w:line="360" w:lineRule="auto"/>
              <w:ind w:right="0" w:rightChars="0" w:firstLine="480" w:firstLineChars="200"/>
              <w:textAlignment w:val="auto"/>
              <w:rPr>
                <w:rFonts w:hint="default" w:ascii="Times New Roman" w:hAnsi="Times New Roman" w:cs="Times New Roman"/>
                <w:snapToGrid w:val="0"/>
                <w:color w:val="auto"/>
                <w:kern w:val="0"/>
                <w:sz w:val="24"/>
              </w:rPr>
            </w:pPr>
            <w:r>
              <w:rPr>
                <w:rFonts w:hint="default" w:ascii="Times New Roman" w:hAnsi="Times New Roman" w:cs="Times New Roman"/>
                <w:snapToGrid w:val="0"/>
                <w:color w:val="auto"/>
                <w:kern w:val="0"/>
                <w:sz w:val="24"/>
              </w:rPr>
              <w:t>根据</w:t>
            </w:r>
            <w:r>
              <w:rPr>
                <w:rFonts w:hint="default" w:ascii="Times New Roman" w:hAnsi="Times New Roman" w:cs="Times New Roman"/>
                <w:snapToGrid w:val="0"/>
                <w:color w:val="auto"/>
                <w:kern w:val="0"/>
                <w:sz w:val="24"/>
                <w:lang w:val="en"/>
              </w:rPr>
              <w:t>《“十四五”节能减排综合工作方案》，污染物总量控制指标为：化学需氧量、氨氮、氮氧化物及挥发性有机物。</w:t>
            </w:r>
          </w:p>
          <w:p w14:paraId="270BD18B">
            <w:pPr>
              <w:pStyle w:val="36"/>
              <w:bidi w:val="0"/>
              <w:rPr>
                <w:rFonts w:hint="default"/>
                <w:color w:val="auto"/>
              </w:rPr>
            </w:pPr>
            <w:r>
              <w:rPr>
                <w:rFonts w:hint="default" w:ascii="Times New Roman" w:hAnsi="Times New Roman" w:eastAsia="宋体" w:cs="Times New Roman"/>
                <w:snapToGrid w:val="0"/>
                <w:color w:val="auto"/>
                <w:kern w:val="0"/>
                <w:sz w:val="24"/>
              </w:rPr>
              <w:t>本项目运行期间无废气、废水的产生，不涉及</w:t>
            </w:r>
            <w:r>
              <w:rPr>
                <w:rFonts w:hint="eastAsia" w:ascii="Times New Roman" w:hAnsi="Times New Roman" w:eastAsia="宋体" w:cs="Times New Roman"/>
                <w:snapToGrid w:val="0"/>
                <w:color w:val="auto"/>
                <w:kern w:val="0"/>
                <w:sz w:val="24"/>
                <w:lang w:val="en-US" w:eastAsia="zh-CN"/>
              </w:rPr>
              <w:t>挥发性有机物</w:t>
            </w:r>
            <w:r>
              <w:rPr>
                <w:rFonts w:hint="default" w:ascii="Times New Roman" w:hAnsi="Times New Roman" w:eastAsia="宋体" w:cs="Times New Roman"/>
                <w:snapToGrid w:val="0"/>
                <w:color w:val="auto"/>
                <w:kern w:val="0"/>
                <w:sz w:val="24"/>
              </w:rPr>
              <w:t>、NOx、COD、NH</w:t>
            </w:r>
            <w:r>
              <w:rPr>
                <w:rFonts w:hint="default" w:ascii="Times New Roman" w:hAnsi="Times New Roman" w:eastAsia="宋体" w:cs="Times New Roman"/>
                <w:snapToGrid w:val="0"/>
                <w:color w:val="auto"/>
                <w:kern w:val="0"/>
                <w:sz w:val="24"/>
                <w:vertAlign w:val="subscript"/>
              </w:rPr>
              <w:t>3</w:t>
            </w:r>
            <w:r>
              <w:rPr>
                <w:rFonts w:hint="default" w:ascii="Times New Roman" w:hAnsi="Times New Roman" w:eastAsia="宋体" w:cs="Times New Roman"/>
                <w:snapToGrid w:val="0"/>
                <w:color w:val="auto"/>
                <w:kern w:val="0"/>
                <w:sz w:val="24"/>
              </w:rPr>
              <w:t>-N</w:t>
            </w:r>
            <w:r>
              <w:rPr>
                <w:rFonts w:hint="eastAsia" w:ascii="Times New Roman" w:hAnsi="Times New Roman" w:eastAsia="宋体" w:cs="Times New Roman"/>
                <w:snapToGrid w:val="0"/>
                <w:color w:val="auto"/>
                <w:kern w:val="0"/>
                <w:sz w:val="24"/>
                <w:lang w:val="en-US" w:eastAsia="zh-CN"/>
              </w:rPr>
              <w:t>等总量控制因子</w:t>
            </w:r>
            <w:r>
              <w:rPr>
                <w:rFonts w:hint="default" w:ascii="Times New Roman" w:hAnsi="Times New Roman" w:eastAsia="宋体" w:cs="Times New Roman"/>
                <w:snapToGrid w:val="0"/>
                <w:color w:val="auto"/>
                <w:kern w:val="0"/>
                <w:sz w:val="24"/>
              </w:rPr>
              <w:t>，因此，本项目不设总量控制指标。</w:t>
            </w:r>
          </w:p>
        </w:tc>
      </w:tr>
    </w:tbl>
    <w:p w14:paraId="4D9FB32B">
      <w:pPr>
        <w:pStyle w:val="12"/>
        <w:rPr>
          <w:rFonts w:hint="default" w:ascii="Times New Roman" w:hAnsi="Times New Roman"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F070360">
      <w:pPr>
        <w:pStyle w:val="4"/>
        <w:keepNext w:val="0"/>
        <w:keepLines w:val="0"/>
        <w:pageBreakBefore/>
        <w:widowControl w:val="0"/>
        <w:kinsoku/>
        <w:wordWrap/>
        <w:overflowPunct/>
        <w:topLinePunct w:val="0"/>
        <w:autoSpaceDE/>
        <w:autoSpaceDN/>
        <w:bidi w:val="0"/>
        <w:adjustRightInd/>
        <w:snapToGrid w:val="0"/>
        <w:ind w:firstLine="0" w:firstLineChars="0"/>
        <w:textAlignment w:val="auto"/>
        <w:rPr>
          <w:rFonts w:hint="default"/>
          <w:color w:val="auto"/>
        </w:rPr>
      </w:pPr>
      <w:bookmarkStart w:id="38" w:name="_Toc9840"/>
      <w:r>
        <w:rPr>
          <w:rFonts w:hint="default"/>
          <w:color w:val="auto"/>
        </w:rPr>
        <w:t>四、生态环境影响分析</w:t>
      </w:r>
      <w:bookmarkEnd w:id="38"/>
    </w:p>
    <w:tbl>
      <w:tblPr>
        <w:tblStyle w:val="22"/>
        <w:tblW w:w="514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25"/>
        <w:gridCol w:w="8258"/>
      </w:tblGrid>
      <w:tr w14:paraId="436DCD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4" w:type="pct"/>
            <w:tcMar>
              <w:left w:w="28" w:type="dxa"/>
              <w:right w:w="28" w:type="dxa"/>
            </w:tcMar>
            <w:vAlign w:val="center"/>
          </w:tcPr>
          <w:p w14:paraId="153E3578">
            <w:pPr>
              <w:pStyle w:val="18"/>
              <w:adjustRightInd w:val="0"/>
              <w:snapToGrid w:val="0"/>
              <w:spacing w:before="0" w:beforeAutospacing="0" w:after="0" w:afterAutospacing="0"/>
              <w:ind w:left="0" w:leftChars="0" w:firstLine="0" w:firstLineChars="0"/>
              <w:jc w:val="center"/>
              <w:rPr>
                <w:rFonts w:hint="default" w:ascii="Times New Roman" w:hAnsi="Times New Roman" w:cs="Times New Roman"/>
                <w:bCs/>
                <w:color w:val="auto"/>
                <w:kern w:val="2"/>
              </w:rPr>
            </w:pPr>
            <w:bookmarkStart w:id="39" w:name="_Hlk49796138"/>
            <w:r>
              <w:rPr>
                <w:rFonts w:hint="default" w:ascii="Times New Roman" w:hAnsi="Times New Roman" w:cs="Times New Roman"/>
                <w:bCs/>
                <w:color w:val="auto"/>
                <w:spacing w:val="10"/>
                <w:kern w:val="2"/>
              </w:rPr>
              <w:t>施工期生态环境影响分析</w:t>
            </w:r>
            <w:bookmarkEnd w:id="39"/>
          </w:p>
        </w:tc>
        <w:tc>
          <w:tcPr>
            <w:tcW w:w="4755" w:type="pct"/>
          </w:tcPr>
          <w:p w14:paraId="0C3DEC73">
            <w:pPr>
              <w:pStyle w:val="36"/>
              <w:bidi w:val="0"/>
              <w:rPr>
                <w:b/>
                <w:bCs/>
                <w:color w:val="auto"/>
              </w:rPr>
            </w:pPr>
            <w:r>
              <w:rPr>
                <w:b/>
                <w:bCs/>
                <w:color w:val="auto"/>
              </w:rPr>
              <w:t>一、生态环境影响分析</w:t>
            </w:r>
          </w:p>
          <w:p w14:paraId="1A3D4121">
            <w:pPr>
              <w:pStyle w:val="36"/>
              <w:bidi w:val="0"/>
              <w:rPr>
                <w:b/>
                <w:bCs/>
                <w:color w:val="auto"/>
              </w:rPr>
            </w:pPr>
            <w:r>
              <w:rPr>
                <w:b/>
                <w:bCs/>
                <w:color w:val="auto"/>
              </w:rPr>
              <w:t>1、土地利用影响分析</w:t>
            </w:r>
          </w:p>
          <w:p w14:paraId="0376145F">
            <w:pPr>
              <w:pStyle w:val="36"/>
              <w:bidi w:val="0"/>
              <w:rPr>
                <w:rFonts w:hint="default"/>
                <w:b/>
                <w:bCs/>
                <w:color w:val="auto"/>
              </w:rPr>
            </w:pPr>
            <w:r>
              <w:rPr>
                <w:rFonts w:hint="eastAsia"/>
                <w:b/>
                <w:bCs/>
                <w:color w:val="auto"/>
                <w:lang w:val="en-US" w:eastAsia="zh-CN"/>
              </w:rPr>
              <w:t>1、</w:t>
            </w:r>
            <w:r>
              <w:rPr>
                <w:rFonts w:hint="default"/>
                <w:b/>
                <w:bCs/>
                <w:color w:val="auto"/>
              </w:rPr>
              <w:t>土地利用类型</w:t>
            </w:r>
          </w:p>
          <w:p w14:paraId="22C7C74F">
            <w:pPr>
              <w:pStyle w:val="36"/>
              <w:bidi w:val="0"/>
              <w:rPr>
                <w:rStyle w:val="68"/>
                <w:rFonts w:hint="eastAsia"/>
                <w:color w:val="auto"/>
              </w:rPr>
            </w:pPr>
            <w:r>
              <w:rPr>
                <w:rStyle w:val="68"/>
                <w:rFonts w:hint="eastAsia"/>
                <w:color w:val="auto"/>
              </w:rPr>
              <w:t>工程总占地23.63hm</w:t>
            </w:r>
            <w:r>
              <w:rPr>
                <w:rStyle w:val="68"/>
                <w:rFonts w:hint="eastAsia"/>
                <w:color w:val="auto"/>
                <w:vertAlign w:val="superscript"/>
              </w:rPr>
              <w:t>2</w:t>
            </w:r>
            <w:r>
              <w:rPr>
                <w:rStyle w:val="68"/>
                <w:rFonts w:hint="eastAsia"/>
                <w:color w:val="auto"/>
              </w:rPr>
              <w:t>，包括工程永久占地、施工临时占地两部分组成。工程永久占地4.83hm</w:t>
            </w:r>
            <w:r>
              <w:rPr>
                <w:rStyle w:val="68"/>
                <w:rFonts w:hint="eastAsia"/>
                <w:color w:val="auto"/>
                <w:vertAlign w:val="superscript"/>
              </w:rPr>
              <w:t>2</w:t>
            </w:r>
            <w:r>
              <w:rPr>
                <w:rStyle w:val="68"/>
                <w:rFonts w:hint="eastAsia"/>
                <w:color w:val="auto"/>
              </w:rPr>
              <w:t>，主要为工程建设区的永久征地；临时占地18.80hm</w:t>
            </w:r>
            <w:r>
              <w:rPr>
                <w:rStyle w:val="68"/>
                <w:rFonts w:hint="eastAsia"/>
                <w:color w:val="auto"/>
                <w:vertAlign w:val="superscript"/>
              </w:rPr>
              <w:t>2</w:t>
            </w:r>
            <w:r>
              <w:rPr>
                <w:rStyle w:val="68"/>
                <w:rFonts w:hint="eastAsia"/>
                <w:color w:val="auto"/>
              </w:rPr>
              <w:t>，包括工程建设施工区、施工临时道路区及施工营地区等占地。占用水田3.30hm</w:t>
            </w:r>
            <w:r>
              <w:rPr>
                <w:rStyle w:val="68"/>
                <w:rFonts w:hint="eastAsia"/>
                <w:color w:val="auto"/>
                <w:vertAlign w:val="superscript"/>
              </w:rPr>
              <w:t>2</w:t>
            </w:r>
            <w:r>
              <w:rPr>
                <w:rStyle w:val="68"/>
                <w:rFonts w:hint="eastAsia"/>
                <w:color w:val="auto"/>
              </w:rPr>
              <w:t>，旱地0.26hm</w:t>
            </w:r>
            <w:r>
              <w:rPr>
                <w:rStyle w:val="68"/>
                <w:rFonts w:hint="eastAsia"/>
                <w:color w:val="auto"/>
                <w:vertAlign w:val="superscript"/>
              </w:rPr>
              <w:t>2</w:t>
            </w:r>
            <w:r>
              <w:rPr>
                <w:rStyle w:val="68"/>
                <w:rFonts w:hint="eastAsia"/>
                <w:color w:val="auto"/>
              </w:rPr>
              <w:t>，园地0.20hm</w:t>
            </w:r>
            <w:r>
              <w:rPr>
                <w:rStyle w:val="68"/>
                <w:rFonts w:hint="eastAsia"/>
                <w:color w:val="auto"/>
                <w:vertAlign w:val="superscript"/>
              </w:rPr>
              <w:t>2</w:t>
            </w:r>
            <w:r>
              <w:rPr>
                <w:rStyle w:val="68"/>
                <w:rFonts w:hint="eastAsia"/>
                <w:color w:val="auto"/>
              </w:rPr>
              <w:t>，林地1.70hm</w:t>
            </w:r>
            <w:r>
              <w:rPr>
                <w:rStyle w:val="68"/>
                <w:rFonts w:hint="eastAsia"/>
                <w:color w:val="auto"/>
                <w:vertAlign w:val="superscript"/>
              </w:rPr>
              <w:t>2</w:t>
            </w:r>
            <w:r>
              <w:rPr>
                <w:rStyle w:val="68"/>
                <w:rFonts w:hint="eastAsia"/>
                <w:color w:val="auto"/>
              </w:rPr>
              <w:t>，交通运输用地2.97hm</w:t>
            </w:r>
            <w:r>
              <w:rPr>
                <w:rStyle w:val="68"/>
                <w:rFonts w:hint="eastAsia"/>
                <w:color w:val="auto"/>
                <w:vertAlign w:val="superscript"/>
              </w:rPr>
              <w:t>2</w:t>
            </w:r>
            <w:r>
              <w:rPr>
                <w:rStyle w:val="68"/>
                <w:rFonts w:hint="eastAsia"/>
                <w:color w:val="auto"/>
              </w:rPr>
              <w:t>，水域及水利设施用地10.37hm</w:t>
            </w:r>
            <w:r>
              <w:rPr>
                <w:rStyle w:val="68"/>
                <w:rFonts w:hint="eastAsia"/>
                <w:color w:val="auto"/>
                <w:vertAlign w:val="superscript"/>
              </w:rPr>
              <w:t>2</w:t>
            </w:r>
            <w:r>
              <w:rPr>
                <w:rStyle w:val="68"/>
                <w:rFonts w:hint="eastAsia"/>
                <w:color w:val="auto"/>
              </w:rPr>
              <w:t>。</w:t>
            </w:r>
          </w:p>
          <w:p w14:paraId="7539F6BC">
            <w:pPr>
              <w:pStyle w:val="36"/>
              <w:bidi w:val="0"/>
              <w:rPr>
                <w:rFonts w:hint="default"/>
                <w:color w:val="auto"/>
                <w:lang w:val="en-US" w:eastAsia="zh-CN"/>
              </w:rPr>
            </w:pPr>
            <w:r>
              <w:rPr>
                <w:rFonts w:hint="eastAsia"/>
                <w:color w:val="auto"/>
                <w:lang w:eastAsia="zh-CN"/>
              </w:rPr>
              <w:t>项目工程占地类型详见表</w:t>
            </w:r>
            <w:r>
              <w:rPr>
                <w:rFonts w:hint="eastAsia"/>
                <w:color w:val="auto"/>
                <w:lang w:val="en-US" w:eastAsia="zh-CN"/>
              </w:rPr>
              <w:t>4-1。</w:t>
            </w:r>
          </w:p>
          <w:p w14:paraId="498F746B">
            <w:pPr>
              <w:pStyle w:val="31"/>
              <w:bidi w:val="0"/>
              <w:rPr>
                <w:rFonts w:hint="eastAsia" w:cs="Times New Roman" w:eastAsiaTheme="minorEastAsia"/>
                <w:b/>
                <w:color w:val="auto"/>
              </w:rPr>
            </w:pPr>
            <w:r>
              <w:rPr>
                <w:rFonts w:cs="Times New Roman" w:eastAsiaTheme="minorEastAsia"/>
                <w:b/>
                <w:color w:val="auto"/>
              </w:rPr>
              <w:t>表</w:t>
            </w:r>
            <w:r>
              <w:rPr>
                <w:rFonts w:hint="eastAsia" w:cs="Times New Roman" w:eastAsiaTheme="minorEastAsia"/>
                <w:b/>
                <w:color w:val="auto"/>
                <w:lang w:val="en-US" w:eastAsia="zh-CN"/>
              </w:rPr>
              <w:t xml:space="preserve">4-1 </w:t>
            </w:r>
            <w:r>
              <w:rPr>
                <w:rFonts w:cs="Times New Roman" w:eastAsiaTheme="minorEastAsia"/>
                <w:b/>
                <w:color w:val="auto"/>
              </w:rPr>
              <w:t>工程占地类型及面积统计表</w:t>
            </w:r>
            <w:r>
              <w:rPr>
                <w:rFonts w:hint="eastAsia" w:cs="Times New Roman" w:eastAsiaTheme="minorEastAsia"/>
                <w:b/>
                <w:color w:val="auto"/>
              </w:rPr>
              <w:t>（hm</w:t>
            </w:r>
            <w:r>
              <w:rPr>
                <w:rFonts w:hint="eastAsia" w:cs="Times New Roman" w:eastAsiaTheme="minorEastAsia"/>
                <w:b/>
                <w:color w:val="auto"/>
                <w:vertAlign w:val="superscript"/>
              </w:rPr>
              <w:t>2</w:t>
            </w:r>
            <w:r>
              <w:rPr>
                <w:rFonts w:hint="eastAsia" w:cs="Times New Roman" w:eastAsiaTheme="minorEastAsia"/>
                <w:b/>
                <w:color w:val="auto"/>
              </w:rPr>
              <w:t>）</w:t>
            </w:r>
          </w:p>
          <w:tbl>
            <w:tblPr>
              <w:tblStyle w:val="46"/>
              <w:tblW w:w="801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64"/>
              <w:gridCol w:w="1518"/>
              <w:gridCol w:w="799"/>
              <w:gridCol w:w="695"/>
              <w:gridCol w:w="656"/>
              <w:gridCol w:w="695"/>
              <w:gridCol w:w="785"/>
              <w:gridCol w:w="1161"/>
              <w:gridCol w:w="1043"/>
            </w:tblGrid>
            <w:tr w14:paraId="3D39D5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9" w:hRule="atLeast"/>
              </w:trPr>
              <w:tc>
                <w:tcPr>
                  <w:tcW w:w="664" w:type="dxa"/>
                  <w:vAlign w:val="center"/>
                </w:tcPr>
                <w:p w14:paraId="4ECC47D9">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b/>
                      <w:bCs/>
                      <w:sz w:val="21"/>
                      <w:szCs w:val="21"/>
                    </w:rPr>
                  </w:pPr>
                  <w:r>
                    <w:rPr>
                      <w:b/>
                      <w:bCs/>
                      <w:spacing w:val="5"/>
                      <w:sz w:val="21"/>
                      <w:szCs w:val="21"/>
                    </w:rPr>
                    <w:t>序号</w:t>
                  </w:r>
                </w:p>
              </w:tc>
              <w:tc>
                <w:tcPr>
                  <w:tcW w:w="1518" w:type="dxa"/>
                  <w:vAlign w:val="center"/>
                </w:tcPr>
                <w:p w14:paraId="009B3E9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b/>
                      <w:bCs/>
                      <w:sz w:val="21"/>
                      <w:szCs w:val="21"/>
                    </w:rPr>
                  </w:pPr>
                  <w:r>
                    <w:rPr>
                      <w:b/>
                      <w:bCs/>
                      <w:spacing w:val="5"/>
                      <w:sz w:val="21"/>
                      <w:szCs w:val="21"/>
                    </w:rPr>
                    <w:t>项目区</w:t>
                  </w:r>
                </w:p>
              </w:tc>
              <w:tc>
                <w:tcPr>
                  <w:tcW w:w="799" w:type="dxa"/>
                  <w:vAlign w:val="center"/>
                </w:tcPr>
                <w:p w14:paraId="3E872B34">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b/>
                      <w:bCs/>
                      <w:sz w:val="21"/>
                      <w:szCs w:val="21"/>
                    </w:rPr>
                  </w:pPr>
                  <w:r>
                    <w:rPr>
                      <w:b/>
                      <w:bCs/>
                      <w:spacing w:val="3"/>
                      <w:sz w:val="21"/>
                      <w:szCs w:val="21"/>
                    </w:rPr>
                    <w:t>水田</w:t>
                  </w:r>
                </w:p>
              </w:tc>
              <w:tc>
                <w:tcPr>
                  <w:tcW w:w="695" w:type="dxa"/>
                  <w:vAlign w:val="center"/>
                </w:tcPr>
                <w:p w14:paraId="6D2446E8">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b/>
                      <w:bCs/>
                      <w:sz w:val="21"/>
                      <w:szCs w:val="21"/>
                    </w:rPr>
                  </w:pPr>
                  <w:r>
                    <w:rPr>
                      <w:b/>
                      <w:bCs/>
                      <w:spacing w:val="3"/>
                      <w:sz w:val="21"/>
                      <w:szCs w:val="21"/>
                    </w:rPr>
                    <w:t>旱地</w:t>
                  </w:r>
                </w:p>
              </w:tc>
              <w:tc>
                <w:tcPr>
                  <w:tcW w:w="656" w:type="dxa"/>
                  <w:vAlign w:val="center"/>
                </w:tcPr>
                <w:p w14:paraId="4F8B915F">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b/>
                      <w:bCs/>
                      <w:sz w:val="21"/>
                      <w:szCs w:val="21"/>
                    </w:rPr>
                  </w:pPr>
                  <w:r>
                    <w:rPr>
                      <w:b/>
                      <w:bCs/>
                      <w:spacing w:val="-4"/>
                      <w:sz w:val="21"/>
                      <w:szCs w:val="21"/>
                    </w:rPr>
                    <w:t>园地</w:t>
                  </w:r>
                </w:p>
              </w:tc>
              <w:tc>
                <w:tcPr>
                  <w:tcW w:w="695" w:type="dxa"/>
                  <w:vAlign w:val="center"/>
                </w:tcPr>
                <w:p w14:paraId="54F9611E">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b/>
                      <w:bCs/>
                      <w:sz w:val="21"/>
                      <w:szCs w:val="21"/>
                    </w:rPr>
                  </w:pPr>
                  <w:r>
                    <w:rPr>
                      <w:b/>
                      <w:bCs/>
                      <w:spacing w:val="4"/>
                      <w:sz w:val="21"/>
                      <w:szCs w:val="21"/>
                    </w:rPr>
                    <w:t>林地</w:t>
                  </w:r>
                </w:p>
              </w:tc>
              <w:tc>
                <w:tcPr>
                  <w:tcW w:w="785" w:type="dxa"/>
                  <w:vAlign w:val="center"/>
                </w:tcPr>
                <w:p w14:paraId="239C694A">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b/>
                      <w:bCs/>
                      <w:sz w:val="21"/>
                      <w:szCs w:val="21"/>
                    </w:rPr>
                  </w:pPr>
                  <w:r>
                    <w:rPr>
                      <w:b/>
                      <w:bCs/>
                      <w:spacing w:val="5"/>
                      <w:sz w:val="21"/>
                      <w:szCs w:val="21"/>
                    </w:rPr>
                    <w:t>交通</w:t>
                  </w:r>
                  <w:r>
                    <w:rPr>
                      <w:rFonts w:hint="eastAsia"/>
                      <w:b/>
                      <w:bCs/>
                      <w:spacing w:val="5"/>
                      <w:sz w:val="21"/>
                      <w:szCs w:val="21"/>
                      <w:lang w:val="en-US" w:eastAsia="zh-CN"/>
                    </w:rPr>
                    <w:t>运</w:t>
                  </w:r>
                  <w:r>
                    <w:rPr>
                      <w:b/>
                      <w:bCs/>
                      <w:spacing w:val="7"/>
                      <w:sz w:val="21"/>
                      <w:szCs w:val="21"/>
                    </w:rPr>
                    <w:t>输用地</w:t>
                  </w:r>
                </w:p>
              </w:tc>
              <w:tc>
                <w:tcPr>
                  <w:tcW w:w="1161" w:type="dxa"/>
                  <w:vAlign w:val="center"/>
                </w:tcPr>
                <w:p w14:paraId="50E1D863">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b/>
                      <w:bCs/>
                      <w:sz w:val="21"/>
                      <w:szCs w:val="21"/>
                    </w:rPr>
                  </w:pPr>
                  <w:r>
                    <w:rPr>
                      <w:b/>
                      <w:bCs/>
                      <w:spacing w:val="7"/>
                      <w:sz w:val="21"/>
                      <w:szCs w:val="21"/>
                    </w:rPr>
                    <w:t>水域及水利</w:t>
                  </w:r>
                </w:p>
                <w:p w14:paraId="45D1AFA1">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b/>
                      <w:bCs/>
                      <w:sz w:val="21"/>
                      <w:szCs w:val="21"/>
                    </w:rPr>
                  </w:pPr>
                  <w:r>
                    <w:rPr>
                      <w:b/>
                      <w:bCs/>
                      <w:spacing w:val="6"/>
                      <w:sz w:val="21"/>
                      <w:szCs w:val="21"/>
                    </w:rPr>
                    <w:t>设施用地</w:t>
                  </w:r>
                </w:p>
              </w:tc>
              <w:tc>
                <w:tcPr>
                  <w:tcW w:w="1043" w:type="dxa"/>
                  <w:vAlign w:val="center"/>
                </w:tcPr>
                <w:p w14:paraId="183141CB">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eastAsia="宋体"/>
                      <w:b/>
                      <w:bCs/>
                      <w:sz w:val="21"/>
                      <w:szCs w:val="21"/>
                      <w:lang w:eastAsia="zh-CN"/>
                    </w:rPr>
                  </w:pPr>
                  <w:r>
                    <w:rPr>
                      <w:rFonts w:hint="eastAsia"/>
                      <w:b/>
                      <w:bCs/>
                      <w:sz w:val="21"/>
                      <w:szCs w:val="21"/>
                      <w:lang w:eastAsia="zh-CN"/>
                    </w:rPr>
                    <w:t>小计</w:t>
                  </w:r>
                </w:p>
              </w:tc>
            </w:tr>
            <w:tr w14:paraId="501F55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7" w:hRule="atLeast"/>
              </w:trPr>
              <w:tc>
                <w:tcPr>
                  <w:tcW w:w="664" w:type="dxa"/>
                  <w:vAlign w:val="center"/>
                </w:tcPr>
                <w:p w14:paraId="2F4F0FC5">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position w:val="-4"/>
                      <w:sz w:val="21"/>
                      <w:szCs w:val="21"/>
                    </w:rPr>
                    <w:t>一</w:t>
                  </w:r>
                </w:p>
              </w:tc>
              <w:tc>
                <w:tcPr>
                  <w:tcW w:w="1518" w:type="dxa"/>
                  <w:vAlign w:val="center"/>
                </w:tcPr>
                <w:p w14:paraId="7A3B45FA">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6"/>
                      <w:sz w:val="21"/>
                      <w:szCs w:val="21"/>
                    </w:rPr>
                    <w:t>永久占地</w:t>
                  </w:r>
                </w:p>
              </w:tc>
              <w:tc>
                <w:tcPr>
                  <w:tcW w:w="799" w:type="dxa"/>
                  <w:vAlign w:val="center"/>
                </w:tcPr>
                <w:p w14:paraId="452071C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695" w:type="dxa"/>
                  <w:vAlign w:val="center"/>
                </w:tcPr>
                <w:p w14:paraId="7CFC655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656" w:type="dxa"/>
                  <w:vAlign w:val="center"/>
                </w:tcPr>
                <w:p w14:paraId="7758FBD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695" w:type="dxa"/>
                  <w:vAlign w:val="center"/>
                </w:tcPr>
                <w:p w14:paraId="4995FF0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785" w:type="dxa"/>
                  <w:vAlign w:val="center"/>
                </w:tcPr>
                <w:p w14:paraId="1FDC2E1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1161" w:type="dxa"/>
                  <w:vAlign w:val="center"/>
                </w:tcPr>
                <w:p w14:paraId="5A1C149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4.83</w:t>
                  </w:r>
                </w:p>
              </w:tc>
              <w:tc>
                <w:tcPr>
                  <w:tcW w:w="1043" w:type="dxa"/>
                  <w:vAlign w:val="center"/>
                </w:tcPr>
                <w:p w14:paraId="57E5614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4.83</w:t>
                  </w:r>
                </w:p>
              </w:tc>
            </w:tr>
            <w:tr w14:paraId="4F892E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8" w:hRule="atLeast"/>
              </w:trPr>
              <w:tc>
                <w:tcPr>
                  <w:tcW w:w="664" w:type="dxa"/>
                  <w:vAlign w:val="center"/>
                </w:tcPr>
                <w:p w14:paraId="63D0AD8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1518" w:type="dxa"/>
                  <w:vAlign w:val="center"/>
                </w:tcPr>
                <w:p w14:paraId="52CB587A">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7"/>
                      <w:sz w:val="21"/>
                      <w:szCs w:val="21"/>
                    </w:rPr>
                    <w:t>工程建设区</w:t>
                  </w:r>
                </w:p>
              </w:tc>
              <w:tc>
                <w:tcPr>
                  <w:tcW w:w="799" w:type="dxa"/>
                  <w:vAlign w:val="center"/>
                </w:tcPr>
                <w:p w14:paraId="1F0726C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695" w:type="dxa"/>
                  <w:vAlign w:val="center"/>
                </w:tcPr>
                <w:p w14:paraId="514A104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656" w:type="dxa"/>
                  <w:vAlign w:val="center"/>
                </w:tcPr>
                <w:p w14:paraId="0572B84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695" w:type="dxa"/>
                  <w:vAlign w:val="center"/>
                </w:tcPr>
                <w:p w14:paraId="133AAAE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785" w:type="dxa"/>
                  <w:vAlign w:val="center"/>
                </w:tcPr>
                <w:p w14:paraId="1EA01E5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1161" w:type="dxa"/>
                  <w:vAlign w:val="center"/>
                </w:tcPr>
                <w:p w14:paraId="08CCC93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4.83</w:t>
                  </w:r>
                </w:p>
              </w:tc>
              <w:tc>
                <w:tcPr>
                  <w:tcW w:w="1043" w:type="dxa"/>
                  <w:vAlign w:val="center"/>
                </w:tcPr>
                <w:p w14:paraId="1367EDC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4.83</w:t>
                  </w:r>
                </w:p>
              </w:tc>
            </w:tr>
            <w:tr w14:paraId="5D9DD4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7" w:hRule="atLeast"/>
              </w:trPr>
              <w:tc>
                <w:tcPr>
                  <w:tcW w:w="664" w:type="dxa"/>
                  <w:vAlign w:val="center"/>
                </w:tcPr>
                <w:p w14:paraId="44BCF53A">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z w:val="21"/>
                      <w:szCs w:val="21"/>
                    </w:rPr>
                    <w:t>二</w:t>
                  </w:r>
                </w:p>
              </w:tc>
              <w:tc>
                <w:tcPr>
                  <w:tcW w:w="1518" w:type="dxa"/>
                  <w:vAlign w:val="center"/>
                </w:tcPr>
                <w:p w14:paraId="375F574F">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4"/>
                      <w:sz w:val="21"/>
                      <w:szCs w:val="21"/>
                    </w:rPr>
                    <w:t>临时占地</w:t>
                  </w:r>
                </w:p>
              </w:tc>
              <w:tc>
                <w:tcPr>
                  <w:tcW w:w="799" w:type="dxa"/>
                  <w:vAlign w:val="center"/>
                </w:tcPr>
                <w:p w14:paraId="0975282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3.30</w:t>
                  </w:r>
                </w:p>
              </w:tc>
              <w:tc>
                <w:tcPr>
                  <w:tcW w:w="695" w:type="dxa"/>
                  <w:vAlign w:val="center"/>
                </w:tcPr>
                <w:p w14:paraId="3CC2E0A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0.26</w:t>
                  </w:r>
                </w:p>
              </w:tc>
              <w:tc>
                <w:tcPr>
                  <w:tcW w:w="656" w:type="dxa"/>
                  <w:vAlign w:val="center"/>
                </w:tcPr>
                <w:p w14:paraId="047C549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0.20</w:t>
                  </w:r>
                </w:p>
              </w:tc>
              <w:tc>
                <w:tcPr>
                  <w:tcW w:w="695" w:type="dxa"/>
                  <w:vAlign w:val="center"/>
                </w:tcPr>
                <w:p w14:paraId="5A8E34B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1.70</w:t>
                  </w:r>
                </w:p>
              </w:tc>
              <w:tc>
                <w:tcPr>
                  <w:tcW w:w="785" w:type="dxa"/>
                  <w:vAlign w:val="center"/>
                </w:tcPr>
                <w:p w14:paraId="63A8E9B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2.97</w:t>
                  </w:r>
                </w:p>
              </w:tc>
              <w:tc>
                <w:tcPr>
                  <w:tcW w:w="1161" w:type="dxa"/>
                  <w:vAlign w:val="center"/>
                </w:tcPr>
                <w:p w14:paraId="668C90E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10.37</w:t>
                  </w:r>
                </w:p>
              </w:tc>
              <w:tc>
                <w:tcPr>
                  <w:tcW w:w="1043" w:type="dxa"/>
                  <w:vAlign w:val="center"/>
                </w:tcPr>
                <w:p w14:paraId="7FD7077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18.80</w:t>
                  </w:r>
                </w:p>
              </w:tc>
            </w:tr>
            <w:tr w14:paraId="481564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0" w:hRule="atLeast"/>
              </w:trPr>
              <w:tc>
                <w:tcPr>
                  <w:tcW w:w="664" w:type="dxa"/>
                  <w:vAlign w:val="center"/>
                </w:tcPr>
                <w:p w14:paraId="52255D6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1518" w:type="dxa"/>
                  <w:vAlign w:val="center"/>
                </w:tcPr>
                <w:p w14:paraId="03DA0D05">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8"/>
                      <w:sz w:val="21"/>
                      <w:szCs w:val="21"/>
                    </w:rPr>
                    <w:t>工程建设施工区</w:t>
                  </w:r>
                </w:p>
              </w:tc>
              <w:tc>
                <w:tcPr>
                  <w:tcW w:w="799" w:type="dxa"/>
                  <w:vAlign w:val="center"/>
                </w:tcPr>
                <w:p w14:paraId="4040AB9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695" w:type="dxa"/>
                  <w:vAlign w:val="center"/>
                </w:tcPr>
                <w:p w14:paraId="4E5A2FA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656" w:type="dxa"/>
                  <w:vAlign w:val="center"/>
                </w:tcPr>
                <w:p w14:paraId="2247C7B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695" w:type="dxa"/>
                  <w:vAlign w:val="center"/>
                </w:tcPr>
                <w:p w14:paraId="4E138E2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785" w:type="dxa"/>
                  <w:vAlign w:val="center"/>
                </w:tcPr>
                <w:p w14:paraId="2373699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1161" w:type="dxa"/>
                  <w:vAlign w:val="center"/>
                </w:tcPr>
                <w:p w14:paraId="153AD30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9.72</w:t>
                  </w:r>
                </w:p>
              </w:tc>
              <w:tc>
                <w:tcPr>
                  <w:tcW w:w="1043" w:type="dxa"/>
                  <w:vAlign w:val="center"/>
                </w:tcPr>
                <w:p w14:paraId="790DEA8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9.72</w:t>
                  </w:r>
                </w:p>
              </w:tc>
            </w:tr>
            <w:tr w14:paraId="715EE6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0" w:hRule="atLeast"/>
              </w:trPr>
              <w:tc>
                <w:tcPr>
                  <w:tcW w:w="664" w:type="dxa"/>
                  <w:vAlign w:val="center"/>
                </w:tcPr>
                <w:p w14:paraId="107E290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2</w:t>
                  </w:r>
                </w:p>
              </w:tc>
              <w:tc>
                <w:tcPr>
                  <w:tcW w:w="1518" w:type="dxa"/>
                  <w:vAlign w:val="center"/>
                </w:tcPr>
                <w:p w14:paraId="1B523602">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8"/>
                      <w:sz w:val="21"/>
                      <w:szCs w:val="21"/>
                    </w:rPr>
                    <w:t>施工临时道路区</w:t>
                  </w:r>
                </w:p>
              </w:tc>
              <w:tc>
                <w:tcPr>
                  <w:tcW w:w="799" w:type="dxa"/>
                  <w:vAlign w:val="center"/>
                </w:tcPr>
                <w:p w14:paraId="7CF2DDF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3.30</w:t>
                  </w:r>
                </w:p>
              </w:tc>
              <w:tc>
                <w:tcPr>
                  <w:tcW w:w="695" w:type="dxa"/>
                  <w:vAlign w:val="center"/>
                </w:tcPr>
                <w:p w14:paraId="72303D3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0.26</w:t>
                  </w:r>
                </w:p>
              </w:tc>
              <w:tc>
                <w:tcPr>
                  <w:tcW w:w="656" w:type="dxa"/>
                  <w:vAlign w:val="center"/>
                </w:tcPr>
                <w:p w14:paraId="6FFD795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0.20</w:t>
                  </w:r>
                </w:p>
              </w:tc>
              <w:tc>
                <w:tcPr>
                  <w:tcW w:w="695" w:type="dxa"/>
                  <w:vAlign w:val="center"/>
                </w:tcPr>
                <w:p w14:paraId="549AF54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1.46</w:t>
                  </w:r>
                </w:p>
              </w:tc>
              <w:tc>
                <w:tcPr>
                  <w:tcW w:w="785" w:type="dxa"/>
                  <w:vAlign w:val="center"/>
                </w:tcPr>
                <w:p w14:paraId="38B2927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2.97</w:t>
                  </w:r>
                </w:p>
              </w:tc>
              <w:tc>
                <w:tcPr>
                  <w:tcW w:w="1161" w:type="dxa"/>
                  <w:vAlign w:val="center"/>
                </w:tcPr>
                <w:p w14:paraId="0478F65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0.65</w:t>
                  </w:r>
                </w:p>
              </w:tc>
              <w:tc>
                <w:tcPr>
                  <w:tcW w:w="1043" w:type="dxa"/>
                  <w:vAlign w:val="center"/>
                </w:tcPr>
                <w:p w14:paraId="216A9AD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8.84</w:t>
                  </w:r>
                </w:p>
              </w:tc>
            </w:tr>
            <w:tr w14:paraId="19C84F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7" w:hRule="atLeast"/>
              </w:trPr>
              <w:tc>
                <w:tcPr>
                  <w:tcW w:w="664" w:type="dxa"/>
                  <w:vAlign w:val="center"/>
                </w:tcPr>
                <w:p w14:paraId="5F78A21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1518" w:type="dxa"/>
                  <w:vAlign w:val="center"/>
                </w:tcPr>
                <w:p w14:paraId="78147AFA">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pacing w:val="8"/>
                      <w:sz w:val="21"/>
                      <w:szCs w:val="21"/>
                    </w:rPr>
                    <w:t>施工营地区</w:t>
                  </w:r>
                </w:p>
              </w:tc>
              <w:tc>
                <w:tcPr>
                  <w:tcW w:w="799" w:type="dxa"/>
                  <w:vAlign w:val="center"/>
                </w:tcPr>
                <w:p w14:paraId="0599545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695" w:type="dxa"/>
                  <w:vAlign w:val="center"/>
                </w:tcPr>
                <w:p w14:paraId="57651B3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656" w:type="dxa"/>
                  <w:vAlign w:val="center"/>
                </w:tcPr>
                <w:p w14:paraId="322E589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695" w:type="dxa"/>
                  <w:vAlign w:val="center"/>
                </w:tcPr>
                <w:p w14:paraId="291211F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0.24</w:t>
                  </w:r>
                </w:p>
              </w:tc>
              <w:tc>
                <w:tcPr>
                  <w:tcW w:w="785" w:type="dxa"/>
                  <w:vAlign w:val="center"/>
                </w:tcPr>
                <w:p w14:paraId="03469B9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1161" w:type="dxa"/>
                  <w:vAlign w:val="center"/>
                </w:tcPr>
                <w:p w14:paraId="06EDE3D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Arial" w:eastAsia="宋体"/>
                      <w:sz w:val="21"/>
                      <w:szCs w:val="21"/>
                      <w:lang w:val="en-US" w:eastAsia="zh-CN"/>
                    </w:rPr>
                  </w:pPr>
                  <w:r>
                    <w:rPr>
                      <w:rFonts w:hint="eastAsia" w:ascii="Arial"/>
                      <w:sz w:val="21"/>
                      <w:szCs w:val="21"/>
                      <w:lang w:val="en-US" w:eastAsia="zh-CN"/>
                    </w:rPr>
                    <w:t>/</w:t>
                  </w:r>
                </w:p>
              </w:tc>
              <w:tc>
                <w:tcPr>
                  <w:tcW w:w="1043" w:type="dxa"/>
                  <w:vAlign w:val="center"/>
                </w:tcPr>
                <w:p w14:paraId="2026A0C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0.24</w:t>
                  </w:r>
                </w:p>
              </w:tc>
            </w:tr>
            <w:tr w14:paraId="4DB9FE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7" w:hRule="atLeast"/>
              </w:trPr>
              <w:tc>
                <w:tcPr>
                  <w:tcW w:w="664" w:type="dxa"/>
                  <w:vAlign w:val="center"/>
                </w:tcPr>
                <w:p w14:paraId="3AEDB8F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Arial"/>
                      <w:sz w:val="21"/>
                      <w:szCs w:val="21"/>
                    </w:rPr>
                  </w:pPr>
                </w:p>
              </w:tc>
              <w:tc>
                <w:tcPr>
                  <w:tcW w:w="1518" w:type="dxa"/>
                  <w:vAlign w:val="center"/>
                </w:tcPr>
                <w:p w14:paraId="52DF6807">
                  <w:pPr>
                    <w:pStyle w:val="66"/>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sz w:val="21"/>
                      <w:szCs w:val="21"/>
                    </w:rPr>
                  </w:pPr>
                  <w:r>
                    <w:rPr>
                      <w:sz w:val="21"/>
                      <w:szCs w:val="21"/>
                    </w:rPr>
                    <w:t>合</w:t>
                  </w:r>
                  <w:r>
                    <w:rPr>
                      <w:spacing w:val="8"/>
                      <w:sz w:val="21"/>
                      <w:szCs w:val="21"/>
                    </w:rPr>
                    <w:t xml:space="preserve">   </w:t>
                  </w:r>
                  <w:r>
                    <w:rPr>
                      <w:sz w:val="21"/>
                      <w:szCs w:val="21"/>
                    </w:rPr>
                    <w:t>计</w:t>
                  </w:r>
                </w:p>
              </w:tc>
              <w:tc>
                <w:tcPr>
                  <w:tcW w:w="799" w:type="dxa"/>
                  <w:vAlign w:val="center"/>
                </w:tcPr>
                <w:p w14:paraId="64936D7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3.30</w:t>
                  </w:r>
                </w:p>
              </w:tc>
              <w:tc>
                <w:tcPr>
                  <w:tcW w:w="695" w:type="dxa"/>
                  <w:vAlign w:val="center"/>
                </w:tcPr>
                <w:p w14:paraId="5EF14CF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0.26</w:t>
                  </w:r>
                </w:p>
              </w:tc>
              <w:tc>
                <w:tcPr>
                  <w:tcW w:w="656" w:type="dxa"/>
                  <w:vAlign w:val="center"/>
                </w:tcPr>
                <w:p w14:paraId="686F6CC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0.20</w:t>
                  </w:r>
                </w:p>
              </w:tc>
              <w:tc>
                <w:tcPr>
                  <w:tcW w:w="695" w:type="dxa"/>
                  <w:vAlign w:val="center"/>
                </w:tcPr>
                <w:p w14:paraId="576DD4F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1.70</w:t>
                  </w:r>
                </w:p>
              </w:tc>
              <w:tc>
                <w:tcPr>
                  <w:tcW w:w="785" w:type="dxa"/>
                  <w:vAlign w:val="center"/>
                </w:tcPr>
                <w:p w14:paraId="60B93CE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2.97</w:t>
                  </w:r>
                </w:p>
              </w:tc>
              <w:tc>
                <w:tcPr>
                  <w:tcW w:w="1161" w:type="dxa"/>
                  <w:vAlign w:val="center"/>
                </w:tcPr>
                <w:p w14:paraId="15C6E89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15.20</w:t>
                  </w:r>
                </w:p>
              </w:tc>
              <w:tc>
                <w:tcPr>
                  <w:tcW w:w="1043" w:type="dxa"/>
                  <w:vAlign w:val="center"/>
                </w:tcPr>
                <w:p w14:paraId="6E8B539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23.63</w:t>
                  </w:r>
                </w:p>
              </w:tc>
            </w:tr>
          </w:tbl>
          <w:p w14:paraId="3A7853A8">
            <w:pPr>
              <w:pStyle w:val="36"/>
              <w:bidi w:val="0"/>
              <w:rPr>
                <w:rFonts w:hint="eastAsia" w:eastAsia="宋体"/>
                <w:b/>
                <w:bCs/>
                <w:color w:val="auto"/>
                <w:lang w:eastAsia="zh-CN"/>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b/>
                <w:bCs/>
                <w:color w:val="auto"/>
              </w:rPr>
              <w:t>永久</w:t>
            </w:r>
            <w:r>
              <w:rPr>
                <w:rFonts w:hint="eastAsia"/>
                <w:b/>
                <w:bCs/>
                <w:color w:val="auto"/>
                <w:lang w:eastAsia="zh-CN"/>
              </w:rPr>
              <w:t>占地影响分析</w:t>
            </w:r>
          </w:p>
          <w:p w14:paraId="5BECAD7C">
            <w:pPr>
              <w:pStyle w:val="36"/>
              <w:bidi w:val="0"/>
              <w:rPr>
                <w:rFonts w:hint="eastAsia"/>
                <w:color w:val="auto"/>
              </w:rPr>
            </w:pPr>
            <w:r>
              <w:rPr>
                <w:color w:val="auto"/>
              </w:rPr>
              <w:t>通过实地查勘和对工程布置图的分析，根据工程总体平面布置图及管理范围进行量算，</w:t>
            </w:r>
            <w:r>
              <w:rPr>
                <w:rFonts w:hint="eastAsia"/>
                <w:color w:val="auto"/>
              </w:rPr>
              <w:t>合计工程永久占地面积为</w:t>
            </w:r>
            <w:r>
              <w:rPr>
                <w:rFonts w:ascii="宋体" w:hAnsi="宋体" w:eastAsia="宋体" w:cs="宋体"/>
                <w:spacing w:val="-54"/>
                <w:sz w:val="24"/>
                <w:szCs w:val="24"/>
              </w:rPr>
              <w:t xml:space="preserve"> </w:t>
            </w:r>
            <w:r>
              <w:rPr>
                <w:rFonts w:ascii="Times New Roman" w:hAnsi="Times New Roman" w:eastAsia="Times New Roman" w:cs="Times New Roman"/>
                <w:sz w:val="24"/>
                <w:szCs w:val="24"/>
              </w:rPr>
              <w:t>4.83</w:t>
            </w:r>
            <w:r>
              <w:rPr>
                <w:rFonts w:hint="eastAsia"/>
                <w:color w:val="auto"/>
                <w:lang w:val="en-US" w:eastAsia="zh-CN"/>
              </w:rPr>
              <w:t>hm</w:t>
            </w:r>
            <w:r>
              <w:rPr>
                <w:rFonts w:hint="eastAsia"/>
                <w:color w:val="auto"/>
                <w:vertAlign w:val="superscript"/>
                <w:lang w:val="en-US" w:eastAsia="zh-CN"/>
              </w:rPr>
              <w:t>2</w:t>
            </w:r>
            <w:r>
              <w:rPr>
                <w:rFonts w:hint="eastAsia"/>
                <w:color w:val="auto"/>
              </w:rPr>
              <w:t>，</w:t>
            </w:r>
            <w:r>
              <w:rPr>
                <w:rFonts w:hint="eastAsia"/>
                <w:color w:val="auto"/>
                <w:lang w:eastAsia="zh-CN"/>
              </w:rPr>
              <w:t>均为水域及水利设施用地，</w:t>
            </w:r>
            <w:r>
              <w:rPr>
                <w:rFonts w:hint="eastAsia"/>
                <w:color w:val="auto"/>
              </w:rPr>
              <w:t>以上占地均为</w:t>
            </w:r>
            <w:r>
              <w:rPr>
                <w:rFonts w:hint="eastAsia"/>
                <w:color w:val="auto"/>
                <w:lang w:eastAsia="zh-CN"/>
              </w:rPr>
              <w:t>工程建设区占地</w:t>
            </w:r>
            <w:r>
              <w:rPr>
                <w:rFonts w:hint="eastAsia"/>
                <w:color w:val="auto"/>
              </w:rPr>
              <w:t>。工程建设完成后，进行覆土恢复种植，项目建设有利于保护耕地和人民财产安全，项目建设及运行不会对评价区土地利用格局产生大的影响。</w:t>
            </w:r>
          </w:p>
          <w:p w14:paraId="6CC5CBEE">
            <w:pPr>
              <w:pStyle w:val="36"/>
              <w:bidi w:val="0"/>
              <w:rPr>
                <w:rFonts w:hint="eastAsia"/>
                <w:b/>
                <w:bCs/>
                <w:color w:val="auto"/>
                <w:lang w:val="en-US" w:eastAsia="zh-CN"/>
              </w:rPr>
            </w:pPr>
            <w:r>
              <w:rPr>
                <w:rFonts w:hint="eastAsia"/>
                <w:b/>
                <w:bCs/>
                <w:color w:val="auto"/>
                <w:lang w:val="en-US" w:eastAsia="zh-CN"/>
              </w:rPr>
              <w:t>（2）施工临时占地影响分析</w:t>
            </w:r>
          </w:p>
          <w:p w14:paraId="25497F0D">
            <w:pPr>
              <w:pStyle w:val="44"/>
              <w:bidi w:val="0"/>
              <w:rPr>
                <w:rFonts w:hint="eastAsia"/>
                <w:color w:val="auto"/>
                <w:lang w:eastAsia="zh-CN"/>
              </w:rPr>
            </w:pPr>
            <w:r>
              <w:rPr>
                <w:rFonts w:hint="eastAsia"/>
                <w:color w:val="auto"/>
              </w:rPr>
              <w:t>经测算，工程临时占地总面积281.94亩，其中：河流水面59.36亩、水利设施用地86.30亩、水田49.51亩、旱地3.84亩、园地2.99亩、林地25.57亩、鱼塘9.81亩、农村道路44.55亩。</w:t>
            </w:r>
            <w:r>
              <w:rPr>
                <w:rFonts w:hint="eastAsia"/>
                <w:color w:val="auto"/>
                <w:lang w:eastAsia="zh-CN"/>
              </w:rPr>
              <w:t>项目所有临时占地在施工结束后对占地进行恢复，恢复类型为原占地类型。</w:t>
            </w:r>
          </w:p>
          <w:p w14:paraId="27229A02">
            <w:pPr>
              <w:pStyle w:val="44"/>
              <w:numPr>
                <w:ilvl w:val="0"/>
                <w:numId w:val="0"/>
              </w:numPr>
              <w:bidi w:val="0"/>
              <w:ind w:firstLine="482" w:firstLineChars="200"/>
              <w:rPr>
                <w:rFonts w:hint="eastAsia"/>
                <w:b/>
                <w:bCs/>
                <w:color w:val="auto"/>
                <w:lang w:eastAsia="zh-CN"/>
              </w:rPr>
            </w:pPr>
            <w:r>
              <w:rPr>
                <w:rFonts w:hint="eastAsia" w:ascii="Times New Roman" w:hAnsi="Times New Roman" w:eastAsia="宋体" w:cs="Times New Roman"/>
                <w:b/>
                <w:bCs/>
                <w:color w:val="auto"/>
                <w:kern w:val="2"/>
                <w:sz w:val="24"/>
                <w:szCs w:val="24"/>
                <w:lang w:val="en-US" w:eastAsia="zh-CN" w:bidi="ar-SA"/>
              </w:rPr>
              <w:t>（3）</w:t>
            </w:r>
            <w:r>
              <w:rPr>
                <w:rFonts w:hint="eastAsia"/>
                <w:b/>
                <w:bCs/>
                <w:color w:val="auto"/>
                <w:lang w:eastAsia="zh-CN"/>
              </w:rPr>
              <w:t>占地影响分析</w:t>
            </w:r>
          </w:p>
          <w:p w14:paraId="2755DA23">
            <w:pPr>
              <w:pStyle w:val="36"/>
              <w:bidi w:val="0"/>
              <w:rPr>
                <w:rFonts w:hint="eastAsia"/>
                <w:color w:val="auto"/>
                <w:lang w:eastAsia="zh-CN"/>
              </w:rPr>
            </w:pPr>
            <w:r>
              <w:rPr>
                <w:rFonts w:hint="eastAsia"/>
                <w:color w:val="auto"/>
                <w:lang w:eastAsia="zh-CN"/>
              </w:rPr>
              <w:t>工程对评价区土地利用的影响主要表现为工程占地改变评价区土地的功能和性质。永久占地将造成土地性质和功能的永久性的改变，是无法恢复的；临时占地在施工结束后可通过植被恢复和土地复垦等措施使其原来土地的性质和功能得到一定程度的恢复。对于工程占用的土地，建设单位将按照国家有关规定进行补偿，在做好补偿工作并及时恢复植被、复垦的情况下，工程建设不会对该区域的土地利用造成明显的影响。</w:t>
            </w:r>
          </w:p>
          <w:p w14:paraId="62776502">
            <w:pPr>
              <w:pStyle w:val="36"/>
              <w:bidi w:val="0"/>
              <w:rPr>
                <w:b/>
                <w:bCs/>
                <w:color w:val="auto"/>
              </w:rPr>
            </w:pPr>
            <w:r>
              <w:rPr>
                <w:b/>
                <w:bCs/>
                <w:color w:val="auto"/>
              </w:rPr>
              <w:t>2、对植被的影响分析</w:t>
            </w:r>
          </w:p>
          <w:p w14:paraId="3FDBD652">
            <w:pPr>
              <w:pStyle w:val="36"/>
              <w:bidi w:val="0"/>
              <w:rPr>
                <w:color w:val="auto"/>
              </w:rPr>
            </w:pPr>
            <w:r>
              <w:rPr>
                <w:color w:val="auto"/>
              </w:rPr>
              <w:t>工程施工占地对陆生植被的影响主要是工程永久占地和施工临时占地等。永久占地对植被、生态系统造成的影响较为一致，均将永久改变土地利用性质，对受占用的植被、植物个体资源造成永久性破坏，其结果是不可逆的。临时占地造成的影响仅限于以施工期为主的一定时期内，对土地利用、植被及植物资源的影响均是暂时性的，在工程施工结束后会逐渐得到恢复。</w:t>
            </w:r>
          </w:p>
          <w:p w14:paraId="4632674E">
            <w:pPr>
              <w:pStyle w:val="36"/>
              <w:bidi w:val="0"/>
              <w:rPr>
                <w:color w:val="auto"/>
              </w:rPr>
            </w:pPr>
            <w:r>
              <w:rPr>
                <w:color w:val="auto"/>
              </w:rPr>
              <w:t>施工过程中，占用的地表植被将全部毁坏消失，但工程破坏自然植被面积较小。由于受影响的植被在评价区及周边均有广泛分布，施工占地不会造成任何一种自然植被在该区域内的消失。同时，工程施工结束后，项目将临时占地区域和临时堆土场等区域进行植被恢复。因此，工程建设不会导致评价区内植被类型的减少、植被构成格局的明显变化及生态系统的结构性改变，对植被的影响较小。</w:t>
            </w:r>
          </w:p>
          <w:p w14:paraId="3A6AED1B">
            <w:pPr>
              <w:pStyle w:val="36"/>
              <w:bidi w:val="0"/>
              <w:rPr>
                <w:rFonts w:hint="eastAsia"/>
                <w:b/>
                <w:bCs/>
                <w:color w:val="auto"/>
                <w:lang w:eastAsia="zh-CN"/>
              </w:rPr>
            </w:pPr>
            <w:r>
              <w:rPr>
                <w:rFonts w:hint="default"/>
                <w:b/>
                <w:bCs/>
                <w:color w:val="auto"/>
                <w:lang w:val="en-US" w:eastAsia="zh-CN"/>
              </w:rPr>
              <w:t>3</w:t>
            </w:r>
            <w:r>
              <w:rPr>
                <w:rFonts w:hint="default"/>
                <w:b/>
                <w:bCs/>
                <w:color w:val="auto"/>
              </w:rPr>
              <w:t>、对植物的影响</w:t>
            </w:r>
            <w:r>
              <w:rPr>
                <w:rFonts w:hint="eastAsia"/>
                <w:b/>
                <w:bCs/>
                <w:color w:val="auto"/>
                <w:lang w:eastAsia="zh-CN"/>
              </w:rPr>
              <w:t>分析</w:t>
            </w:r>
          </w:p>
          <w:p w14:paraId="2120EE06">
            <w:pPr>
              <w:pStyle w:val="36"/>
              <w:bidi w:val="0"/>
              <w:rPr>
                <w:rFonts w:hint="eastAsia"/>
                <w:color w:val="auto"/>
                <w:lang w:eastAsia="zh-CN"/>
              </w:rPr>
            </w:pPr>
            <w:r>
              <w:rPr>
                <w:rFonts w:hint="eastAsia"/>
                <w:color w:val="auto"/>
              </w:rPr>
              <w:t>在评价范围内没有古树名木，工程区陆生植物主要为柳树及少许灌木、乔木，本工程建成运行后，工程永久建筑物占地对现有陆生植物占压、破坏，其余临时占地经水土保持措施后植被可恢复。因工程规模较小，工程永久建筑物占地面积较小，不会对整体区域植被分布产生较大影响，对周边环境保护目标影响较小。</w:t>
            </w:r>
          </w:p>
          <w:p w14:paraId="481F14C7">
            <w:pPr>
              <w:pStyle w:val="41"/>
              <w:numPr>
                <w:ilvl w:val="0"/>
                <w:numId w:val="0"/>
              </w:numPr>
              <w:bidi w:val="0"/>
              <w:ind w:left="113" w:leftChars="0" w:right="113" w:rightChars="0" w:firstLine="482" w:firstLineChars="200"/>
              <w:rPr>
                <w:b/>
                <w:bCs/>
                <w:color w:val="auto"/>
              </w:rPr>
            </w:pPr>
            <w:r>
              <w:rPr>
                <w:rFonts w:ascii="Times New Roman" w:hAnsi="Times New Roman" w:eastAsia="宋体" w:cs="Times New Roman"/>
                <w:b/>
                <w:bCs/>
                <w:color w:val="auto"/>
                <w:kern w:val="0"/>
                <w:sz w:val="24"/>
                <w:szCs w:val="24"/>
                <w:lang w:val="en-US" w:eastAsia="zh-CN" w:bidi="ar-SA"/>
              </w:rPr>
              <w:t>4、</w:t>
            </w:r>
            <w:r>
              <w:rPr>
                <w:b/>
                <w:bCs/>
                <w:color w:val="auto"/>
              </w:rPr>
              <w:t>对生态结构的完整性</w:t>
            </w:r>
          </w:p>
          <w:p w14:paraId="4B7D9268">
            <w:pPr>
              <w:pStyle w:val="36"/>
              <w:bidi w:val="0"/>
              <w:rPr>
                <w:color w:val="auto"/>
              </w:rPr>
            </w:pPr>
            <w:r>
              <w:rPr>
                <w:color w:val="auto"/>
              </w:rPr>
              <w:t>生态系统是指在自然界的一定的空间内，生物与环境构成的统一整体，在这个统一整体中，生物与环境之间相互影响、相互制约，并在一定时期内处于相对稳定的动态平衡状态。其组成包括了非生物</w:t>
            </w:r>
            <w:r>
              <w:rPr>
                <w:rFonts w:hint="eastAsia"/>
                <w:color w:val="auto"/>
                <w:lang w:eastAsia="zh-CN"/>
              </w:rPr>
              <w:t>成分</w:t>
            </w:r>
            <w:r>
              <w:rPr>
                <w:color w:val="auto"/>
              </w:rPr>
              <w:t>、生产者、消费者、分解者。从生态系统中的非生物</w:t>
            </w:r>
            <w:r>
              <w:rPr>
                <w:rFonts w:hint="eastAsia"/>
                <w:color w:val="auto"/>
                <w:lang w:eastAsia="zh-CN"/>
              </w:rPr>
              <w:t>成分</w:t>
            </w:r>
            <w:r>
              <w:rPr>
                <w:color w:val="auto"/>
              </w:rPr>
              <w:t>上来说，</w:t>
            </w:r>
            <w:r>
              <w:rPr>
                <w:rFonts w:hint="eastAsia"/>
                <w:color w:val="auto"/>
                <w:lang w:eastAsia="zh-CN"/>
              </w:rPr>
              <w:t>本项目</w:t>
            </w:r>
            <w:r>
              <w:rPr>
                <w:color w:val="auto"/>
              </w:rPr>
              <w:t>建设对当地的阳光、水、土壤、地形地貌、空气等影响不大。</w:t>
            </w:r>
          </w:p>
          <w:p w14:paraId="4249A787">
            <w:pPr>
              <w:pStyle w:val="36"/>
              <w:bidi w:val="0"/>
              <w:rPr>
                <w:color w:val="auto"/>
              </w:rPr>
            </w:pPr>
            <w:r>
              <w:rPr>
                <w:color w:val="auto"/>
              </w:rPr>
              <w:t>工程施工期间</w:t>
            </w:r>
            <w:r>
              <w:rPr>
                <w:rFonts w:hint="eastAsia"/>
                <w:color w:val="auto"/>
                <w:lang w:eastAsia="zh-CN"/>
              </w:rPr>
              <w:t>土石方挖填平衡，无弃渣产生</w:t>
            </w:r>
            <w:r>
              <w:rPr>
                <w:color w:val="auto"/>
              </w:rPr>
              <w:t>，水土流失影响较小。从生态系统类型上看，本工程建设主要占用评价区内的河流生态系统。项目属于</w:t>
            </w:r>
            <w:r>
              <w:rPr>
                <w:rFonts w:hint="eastAsia"/>
                <w:color w:val="auto"/>
                <w:lang w:eastAsia="zh-CN"/>
              </w:rPr>
              <w:t>果朗河</w:t>
            </w:r>
            <w:r>
              <w:rPr>
                <w:color w:val="auto"/>
              </w:rPr>
              <w:t>段治理工程，项目主要进行河堤施工，沿现有河道两岸进行，同时，项目施工结束后，即对施工临时占地进行恢复，工程对生态系统的稳定性影响较小。</w:t>
            </w:r>
          </w:p>
          <w:p w14:paraId="011D0876">
            <w:pPr>
              <w:pStyle w:val="41"/>
              <w:numPr>
                <w:ilvl w:val="0"/>
                <w:numId w:val="0"/>
              </w:numPr>
              <w:bidi w:val="0"/>
              <w:ind w:left="113" w:leftChars="0" w:right="113" w:rightChars="0" w:firstLine="482" w:firstLineChars="200"/>
              <w:rPr>
                <w:b/>
                <w:bCs/>
                <w:color w:val="auto"/>
              </w:rPr>
            </w:pPr>
            <w:r>
              <w:rPr>
                <w:rFonts w:ascii="Times New Roman" w:hAnsi="Times New Roman" w:eastAsia="宋体" w:cs="Times New Roman"/>
                <w:b/>
                <w:bCs/>
                <w:color w:val="auto"/>
                <w:kern w:val="0"/>
                <w:sz w:val="24"/>
                <w:szCs w:val="24"/>
                <w:lang w:val="en-US" w:eastAsia="zh-CN" w:bidi="ar-SA"/>
              </w:rPr>
              <w:t>5、</w:t>
            </w:r>
            <w:r>
              <w:rPr>
                <w:rFonts w:hint="eastAsia"/>
                <w:b/>
                <w:bCs/>
                <w:color w:val="auto"/>
              </w:rPr>
              <w:t>对自然景观的影响分析</w:t>
            </w:r>
          </w:p>
          <w:p w14:paraId="0DB1303F">
            <w:pPr>
              <w:pStyle w:val="36"/>
              <w:bidi w:val="0"/>
              <w:rPr>
                <w:color w:val="auto"/>
              </w:rPr>
            </w:pPr>
            <w:r>
              <w:rPr>
                <w:color w:val="auto"/>
              </w:rPr>
              <w:t>评价区内自然景观类型主要河滩地、旱地、水域等景观，由于工程建设占用景观土地面积较小，对景观的影响程度属较小影响。施工结束后，随着河堤实施，形成新的自然景观，项目建设对自然景观的影响较小。</w:t>
            </w:r>
          </w:p>
          <w:p w14:paraId="6EA42BFA">
            <w:pPr>
              <w:pStyle w:val="36"/>
              <w:bidi w:val="0"/>
              <w:rPr>
                <w:b/>
                <w:bCs/>
                <w:color w:val="auto"/>
              </w:rPr>
            </w:pPr>
            <w:r>
              <w:rPr>
                <w:b/>
                <w:bCs/>
                <w:color w:val="auto"/>
              </w:rPr>
              <w:t>6、对陆生脊椎动物的影响分析</w:t>
            </w:r>
          </w:p>
          <w:p w14:paraId="34E990FA">
            <w:pPr>
              <w:pStyle w:val="36"/>
              <w:bidi w:val="0"/>
              <w:rPr>
                <w:color w:val="auto"/>
              </w:rPr>
            </w:pPr>
            <w:r>
              <w:rPr>
                <w:color w:val="auto"/>
              </w:rPr>
              <w:t>工程建设对陆生脊椎动物的影响主要表现在对动物本身的影响和对动物栖息环境的影响两个方面。</w:t>
            </w:r>
          </w:p>
          <w:p w14:paraId="61AA4C2C">
            <w:pPr>
              <w:pStyle w:val="36"/>
              <w:numPr>
                <w:ilvl w:val="0"/>
                <w:numId w:val="0"/>
              </w:numPr>
              <w:bidi w:val="0"/>
              <w:ind w:left="0" w:leftChars="0" w:right="0" w:rightChars="0" w:firstLine="482" w:firstLineChars="200"/>
              <w:rPr>
                <w:b/>
                <w:bCs/>
                <w:color w:val="auto"/>
              </w:rPr>
            </w:pPr>
            <w:r>
              <w:rPr>
                <w:rFonts w:ascii="Times New Roman" w:hAnsi="Times New Roman" w:eastAsia="宋体" w:cs="Times New Roman"/>
                <w:b/>
                <w:bCs/>
                <w:color w:val="auto"/>
                <w:kern w:val="0"/>
                <w:sz w:val="24"/>
                <w:szCs w:val="24"/>
                <w:lang w:val="en-US" w:eastAsia="zh-CN" w:bidi="ar-SA"/>
              </w:rPr>
              <w:t>（1）</w:t>
            </w:r>
            <w:r>
              <w:rPr>
                <w:b/>
                <w:bCs/>
                <w:color w:val="auto"/>
              </w:rPr>
              <w:t>工程施工对动物资源的直接影响</w:t>
            </w:r>
          </w:p>
          <w:p w14:paraId="6C04A26B">
            <w:pPr>
              <w:pStyle w:val="36"/>
              <w:numPr>
                <w:ilvl w:val="0"/>
                <w:numId w:val="0"/>
              </w:numPr>
              <w:bidi w:val="0"/>
              <w:ind w:left="0" w:leftChars="0" w:right="0" w:rightChars="0" w:firstLine="480" w:firstLineChars="200"/>
              <w:rPr>
                <w:color w:val="auto"/>
              </w:rPr>
            </w:pPr>
            <w:r>
              <w:rPr>
                <w:color w:val="auto"/>
              </w:rPr>
              <w:t>工程施工过程中，对陆生动物的影响具体表现为：</w:t>
            </w:r>
          </w:p>
          <w:p w14:paraId="42F234E1">
            <w:pPr>
              <w:pStyle w:val="36"/>
              <w:bidi w:val="0"/>
              <w:rPr>
                <w:color w:val="auto"/>
              </w:rPr>
            </w:pPr>
            <w:r>
              <w:rPr>
                <w:color w:val="auto"/>
              </w:rPr>
              <w:t>①施工对施工区域周边的两栖类和水生型爬行类、水域栖居型鸟类产生明显影响。</w:t>
            </w:r>
          </w:p>
          <w:p w14:paraId="24753D48">
            <w:pPr>
              <w:pStyle w:val="36"/>
              <w:bidi w:val="0"/>
              <w:rPr>
                <w:color w:val="auto"/>
              </w:rPr>
            </w:pPr>
            <w:r>
              <w:rPr>
                <w:color w:val="auto"/>
              </w:rPr>
              <w:t>②施工过程中通过加强教育，严格按照施工规范要求进行施工，产生的弃渣堆存于临时堆土场，施工前对施工区内动物进行驱赶等方式进行保护。施工期间禁止施工人员对动物的捕杀、猎杀等，施工对动物资源影响小。</w:t>
            </w:r>
          </w:p>
          <w:p w14:paraId="6757853C">
            <w:pPr>
              <w:pStyle w:val="36"/>
              <w:bidi w:val="0"/>
              <w:rPr>
                <w:b/>
                <w:bCs/>
                <w:color w:val="auto"/>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b/>
                <w:bCs/>
                <w:color w:val="auto"/>
              </w:rPr>
              <w:t>施工占地对动物生境的影响分析</w:t>
            </w:r>
          </w:p>
          <w:p w14:paraId="3538250B">
            <w:pPr>
              <w:pStyle w:val="36"/>
              <w:bidi w:val="0"/>
              <w:rPr>
                <w:color w:val="auto"/>
              </w:rPr>
            </w:pPr>
            <w:r>
              <w:rPr>
                <w:color w:val="auto"/>
              </w:rPr>
              <w:t>工程主要沿河道施工，工程施工占地将使动物的栖息和活动场所缩小，同时对沿河</w:t>
            </w:r>
            <w:r>
              <w:rPr>
                <w:rFonts w:hint="eastAsia"/>
                <w:color w:val="auto"/>
                <w:lang w:eastAsia="zh-CN"/>
              </w:rPr>
              <w:t>道</w:t>
            </w:r>
            <w:r>
              <w:rPr>
                <w:color w:val="auto"/>
              </w:rPr>
              <w:t>两岸居住的动物，如小型兽类巢穴、爬行类的洞穴、鸟类巢区的生境遭到破坏后，少数动物的繁殖将有可能受到一定影响，结果迫使原栖息在这一带的动物迁往其他生境适宜的地区，由于工程区及其周边区域环境现状特征较为一致，而施工占地仅集中在评价区内的局部区域，便于动物迁居和存活，所以工程建设不会导致任何物种的消失。</w:t>
            </w:r>
          </w:p>
          <w:p w14:paraId="1B9BA718">
            <w:pPr>
              <w:pStyle w:val="36"/>
              <w:bidi w:val="0"/>
              <w:rPr>
                <w:color w:val="auto"/>
              </w:rPr>
            </w:pPr>
            <w:r>
              <w:rPr>
                <w:color w:val="auto"/>
              </w:rPr>
              <w:t>施工占地尤其对范围内两栖动物较明显。种群在一段时间内将会有大的波动，最后随着工程建设的结束，生态环境逐渐恢复，种群又会得以恢复或略有增长。</w:t>
            </w:r>
          </w:p>
          <w:p w14:paraId="5B9CA7A3">
            <w:pPr>
              <w:pStyle w:val="36"/>
              <w:bidi w:val="0"/>
              <w:rPr>
                <w:b/>
                <w:bCs/>
                <w:color w:val="auto"/>
              </w:rPr>
            </w:pPr>
            <w:r>
              <w:rPr>
                <w:b/>
                <w:bCs/>
                <w:color w:val="auto"/>
              </w:rPr>
              <w:t>7、对重点保护野生动物的影响分析</w:t>
            </w:r>
          </w:p>
          <w:p w14:paraId="13F6E724">
            <w:pPr>
              <w:pStyle w:val="36"/>
              <w:bidi w:val="0"/>
              <w:rPr>
                <w:color w:val="auto"/>
              </w:rPr>
            </w:pPr>
            <w:r>
              <w:rPr>
                <w:color w:val="auto"/>
              </w:rPr>
              <w:t>项目施工占地范围内，调查期间，未发现国家级和云南省级重点保护野生动物分布，也没有发现《中国濒危动物红皮书》收录动物和珍稀濒危动物。调查未发现该地区特有种类分布。</w:t>
            </w:r>
          </w:p>
          <w:p w14:paraId="0B32CC4C">
            <w:pPr>
              <w:pStyle w:val="36"/>
              <w:bidi w:val="0"/>
              <w:rPr>
                <w:b/>
                <w:bCs/>
                <w:color w:val="auto"/>
              </w:rPr>
            </w:pPr>
            <w:r>
              <w:rPr>
                <w:b/>
                <w:bCs/>
                <w:color w:val="auto"/>
              </w:rPr>
              <w:t>8、对水生</w:t>
            </w:r>
            <w:r>
              <w:rPr>
                <w:rFonts w:hint="eastAsia"/>
                <w:b/>
                <w:bCs/>
                <w:color w:val="auto"/>
                <w:lang w:eastAsia="zh-CN"/>
              </w:rPr>
              <w:t>生</w:t>
            </w:r>
            <w:r>
              <w:rPr>
                <w:b/>
                <w:bCs/>
                <w:color w:val="auto"/>
              </w:rPr>
              <w:t>物</w:t>
            </w:r>
            <w:r>
              <w:rPr>
                <w:rFonts w:hint="eastAsia"/>
                <w:b/>
                <w:bCs/>
                <w:color w:val="auto"/>
                <w:lang w:eastAsia="zh-CN"/>
              </w:rPr>
              <w:t>影响</w:t>
            </w:r>
            <w:r>
              <w:rPr>
                <w:b/>
                <w:bCs/>
                <w:color w:val="auto"/>
              </w:rPr>
              <w:t>分析</w:t>
            </w:r>
          </w:p>
          <w:p w14:paraId="53A8E994">
            <w:pPr>
              <w:pStyle w:val="36"/>
              <w:shd w:val="clear"/>
              <w:bidi w:val="0"/>
              <w:rPr>
                <w:rFonts w:hint="eastAsia"/>
                <w:color w:val="auto"/>
              </w:rPr>
            </w:pPr>
            <w:r>
              <w:rPr>
                <w:rFonts w:hint="eastAsia"/>
                <w:color w:val="auto"/>
              </w:rPr>
              <w:t>工程区内水生植物以常见的苔类、水草为主；水生动物主要以浮游动物等常见水生动物为主，且个体小，无珍稀水生动植物，无珍稀濒危动物和数量较多的野生动物群，也无珍稀的水陆两栖动物存在，流域河内无珍稀濒危水生生物，水体中的生物物种均为常见鱼类。</w:t>
            </w:r>
          </w:p>
          <w:p w14:paraId="73F73463">
            <w:pPr>
              <w:pStyle w:val="36"/>
              <w:shd w:val="clear"/>
              <w:bidi w:val="0"/>
              <w:rPr>
                <w:color w:val="auto"/>
              </w:rPr>
            </w:pPr>
            <w:r>
              <w:rPr>
                <w:color w:val="auto"/>
              </w:rPr>
              <w:t>项目施工期间，应采取积极宣传教育，禁止施工人员捕捞鱼类现象；施工生产、生活污水采取沉淀池处理后洒水降尘处理，施工对鱼类产生的影响小，且施工期间的不利影响都是暂时的，随着工程竣工，工程施工期间对鱼类产生的负面影响可逐渐消退至完全消失。</w:t>
            </w:r>
          </w:p>
          <w:p w14:paraId="065422E0">
            <w:pPr>
              <w:pStyle w:val="36"/>
              <w:bidi w:val="0"/>
              <w:rPr>
                <w:b/>
                <w:bCs/>
                <w:color w:val="auto"/>
              </w:rPr>
            </w:pPr>
            <w:r>
              <w:rPr>
                <w:rFonts w:hint="eastAsia"/>
                <w:b/>
                <w:bCs/>
                <w:color w:val="auto"/>
                <w:lang w:val="en-US" w:eastAsia="zh-CN"/>
              </w:rPr>
              <w:t>9</w:t>
            </w:r>
            <w:r>
              <w:rPr>
                <w:b/>
                <w:bCs/>
                <w:color w:val="auto"/>
              </w:rPr>
              <w:t>、水土流失影响分析</w:t>
            </w:r>
          </w:p>
          <w:p w14:paraId="5B573A0A">
            <w:pPr>
              <w:pStyle w:val="36"/>
              <w:bidi w:val="0"/>
              <w:rPr>
                <w:rFonts w:hint="eastAsia"/>
                <w:color w:val="auto"/>
              </w:rPr>
            </w:pPr>
            <w:r>
              <w:rPr>
                <w:rFonts w:hint="eastAsia"/>
                <w:color w:val="auto"/>
              </w:rPr>
              <w:t>本项目防治责任范围即为项目区总占地面积</w:t>
            </w:r>
            <w:r>
              <w:rPr>
                <w:rFonts w:hint="eastAsia"/>
                <w:color w:val="auto"/>
                <w:lang w:val="en-US" w:eastAsia="zh-CN"/>
              </w:rPr>
              <w:t>23.63</w:t>
            </w:r>
            <w:r>
              <w:rPr>
                <w:rFonts w:hint="eastAsia"/>
                <w:color w:val="auto"/>
              </w:rPr>
              <w:t>hm</w:t>
            </w:r>
            <w:r>
              <w:rPr>
                <w:rFonts w:hint="eastAsia"/>
                <w:color w:val="auto"/>
                <w:vertAlign w:val="superscript"/>
              </w:rPr>
              <w:t>2</w:t>
            </w:r>
            <w:r>
              <w:rPr>
                <w:rFonts w:hint="eastAsia"/>
                <w:color w:val="auto"/>
              </w:rPr>
              <w:t>，其中永久占地</w:t>
            </w:r>
            <w:r>
              <w:rPr>
                <w:rFonts w:hint="eastAsia"/>
                <w:color w:val="auto"/>
                <w:lang w:val="en-US" w:eastAsia="zh-CN"/>
              </w:rPr>
              <w:t>4.38</w:t>
            </w:r>
            <w:r>
              <w:rPr>
                <w:rFonts w:hint="eastAsia"/>
                <w:color w:val="auto"/>
              </w:rPr>
              <w:t>hm</w:t>
            </w:r>
            <w:r>
              <w:rPr>
                <w:rFonts w:hint="eastAsia"/>
                <w:color w:val="auto"/>
                <w:vertAlign w:val="superscript"/>
              </w:rPr>
              <w:t>2</w:t>
            </w:r>
            <w:r>
              <w:rPr>
                <w:rFonts w:hint="eastAsia"/>
                <w:color w:val="auto"/>
              </w:rPr>
              <w:t>，临时占地</w:t>
            </w:r>
            <w:r>
              <w:rPr>
                <w:rFonts w:hint="eastAsia"/>
                <w:color w:val="auto"/>
                <w:lang w:val="en-US" w:eastAsia="zh-CN"/>
              </w:rPr>
              <w:t>18.80</w:t>
            </w:r>
            <w:r>
              <w:rPr>
                <w:rFonts w:hint="eastAsia"/>
                <w:color w:val="auto"/>
              </w:rPr>
              <w:t>hm</w:t>
            </w:r>
            <w:r>
              <w:rPr>
                <w:rFonts w:hint="eastAsia"/>
                <w:color w:val="auto"/>
                <w:vertAlign w:val="superscript"/>
              </w:rPr>
              <w:t>2</w:t>
            </w:r>
            <w:r>
              <w:rPr>
                <w:rFonts w:hint="eastAsia"/>
                <w:color w:val="auto"/>
              </w:rPr>
              <w:t>。</w:t>
            </w:r>
          </w:p>
          <w:p w14:paraId="2BFD0FE6">
            <w:pPr>
              <w:pStyle w:val="36"/>
              <w:bidi w:val="0"/>
              <w:rPr>
                <w:rFonts w:hint="eastAsia"/>
                <w:color w:val="auto"/>
              </w:rPr>
            </w:pPr>
            <w:r>
              <w:rPr>
                <w:rFonts w:hint="eastAsia"/>
                <w:color w:val="auto"/>
              </w:rPr>
              <w:t>工程建设过程中造成水土流失的因素包括自然因素和人为因素，自然因素是引起水土流失的潜在因素，包括降雨因子、地形因子、植被因子和土壤抗蚀性和抗冲性；人为因素包括土方开挖回填、场地平整，临时堆土等因素，是造成新增水土流失的主导因素。基础开挖回填、场地平整，表土剥离及堆放等施工活动，扰动土地和原地貌，形成一定面积的裸露地表及松散堆积物不仅抗冲抗蚀性差，而且为水土流失的发生提供了物质来源，加剧了水土流失。对于工程建设过程造成水土流失本工程会根据工程区实际需要进行开挖临时排水沟、覆盖等措施减少水土流失，且在主体工程设计中包含了绿化措施，水土流失会逐年减少。建筑物基础开挖，对地层的扰动大，开挖过程中将会扰动地层，同时也会引起水土流失，运行期随着地表的硬化、植被的恢复，水土流失会逐年减少。</w:t>
            </w:r>
          </w:p>
          <w:p w14:paraId="4B979631">
            <w:pPr>
              <w:pStyle w:val="36"/>
              <w:bidi w:val="0"/>
              <w:rPr>
                <w:rFonts w:hint="eastAsia"/>
                <w:color w:val="auto"/>
              </w:rPr>
            </w:pPr>
            <w:r>
              <w:rPr>
                <w:rFonts w:hint="eastAsia"/>
                <w:color w:val="auto"/>
              </w:rPr>
              <w:t>工程基础开挖深度根据地基的不同，基础开挖的要求也不同，在清除覆盖层及风化层后，设计适宜的边坡开挖坡度，开挖料用于场地回填平整及绿化覆土，工程的施工可有效的防止水土流失，符合水土保持的要求。</w:t>
            </w:r>
          </w:p>
          <w:p w14:paraId="5711D1DA">
            <w:pPr>
              <w:pStyle w:val="36"/>
              <w:bidi w:val="0"/>
              <w:rPr>
                <w:rFonts w:hint="eastAsia"/>
                <w:color w:val="auto"/>
              </w:rPr>
            </w:pPr>
            <w:r>
              <w:rPr>
                <w:rFonts w:hint="eastAsia"/>
                <w:color w:val="auto"/>
              </w:rPr>
              <w:t>由于施工建筑选择在地形相对平缓的地段，占地较小，开挖量较小。场地平整开挖采用机械开挖，基础开挖以机械开挖和人工开挖相结合，施工工艺能够防止工程施工过程中产生严重的塌方等重力侵蚀，对水土保持是比较有利的。</w:t>
            </w:r>
          </w:p>
          <w:p w14:paraId="26338FB6">
            <w:pPr>
              <w:pStyle w:val="36"/>
              <w:bidi w:val="0"/>
              <w:rPr>
                <w:color w:val="auto"/>
              </w:rPr>
            </w:pPr>
            <w:r>
              <w:rPr>
                <w:rFonts w:hint="eastAsia"/>
                <w:color w:val="auto"/>
              </w:rPr>
              <w:t>自然恢复期施工结束，但在施工结束后部分扰动区域被建筑物覆盖，部分裸露地表自然植被需1～2年时间才能逐渐恢复，水土流失逐年减少。针对项目可能产生的水土流失，工程采取分区防治。工程区划分为4个防治分区：工程建设区、施工临时道路区、施工营地区、表土转存场区。本工程水土保持措施工程量主要包括工程措施、植物措施和临时措施。同时，项目施工前应委托相关单位编制水土保持方案，项目施工应严格按照水土保持方案采取水土保持措施，施工严格按照施工工序进行，易产生水土流失区域设置临时截排水沟，堆土场采取先档后堆和临时覆盖措施，经采取措施后，项目水土流失可得到有效遏制。</w:t>
            </w:r>
          </w:p>
          <w:p w14:paraId="52A4D009">
            <w:pPr>
              <w:pStyle w:val="36"/>
              <w:numPr>
                <w:ilvl w:val="0"/>
                <w:numId w:val="0"/>
              </w:numPr>
              <w:bidi w:val="0"/>
              <w:ind w:left="0" w:leftChars="0" w:right="0" w:rightChars="0" w:firstLine="482" w:firstLineChars="200"/>
              <w:rPr>
                <w:b/>
                <w:bCs/>
                <w:color w:val="auto"/>
              </w:rPr>
            </w:pPr>
            <w:r>
              <w:rPr>
                <w:rFonts w:hint="eastAsia" w:ascii="Times New Roman" w:hAnsi="Times New Roman" w:eastAsia="宋体" w:cs="Times New Roman"/>
                <w:b/>
                <w:bCs/>
                <w:color w:val="auto"/>
                <w:kern w:val="0"/>
                <w:sz w:val="24"/>
                <w:szCs w:val="24"/>
                <w:lang w:val="en-US" w:eastAsia="zh-CN" w:bidi="ar-SA"/>
              </w:rPr>
              <w:t>二、</w:t>
            </w:r>
            <w:r>
              <w:rPr>
                <w:b/>
                <w:bCs/>
                <w:color w:val="auto"/>
              </w:rPr>
              <w:t>施工期环境污染影响分析</w:t>
            </w:r>
          </w:p>
          <w:p w14:paraId="6E56635A">
            <w:pPr>
              <w:pStyle w:val="36"/>
              <w:bidi w:val="0"/>
              <w:rPr>
                <w:b/>
                <w:bCs/>
                <w:color w:val="auto"/>
              </w:rPr>
            </w:pPr>
            <w:r>
              <w:rPr>
                <w:b/>
                <w:bCs/>
                <w:color w:val="auto"/>
              </w:rPr>
              <w:t>1、环境污染影响因素</w:t>
            </w:r>
          </w:p>
          <w:p w14:paraId="06BB06B4">
            <w:pPr>
              <w:pStyle w:val="36"/>
              <w:bidi w:val="0"/>
              <w:rPr>
                <w:color w:val="auto"/>
              </w:rPr>
            </w:pPr>
            <w:r>
              <w:rPr>
                <w:color w:val="auto"/>
              </w:rPr>
              <w:t>项目施工期环境污染因素主要表现为施工废气（包括扬尘和机械废气）、生活污水、土石方以及噪声。</w:t>
            </w:r>
          </w:p>
          <w:p w14:paraId="276FDBF9">
            <w:pPr>
              <w:pStyle w:val="36"/>
              <w:bidi w:val="0"/>
              <w:rPr>
                <w:b/>
                <w:bCs/>
                <w:color w:val="auto"/>
              </w:rPr>
            </w:pPr>
            <w:r>
              <w:rPr>
                <w:b/>
                <w:bCs/>
                <w:color w:val="auto"/>
              </w:rPr>
              <w:t>2、施工期环境污染影响分析</w:t>
            </w:r>
          </w:p>
          <w:p w14:paraId="78617514">
            <w:pPr>
              <w:pStyle w:val="36"/>
              <w:bidi w:val="0"/>
              <w:rPr>
                <w:b/>
                <w:bCs/>
                <w:color w:val="auto"/>
              </w:rPr>
            </w:pPr>
            <w:r>
              <w:rPr>
                <w:b/>
                <w:bCs/>
                <w:color w:val="auto"/>
              </w:rPr>
              <w:t>（1）大气环境影响分析</w:t>
            </w:r>
          </w:p>
          <w:p w14:paraId="4EBB9166">
            <w:pPr>
              <w:ind w:firstLine="480"/>
              <w:rPr>
                <w:color w:val="auto"/>
              </w:rPr>
            </w:pPr>
            <w:r>
              <w:rPr>
                <w:rFonts w:hint="eastAsia"/>
                <w:color w:val="auto"/>
              </w:rPr>
              <w:t>项目实施对大气环境的影响主要来自土石方作业、</w:t>
            </w:r>
            <w:r>
              <w:rPr>
                <w:rFonts w:hint="eastAsia"/>
                <w:color w:val="auto"/>
                <w:lang w:eastAsia="zh-CN"/>
              </w:rPr>
              <w:t>混凝土拌合过程</w:t>
            </w:r>
            <w:r>
              <w:rPr>
                <w:rFonts w:hint="eastAsia"/>
                <w:color w:val="auto"/>
              </w:rPr>
              <w:t>中产生粉尘污染及交通运输中的扬尘，由于施工区地形开阔，扩散条件较好</w:t>
            </w:r>
            <w:r>
              <w:rPr>
                <w:rFonts w:hint="eastAsia"/>
                <w:color w:val="auto"/>
                <w:lang w:eastAsia="zh-CN"/>
              </w:rPr>
              <w:t>。根据扬尘产生来源及影响特点，可采取洒水、湿法作业、及时清扫洒落物料等措施保持路面和施工区清洁，控制局部路段车速，降低施工区及道路交通的扬尘量，预期对大气环境影响较小。</w:t>
            </w:r>
          </w:p>
          <w:p w14:paraId="26A7C23A">
            <w:pPr>
              <w:pStyle w:val="36"/>
              <w:numPr>
                <w:ilvl w:val="0"/>
                <w:numId w:val="0"/>
              </w:numPr>
              <w:bidi w:val="0"/>
              <w:ind w:left="0" w:leftChars="0" w:right="0" w:rightChars="0" w:firstLine="482" w:firstLineChars="200"/>
              <w:rPr>
                <w:rFonts w:hint="eastAsia"/>
                <w:b/>
                <w:bCs/>
                <w:color w:val="auto"/>
                <w:lang w:eastAsia="zh-CN"/>
              </w:rPr>
            </w:pPr>
            <w:r>
              <w:rPr>
                <w:rFonts w:hint="eastAsia" w:ascii="Times New Roman" w:hAnsi="Times New Roman" w:eastAsia="宋体" w:cs="Times New Roman"/>
                <w:b/>
                <w:bCs/>
                <w:color w:val="auto"/>
                <w:kern w:val="0"/>
                <w:sz w:val="24"/>
                <w:szCs w:val="24"/>
                <w:lang w:val="en-US" w:eastAsia="zh-CN" w:bidi="ar-SA"/>
              </w:rPr>
              <w:t>（2）</w:t>
            </w:r>
            <w:r>
              <w:rPr>
                <w:rFonts w:hint="eastAsia"/>
                <w:b/>
                <w:bCs/>
                <w:color w:val="auto"/>
                <w:lang w:eastAsia="zh-CN"/>
              </w:rPr>
              <w:t>地表水环境影响分析</w:t>
            </w:r>
          </w:p>
          <w:p w14:paraId="3F738E20">
            <w:pPr>
              <w:ind w:firstLine="480"/>
              <w:rPr>
                <w:color w:val="auto"/>
              </w:rPr>
            </w:pPr>
            <w:r>
              <w:rPr>
                <w:color w:val="auto"/>
              </w:rPr>
              <w:t>本</w:t>
            </w:r>
            <w:r>
              <w:rPr>
                <w:rFonts w:hint="eastAsia"/>
                <w:color w:val="auto"/>
                <w:lang w:eastAsia="zh-CN"/>
              </w:rPr>
              <w:t>项目</w:t>
            </w:r>
            <w:r>
              <w:rPr>
                <w:color w:val="auto"/>
              </w:rPr>
              <w:t>为河道防洪治理工程，运营期不会产生废水，本</w:t>
            </w:r>
            <w:r>
              <w:rPr>
                <w:rFonts w:hint="eastAsia"/>
                <w:color w:val="auto"/>
                <w:lang w:eastAsia="zh-CN"/>
              </w:rPr>
              <w:t>项目</w:t>
            </w:r>
            <w:r>
              <w:rPr>
                <w:color w:val="auto"/>
              </w:rPr>
              <w:t>建设对地表水环境的不利影响主要表现为施工期生产废水、施工人员生活污水及建筑材料撒落进入水体等对水体造成的污染。</w:t>
            </w:r>
          </w:p>
          <w:p w14:paraId="49CB7B5C">
            <w:pPr>
              <w:ind w:firstLine="480"/>
              <w:rPr>
                <w:b/>
                <w:bCs/>
                <w:color w:val="auto"/>
              </w:rPr>
            </w:pPr>
            <w:r>
              <w:rPr>
                <w:rFonts w:hint="eastAsia"/>
                <w:b/>
                <w:bCs/>
                <w:color w:val="auto"/>
                <w:lang w:val="en-US" w:eastAsia="zh-CN"/>
              </w:rPr>
              <w:t>1）</w:t>
            </w:r>
            <w:r>
              <w:rPr>
                <w:b/>
                <w:bCs/>
                <w:color w:val="auto"/>
              </w:rPr>
              <w:t>施工生产废水</w:t>
            </w:r>
          </w:p>
          <w:p w14:paraId="61973834">
            <w:pPr>
              <w:ind w:firstLine="480"/>
              <w:rPr>
                <w:color w:val="auto"/>
              </w:rPr>
            </w:pPr>
            <w:r>
              <w:rPr>
                <w:color w:val="auto"/>
              </w:rPr>
              <w:t>一般建筑工程施工，生产废水主要</w:t>
            </w:r>
            <w:r>
              <w:rPr>
                <w:rFonts w:hint="eastAsia"/>
                <w:color w:val="auto"/>
              </w:rPr>
              <w:t>来源于护岸基础开挖回填、浆砌石支砌、混凝土浇筑、砂石料加工系统和混凝土拌和系统。</w:t>
            </w:r>
            <w:r>
              <w:rPr>
                <w:color w:val="auto"/>
              </w:rPr>
              <w:t>此类废水主要的污染物为SS，在施工高峰期SS浓度可高达2000～5000mg/m</w:t>
            </w:r>
            <w:r>
              <w:rPr>
                <w:color w:val="auto"/>
                <w:vertAlign w:val="superscript"/>
              </w:rPr>
              <w:t>3</w:t>
            </w:r>
            <w:r>
              <w:rPr>
                <w:color w:val="auto"/>
              </w:rPr>
              <w:t>，施工生产废水若直接排入河道则会对河流水质造成严重的污染。</w:t>
            </w:r>
          </w:p>
          <w:p w14:paraId="00D5F2D6">
            <w:pPr>
              <w:ind w:firstLine="480"/>
              <w:rPr>
                <w:color w:val="auto"/>
              </w:rPr>
            </w:pPr>
            <w:r>
              <w:rPr>
                <w:color w:val="auto"/>
                <w:highlight w:val="none"/>
              </w:rPr>
              <w:t>本</w:t>
            </w:r>
            <w:r>
              <w:rPr>
                <w:rFonts w:hint="eastAsia"/>
                <w:color w:val="auto"/>
                <w:highlight w:val="none"/>
                <w:lang w:eastAsia="zh-CN"/>
              </w:rPr>
              <w:t>项目</w:t>
            </w:r>
            <w:r>
              <w:rPr>
                <w:color w:val="auto"/>
                <w:highlight w:val="none"/>
              </w:rPr>
              <w:t>建设所使用的石料均为</w:t>
            </w:r>
            <w:r>
              <w:rPr>
                <w:b w:val="0"/>
                <w:bCs w:val="0"/>
                <w:color w:val="auto"/>
                <w:highlight w:val="none"/>
              </w:rPr>
              <w:t>外购，在施工场地内不设砂石料加工系统。</w:t>
            </w:r>
            <w:r>
              <w:rPr>
                <w:color w:val="auto"/>
                <w:highlight w:val="none"/>
              </w:rPr>
              <w:t>工程建设过程中混凝土用于防洪堤顶压顶</w:t>
            </w:r>
            <w:r>
              <w:rPr>
                <w:rFonts w:hint="eastAsia"/>
                <w:color w:val="auto"/>
                <w:highlight w:val="none"/>
              </w:rPr>
              <w:t>、</w:t>
            </w:r>
            <w:r>
              <w:rPr>
                <w:color w:val="auto"/>
                <w:highlight w:val="none"/>
              </w:rPr>
              <w:t>框格梁及蹬脚等处，使用位置较为分散，混凝土拌和设施采用分散布置、分散拌和、分散供料的原则。混凝土拌和站及相应的骨料堆放场均布置在河岸公路边，根据堤线长度，均衡布置，采用移动式混凝土搅拌站，</w:t>
            </w:r>
            <w:r>
              <w:rPr>
                <w:rFonts w:hint="eastAsia"/>
                <w:color w:val="auto"/>
                <w:highlight w:val="none"/>
              </w:rPr>
              <w:t>工程</w:t>
            </w:r>
            <w:r>
              <w:rPr>
                <w:rFonts w:hint="eastAsia"/>
                <w:color w:val="auto"/>
              </w:rPr>
              <w:t>区共设4台0.4m</w:t>
            </w:r>
            <w:r>
              <w:rPr>
                <w:rFonts w:hint="eastAsia"/>
                <w:color w:val="auto"/>
                <w:vertAlign w:val="superscript"/>
              </w:rPr>
              <w:t>3</w:t>
            </w:r>
            <w:r>
              <w:rPr>
                <w:rFonts w:hint="eastAsia"/>
                <w:color w:val="auto"/>
              </w:rPr>
              <w:t>的砂浆搅拌机，以每天两班次，每班冲洗1次计（冲洗水量考虑为搅拌机容量0.4m³)</w:t>
            </w:r>
            <w:r>
              <w:rPr>
                <w:rFonts w:hint="eastAsia"/>
                <w:color w:val="auto"/>
                <w:lang w:eastAsia="zh-CN"/>
              </w:rPr>
              <w:t>，</w:t>
            </w:r>
            <w:r>
              <w:rPr>
                <w:rFonts w:hint="eastAsia"/>
                <w:color w:val="auto"/>
              </w:rPr>
              <w:t>则冲洗废水日排放量为3.2m</w:t>
            </w:r>
            <w:r>
              <w:rPr>
                <w:rFonts w:hint="eastAsia"/>
                <w:color w:val="auto"/>
                <w:vertAlign w:val="superscript"/>
              </w:rPr>
              <w:t>3</w:t>
            </w:r>
            <w:r>
              <w:rPr>
                <w:rFonts w:hint="eastAsia"/>
                <w:color w:val="auto"/>
              </w:rPr>
              <w:t>/d，废水排放方式为间歇排放。</w:t>
            </w:r>
          </w:p>
          <w:p w14:paraId="1D000A43">
            <w:pPr>
              <w:ind w:firstLine="480"/>
              <w:rPr>
                <w:rFonts w:hint="eastAsia"/>
                <w:color w:val="auto"/>
                <w:lang w:eastAsia="zh-CN"/>
              </w:rPr>
            </w:pPr>
            <w:r>
              <w:rPr>
                <w:color w:val="auto"/>
              </w:rPr>
              <w:t>本</w:t>
            </w:r>
            <w:r>
              <w:rPr>
                <w:rFonts w:hint="eastAsia"/>
                <w:color w:val="auto"/>
                <w:lang w:eastAsia="zh-CN"/>
              </w:rPr>
              <w:t>项目</w:t>
            </w:r>
            <w:r>
              <w:rPr>
                <w:color w:val="auto"/>
              </w:rPr>
              <w:t>混凝土拌和废水产生量不大，但废水中SS浓度较高，若直接排入河道内会对</w:t>
            </w:r>
            <w:r>
              <w:rPr>
                <w:rFonts w:hint="eastAsia"/>
                <w:color w:val="auto"/>
              </w:rPr>
              <w:t>治理段</w:t>
            </w:r>
            <w:r>
              <w:rPr>
                <w:color w:val="auto"/>
              </w:rPr>
              <w:t>水质造成污染，</w:t>
            </w:r>
            <w:r>
              <w:rPr>
                <w:rFonts w:hint="eastAsia"/>
                <w:color w:val="auto"/>
              </w:rPr>
              <w:t>在每个混凝土搅拌机旁边设置一个废水收集桶，</w:t>
            </w:r>
            <w:r>
              <w:rPr>
                <w:rFonts w:hint="eastAsia"/>
                <w:color w:val="auto"/>
                <w:lang w:eastAsia="zh-CN"/>
              </w:rPr>
              <w:t>废水</w:t>
            </w:r>
            <w:r>
              <w:rPr>
                <w:rFonts w:hint="eastAsia"/>
                <w:color w:val="auto"/>
              </w:rPr>
              <w:t>沉淀处理后排入二次沉淀桶收集上清液，上清液回用于生产，沉砂回用于施工。</w:t>
            </w:r>
          </w:p>
          <w:p w14:paraId="764E457B">
            <w:pPr>
              <w:ind w:firstLine="480"/>
              <w:rPr>
                <w:rFonts w:hint="eastAsia"/>
                <w:color w:val="auto"/>
                <w:lang w:eastAsia="zh-CN"/>
              </w:rPr>
            </w:pPr>
            <w:r>
              <w:rPr>
                <w:rFonts w:hint="eastAsia"/>
                <w:color w:val="auto"/>
                <w:lang w:eastAsia="zh-CN"/>
              </w:rPr>
              <w:drawing>
                <wp:inline distT="0" distB="0" distL="114300" distR="114300">
                  <wp:extent cx="4114800" cy="1743075"/>
                  <wp:effectExtent l="0" t="0" r="0" b="9525"/>
                  <wp:docPr id="4" name="图片 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1"/>
                          <pic:cNvPicPr>
                            <a:picLocks noChangeAspect="1"/>
                          </pic:cNvPicPr>
                        </pic:nvPicPr>
                        <pic:blipFill>
                          <a:blip r:embed="rId51"/>
                          <a:stretch>
                            <a:fillRect/>
                          </a:stretch>
                        </pic:blipFill>
                        <pic:spPr>
                          <a:xfrm>
                            <a:off x="0" y="0"/>
                            <a:ext cx="4114800" cy="1743075"/>
                          </a:xfrm>
                          <a:prstGeom prst="rect">
                            <a:avLst/>
                          </a:prstGeom>
                        </pic:spPr>
                      </pic:pic>
                    </a:graphicData>
                  </a:graphic>
                </wp:inline>
              </w:drawing>
            </w:r>
          </w:p>
          <w:p w14:paraId="1871EC32">
            <w:pPr>
              <w:pStyle w:val="31"/>
              <w:bidi w:val="0"/>
              <w:rPr>
                <w:color w:val="auto"/>
              </w:rPr>
            </w:pPr>
            <w:r>
              <w:rPr>
                <w:rFonts w:hint="eastAsia"/>
                <w:color w:val="auto"/>
                <w:lang w:eastAsia="zh-CN"/>
              </w:rPr>
              <w:t>图</w:t>
            </w:r>
            <w:r>
              <w:rPr>
                <w:rFonts w:hint="eastAsia"/>
                <w:color w:val="auto"/>
                <w:lang w:val="en-US" w:eastAsia="zh-CN"/>
              </w:rPr>
              <w:t xml:space="preserve">4-1  </w:t>
            </w:r>
            <w:r>
              <w:rPr>
                <w:color w:val="auto"/>
              </w:rPr>
              <w:t>混凝土</w:t>
            </w:r>
            <w:r>
              <w:rPr>
                <w:rFonts w:hint="eastAsia"/>
                <w:color w:val="auto"/>
                <w:lang w:eastAsia="zh-CN"/>
              </w:rPr>
              <w:t>拌和</w:t>
            </w:r>
            <w:r>
              <w:rPr>
                <w:color w:val="auto"/>
              </w:rPr>
              <w:t>系统废水处理工艺流程</w:t>
            </w:r>
          </w:p>
          <w:p w14:paraId="22DAB6E4">
            <w:pPr>
              <w:ind w:firstLine="480"/>
              <w:rPr>
                <w:b/>
                <w:bCs/>
                <w:color w:val="auto"/>
              </w:rPr>
            </w:pPr>
            <w:r>
              <w:rPr>
                <w:rFonts w:hint="eastAsia"/>
                <w:b/>
                <w:bCs/>
                <w:color w:val="auto"/>
                <w:lang w:val="en-US" w:eastAsia="zh-CN"/>
              </w:rPr>
              <w:t>2）</w:t>
            </w:r>
            <w:r>
              <w:rPr>
                <w:b/>
                <w:bCs/>
                <w:color w:val="auto"/>
              </w:rPr>
              <w:t>施工人员生活污水</w:t>
            </w:r>
          </w:p>
          <w:p w14:paraId="65B2DD16">
            <w:pPr>
              <w:pStyle w:val="36"/>
              <w:bidi w:val="0"/>
              <w:rPr>
                <w:color w:val="auto"/>
              </w:rPr>
            </w:pPr>
            <w:r>
              <w:rPr>
                <w:color w:val="auto"/>
              </w:rPr>
              <w:t>施工期施工人员产生的生活污水主要</w:t>
            </w:r>
            <w:r>
              <w:rPr>
                <w:rFonts w:hint="eastAsia"/>
                <w:color w:val="auto"/>
                <w:lang w:eastAsia="zh-CN"/>
              </w:rPr>
              <w:t>来自</w:t>
            </w:r>
            <w:r>
              <w:rPr>
                <w:color w:val="auto"/>
              </w:rPr>
              <w:t>临时生产生活区，根据施工设计，本工程沿线共设</w:t>
            </w:r>
            <w:r>
              <w:rPr>
                <w:rFonts w:hint="eastAsia"/>
                <w:color w:val="auto"/>
                <w:lang w:val="en-US" w:eastAsia="zh-CN"/>
              </w:rPr>
              <w:t>4</w:t>
            </w:r>
            <w:r>
              <w:rPr>
                <w:color w:val="auto"/>
              </w:rPr>
              <w:t>处施工生产生活区，本工程施工人数</w:t>
            </w:r>
            <w:r>
              <w:rPr>
                <w:rFonts w:hint="eastAsia"/>
                <w:color w:val="auto"/>
                <w:lang w:eastAsia="zh-CN"/>
              </w:rPr>
              <w:t>以</w:t>
            </w:r>
            <w:r>
              <w:rPr>
                <w:color w:val="auto"/>
              </w:rPr>
              <w:t>30</w:t>
            </w:r>
            <w:r>
              <w:rPr>
                <w:rFonts w:hint="eastAsia"/>
                <w:color w:val="auto"/>
                <w:lang w:val="en-US" w:eastAsia="zh-CN"/>
              </w:rPr>
              <w:t>0</w:t>
            </w:r>
            <w:r>
              <w:rPr>
                <w:color w:val="auto"/>
              </w:rPr>
              <w:t>人</w:t>
            </w:r>
            <w:r>
              <w:rPr>
                <w:rFonts w:hint="eastAsia"/>
                <w:color w:val="auto"/>
                <w:lang w:eastAsia="zh-CN"/>
              </w:rPr>
              <w:t>计</w:t>
            </w:r>
            <w:r>
              <w:rPr>
                <w:color w:val="auto"/>
              </w:rPr>
              <w:t>，本工程总工期为</w:t>
            </w:r>
            <w:r>
              <w:rPr>
                <w:rFonts w:hint="eastAsia"/>
                <w:color w:val="auto"/>
                <w:lang w:val="en-US" w:eastAsia="zh-CN"/>
              </w:rPr>
              <w:t>12</w:t>
            </w:r>
            <w:r>
              <w:rPr>
                <w:rFonts w:hint="eastAsia"/>
                <w:color w:val="auto"/>
              </w:rPr>
              <w:t>个月</w:t>
            </w:r>
            <w:r>
              <w:rPr>
                <w:color w:val="auto"/>
              </w:rPr>
              <w:t>。施工人员在施工生产生活区住宿，</w:t>
            </w:r>
            <w:r>
              <w:rPr>
                <w:rFonts w:hint="eastAsia"/>
                <w:color w:val="auto"/>
              </w:rPr>
              <w:t>施</w:t>
            </w:r>
            <w:r>
              <w:rPr>
                <w:color w:val="auto"/>
              </w:rPr>
              <w:t>工</w:t>
            </w:r>
            <w:r>
              <w:rPr>
                <w:rFonts w:hint="eastAsia"/>
                <w:color w:val="auto"/>
              </w:rPr>
              <w:t>人员生活用水定额按100</w:t>
            </w:r>
            <w:r>
              <w:rPr>
                <w:color w:val="auto"/>
              </w:rPr>
              <w:t>L/人·d，生活污水</w:t>
            </w:r>
            <w:r>
              <w:rPr>
                <w:rFonts w:hint="eastAsia"/>
                <w:color w:val="auto"/>
              </w:rPr>
              <w:t>排放率0.75～0.8，则</w:t>
            </w:r>
            <w:r>
              <w:rPr>
                <w:color w:val="auto"/>
              </w:rPr>
              <w:t>生活污水产生量按照75L/人·d计，则施工期生活污水产生量约</w:t>
            </w:r>
            <w:r>
              <w:rPr>
                <w:rFonts w:hint="eastAsia"/>
                <w:color w:val="auto"/>
                <w:lang w:val="en-US" w:eastAsia="zh-CN"/>
              </w:rPr>
              <w:t>8212.5</w:t>
            </w:r>
            <w:r>
              <w:rPr>
                <w:color w:val="auto"/>
              </w:rPr>
              <w:t>m</w:t>
            </w:r>
            <w:r>
              <w:rPr>
                <w:color w:val="auto"/>
                <w:vertAlign w:val="superscript"/>
              </w:rPr>
              <w:t>3</w:t>
            </w:r>
            <w:r>
              <w:rPr>
                <w:color w:val="auto"/>
              </w:rPr>
              <w:t>，施工人员生活污水水质类似于普通生活污水水质，即：SS：220mg/L、BOD</w:t>
            </w:r>
            <w:r>
              <w:rPr>
                <w:color w:val="auto"/>
                <w:vertAlign w:val="subscript"/>
              </w:rPr>
              <w:t>5</w:t>
            </w:r>
            <w:r>
              <w:rPr>
                <w:color w:val="auto"/>
              </w:rPr>
              <w:t>：200mg/L、COD：400mg/L、TN：40mg/L、TP：8mg/L、油质：100mg/L。生活污水的产生量不大，项目在每个生产生活区附近分别设置</w:t>
            </w:r>
            <w:r>
              <w:rPr>
                <w:rFonts w:hint="eastAsia"/>
                <w:color w:val="auto"/>
                <w:lang w:val="en-US" w:eastAsia="zh-CN"/>
              </w:rPr>
              <w:t>1</w:t>
            </w:r>
            <w:r>
              <w:rPr>
                <w:color w:val="auto"/>
              </w:rPr>
              <w:t>座旱厕，旱厕委托当地农户定期清理用作农肥</w:t>
            </w:r>
            <w:r>
              <w:rPr>
                <w:rFonts w:hint="eastAsia"/>
                <w:color w:val="auto"/>
                <w:lang w:eastAsia="zh-CN"/>
              </w:rPr>
              <w:t>；</w:t>
            </w:r>
            <w:r>
              <w:rPr>
                <w:rStyle w:val="68"/>
                <w:rFonts w:hint="eastAsia"/>
                <w:color w:val="auto"/>
                <w:lang w:eastAsia="zh-CN"/>
              </w:rPr>
              <w:t>食堂含油废水用泔水桶</w:t>
            </w:r>
            <w:r>
              <w:rPr>
                <w:rStyle w:val="68"/>
                <w:rFonts w:hint="eastAsia"/>
                <w:color w:val="auto"/>
              </w:rPr>
              <w:t>收集</w:t>
            </w:r>
            <w:r>
              <w:rPr>
                <w:rStyle w:val="68"/>
                <w:rFonts w:hint="eastAsia"/>
                <w:color w:val="auto"/>
                <w:lang w:eastAsia="zh-CN"/>
              </w:rPr>
              <w:t>后</w:t>
            </w:r>
            <w:r>
              <w:rPr>
                <w:rStyle w:val="68"/>
                <w:rFonts w:hint="eastAsia"/>
                <w:color w:val="auto"/>
              </w:rPr>
              <w:t>联系当地农户定期挑走用于饲养禽畜</w:t>
            </w:r>
            <w:r>
              <w:rPr>
                <w:rStyle w:val="68"/>
                <w:rFonts w:hint="eastAsia"/>
                <w:color w:val="auto"/>
                <w:lang w:eastAsia="zh-CN"/>
              </w:rPr>
              <w:t>，其他</w:t>
            </w:r>
            <w:r>
              <w:rPr>
                <w:rStyle w:val="68"/>
                <w:rFonts w:hint="eastAsia"/>
                <w:color w:val="auto"/>
              </w:rPr>
              <w:t>生活废水经沉淀处理后，用于项目区洒水降尘，不外排。</w:t>
            </w:r>
          </w:p>
          <w:p w14:paraId="3EBB0D7A">
            <w:pPr>
              <w:ind w:firstLine="480"/>
              <w:rPr>
                <w:rFonts w:hint="eastAsia" w:eastAsia="宋体"/>
                <w:b/>
                <w:bCs/>
                <w:color w:val="auto"/>
                <w:lang w:eastAsia="zh-CN"/>
              </w:rPr>
            </w:pPr>
            <w:r>
              <w:rPr>
                <w:rFonts w:hint="eastAsia"/>
                <w:b/>
                <w:bCs/>
                <w:color w:val="auto"/>
                <w:lang w:val="en-US" w:eastAsia="zh-CN"/>
              </w:rPr>
              <w:t>3</w:t>
            </w:r>
            <w:r>
              <w:rPr>
                <w:rFonts w:hint="eastAsia"/>
                <w:b/>
                <w:bCs/>
                <w:color w:val="auto"/>
                <w:lang w:eastAsia="zh-CN"/>
              </w:rPr>
              <w:t>）</w:t>
            </w:r>
            <w:r>
              <w:rPr>
                <w:b/>
                <w:bCs/>
                <w:color w:val="auto"/>
              </w:rPr>
              <w:t>建筑材料</w:t>
            </w:r>
            <w:r>
              <w:rPr>
                <w:rFonts w:hint="eastAsia"/>
                <w:b/>
                <w:bCs/>
                <w:color w:val="auto"/>
                <w:lang w:eastAsia="zh-CN"/>
              </w:rPr>
              <w:t>洒落对地表水的影响</w:t>
            </w:r>
          </w:p>
          <w:p w14:paraId="6CCBEDB7">
            <w:pPr>
              <w:ind w:firstLine="480"/>
              <w:rPr>
                <w:color w:val="auto"/>
              </w:rPr>
            </w:pPr>
            <w:r>
              <w:rPr>
                <w:color w:val="auto"/>
              </w:rPr>
              <w:t>根据工程设计，本工程共设置</w:t>
            </w:r>
            <w:r>
              <w:rPr>
                <w:rFonts w:hint="eastAsia"/>
                <w:color w:val="auto"/>
                <w:lang w:val="en-US" w:eastAsia="zh-CN"/>
              </w:rPr>
              <w:t>4</w:t>
            </w:r>
            <w:r>
              <w:rPr>
                <w:color w:val="auto"/>
              </w:rPr>
              <w:t>处综合仓库，</w:t>
            </w:r>
            <w:r>
              <w:rPr>
                <w:rFonts w:hint="eastAsia"/>
                <w:color w:val="auto"/>
                <w:lang w:eastAsia="zh-CN"/>
              </w:rPr>
              <w:t>位于</w:t>
            </w:r>
            <w:r>
              <w:rPr>
                <w:color w:val="auto"/>
              </w:rPr>
              <w:t>生产生活区。建筑材料在运输和储存过程中若管理不善则可能会</w:t>
            </w:r>
            <w:r>
              <w:rPr>
                <w:rFonts w:hint="eastAsia"/>
                <w:color w:val="auto"/>
                <w:lang w:eastAsia="zh-CN"/>
              </w:rPr>
              <w:t>洒落</w:t>
            </w:r>
            <w:r>
              <w:rPr>
                <w:color w:val="auto"/>
              </w:rPr>
              <w:t>进入河道对水质造成污染，因此施工期间应当加强仓库的管理和运输车辆的覆盖，防止建筑材料</w:t>
            </w:r>
            <w:r>
              <w:rPr>
                <w:rFonts w:hint="eastAsia"/>
                <w:color w:val="auto"/>
                <w:lang w:eastAsia="zh-CN"/>
              </w:rPr>
              <w:t>洒落</w:t>
            </w:r>
            <w:r>
              <w:rPr>
                <w:color w:val="auto"/>
              </w:rPr>
              <w:t>进入河道。</w:t>
            </w:r>
          </w:p>
          <w:p w14:paraId="466BC084">
            <w:pPr>
              <w:pStyle w:val="36"/>
              <w:bidi w:val="0"/>
              <w:rPr>
                <w:rFonts w:hint="eastAsia"/>
                <w:b/>
                <w:bCs/>
                <w:color w:val="auto"/>
              </w:rPr>
            </w:pPr>
            <w:r>
              <w:rPr>
                <w:rFonts w:hint="eastAsia"/>
                <w:b/>
                <w:bCs/>
                <w:color w:val="auto"/>
                <w:lang w:val="en-US" w:eastAsia="zh-CN"/>
              </w:rPr>
              <w:t>4</w:t>
            </w:r>
            <w:r>
              <w:rPr>
                <w:rFonts w:hint="eastAsia"/>
                <w:b/>
                <w:bCs/>
                <w:color w:val="auto"/>
                <w:lang w:eastAsia="zh-CN"/>
              </w:rPr>
              <w:t>）</w:t>
            </w:r>
            <w:r>
              <w:rPr>
                <w:rFonts w:hint="eastAsia"/>
                <w:b/>
                <w:bCs/>
                <w:color w:val="auto"/>
              </w:rPr>
              <w:t>施工期水文情势影响分析</w:t>
            </w:r>
          </w:p>
          <w:p w14:paraId="641D4FE8">
            <w:pPr>
              <w:pStyle w:val="36"/>
              <w:bidi w:val="0"/>
              <w:rPr>
                <w:rFonts w:hint="eastAsia"/>
                <w:color w:val="auto"/>
              </w:rPr>
            </w:pPr>
            <w:r>
              <w:rPr>
                <w:rFonts w:hint="eastAsia"/>
                <w:color w:val="auto"/>
              </w:rPr>
              <w:t>根据《环境影响评价技术导则地表水环境》(HJ2.3-2018)5.13的相关要求，水文要素影响型建设项目评价因子，应根据建设项目对地表水体水文要素影响的特征确定。</w:t>
            </w:r>
            <w:r>
              <w:rPr>
                <w:rFonts w:hint="eastAsia"/>
                <w:color w:val="auto"/>
                <w:lang w:eastAsia="zh-CN"/>
              </w:rPr>
              <w:t>河流</w:t>
            </w:r>
            <w:r>
              <w:rPr>
                <w:rFonts w:hint="eastAsia"/>
                <w:color w:val="auto"/>
              </w:rPr>
              <w:t>主要评价水面面积、水量、水温、径流过程、水位、水深、流速、水面宽、冲淤变化等因子。</w:t>
            </w:r>
          </w:p>
          <w:p w14:paraId="20E1FDE0">
            <w:pPr>
              <w:ind w:firstLine="480"/>
              <w:rPr>
                <w:rFonts w:hint="eastAsia"/>
                <w:color w:val="auto"/>
              </w:rPr>
            </w:pPr>
            <w:r>
              <w:rPr>
                <w:rFonts w:hint="eastAsia"/>
                <w:color w:val="auto"/>
              </w:rPr>
              <w:t>项目</w:t>
            </w:r>
            <w:r>
              <w:rPr>
                <w:rFonts w:hint="eastAsia"/>
                <w:color w:val="auto"/>
                <w:lang w:eastAsia="zh-CN"/>
              </w:rPr>
              <w:t>治理内容为在原河岸进行防洪堤的建设，不进行清淤。项目施工期间无需施工导流，</w:t>
            </w:r>
            <w:r>
              <w:rPr>
                <w:rFonts w:hint="eastAsia"/>
                <w:color w:val="auto"/>
              </w:rPr>
              <w:t>即项目施工期</w:t>
            </w:r>
            <w:r>
              <w:rPr>
                <w:rFonts w:hint="eastAsia"/>
                <w:color w:val="auto"/>
                <w:lang w:eastAsia="zh-CN"/>
              </w:rPr>
              <w:t>占用</w:t>
            </w:r>
            <w:r>
              <w:rPr>
                <w:rFonts w:hint="eastAsia"/>
                <w:color w:val="auto"/>
              </w:rPr>
              <w:t>水面</w:t>
            </w:r>
            <w:r>
              <w:rPr>
                <w:rFonts w:hint="eastAsia"/>
                <w:color w:val="auto"/>
                <w:lang w:eastAsia="zh-CN"/>
              </w:rPr>
              <w:t>面积很小，</w:t>
            </w:r>
            <w:r>
              <w:rPr>
                <w:rFonts w:hint="eastAsia"/>
                <w:color w:val="auto"/>
              </w:rPr>
              <w:t>施工结束后，</w:t>
            </w:r>
            <w:r>
              <w:rPr>
                <w:rFonts w:hint="eastAsia"/>
                <w:color w:val="auto"/>
                <w:lang w:eastAsia="zh-CN"/>
              </w:rPr>
              <w:t>对临时占地进行恢复</w:t>
            </w:r>
            <w:r>
              <w:rPr>
                <w:rFonts w:hint="eastAsia"/>
                <w:color w:val="auto"/>
              </w:rPr>
              <w:t>，</w:t>
            </w:r>
            <w:r>
              <w:rPr>
                <w:rFonts w:hint="eastAsia"/>
                <w:color w:val="auto"/>
                <w:lang w:eastAsia="zh-CN"/>
              </w:rPr>
              <w:t>项目的建设对河流水面面积</w:t>
            </w:r>
            <w:r>
              <w:rPr>
                <w:rFonts w:hint="eastAsia"/>
                <w:color w:val="auto"/>
              </w:rPr>
              <w:t>、水量、水温、径流过程、水位、水深、流速、水面宽、冲淤变化</w:t>
            </w:r>
            <w:r>
              <w:rPr>
                <w:rFonts w:hint="eastAsia"/>
                <w:color w:val="auto"/>
                <w:lang w:eastAsia="zh-CN"/>
              </w:rPr>
              <w:t>影响不大</w:t>
            </w:r>
            <w:r>
              <w:rPr>
                <w:rFonts w:hint="eastAsia"/>
                <w:color w:val="auto"/>
              </w:rPr>
              <w:t>。</w:t>
            </w:r>
          </w:p>
          <w:p w14:paraId="7FFF4528">
            <w:pPr>
              <w:pStyle w:val="36"/>
              <w:bidi w:val="0"/>
              <w:rPr>
                <w:b/>
                <w:bCs/>
                <w:color w:val="auto"/>
              </w:rPr>
            </w:pPr>
            <w:r>
              <w:rPr>
                <w:rFonts w:hint="eastAsia"/>
                <w:b/>
                <w:bCs/>
                <w:color w:val="auto"/>
                <w:lang w:val="en-US" w:eastAsia="zh-CN"/>
              </w:rPr>
              <w:t>5）</w:t>
            </w:r>
            <w:r>
              <w:rPr>
                <w:rFonts w:hint="eastAsia"/>
                <w:b/>
                <w:bCs/>
                <w:color w:val="auto"/>
              </w:rPr>
              <w:t>涉水施工对地表水体的扰动</w:t>
            </w:r>
          </w:p>
          <w:p w14:paraId="38679EAD">
            <w:pPr>
              <w:pStyle w:val="36"/>
              <w:bidi w:val="0"/>
              <w:rPr>
                <w:rFonts w:hint="eastAsia"/>
                <w:color w:val="auto"/>
              </w:rPr>
            </w:pPr>
            <w:r>
              <w:rPr>
                <w:rFonts w:hint="eastAsia"/>
                <w:color w:val="auto"/>
              </w:rPr>
              <w:t>本工程</w:t>
            </w:r>
            <w:r>
              <w:rPr>
                <w:rFonts w:hint="eastAsia"/>
                <w:color w:val="auto"/>
                <w:lang w:eastAsia="zh-CN"/>
              </w:rPr>
              <w:t>防洪堤的建设涉</w:t>
            </w:r>
            <w:r>
              <w:rPr>
                <w:rFonts w:hint="eastAsia"/>
                <w:color w:val="auto"/>
              </w:rPr>
              <w:t>及涉水施工，涉水施工均采取围堰施工，对围堰内基坑进行排水，由于施工扰动水体，悬浮物</w:t>
            </w:r>
            <w:r>
              <w:rPr>
                <w:color w:val="auto"/>
              </w:rPr>
              <w:t>SS</w:t>
            </w:r>
            <w:r>
              <w:rPr>
                <w:rFonts w:hint="eastAsia"/>
                <w:color w:val="auto"/>
              </w:rPr>
              <w:t>会在短时间内上升，类比同类工程，一般污染物浓度约</w:t>
            </w:r>
            <w:r>
              <w:rPr>
                <w:color w:val="auto"/>
              </w:rPr>
              <w:t>SS2000mg/L</w:t>
            </w:r>
            <w:r>
              <w:rPr>
                <w:rFonts w:hint="eastAsia"/>
                <w:color w:val="auto"/>
              </w:rPr>
              <w:t>，拟在基坑下游设置集水坑，浑浊地表水通过集水坑澄清后，</w:t>
            </w:r>
            <w:r>
              <w:rPr>
                <w:rFonts w:hint="eastAsia"/>
                <w:color w:val="auto"/>
                <w:lang w:eastAsia="zh-CN"/>
              </w:rPr>
              <w:t>抽上清液至下游河道或用做工程施工用水</w:t>
            </w:r>
            <w:r>
              <w:rPr>
                <w:rFonts w:hint="eastAsia"/>
                <w:color w:val="auto"/>
              </w:rPr>
              <w:t>，</w:t>
            </w:r>
            <w:r>
              <w:rPr>
                <w:rFonts w:hint="eastAsia"/>
                <w:color w:val="auto"/>
                <w:lang w:eastAsia="zh-CN"/>
              </w:rPr>
              <w:t>回用不完的部分排至河流下游，</w:t>
            </w:r>
            <w:r>
              <w:rPr>
                <w:rFonts w:hint="eastAsia"/>
                <w:color w:val="auto"/>
              </w:rPr>
              <w:t>可减轻地表水的浑浊度。</w:t>
            </w:r>
          </w:p>
          <w:p w14:paraId="363EC1DC">
            <w:pPr>
              <w:pStyle w:val="36"/>
              <w:numPr>
                <w:ilvl w:val="0"/>
                <w:numId w:val="0"/>
              </w:numPr>
              <w:bidi w:val="0"/>
              <w:ind w:left="0" w:leftChars="0" w:right="0" w:rightChars="0" w:firstLine="482" w:firstLineChars="200"/>
              <w:rPr>
                <w:rFonts w:hint="eastAsia"/>
                <w:b/>
                <w:bCs/>
                <w:color w:val="auto"/>
                <w:lang w:val="en-US" w:eastAsia="zh-CN"/>
              </w:rPr>
            </w:pPr>
            <w:r>
              <w:rPr>
                <w:rFonts w:hint="eastAsia"/>
                <w:b/>
                <w:bCs/>
                <w:color w:val="auto"/>
                <w:lang w:val="en-US" w:eastAsia="zh-CN"/>
              </w:rPr>
              <w:t>6）对工程治理段现有取水设施的影响</w:t>
            </w:r>
          </w:p>
          <w:p w14:paraId="7F42B13A">
            <w:pPr>
              <w:pStyle w:val="36"/>
              <w:bidi w:val="0"/>
              <w:rPr>
                <w:rFonts w:hint="eastAsia" w:eastAsia="宋体"/>
                <w:color w:val="auto"/>
                <w:lang w:val="en-US" w:eastAsia="zh-CN"/>
              </w:rPr>
            </w:pPr>
            <w:r>
              <w:rPr>
                <w:rFonts w:hint="eastAsia"/>
                <w:color w:val="auto"/>
                <w:lang w:val="en-US" w:eastAsia="zh-CN"/>
              </w:rPr>
              <w:t>工程项目区不涉及居民饮用水取水要求，周边村庄饮水安全问题已基本解决，饮水工程大部分是集中供水方式，其水源类型为地下水，可以解决当地人畜安全饮水问题；工程范围河段也没有工业企业，不涉及相关企业的取用水要求。</w:t>
            </w:r>
          </w:p>
          <w:p w14:paraId="16A73E67">
            <w:pPr>
              <w:pStyle w:val="36"/>
              <w:numPr>
                <w:ilvl w:val="0"/>
                <w:numId w:val="0"/>
              </w:numPr>
              <w:bidi w:val="0"/>
              <w:ind w:left="0" w:leftChars="0" w:right="0" w:rightChars="0" w:firstLine="482" w:firstLineChars="200"/>
              <w:rPr>
                <w:b/>
                <w:bCs/>
                <w:color w:val="auto"/>
              </w:rPr>
            </w:pPr>
            <w:r>
              <w:rPr>
                <w:rFonts w:ascii="Times New Roman" w:hAnsi="Times New Roman" w:eastAsia="宋体" w:cs="Times New Roman"/>
                <w:b/>
                <w:bCs/>
                <w:color w:val="auto"/>
                <w:kern w:val="0"/>
                <w:sz w:val="24"/>
                <w:szCs w:val="24"/>
                <w:lang w:val="en-US" w:eastAsia="zh-CN" w:bidi="ar-SA"/>
              </w:rPr>
              <w:t>4、</w:t>
            </w:r>
            <w:r>
              <w:rPr>
                <w:b/>
                <w:bCs/>
                <w:color w:val="auto"/>
              </w:rPr>
              <w:t>声环境影响分析</w:t>
            </w:r>
          </w:p>
          <w:p w14:paraId="11B326B4">
            <w:pPr>
              <w:keepNext w:val="0"/>
              <w:keepLines w:val="0"/>
              <w:suppressLineNumbers w:val="0"/>
              <w:spacing w:before="0" w:beforeAutospacing="0" w:after="0" w:afterAutospacing="0" w:line="360" w:lineRule="auto"/>
              <w:ind w:left="0" w:right="0" w:firstLine="482" w:firstLineChars="200"/>
              <w:rPr>
                <w:rFonts w:hint="default"/>
                <w:b/>
                <w:bCs/>
                <w:color w:val="auto"/>
                <w:sz w:val="24"/>
              </w:rPr>
            </w:pPr>
            <w:r>
              <w:rPr>
                <w:rFonts w:hint="eastAsia"/>
                <w:b/>
                <w:bCs/>
                <w:color w:val="auto"/>
                <w:sz w:val="24"/>
                <w:lang w:eastAsia="zh-CN"/>
              </w:rPr>
              <w:t>（</w:t>
            </w:r>
            <w:r>
              <w:rPr>
                <w:rFonts w:hint="eastAsia"/>
                <w:b/>
                <w:bCs/>
                <w:color w:val="auto"/>
                <w:sz w:val="24"/>
                <w:lang w:val="en-US" w:eastAsia="zh-CN"/>
              </w:rPr>
              <w:t>1</w:t>
            </w:r>
            <w:r>
              <w:rPr>
                <w:rFonts w:hint="eastAsia"/>
                <w:b/>
                <w:bCs/>
                <w:color w:val="auto"/>
                <w:sz w:val="24"/>
                <w:lang w:eastAsia="zh-CN"/>
              </w:rPr>
              <w:t>）</w:t>
            </w:r>
            <w:r>
              <w:rPr>
                <w:rFonts w:hint="default"/>
                <w:b/>
                <w:bCs/>
                <w:color w:val="auto"/>
                <w:sz w:val="24"/>
              </w:rPr>
              <w:t>噪声源强</w:t>
            </w:r>
          </w:p>
          <w:p w14:paraId="471EB3E5">
            <w:pPr>
              <w:pStyle w:val="36"/>
              <w:bidi w:val="0"/>
              <w:rPr>
                <w:rFonts w:hint="default"/>
                <w:color w:val="auto"/>
                <w:sz w:val="24"/>
              </w:rPr>
            </w:pPr>
            <w:r>
              <w:rPr>
                <w:color w:val="auto"/>
              </w:rPr>
              <w:t>本工程在运营期不产生噪声，工程建设对声环境的不利影响主要</w:t>
            </w:r>
            <w:r>
              <w:rPr>
                <w:rFonts w:hint="eastAsia"/>
                <w:color w:val="auto"/>
                <w:lang w:eastAsia="zh-CN"/>
              </w:rPr>
              <w:t>来自</w:t>
            </w:r>
            <w:r>
              <w:rPr>
                <w:color w:val="auto"/>
              </w:rPr>
              <w:t>施工期机械噪声。根据施工设计，本工程使用的主要施工机械有：挖掘机、装载机、推土机、自卸汽车、载重汽车、汽车吊、砼搅拌机、插入式振捣器、自行式振动碾等。</w:t>
            </w:r>
            <w:r>
              <w:rPr>
                <w:rFonts w:hint="eastAsia"/>
                <w:color w:val="auto"/>
                <w:sz w:val="24"/>
              </w:rPr>
              <w:t>项目通过</w:t>
            </w:r>
            <w:r>
              <w:rPr>
                <w:rFonts w:hint="eastAsia"/>
                <w:color w:val="auto"/>
                <w:sz w:val="24"/>
                <w:lang w:eastAsia="zh-CN"/>
              </w:rPr>
              <w:t>在施工营地周围设置围挡</w:t>
            </w:r>
            <w:r>
              <w:rPr>
                <w:rFonts w:hint="default"/>
                <w:color w:val="auto"/>
                <w:sz w:val="24"/>
              </w:rPr>
              <w:t>，</w:t>
            </w:r>
            <w:r>
              <w:rPr>
                <w:rFonts w:hint="eastAsia"/>
                <w:color w:val="auto"/>
                <w:sz w:val="24"/>
              </w:rPr>
              <w:t>同时</w:t>
            </w:r>
            <w:r>
              <w:rPr>
                <w:rFonts w:hint="default"/>
                <w:color w:val="auto"/>
                <w:sz w:val="24"/>
              </w:rPr>
              <w:t>加强管理，高噪声设备尽量不同时使用</w:t>
            </w:r>
            <w:r>
              <w:rPr>
                <w:rFonts w:hint="eastAsia"/>
                <w:color w:val="auto"/>
                <w:sz w:val="24"/>
              </w:rPr>
              <w:t>等措施，来降低设备噪声的影响</w:t>
            </w:r>
            <w:r>
              <w:rPr>
                <w:rFonts w:hint="eastAsia"/>
                <w:color w:val="auto"/>
                <w:sz w:val="24"/>
                <w:lang w:eastAsia="zh-CN"/>
              </w:rPr>
              <w:t>，类比同类项目，加围挡一般噪声减小</w:t>
            </w:r>
            <w:r>
              <w:rPr>
                <w:rFonts w:hint="eastAsia"/>
                <w:color w:val="auto"/>
                <w:sz w:val="24"/>
                <w:lang w:val="en-US" w:eastAsia="zh-CN"/>
              </w:rPr>
              <w:t>10~15dB，本次环评取10dB</w:t>
            </w:r>
            <w:r>
              <w:rPr>
                <w:rFonts w:hint="default"/>
                <w:color w:val="auto"/>
                <w:sz w:val="24"/>
              </w:rPr>
              <w:t>。项目运营期主要噪声源的位置及噪声情况如下：</w:t>
            </w:r>
          </w:p>
          <w:p w14:paraId="574ED9DC">
            <w:pPr>
              <w:pStyle w:val="31"/>
              <w:bidi w:val="0"/>
              <w:rPr>
                <w:rFonts w:hint="eastAsia"/>
                <w:b/>
                <w:bCs/>
                <w:color w:val="auto"/>
                <w:lang w:val="en-US" w:eastAsia="zh-CN"/>
              </w:rPr>
            </w:pPr>
            <w:r>
              <w:rPr>
                <w:rFonts w:hint="eastAsia"/>
                <w:lang w:eastAsia="zh-CN"/>
              </w:rPr>
              <w:t>表</w:t>
            </w:r>
            <w:r>
              <w:rPr>
                <w:rFonts w:hint="eastAsia"/>
                <w:lang w:val="en-US" w:eastAsia="zh-CN"/>
              </w:rPr>
              <w:t>4-2  噪声源强表</w:t>
            </w:r>
          </w:p>
          <w:tbl>
            <w:tblPr>
              <w:tblStyle w:val="23"/>
              <w:tblW w:w="769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566"/>
              <w:gridCol w:w="2566"/>
              <w:gridCol w:w="2566"/>
            </w:tblGrid>
            <w:tr w14:paraId="1EF2C6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6" w:hRule="atLeast"/>
                <w:jc w:val="center"/>
              </w:trPr>
              <w:tc>
                <w:tcPr>
                  <w:tcW w:w="2566" w:type="dxa"/>
                  <w:tcBorders>
                    <w:tl2br w:val="nil"/>
                    <w:tr2bl w:val="nil"/>
                  </w:tcBorders>
                  <w:vAlign w:val="center"/>
                </w:tcPr>
                <w:p w14:paraId="72767ED6">
                  <w:pPr>
                    <w:pStyle w:val="34"/>
                    <w:bidi w:val="0"/>
                    <w:rPr>
                      <w:rFonts w:hint="eastAsia"/>
                      <w:b/>
                      <w:bCs/>
                      <w:color w:val="auto"/>
                      <w:lang w:val="en-US" w:eastAsia="zh-CN"/>
                    </w:rPr>
                  </w:pPr>
                  <w:r>
                    <w:rPr>
                      <w:b/>
                      <w:bCs/>
                      <w:color w:val="auto"/>
                    </w:rPr>
                    <w:t>设备名称</w:t>
                  </w:r>
                </w:p>
              </w:tc>
              <w:tc>
                <w:tcPr>
                  <w:tcW w:w="2566" w:type="dxa"/>
                  <w:tcBorders>
                    <w:tl2br w:val="nil"/>
                    <w:tr2bl w:val="nil"/>
                  </w:tcBorders>
                  <w:vAlign w:val="center"/>
                </w:tcPr>
                <w:p w14:paraId="2D5399E2">
                  <w:pPr>
                    <w:pStyle w:val="34"/>
                    <w:bidi w:val="0"/>
                    <w:rPr>
                      <w:rFonts w:hint="eastAsia"/>
                      <w:b/>
                      <w:bCs/>
                      <w:color w:val="auto"/>
                      <w:lang w:val="en-US" w:eastAsia="zh-CN"/>
                    </w:rPr>
                  </w:pPr>
                  <w:r>
                    <w:rPr>
                      <w:rFonts w:hint="eastAsia"/>
                      <w:b/>
                      <w:bCs/>
                      <w:color w:val="auto"/>
                      <w:lang w:val="en-US" w:eastAsia="zh-CN"/>
                    </w:rPr>
                    <w:t>源强</w:t>
                  </w:r>
                </w:p>
              </w:tc>
              <w:tc>
                <w:tcPr>
                  <w:tcW w:w="2566" w:type="dxa"/>
                  <w:tcBorders>
                    <w:tl2br w:val="nil"/>
                    <w:tr2bl w:val="nil"/>
                  </w:tcBorders>
                  <w:vAlign w:val="center"/>
                </w:tcPr>
                <w:p w14:paraId="6C0C3AAC">
                  <w:pPr>
                    <w:pStyle w:val="34"/>
                    <w:bidi w:val="0"/>
                    <w:rPr>
                      <w:rFonts w:hint="eastAsia"/>
                      <w:b/>
                      <w:bCs/>
                      <w:color w:val="auto"/>
                      <w:lang w:val="en-US" w:eastAsia="zh-CN"/>
                    </w:rPr>
                  </w:pPr>
                  <w:r>
                    <w:rPr>
                      <w:rFonts w:hint="eastAsia"/>
                      <w:b/>
                      <w:bCs/>
                      <w:color w:val="auto"/>
                      <w:lang w:val="en-US" w:eastAsia="zh-CN"/>
                    </w:rPr>
                    <w:t>管理优化后源强</w:t>
                  </w:r>
                </w:p>
              </w:tc>
            </w:tr>
            <w:tr w14:paraId="14CF60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2566" w:type="dxa"/>
                  <w:tcBorders>
                    <w:tl2br w:val="nil"/>
                    <w:tr2bl w:val="nil"/>
                  </w:tcBorders>
                  <w:vAlign w:val="center"/>
                </w:tcPr>
                <w:p w14:paraId="599C0188">
                  <w:pPr>
                    <w:pStyle w:val="34"/>
                    <w:bidi w:val="0"/>
                    <w:ind w:firstLine="0" w:firstLineChars="0"/>
                    <w:rPr>
                      <w:rFonts w:hint="eastAsia"/>
                      <w:color w:val="auto"/>
                      <w:lang w:val="en-US" w:eastAsia="zh-CN"/>
                    </w:rPr>
                  </w:pPr>
                  <w:r>
                    <w:rPr>
                      <w:color w:val="auto"/>
                    </w:rPr>
                    <w:t>挖掘机</w:t>
                  </w:r>
                </w:p>
              </w:tc>
              <w:tc>
                <w:tcPr>
                  <w:tcW w:w="2566" w:type="dxa"/>
                  <w:tcBorders>
                    <w:tl2br w:val="nil"/>
                    <w:tr2bl w:val="nil"/>
                  </w:tcBorders>
                  <w:vAlign w:val="center"/>
                </w:tcPr>
                <w:p w14:paraId="2D0EC0F8">
                  <w:pPr>
                    <w:pStyle w:val="34"/>
                    <w:bidi w:val="0"/>
                    <w:rPr>
                      <w:rFonts w:hint="default"/>
                      <w:color w:val="auto"/>
                      <w:lang w:val="en-US" w:eastAsia="zh-CN"/>
                    </w:rPr>
                  </w:pPr>
                  <w:r>
                    <w:rPr>
                      <w:rFonts w:hint="eastAsia"/>
                      <w:color w:val="auto"/>
                      <w:lang w:val="en-US" w:eastAsia="zh-CN"/>
                    </w:rPr>
                    <w:t>90</w:t>
                  </w:r>
                </w:p>
              </w:tc>
              <w:tc>
                <w:tcPr>
                  <w:tcW w:w="2566" w:type="dxa"/>
                  <w:tcBorders>
                    <w:tl2br w:val="nil"/>
                    <w:tr2bl w:val="nil"/>
                  </w:tcBorders>
                  <w:vAlign w:val="center"/>
                </w:tcPr>
                <w:p w14:paraId="29D8A2B4">
                  <w:pPr>
                    <w:pStyle w:val="34"/>
                    <w:bidi w:val="0"/>
                    <w:rPr>
                      <w:rFonts w:hint="default"/>
                      <w:color w:val="auto"/>
                      <w:lang w:val="en-US" w:eastAsia="zh-CN"/>
                    </w:rPr>
                  </w:pPr>
                  <w:r>
                    <w:rPr>
                      <w:rFonts w:hint="eastAsia"/>
                      <w:color w:val="auto"/>
                      <w:lang w:val="en-US" w:eastAsia="zh-CN"/>
                    </w:rPr>
                    <w:t>80</w:t>
                  </w:r>
                </w:p>
              </w:tc>
            </w:tr>
            <w:tr w14:paraId="388888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2566" w:type="dxa"/>
                  <w:tcBorders>
                    <w:tl2br w:val="nil"/>
                    <w:tr2bl w:val="nil"/>
                  </w:tcBorders>
                  <w:vAlign w:val="center"/>
                </w:tcPr>
                <w:p w14:paraId="4EFEB93F">
                  <w:pPr>
                    <w:pStyle w:val="34"/>
                    <w:bidi w:val="0"/>
                    <w:ind w:firstLine="0" w:firstLineChars="0"/>
                    <w:rPr>
                      <w:rFonts w:hint="eastAsia"/>
                      <w:color w:val="auto"/>
                      <w:lang w:val="en-US" w:eastAsia="zh-CN"/>
                    </w:rPr>
                  </w:pPr>
                  <w:r>
                    <w:rPr>
                      <w:color w:val="auto"/>
                    </w:rPr>
                    <w:t>装载机</w:t>
                  </w:r>
                </w:p>
              </w:tc>
              <w:tc>
                <w:tcPr>
                  <w:tcW w:w="2566" w:type="dxa"/>
                  <w:tcBorders>
                    <w:tl2br w:val="nil"/>
                    <w:tr2bl w:val="nil"/>
                  </w:tcBorders>
                  <w:vAlign w:val="center"/>
                </w:tcPr>
                <w:p w14:paraId="45B36C5D">
                  <w:pPr>
                    <w:pStyle w:val="34"/>
                    <w:bidi w:val="0"/>
                    <w:rPr>
                      <w:rFonts w:hint="default"/>
                      <w:color w:val="auto"/>
                      <w:lang w:val="en-US" w:eastAsia="zh-CN"/>
                    </w:rPr>
                  </w:pPr>
                  <w:r>
                    <w:rPr>
                      <w:rFonts w:hint="eastAsia"/>
                      <w:color w:val="auto"/>
                      <w:lang w:val="en-US" w:eastAsia="zh-CN"/>
                    </w:rPr>
                    <w:t>90</w:t>
                  </w:r>
                </w:p>
              </w:tc>
              <w:tc>
                <w:tcPr>
                  <w:tcW w:w="2566" w:type="dxa"/>
                  <w:tcBorders>
                    <w:tl2br w:val="nil"/>
                    <w:tr2bl w:val="nil"/>
                  </w:tcBorders>
                  <w:vAlign w:val="center"/>
                </w:tcPr>
                <w:p w14:paraId="1587B271">
                  <w:pPr>
                    <w:pStyle w:val="34"/>
                    <w:bidi w:val="0"/>
                    <w:rPr>
                      <w:rFonts w:hint="default"/>
                      <w:color w:val="auto"/>
                      <w:lang w:val="en-US" w:eastAsia="zh-CN"/>
                    </w:rPr>
                  </w:pPr>
                  <w:r>
                    <w:rPr>
                      <w:rFonts w:hint="eastAsia"/>
                      <w:color w:val="auto"/>
                      <w:lang w:val="en-US" w:eastAsia="zh-CN"/>
                    </w:rPr>
                    <w:t>80</w:t>
                  </w:r>
                </w:p>
              </w:tc>
            </w:tr>
            <w:tr w14:paraId="09BE58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2566" w:type="dxa"/>
                  <w:tcBorders>
                    <w:tl2br w:val="nil"/>
                    <w:tr2bl w:val="nil"/>
                  </w:tcBorders>
                  <w:vAlign w:val="center"/>
                </w:tcPr>
                <w:p w14:paraId="24DC8AE4">
                  <w:pPr>
                    <w:pStyle w:val="34"/>
                    <w:bidi w:val="0"/>
                    <w:ind w:firstLine="0" w:firstLineChars="0"/>
                    <w:rPr>
                      <w:rFonts w:hint="eastAsia"/>
                      <w:color w:val="auto"/>
                      <w:lang w:val="en-US" w:eastAsia="zh-CN"/>
                    </w:rPr>
                  </w:pPr>
                  <w:r>
                    <w:rPr>
                      <w:color w:val="auto"/>
                    </w:rPr>
                    <w:t>大型载重车</w:t>
                  </w:r>
                </w:p>
              </w:tc>
              <w:tc>
                <w:tcPr>
                  <w:tcW w:w="2566" w:type="dxa"/>
                  <w:tcBorders>
                    <w:tl2br w:val="nil"/>
                    <w:tr2bl w:val="nil"/>
                  </w:tcBorders>
                  <w:vAlign w:val="center"/>
                </w:tcPr>
                <w:p w14:paraId="3B16E52B">
                  <w:pPr>
                    <w:pStyle w:val="34"/>
                    <w:bidi w:val="0"/>
                    <w:rPr>
                      <w:rFonts w:hint="default"/>
                      <w:color w:val="auto"/>
                      <w:lang w:val="en-US" w:eastAsia="zh-CN"/>
                    </w:rPr>
                  </w:pPr>
                  <w:r>
                    <w:rPr>
                      <w:rFonts w:hint="eastAsia"/>
                      <w:color w:val="auto"/>
                      <w:lang w:val="en-US" w:eastAsia="zh-CN"/>
                    </w:rPr>
                    <w:t>90</w:t>
                  </w:r>
                </w:p>
              </w:tc>
              <w:tc>
                <w:tcPr>
                  <w:tcW w:w="2566" w:type="dxa"/>
                  <w:tcBorders>
                    <w:tl2br w:val="nil"/>
                    <w:tr2bl w:val="nil"/>
                  </w:tcBorders>
                  <w:vAlign w:val="center"/>
                </w:tcPr>
                <w:p w14:paraId="09DBAD2F">
                  <w:pPr>
                    <w:pStyle w:val="34"/>
                    <w:bidi w:val="0"/>
                    <w:rPr>
                      <w:rFonts w:hint="default"/>
                      <w:color w:val="auto"/>
                      <w:lang w:val="en-US" w:eastAsia="zh-CN"/>
                    </w:rPr>
                  </w:pPr>
                  <w:r>
                    <w:rPr>
                      <w:rFonts w:hint="eastAsia"/>
                      <w:color w:val="auto"/>
                      <w:lang w:val="en-US" w:eastAsia="zh-CN"/>
                    </w:rPr>
                    <w:t>80</w:t>
                  </w:r>
                </w:p>
              </w:tc>
            </w:tr>
            <w:tr w14:paraId="129F42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2566" w:type="dxa"/>
                  <w:tcBorders>
                    <w:tl2br w:val="nil"/>
                    <w:tr2bl w:val="nil"/>
                  </w:tcBorders>
                  <w:vAlign w:val="center"/>
                </w:tcPr>
                <w:p w14:paraId="5A9BDC7C">
                  <w:pPr>
                    <w:pStyle w:val="34"/>
                    <w:bidi w:val="0"/>
                    <w:ind w:firstLine="0" w:firstLineChars="0"/>
                    <w:rPr>
                      <w:rFonts w:hint="eastAsia"/>
                      <w:color w:val="auto"/>
                      <w:lang w:val="en-US" w:eastAsia="zh-CN"/>
                    </w:rPr>
                  </w:pPr>
                  <w:r>
                    <w:rPr>
                      <w:color w:val="auto"/>
                    </w:rPr>
                    <w:t>振捣器</w:t>
                  </w:r>
                </w:p>
              </w:tc>
              <w:tc>
                <w:tcPr>
                  <w:tcW w:w="2566" w:type="dxa"/>
                  <w:tcBorders>
                    <w:tl2br w:val="nil"/>
                    <w:tr2bl w:val="nil"/>
                  </w:tcBorders>
                  <w:vAlign w:val="center"/>
                </w:tcPr>
                <w:p w14:paraId="3A39D78B">
                  <w:pPr>
                    <w:pStyle w:val="34"/>
                    <w:bidi w:val="0"/>
                    <w:rPr>
                      <w:rFonts w:hint="default"/>
                      <w:color w:val="auto"/>
                      <w:lang w:val="en-US" w:eastAsia="zh-CN"/>
                    </w:rPr>
                  </w:pPr>
                  <w:r>
                    <w:rPr>
                      <w:rFonts w:hint="eastAsia"/>
                      <w:color w:val="auto"/>
                      <w:lang w:val="en-US" w:eastAsia="zh-CN"/>
                    </w:rPr>
                    <w:t>95</w:t>
                  </w:r>
                </w:p>
              </w:tc>
              <w:tc>
                <w:tcPr>
                  <w:tcW w:w="2566" w:type="dxa"/>
                  <w:tcBorders>
                    <w:tl2br w:val="nil"/>
                    <w:tr2bl w:val="nil"/>
                  </w:tcBorders>
                  <w:vAlign w:val="center"/>
                </w:tcPr>
                <w:p w14:paraId="5F079C9D">
                  <w:pPr>
                    <w:pStyle w:val="34"/>
                    <w:bidi w:val="0"/>
                    <w:rPr>
                      <w:rFonts w:hint="default"/>
                      <w:color w:val="auto"/>
                      <w:lang w:val="en-US" w:eastAsia="zh-CN"/>
                    </w:rPr>
                  </w:pPr>
                  <w:r>
                    <w:rPr>
                      <w:rFonts w:hint="eastAsia"/>
                      <w:color w:val="auto"/>
                      <w:lang w:val="en-US" w:eastAsia="zh-CN"/>
                    </w:rPr>
                    <w:t>85</w:t>
                  </w:r>
                </w:p>
              </w:tc>
            </w:tr>
            <w:tr w14:paraId="410648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2566" w:type="dxa"/>
                  <w:tcBorders>
                    <w:tl2br w:val="nil"/>
                    <w:tr2bl w:val="nil"/>
                  </w:tcBorders>
                  <w:vAlign w:val="center"/>
                </w:tcPr>
                <w:p w14:paraId="269D1D63">
                  <w:pPr>
                    <w:pStyle w:val="34"/>
                    <w:bidi w:val="0"/>
                    <w:ind w:firstLine="0" w:firstLineChars="0"/>
                    <w:rPr>
                      <w:rFonts w:hint="eastAsia"/>
                      <w:color w:val="auto"/>
                      <w:lang w:val="en-US" w:eastAsia="zh-CN"/>
                    </w:rPr>
                  </w:pPr>
                  <w:r>
                    <w:rPr>
                      <w:color w:val="auto"/>
                    </w:rPr>
                    <w:t>空压机</w:t>
                  </w:r>
                </w:p>
              </w:tc>
              <w:tc>
                <w:tcPr>
                  <w:tcW w:w="2566" w:type="dxa"/>
                  <w:tcBorders>
                    <w:tl2br w:val="nil"/>
                    <w:tr2bl w:val="nil"/>
                  </w:tcBorders>
                  <w:vAlign w:val="center"/>
                </w:tcPr>
                <w:p w14:paraId="27A7F5F6">
                  <w:pPr>
                    <w:pStyle w:val="34"/>
                    <w:bidi w:val="0"/>
                    <w:rPr>
                      <w:rFonts w:hint="default"/>
                      <w:color w:val="auto"/>
                      <w:lang w:val="en-US" w:eastAsia="zh-CN"/>
                    </w:rPr>
                  </w:pPr>
                  <w:r>
                    <w:rPr>
                      <w:rFonts w:hint="eastAsia"/>
                      <w:color w:val="auto"/>
                      <w:lang w:val="en-US" w:eastAsia="zh-CN"/>
                    </w:rPr>
                    <w:t>90</w:t>
                  </w:r>
                </w:p>
              </w:tc>
              <w:tc>
                <w:tcPr>
                  <w:tcW w:w="2566" w:type="dxa"/>
                  <w:tcBorders>
                    <w:tl2br w:val="nil"/>
                    <w:tr2bl w:val="nil"/>
                  </w:tcBorders>
                  <w:vAlign w:val="center"/>
                </w:tcPr>
                <w:p w14:paraId="3D07D384">
                  <w:pPr>
                    <w:pStyle w:val="34"/>
                    <w:bidi w:val="0"/>
                    <w:rPr>
                      <w:rFonts w:hint="default"/>
                      <w:color w:val="auto"/>
                      <w:lang w:val="en-US" w:eastAsia="zh-CN"/>
                    </w:rPr>
                  </w:pPr>
                  <w:r>
                    <w:rPr>
                      <w:rFonts w:hint="eastAsia"/>
                      <w:color w:val="auto"/>
                      <w:lang w:val="en-US" w:eastAsia="zh-CN"/>
                    </w:rPr>
                    <w:t>80</w:t>
                  </w:r>
                </w:p>
              </w:tc>
            </w:tr>
            <w:tr w14:paraId="42BDE0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2566" w:type="dxa"/>
                  <w:tcBorders>
                    <w:tl2br w:val="nil"/>
                    <w:tr2bl w:val="nil"/>
                  </w:tcBorders>
                  <w:vAlign w:val="center"/>
                </w:tcPr>
                <w:p w14:paraId="63DF96AD">
                  <w:pPr>
                    <w:pStyle w:val="34"/>
                    <w:bidi w:val="0"/>
                    <w:ind w:firstLine="0" w:firstLineChars="0"/>
                    <w:rPr>
                      <w:rFonts w:hint="eastAsia" w:eastAsia="宋体"/>
                      <w:color w:val="auto"/>
                      <w:lang w:eastAsia="zh-CN"/>
                    </w:rPr>
                  </w:pPr>
                  <w:r>
                    <w:rPr>
                      <w:rFonts w:hint="eastAsia"/>
                      <w:color w:val="auto"/>
                      <w:lang w:eastAsia="zh-CN"/>
                    </w:rPr>
                    <w:t>混凝土搅拌机</w:t>
                  </w:r>
                </w:p>
              </w:tc>
              <w:tc>
                <w:tcPr>
                  <w:tcW w:w="2566" w:type="dxa"/>
                  <w:tcBorders>
                    <w:tl2br w:val="nil"/>
                    <w:tr2bl w:val="nil"/>
                  </w:tcBorders>
                  <w:vAlign w:val="center"/>
                </w:tcPr>
                <w:p w14:paraId="1DDF141D">
                  <w:pPr>
                    <w:pStyle w:val="34"/>
                    <w:bidi w:val="0"/>
                    <w:rPr>
                      <w:rFonts w:hint="default"/>
                      <w:color w:val="auto"/>
                      <w:lang w:val="en-US" w:eastAsia="zh-CN"/>
                    </w:rPr>
                  </w:pPr>
                  <w:r>
                    <w:rPr>
                      <w:rFonts w:hint="eastAsia"/>
                      <w:color w:val="auto"/>
                      <w:lang w:val="en-US" w:eastAsia="zh-CN"/>
                    </w:rPr>
                    <w:t>70</w:t>
                  </w:r>
                </w:p>
              </w:tc>
              <w:tc>
                <w:tcPr>
                  <w:tcW w:w="2566" w:type="dxa"/>
                  <w:tcBorders>
                    <w:tl2br w:val="nil"/>
                    <w:tr2bl w:val="nil"/>
                  </w:tcBorders>
                  <w:vAlign w:val="center"/>
                </w:tcPr>
                <w:p w14:paraId="555F2F8D">
                  <w:pPr>
                    <w:pStyle w:val="34"/>
                    <w:bidi w:val="0"/>
                    <w:rPr>
                      <w:rFonts w:hint="default"/>
                      <w:color w:val="auto"/>
                      <w:lang w:val="en-US" w:eastAsia="zh-CN"/>
                    </w:rPr>
                  </w:pPr>
                  <w:r>
                    <w:rPr>
                      <w:rFonts w:hint="eastAsia"/>
                      <w:color w:val="auto"/>
                      <w:lang w:val="en-US" w:eastAsia="zh-CN"/>
                    </w:rPr>
                    <w:t>60</w:t>
                  </w:r>
                </w:p>
              </w:tc>
            </w:tr>
            <w:tr w14:paraId="37A5EB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2566" w:type="dxa"/>
                  <w:tcBorders>
                    <w:tl2br w:val="nil"/>
                    <w:tr2bl w:val="nil"/>
                  </w:tcBorders>
                  <w:vAlign w:val="center"/>
                </w:tcPr>
                <w:p w14:paraId="6977BC31">
                  <w:pPr>
                    <w:pStyle w:val="34"/>
                    <w:bidi w:val="0"/>
                    <w:ind w:firstLine="0" w:firstLineChars="0"/>
                    <w:rPr>
                      <w:rFonts w:hint="eastAsia"/>
                      <w:color w:val="auto"/>
                      <w:lang w:val="en-US" w:eastAsia="zh-CN"/>
                    </w:rPr>
                  </w:pPr>
                  <w:r>
                    <w:rPr>
                      <w:color w:val="auto"/>
                    </w:rPr>
                    <w:t>电焊机</w:t>
                  </w:r>
                </w:p>
              </w:tc>
              <w:tc>
                <w:tcPr>
                  <w:tcW w:w="2566" w:type="dxa"/>
                  <w:tcBorders>
                    <w:tl2br w:val="nil"/>
                    <w:tr2bl w:val="nil"/>
                  </w:tcBorders>
                  <w:vAlign w:val="center"/>
                </w:tcPr>
                <w:p w14:paraId="530031D5">
                  <w:pPr>
                    <w:pStyle w:val="34"/>
                    <w:bidi w:val="0"/>
                    <w:rPr>
                      <w:rFonts w:hint="default"/>
                      <w:color w:val="auto"/>
                      <w:lang w:val="en-US" w:eastAsia="zh-CN"/>
                    </w:rPr>
                  </w:pPr>
                  <w:r>
                    <w:rPr>
                      <w:rFonts w:hint="eastAsia"/>
                      <w:color w:val="auto"/>
                      <w:lang w:val="en-US" w:eastAsia="zh-CN"/>
                    </w:rPr>
                    <w:t>85</w:t>
                  </w:r>
                </w:p>
              </w:tc>
              <w:tc>
                <w:tcPr>
                  <w:tcW w:w="2566" w:type="dxa"/>
                  <w:tcBorders>
                    <w:tl2br w:val="nil"/>
                    <w:tr2bl w:val="nil"/>
                  </w:tcBorders>
                  <w:vAlign w:val="center"/>
                </w:tcPr>
                <w:p w14:paraId="7A1EAADA">
                  <w:pPr>
                    <w:pStyle w:val="34"/>
                    <w:bidi w:val="0"/>
                    <w:rPr>
                      <w:rFonts w:hint="default"/>
                      <w:color w:val="auto"/>
                      <w:lang w:val="en-US" w:eastAsia="zh-CN"/>
                    </w:rPr>
                  </w:pPr>
                  <w:r>
                    <w:rPr>
                      <w:rFonts w:hint="eastAsia"/>
                      <w:color w:val="auto"/>
                      <w:lang w:val="en-US" w:eastAsia="zh-CN"/>
                    </w:rPr>
                    <w:t>75</w:t>
                  </w:r>
                </w:p>
              </w:tc>
            </w:tr>
            <w:tr w14:paraId="0A0029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2566" w:type="dxa"/>
                  <w:tcBorders>
                    <w:tl2br w:val="nil"/>
                    <w:tr2bl w:val="nil"/>
                  </w:tcBorders>
                  <w:vAlign w:val="center"/>
                </w:tcPr>
                <w:p w14:paraId="135A27DA">
                  <w:pPr>
                    <w:pStyle w:val="34"/>
                    <w:bidi w:val="0"/>
                    <w:ind w:firstLine="0" w:firstLineChars="0"/>
                    <w:rPr>
                      <w:rFonts w:hint="eastAsia"/>
                      <w:color w:val="auto"/>
                      <w:lang w:val="en-US" w:eastAsia="zh-CN"/>
                    </w:rPr>
                  </w:pPr>
                  <w:r>
                    <w:rPr>
                      <w:color w:val="auto"/>
                    </w:rPr>
                    <w:t>中型载重车</w:t>
                  </w:r>
                </w:p>
              </w:tc>
              <w:tc>
                <w:tcPr>
                  <w:tcW w:w="2566" w:type="dxa"/>
                  <w:tcBorders>
                    <w:tl2br w:val="nil"/>
                    <w:tr2bl w:val="nil"/>
                  </w:tcBorders>
                  <w:vAlign w:val="center"/>
                </w:tcPr>
                <w:p w14:paraId="4638CC59">
                  <w:pPr>
                    <w:pStyle w:val="34"/>
                    <w:bidi w:val="0"/>
                    <w:rPr>
                      <w:rFonts w:hint="default"/>
                      <w:color w:val="auto"/>
                      <w:lang w:val="en-US" w:eastAsia="zh-CN"/>
                    </w:rPr>
                  </w:pPr>
                  <w:r>
                    <w:rPr>
                      <w:rFonts w:hint="eastAsia"/>
                      <w:color w:val="auto"/>
                      <w:lang w:val="en-US" w:eastAsia="zh-CN"/>
                    </w:rPr>
                    <w:t>85</w:t>
                  </w:r>
                </w:p>
              </w:tc>
              <w:tc>
                <w:tcPr>
                  <w:tcW w:w="2566" w:type="dxa"/>
                  <w:tcBorders>
                    <w:tl2br w:val="nil"/>
                    <w:tr2bl w:val="nil"/>
                  </w:tcBorders>
                  <w:vAlign w:val="center"/>
                </w:tcPr>
                <w:p w14:paraId="31B02C60">
                  <w:pPr>
                    <w:pStyle w:val="34"/>
                    <w:bidi w:val="0"/>
                    <w:rPr>
                      <w:rFonts w:hint="default"/>
                      <w:color w:val="auto"/>
                      <w:lang w:val="en-US" w:eastAsia="zh-CN"/>
                    </w:rPr>
                  </w:pPr>
                  <w:r>
                    <w:rPr>
                      <w:rFonts w:hint="eastAsia"/>
                      <w:color w:val="auto"/>
                      <w:lang w:val="en-US" w:eastAsia="zh-CN"/>
                    </w:rPr>
                    <w:t>75</w:t>
                  </w:r>
                </w:p>
              </w:tc>
            </w:tr>
          </w:tbl>
          <w:p w14:paraId="63DDDA9F">
            <w:pPr>
              <w:keepNext w:val="0"/>
              <w:keepLines w:val="0"/>
              <w:suppressLineNumbers w:val="0"/>
              <w:spacing w:before="0" w:beforeAutospacing="0" w:after="0" w:afterAutospacing="0" w:line="360" w:lineRule="auto"/>
              <w:ind w:left="0" w:right="0" w:firstLine="482" w:firstLineChars="200"/>
              <w:rPr>
                <w:rFonts w:hint="eastAsia"/>
                <w:b/>
                <w:bCs/>
                <w:color w:val="auto"/>
                <w:sz w:val="24"/>
                <w:lang w:eastAsia="zh-CN"/>
              </w:rPr>
            </w:pPr>
            <w:r>
              <w:rPr>
                <w:rFonts w:hint="eastAsia"/>
                <w:b/>
                <w:bCs/>
                <w:color w:val="auto"/>
                <w:sz w:val="24"/>
                <w:lang w:eastAsia="zh-CN"/>
              </w:rPr>
              <w:t>（</w:t>
            </w:r>
            <w:r>
              <w:rPr>
                <w:rFonts w:hint="eastAsia"/>
                <w:b/>
                <w:bCs/>
                <w:color w:val="auto"/>
                <w:sz w:val="24"/>
                <w:lang w:val="en-US" w:eastAsia="zh-CN"/>
              </w:rPr>
              <w:t>2</w:t>
            </w:r>
            <w:r>
              <w:rPr>
                <w:rFonts w:hint="eastAsia"/>
                <w:b/>
                <w:bCs/>
                <w:color w:val="auto"/>
                <w:sz w:val="24"/>
                <w:lang w:eastAsia="zh-CN"/>
              </w:rPr>
              <w:t>）预测模式及公式</w:t>
            </w:r>
          </w:p>
          <w:p w14:paraId="7F96EDA9">
            <w:pPr>
              <w:keepNext w:val="0"/>
              <w:keepLines w:val="0"/>
              <w:suppressLineNumbers w:val="0"/>
              <w:spacing w:before="0" w:beforeAutospacing="0" w:after="0" w:afterAutospacing="0" w:line="360" w:lineRule="auto"/>
              <w:ind w:left="0" w:right="0" w:firstLine="482" w:firstLineChars="200"/>
              <w:rPr>
                <w:rFonts w:hint="default"/>
                <w:b/>
                <w:bCs/>
                <w:color w:val="auto"/>
                <w:sz w:val="24"/>
              </w:rPr>
            </w:pPr>
            <w:r>
              <w:rPr>
                <w:rFonts w:hint="eastAsia"/>
                <w:b/>
                <w:bCs/>
                <w:color w:val="auto"/>
                <w:sz w:val="24"/>
                <w:lang w:eastAsia="zh-CN"/>
              </w:rPr>
              <w:t>①</w:t>
            </w:r>
            <w:r>
              <w:rPr>
                <w:rFonts w:hint="default"/>
                <w:b/>
                <w:bCs/>
                <w:color w:val="auto"/>
                <w:sz w:val="24"/>
              </w:rPr>
              <w:t>多个室外声源噪声贡献值叠加</w:t>
            </w:r>
          </w:p>
          <w:p w14:paraId="2CA60460">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default"/>
                <w:color w:val="auto"/>
                <w:sz w:val="24"/>
              </w:rPr>
              <w:t>设第i个室外声源在计算点产生的A声级为LAi，在T时间内该声源工作时间为ti；第j个等效室外声源在计算点产生的A声级为LAj，在T时间内该声源 工作时间为tj则计算点的总等效声级为：</w:t>
            </w:r>
          </w:p>
          <w:p w14:paraId="26CCB452">
            <w:pPr>
              <w:keepNext w:val="0"/>
              <w:keepLines w:val="0"/>
              <w:suppressLineNumbers w:val="0"/>
              <w:spacing w:before="0" w:beforeAutospacing="0" w:after="0" w:afterAutospacing="0" w:line="360" w:lineRule="auto"/>
              <w:ind w:left="0" w:right="0" w:firstLine="480" w:firstLineChars="200"/>
              <w:jc w:val="center"/>
              <w:rPr>
                <w:rFonts w:hint="default"/>
                <w:color w:val="auto"/>
                <w:sz w:val="24"/>
              </w:rPr>
            </w:pPr>
            <w:r>
              <w:rPr>
                <w:rFonts w:hint="default"/>
                <w:color w:val="auto"/>
              </w:rPr>
              <w:drawing>
                <wp:inline distT="0" distB="0" distL="114300" distR="114300">
                  <wp:extent cx="3677920" cy="561975"/>
                  <wp:effectExtent l="0" t="0" r="5080" b="9525"/>
                  <wp:docPr id="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pic:cNvPicPr>
                            <a:picLocks noChangeAspect="1"/>
                          </pic:cNvPicPr>
                        </pic:nvPicPr>
                        <pic:blipFill>
                          <a:blip r:embed="rId52"/>
                          <a:stretch>
                            <a:fillRect/>
                          </a:stretch>
                        </pic:blipFill>
                        <pic:spPr>
                          <a:xfrm>
                            <a:off x="0" y="0"/>
                            <a:ext cx="3677920" cy="561975"/>
                          </a:xfrm>
                          <a:prstGeom prst="rect">
                            <a:avLst/>
                          </a:prstGeom>
                          <a:noFill/>
                          <a:ln>
                            <a:noFill/>
                          </a:ln>
                        </pic:spPr>
                      </pic:pic>
                    </a:graphicData>
                  </a:graphic>
                </wp:inline>
              </w:drawing>
            </w:r>
          </w:p>
          <w:p w14:paraId="07E8ECE0">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default"/>
                <w:color w:val="auto"/>
                <w:sz w:val="24"/>
              </w:rPr>
              <w:t>式中：</w:t>
            </w:r>
          </w:p>
          <w:p w14:paraId="6816391C">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default"/>
                <w:color w:val="auto"/>
                <w:sz w:val="24"/>
              </w:rPr>
              <w:t>L</w:t>
            </w:r>
            <w:r>
              <w:rPr>
                <w:rFonts w:hint="default"/>
                <w:color w:val="auto"/>
                <w:sz w:val="24"/>
                <w:vertAlign w:val="subscript"/>
              </w:rPr>
              <w:t>eqg</w:t>
            </w:r>
            <w:r>
              <w:rPr>
                <w:rFonts w:hint="default"/>
                <w:color w:val="auto"/>
                <w:sz w:val="24"/>
              </w:rPr>
              <w:t>—建设项目声源在预测点产生的噪声贡献值，dB；</w:t>
            </w:r>
          </w:p>
          <w:p w14:paraId="38C335D6">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default"/>
                <w:color w:val="auto"/>
                <w:sz w:val="24"/>
              </w:rPr>
              <w:t>T—用于计算等效声级的时间，s；</w:t>
            </w:r>
          </w:p>
          <w:p w14:paraId="3D4C8FD5">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default"/>
                <w:color w:val="auto"/>
                <w:sz w:val="24"/>
              </w:rPr>
              <w:t>N—室外声源个数；</w:t>
            </w:r>
          </w:p>
          <w:p w14:paraId="32FD8EA0">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default"/>
                <w:color w:val="auto"/>
                <w:sz w:val="24"/>
              </w:rPr>
              <w:t>t</w:t>
            </w:r>
            <w:r>
              <w:rPr>
                <w:rFonts w:hint="default"/>
                <w:color w:val="auto"/>
                <w:sz w:val="24"/>
                <w:vertAlign w:val="subscript"/>
              </w:rPr>
              <w:t>i</w:t>
            </w:r>
            <w:r>
              <w:rPr>
                <w:rFonts w:hint="default"/>
                <w:color w:val="auto"/>
                <w:sz w:val="24"/>
              </w:rPr>
              <w:t>—在T时间内i声源的工作时间，s；</w:t>
            </w:r>
          </w:p>
          <w:p w14:paraId="61C6CC5B">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default"/>
                <w:color w:val="auto"/>
                <w:sz w:val="24"/>
              </w:rPr>
              <w:t>M—等效室外声源个数；</w:t>
            </w:r>
          </w:p>
          <w:p w14:paraId="1FDCEAD7">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default"/>
                <w:color w:val="auto"/>
                <w:sz w:val="24"/>
              </w:rPr>
              <w:t>t</w:t>
            </w:r>
            <w:r>
              <w:rPr>
                <w:rFonts w:hint="default"/>
                <w:color w:val="auto"/>
                <w:sz w:val="24"/>
                <w:vertAlign w:val="subscript"/>
              </w:rPr>
              <w:t>j</w:t>
            </w:r>
            <w:r>
              <w:rPr>
                <w:rFonts w:hint="default"/>
                <w:color w:val="auto"/>
                <w:sz w:val="24"/>
              </w:rPr>
              <w:t>—在T时间内j声源的工作时间，s；</w:t>
            </w:r>
          </w:p>
          <w:p w14:paraId="5FA4B9E9">
            <w:pPr>
              <w:keepNext w:val="0"/>
              <w:keepLines w:val="0"/>
              <w:pageBreakBefore w:val="0"/>
              <w:numPr>
                <w:ilvl w:val="0"/>
                <w:numId w:val="0"/>
              </w:numPr>
              <w:kinsoku w:val="0"/>
              <w:wordWrap/>
              <w:overflowPunct/>
              <w:topLinePunct w:val="0"/>
              <w:autoSpaceDE w:val="0"/>
              <w:autoSpaceDN w:val="0"/>
              <w:bidi w:val="0"/>
              <w:adjustRightInd w:val="0"/>
              <w:snapToGrid w:val="0"/>
              <w:spacing w:before="51" w:line="360" w:lineRule="auto"/>
              <w:ind w:left="48" w:leftChars="20" w:firstLine="482" w:firstLineChars="200"/>
              <w:jc w:val="both"/>
              <w:rPr>
                <w:rFonts w:hint="eastAsia" w:ascii="Times New Roman" w:hAnsi="Times New Roman" w:eastAsia="宋体" w:cs="宋体"/>
                <w:b/>
                <w:bCs/>
                <w:color w:val="auto"/>
                <w:spacing w:val="-1"/>
                <w:sz w:val="24"/>
                <w:szCs w:val="24"/>
                <w:lang w:val="en-US" w:eastAsia="zh-CN"/>
              </w:rPr>
            </w:pPr>
            <w:r>
              <w:rPr>
                <w:rFonts w:hint="eastAsia"/>
                <w:b/>
                <w:bCs/>
                <w:color w:val="auto"/>
                <w:sz w:val="24"/>
                <w:lang w:eastAsia="zh-CN"/>
              </w:rPr>
              <w:t>②距离衰减</w:t>
            </w:r>
          </w:p>
          <w:p w14:paraId="588D1003">
            <w:pPr>
              <w:keepNext w:val="0"/>
              <w:keepLines w:val="0"/>
              <w:pageBreakBefore w:val="0"/>
              <w:kinsoku w:val="0"/>
              <w:wordWrap/>
              <w:overflowPunct/>
              <w:topLinePunct w:val="0"/>
              <w:autoSpaceDE w:val="0"/>
              <w:autoSpaceDN w:val="0"/>
              <w:bidi w:val="0"/>
              <w:adjustRightInd w:val="0"/>
              <w:snapToGrid w:val="0"/>
              <w:spacing w:before="51" w:line="360" w:lineRule="auto"/>
              <w:ind w:left="48" w:leftChars="20" w:firstLine="476" w:firstLineChars="200"/>
              <w:jc w:val="both"/>
              <w:rPr>
                <w:rFonts w:hint="eastAsia" w:ascii="Times New Roman" w:hAnsi="Times New Roman" w:eastAsia="宋体" w:cs="宋体"/>
                <w:color w:val="auto"/>
                <w:spacing w:val="-1"/>
                <w:sz w:val="24"/>
                <w:szCs w:val="24"/>
                <w:lang w:val="en-US" w:eastAsia="zh-CN"/>
              </w:rPr>
            </w:pPr>
            <w:r>
              <w:rPr>
                <w:rFonts w:hint="eastAsia" w:ascii="Times New Roman" w:hAnsi="Times New Roman" w:eastAsia="宋体" w:cs="宋体"/>
                <w:color w:val="auto"/>
                <w:spacing w:val="-1"/>
                <w:sz w:val="24"/>
                <w:szCs w:val="24"/>
                <w:lang w:val="en-US" w:eastAsia="zh-CN"/>
              </w:rPr>
              <w:t>施工机械中除各种运输车辆外，一般可视为固定点声源。在不考虑其他因素情况下，不同距离处各类施工机械的噪声贡献值预测模式如下：</w:t>
            </w:r>
          </w:p>
          <w:p w14:paraId="7C188B9D">
            <w:pPr>
              <w:pStyle w:val="21"/>
              <w:keepNext w:val="0"/>
              <w:keepLines w:val="0"/>
              <w:pageBreakBefore w:val="0"/>
              <w:kinsoku w:val="0"/>
              <w:wordWrap/>
              <w:overflowPunct/>
              <w:topLinePunct w:val="0"/>
              <w:autoSpaceDE w:val="0"/>
              <w:autoSpaceDN w:val="0"/>
              <w:bidi w:val="0"/>
              <w:adjustRightInd w:val="0"/>
              <w:snapToGrid w:val="0"/>
              <w:spacing w:line="360" w:lineRule="auto"/>
              <w:ind w:left="48" w:leftChars="20"/>
              <w:jc w:val="center"/>
              <w:rPr>
                <w:rFonts w:hint="default" w:ascii="Times New Roman" w:hAnsi="Times New Roman" w:eastAsia="宋体" w:cs="宋体"/>
                <w:i/>
                <w:iCs/>
                <w:color w:val="auto"/>
                <w:sz w:val="28"/>
                <w:szCs w:val="28"/>
                <w:lang w:val="en-US" w:eastAsia="zh-CN"/>
              </w:rPr>
            </w:pPr>
            <w:r>
              <w:rPr>
                <w:rFonts w:hint="eastAsia" w:ascii="Times New Roman" w:hAnsi="Times New Roman" w:eastAsia="宋体" w:cs="宋体"/>
                <w:i/>
                <w:iCs/>
                <w:color w:val="auto"/>
                <w:sz w:val="28"/>
                <w:szCs w:val="28"/>
                <w:lang w:val="en-US" w:eastAsia="zh-CN"/>
              </w:rPr>
              <w:t>L</w:t>
            </w:r>
            <w:r>
              <w:rPr>
                <w:rFonts w:hint="eastAsia" w:ascii="Times New Roman" w:hAnsi="Times New Roman" w:eastAsia="宋体" w:cs="宋体"/>
                <w:i/>
                <w:iCs/>
                <w:color w:val="auto"/>
                <w:sz w:val="28"/>
                <w:szCs w:val="28"/>
                <w:vertAlign w:val="subscript"/>
                <w:lang w:val="en-US" w:eastAsia="zh-CN"/>
              </w:rPr>
              <w:t>(r)</w:t>
            </w:r>
            <w:r>
              <w:rPr>
                <w:rFonts w:hint="eastAsia" w:ascii="Times New Roman" w:hAnsi="Times New Roman" w:eastAsia="宋体" w:cs="宋体"/>
                <w:i w:val="0"/>
                <w:iCs w:val="0"/>
                <w:color w:val="auto"/>
                <w:sz w:val="28"/>
                <w:szCs w:val="28"/>
                <w:lang w:val="en-US" w:eastAsia="zh-CN"/>
              </w:rPr>
              <w:t>=</w:t>
            </w:r>
            <w:r>
              <w:rPr>
                <w:rFonts w:hint="eastAsia" w:ascii="Times New Roman" w:hAnsi="Times New Roman" w:eastAsia="宋体" w:cs="宋体"/>
                <w:i/>
                <w:iCs/>
                <w:color w:val="auto"/>
                <w:sz w:val="28"/>
                <w:szCs w:val="28"/>
                <w:lang w:val="en-US" w:eastAsia="zh-CN"/>
              </w:rPr>
              <w:t>L</w:t>
            </w:r>
            <w:r>
              <w:rPr>
                <w:rFonts w:hint="eastAsia" w:ascii="Times New Roman" w:hAnsi="Times New Roman" w:eastAsia="宋体" w:cs="宋体"/>
                <w:i/>
                <w:iCs/>
                <w:color w:val="auto"/>
                <w:sz w:val="28"/>
                <w:szCs w:val="28"/>
                <w:vertAlign w:val="subscript"/>
                <w:lang w:val="en-US" w:eastAsia="zh-CN"/>
              </w:rPr>
              <w:t>(r0)</w:t>
            </w:r>
            <w:r>
              <w:rPr>
                <w:rFonts w:hint="eastAsia" w:ascii="Times New Roman" w:hAnsi="Times New Roman" w:eastAsia="宋体" w:cs="宋体"/>
                <w:i w:val="0"/>
                <w:iCs w:val="0"/>
                <w:color w:val="auto"/>
                <w:sz w:val="28"/>
                <w:szCs w:val="28"/>
                <w:lang w:val="en-US" w:eastAsia="zh-CN"/>
              </w:rPr>
              <w:t>-20</w:t>
            </w:r>
            <w:r>
              <w:rPr>
                <w:rFonts w:hint="eastAsia" w:ascii="Times New Roman" w:hAnsi="Times New Roman" w:eastAsia="宋体" w:cs="宋体"/>
                <w:i/>
                <w:iCs/>
                <w:color w:val="auto"/>
                <w:sz w:val="28"/>
                <w:szCs w:val="28"/>
                <w:lang w:val="en-US" w:eastAsia="zh-CN"/>
              </w:rPr>
              <w:t>lg(r/r</w:t>
            </w:r>
            <w:r>
              <w:rPr>
                <w:rFonts w:hint="eastAsia" w:ascii="Times New Roman" w:hAnsi="Times New Roman" w:eastAsia="宋体" w:cs="宋体"/>
                <w:i/>
                <w:iCs/>
                <w:color w:val="auto"/>
                <w:sz w:val="28"/>
                <w:szCs w:val="28"/>
                <w:vertAlign w:val="subscript"/>
                <w:lang w:val="en-US" w:eastAsia="zh-CN"/>
              </w:rPr>
              <w:t>0</w:t>
            </w:r>
            <w:r>
              <w:rPr>
                <w:rFonts w:hint="eastAsia" w:ascii="Times New Roman" w:hAnsi="Times New Roman" w:eastAsia="宋体" w:cs="宋体"/>
                <w:i/>
                <w:iCs/>
                <w:color w:val="auto"/>
                <w:sz w:val="28"/>
                <w:szCs w:val="28"/>
                <w:lang w:val="en-US" w:eastAsia="zh-CN"/>
              </w:rPr>
              <w:t>)</w:t>
            </w:r>
          </w:p>
          <w:p w14:paraId="1823E72E">
            <w:pPr>
              <w:keepNext w:val="0"/>
              <w:keepLines w:val="0"/>
              <w:pageBreakBefore w:val="0"/>
              <w:kinsoku w:val="0"/>
              <w:wordWrap/>
              <w:overflowPunct/>
              <w:topLinePunct w:val="0"/>
              <w:autoSpaceDE w:val="0"/>
              <w:autoSpaceDN w:val="0"/>
              <w:bidi w:val="0"/>
              <w:adjustRightInd w:val="0"/>
              <w:snapToGrid w:val="0"/>
              <w:spacing w:before="51" w:line="360" w:lineRule="auto"/>
              <w:ind w:left="48" w:leftChars="20" w:firstLine="476" w:firstLineChars="200"/>
              <w:jc w:val="both"/>
              <w:rPr>
                <w:rFonts w:hint="eastAsia" w:ascii="Times New Roman" w:hAnsi="Times New Roman" w:eastAsia="宋体" w:cs="宋体"/>
                <w:color w:val="auto"/>
                <w:spacing w:val="-1"/>
                <w:sz w:val="24"/>
                <w:szCs w:val="24"/>
                <w:lang w:val="en-US" w:eastAsia="zh-CN"/>
              </w:rPr>
            </w:pPr>
            <w:r>
              <w:rPr>
                <w:rFonts w:hint="eastAsia" w:ascii="Times New Roman" w:hAnsi="Times New Roman" w:eastAsia="宋体" w:cs="宋体"/>
                <w:color w:val="auto"/>
                <w:spacing w:val="-1"/>
                <w:sz w:val="24"/>
                <w:szCs w:val="24"/>
                <w:lang w:val="en-US" w:eastAsia="zh-CN"/>
              </w:rPr>
              <w:t>式子中，L</w:t>
            </w:r>
            <w:r>
              <w:rPr>
                <w:rFonts w:hint="eastAsia" w:ascii="Times New Roman" w:hAnsi="Times New Roman" w:eastAsia="宋体" w:cs="宋体"/>
                <w:color w:val="auto"/>
                <w:spacing w:val="-1"/>
                <w:sz w:val="24"/>
                <w:szCs w:val="24"/>
                <w:vertAlign w:val="subscript"/>
                <w:lang w:val="en-US" w:eastAsia="zh-CN"/>
              </w:rPr>
              <w:t>(r)</w:t>
            </w:r>
            <w:r>
              <w:rPr>
                <w:rFonts w:hint="eastAsia" w:ascii="Times New Roman" w:hAnsi="Times New Roman" w:eastAsia="宋体" w:cs="宋体"/>
                <w:i w:val="0"/>
                <w:color w:val="auto"/>
                <w:spacing w:val="-1"/>
                <w:sz w:val="24"/>
                <w:szCs w:val="24"/>
                <w:lang w:val="en-US" w:eastAsia="zh-CN"/>
              </w:rPr>
              <w:t>、L</w:t>
            </w:r>
            <w:r>
              <w:rPr>
                <w:rFonts w:hint="eastAsia" w:cs="宋体"/>
                <w:i w:val="0"/>
                <w:color w:val="auto"/>
                <w:spacing w:val="-1"/>
                <w:sz w:val="24"/>
                <w:szCs w:val="24"/>
                <w:vertAlign w:val="subscript"/>
                <w:lang w:val="en-US" w:eastAsia="zh-CN"/>
              </w:rPr>
              <w:t>(</w:t>
            </w:r>
            <w:r>
              <w:rPr>
                <w:rFonts w:hint="eastAsia" w:ascii="Times New Roman" w:hAnsi="Times New Roman" w:eastAsia="宋体" w:cs="宋体"/>
                <w:i w:val="0"/>
                <w:color w:val="auto"/>
                <w:spacing w:val="-1"/>
                <w:sz w:val="24"/>
                <w:szCs w:val="24"/>
                <w:vertAlign w:val="subscript"/>
                <w:lang w:val="en-US" w:eastAsia="zh-CN"/>
              </w:rPr>
              <w:t>R0</w:t>
            </w:r>
            <w:r>
              <w:rPr>
                <w:rFonts w:hint="eastAsia" w:cs="宋体"/>
                <w:i w:val="0"/>
                <w:color w:val="auto"/>
                <w:spacing w:val="-1"/>
                <w:sz w:val="24"/>
                <w:szCs w:val="24"/>
                <w:vertAlign w:val="subscript"/>
                <w:lang w:val="en-US" w:eastAsia="zh-CN"/>
              </w:rPr>
              <w:t>）</w:t>
            </w:r>
            <w:r>
              <w:rPr>
                <w:rFonts w:hint="eastAsia" w:ascii="Times New Roman" w:hAnsi="Times New Roman" w:eastAsia="宋体" w:cs="宋体"/>
                <w:i w:val="0"/>
                <w:color w:val="auto"/>
                <w:spacing w:val="-1"/>
                <w:sz w:val="24"/>
                <w:szCs w:val="24"/>
                <w:lang w:val="en-US" w:eastAsia="zh-CN"/>
              </w:rPr>
              <w:t>为距离声源r、r</w:t>
            </w:r>
            <w:r>
              <w:rPr>
                <w:rFonts w:hint="eastAsia" w:ascii="Times New Roman" w:hAnsi="Times New Roman" w:eastAsia="宋体" w:cs="宋体"/>
                <w:i w:val="0"/>
                <w:color w:val="auto"/>
                <w:spacing w:val="-1"/>
                <w:sz w:val="24"/>
                <w:szCs w:val="24"/>
                <w:vertAlign w:val="subscript"/>
                <w:lang w:val="en-US" w:eastAsia="zh-CN"/>
              </w:rPr>
              <w:t>0</w:t>
            </w:r>
            <w:r>
              <w:rPr>
                <w:rFonts w:hint="eastAsia" w:ascii="Times New Roman" w:hAnsi="Times New Roman" w:eastAsia="宋体" w:cs="宋体"/>
                <w:i w:val="0"/>
                <w:color w:val="auto"/>
                <w:spacing w:val="-1"/>
                <w:sz w:val="24"/>
                <w:szCs w:val="24"/>
                <w:lang w:val="en-US" w:eastAsia="zh-CN"/>
              </w:rPr>
              <w:t>处噪声级，dB(A)；</w:t>
            </w:r>
          </w:p>
          <w:p w14:paraId="3840CBD6">
            <w:pPr>
              <w:pStyle w:val="36"/>
              <w:bidi w:val="0"/>
              <w:rPr>
                <w:rFonts w:hint="default"/>
                <w:color w:val="auto"/>
                <w:lang w:val="en-US" w:eastAsia="zh-CN"/>
              </w:rPr>
            </w:pPr>
            <w:r>
              <w:rPr>
                <w:rFonts w:hint="eastAsia"/>
                <w:color w:val="auto"/>
                <w:lang w:val="en-US" w:eastAsia="zh-CN"/>
              </w:rPr>
              <w:t>预测结果见表4-3。</w:t>
            </w:r>
          </w:p>
          <w:p w14:paraId="595889AA">
            <w:pPr>
              <w:keepNext w:val="0"/>
              <w:keepLines w:val="0"/>
              <w:pageBreakBefore w:val="0"/>
              <w:numPr>
                <w:ilvl w:val="0"/>
                <w:numId w:val="0"/>
              </w:numPr>
              <w:kinsoku w:val="0"/>
              <w:wordWrap/>
              <w:overflowPunct/>
              <w:topLinePunct w:val="0"/>
              <w:autoSpaceDE w:val="0"/>
              <w:autoSpaceDN w:val="0"/>
              <w:bidi w:val="0"/>
              <w:adjustRightInd w:val="0"/>
              <w:snapToGrid w:val="0"/>
              <w:spacing w:before="51" w:line="360" w:lineRule="auto"/>
              <w:ind w:left="48" w:leftChars="20" w:firstLine="482" w:firstLineChars="200"/>
              <w:jc w:val="both"/>
              <w:rPr>
                <w:rFonts w:hint="eastAsia" w:ascii="Times New Roman" w:hAnsi="Times New Roman" w:eastAsia="宋体" w:cs="宋体"/>
                <w:b/>
                <w:bCs/>
                <w:color w:val="auto"/>
                <w:spacing w:val="-1"/>
                <w:sz w:val="24"/>
                <w:szCs w:val="24"/>
                <w:lang w:val="en-US" w:eastAsia="zh-CN"/>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rFonts w:hint="eastAsia" w:ascii="Times New Roman" w:hAnsi="Times New Roman" w:eastAsia="宋体" w:cs="宋体"/>
                <w:b/>
                <w:bCs/>
                <w:color w:val="auto"/>
                <w:spacing w:val="-1"/>
                <w:sz w:val="24"/>
                <w:szCs w:val="24"/>
                <w:lang w:val="en-US" w:eastAsia="zh-CN"/>
              </w:rPr>
              <w:t>影响分析</w:t>
            </w:r>
          </w:p>
          <w:p w14:paraId="4D50E705">
            <w:pPr>
              <w:keepNext w:val="0"/>
              <w:keepLines w:val="0"/>
              <w:pageBreakBefore w:val="0"/>
              <w:kinsoku w:val="0"/>
              <w:wordWrap/>
              <w:overflowPunct/>
              <w:topLinePunct w:val="0"/>
              <w:autoSpaceDE w:val="0"/>
              <w:autoSpaceDN w:val="0"/>
              <w:bidi w:val="0"/>
              <w:adjustRightInd w:val="0"/>
              <w:snapToGrid w:val="0"/>
              <w:spacing w:before="51" w:line="360" w:lineRule="auto"/>
              <w:ind w:left="48" w:leftChars="20" w:firstLine="478" w:firstLineChars="200"/>
              <w:jc w:val="both"/>
              <w:rPr>
                <w:rFonts w:hint="eastAsia" w:ascii="Times New Roman" w:hAnsi="Times New Roman" w:eastAsia="宋体" w:cs="宋体"/>
                <w:b/>
                <w:bCs/>
                <w:color w:val="auto"/>
                <w:spacing w:val="-1"/>
                <w:sz w:val="24"/>
                <w:szCs w:val="24"/>
                <w:lang w:val="en-US" w:eastAsia="zh-CN"/>
              </w:rPr>
            </w:pPr>
            <w:r>
              <w:rPr>
                <w:rFonts w:hint="eastAsia" w:ascii="Times New Roman" w:hAnsi="Times New Roman" w:eastAsia="宋体" w:cs="宋体"/>
                <w:b/>
                <w:bCs/>
                <w:color w:val="auto"/>
                <w:spacing w:val="-1"/>
                <w:sz w:val="24"/>
                <w:szCs w:val="24"/>
                <w:lang w:val="en-US" w:eastAsia="zh-CN"/>
              </w:rPr>
              <w:t>1）</w:t>
            </w:r>
            <w:r>
              <w:rPr>
                <w:rFonts w:hint="eastAsia" w:cs="宋体"/>
                <w:b/>
                <w:bCs/>
                <w:color w:val="auto"/>
                <w:spacing w:val="-1"/>
                <w:sz w:val="24"/>
                <w:szCs w:val="24"/>
                <w:lang w:val="en-US" w:eastAsia="zh-CN"/>
              </w:rPr>
              <w:t>2类声功能区</w:t>
            </w:r>
            <w:r>
              <w:rPr>
                <w:rFonts w:hint="eastAsia" w:ascii="Times New Roman" w:hAnsi="Times New Roman" w:eastAsia="宋体" w:cs="宋体"/>
                <w:b/>
                <w:bCs/>
                <w:color w:val="auto"/>
                <w:spacing w:val="-1"/>
                <w:sz w:val="24"/>
                <w:szCs w:val="24"/>
                <w:lang w:val="en-US" w:eastAsia="zh-CN"/>
              </w:rPr>
              <w:t>声环境影响分析</w:t>
            </w:r>
          </w:p>
          <w:p w14:paraId="3EEB93FB">
            <w:pPr>
              <w:keepNext w:val="0"/>
              <w:keepLines w:val="0"/>
              <w:pageBreakBefore w:val="0"/>
              <w:kinsoku w:val="0"/>
              <w:wordWrap/>
              <w:overflowPunct/>
              <w:topLinePunct w:val="0"/>
              <w:autoSpaceDE w:val="0"/>
              <w:autoSpaceDN w:val="0"/>
              <w:bidi w:val="0"/>
              <w:adjustRightInd w:val="0"/>
              <w:snapToGrid w:val="0"/>
              <w:spacing w:before="51" w:line="360" w:lineRule="auto"/>
              <w:ind w:left="48" w:leftChars="20" w:firstLine="476" w:firstLineChars="200"/>
              <w:jc w:val="both"/>
              <w:rPr>
                <w:rFonts w:hint="eastAsia" w:ascii="Times New Roman" w:hAnsi="Times New Roman" w:eastAsia="宋体" w:cs="宋体"/>
                <w:color w:val="auto"/>
                <w:spacing w:val="-1"/>
                <w:sz w:val="24"/>
                <w:szCs w:val="24"/>
                <w:lang w:val="en-US" w:eastAsia="zh-CN"/>
              </w:rPr>
            </w:pPr>
            <w:r>
              <w:rPr>
                <w:rFonts w:hint="eastAsia" w:ascii="Times New Roman" w:hAnsi="Times New Roman" w:eastAsia="宋体" w:cs="宋体"/>
                <w:color w:val="auto"/>
                <w:spacing w:val="-1"/>
                <w:sz w:val="24"/>
                <w:szCs w:val="24"/>
                <w:lang w:val="en-US" w:eastAsia="zh-CN"/>
              </w:rPr>
              <w:t>施工机械中除各种运输车辆外，一般可视为固定点声源。在不考虑其他因素情况下，不同距离处各类施工机械的噪声贡献值预测模式如下：</w:t>
            </w:r>
          </w:p>
          <w:p w14:paraId="6CA9EA62">
            <w:pPr>
              <w:pStyle w:val="21"/>
              <w:keepNext w:val="0"/>
              <w:keepLines w:val="0"/>
              <w:pageBreakBefore w:val="0"/>
              <w:kinsoku w:val="0"/>
              <w:wordWrap/>
              <w:overflowPunct/>
              <w:topLinePunct w:val="0"/>
              <w:autoSpaceDE w:val="0"/>
              <w:autoSpaceDN w:val="0"/>
              <w:bidi w:val="0"/>
              <w:adjustRightInd w:val="0"/>
              <w:snapToGrid w:val="0"/>
              <w:spacing w:line="360" w:lineRule="auto"/>
              <w:ind w:left="48" w:leftChars="20"/>
              <w:jc w:val="center"/>
              <w:rPr>
                <w:rFonts w:hint="default" w:ascii="Times New Roman" w:hAnsi="Times New Roman" w:eastAsia="宋体" w:cs="宋体"/>
                <w:i/>
                <w:iCs/>
                <w:color w:val="auto"/>
                <w:sz w:val="28"/>
                <w:szCs w:val="28"/>
                <w:lang w:val="en-US" w:eastAsia="zh-CN"/>
              </w:rPr>
            </w:pPr>
            <w:r>
              <w:rPr>
                <w:rFonts w:hint="eastAsia" w:ascii="Times New Roman" w:hAnsi="Times New Roman" w:eastAsia="宋体" w:cs="宋体"/>
                <w:i/>
                <w:iCs/>
                <w:color w:val="auto"/>
                <w:sz w:val="28"/>
                <w:szCs w:val="28"/>
                <w:lang w:val="en-US" w:eastAsia="zh-CN"/>
              </w:rPr>
              <w:t>L</w:t>
            </w:r>
            <w:r>
              <w:rPr>
                <w:rFonts w:hint="eastAsia" w:ascii="Times New Roman" w:hAnsi="Times New Roman" w:eastAsia="宋体" w:cs="宋体"/>
                <w:i/>
                <w:iCs/>
                <w:color w:val="auto"/>
                <w:sz w:val="28"/>
                <w:szCs w:val="28"/>
                <w:vertAlign w:val="subscript"/>
                <w:lang w:val="en-US" w:eastAsia="zh-CN"/>
              </w:rPr>
              <w:t>(r)</w:t>
            </w:r>
            <w:r>
              <w:rPr>
                <w:rFonts w:hint="eastAsia" w:ascii="Times New Roman" w:hAnsi="Times New Roman" w:eastAsia="宋体" w:cs="宋体"/>
                <w:i w:val="0"/>
                <w:iCs w:val="0"/>
                <w:color w:val="auto"/>
                <w:sz w:val="28"/>
                <w:szCs w:val="28"/>
                <w:lang w:val="en-US" w:eastAsia="zh-CN"/>
              </w:rPr>
              <w:t>=</w:t>
            </w:r>
            <w:r>
              <w:rPr>
                <w:rFonts w:hint="eastAsia" w:ascii="Times New Roman" w:hAnsi="Times New Roman" w:eastAsia="宋体" w:cs="宋体"/>
                <w:i/>
                <w:iCs/>
                <w:color w:val="auto"/>
                <w:sz w:val="28"/>
                <w:szCs w:val="28"/>
                <w:lang w:val="en-US" w:eastAsia="zh-CN"/>
              </w:rPr>
              <w:t>L</w:t>
            </w:r>
            <w:r>
              <w:rPr>
                <w:rFonts w:hint="eastAsia" w:ascii="Times New Roman" w:hAnsi="Times New Roman" w:eastAsia="宋体" w:cs="宋体"/>
                <w:i/>
                <w:iCs/>
                <w:color w:val="auto"/>
                <w:sz w:val="28"/>
                <w:szCs w:val="28"/>
                <w:vertAlign w:val="subscript"/>
                <w:lang w:val="en-US" w:eastAsia="zh-CN"/>
              </w:rPr>
              <w:t>(r0)</w:t>
            </w:r>
            <w:r>
              <w:rPr>
                <w:rFonts w:hint="eastAsia" w:ascii="Times New Roman" w:hAnsi="Times New Roman" w:eastAsia="宋体" w:cs="宋体"/>
                <w:i w:val="0"/>
                <w:iCs w:val="0"/>
                <w:color w:val="auto"/>
                <w:sz w:val="28"/>
                <w:szCs w:val="28"/>
                <w:lang w:val="en-US" w:eastAsia="zh-CN"/>
              </w:rPr>
              <w:t>-20</w:t>
            </w:r>
            <w:r>
              <w:rPr>
                <w:rFonts w:hint="eastAsia" w:ascii="Times New Roman" w:hAnsi="Times New Roman" w:eastAsia="宋体" w:cs="宋体"/>
                <w:i/>
                <w:iCs/>
                <w:color w:val="auto"/>
                <w:sz w:val="28"/>
                <w:szCs w:val="28"/>
                <w:lang w:val="en-US" w:eastAsia="zh-CN"/>
              </w:rPr>
              <w:t>lg(r/r</w:t>
            </w:r>
            <w:r>
              <w:rPr>
                <w:rFonts w:hint="eastAsia" w:ascii="Times New Roman" w:hAnsi="Times New Roman" w:eastAsia="宋体" w:cs="宋体"/>
                <w:i/>
                <w:iCs/>
                <w:color w:val="auto"/>
                <w:sz w:val="28"/>
                <w:szCs w:val="28"/>
                <w:vertAlign w:val="subscript"/>
                <w:lang w:val="en-US" w:eastAsia="zh-CN"/>
              </w:rPr>
              <w:t>0</w:t>
            </w:r>
            <w:r>
              <w:rPr>
                <w:rFonts w:hint="eastAsia" w:ascii="Times New Roman" w:hAnsi="Times New Roman" w:eastAsia="宋体" w:cs="宋体"/>
                <w:i/>
                <w:iCs/>
                <w:color w:val="auto"/>
                <w:sz w:val="28"/>
                <w:szCs w:val="28"/>
                <w:lang w:val="en-US" w:eastAsia="zh-CN"/>
              </w:rPr>
              <w:t>)</w:t>
            </w:r>
          </w:p>
          <w:p w14:paraId="2ED7276A">
            <w:pPr>
              <w:keepNext w:val="0"/>
              <w:keepLines w:val="0"/>
              <w:pageBreakBefore w:val="0"/>
              <w:kinsoku w:val="0"/>
              <w:wordWrap/>
              <w:overflowPunct/>
              <w:topLinePunct w:val="0"/>
              <w:autoSpaceDE w:val="0"/>
              <w:autoSpaceDN w:val="0"/>
              <w:bidi w:val="0"/>
              <w:adjustRightInd w:val="0"/>
              <w:snapToGrid w:val="0"/>
              <w:spacing w:before="51" w:line="360" w:lineRule="auto"/>
              <w:ind w:left="48" w:leftChars="20" w:firstLine="476" w:firstLineChars="200"/>
              <w:jc w:val="both"/>
              <w:rPr>
                <w:rFonts w:hint="eastAsia" w:ascii="Times New Roman" w:hAnsi="Times New Roman" w:eastAsia="宋体" w:cs="宋体"/>
                <w:color w:val="auto"/>
                <w:spacing w:val="-1"/>
                <w:sz w:val="24"/>
                <w:szCs w:val="24"/>
                <w:lang w:val="en-US" w:eastAsia="zh-CN"/>
              </w:rPr>
            </w:pPr>
            <w:r>
              <w:rPr>
                <w:rFonts w:hint="eastAsia" w:ascii="Times New Roman" w:hAnsi="Times New Roman" w:eastAsia="宋体" w:cs="宋体"/>
                <w:color w:val="auto"/>
                <w:spacing w:val="-1"/>
                <w:sz w:val="24"/>
                <w:szCs w:val="24"/>
                <w:lang w:val="en-US" w:eastAsia="zh-CN"/>
              </w:rPr>
              <w:t>式子中，L</w:t>
            </w:r>
            <w:r>
              <w:rPr>
                <w:rFonts w:hint="eastAsia" w:ascii="Times New Roman" w:hAnsi="Times New Roman" w:eastAsia="宋体" w:cs="宋体"/>
                <w:color w:val="auto"/>
                <w:spacing w:val="-1"/>
                <w:sz w:val="24"/>
                <w:szCs w:val="24"/>
                <w:vertAlign w:val="subscript"/>
                <w:lang w:val="en-US" w:eastAsia="zh-CN"/>
              </w:rPr>
              <w:t>(r)</w:t>
            </w:r>
            <w:r>
              <w:rPr>
                <w:rFonts w:hint="eastAsia" w:ascii="Times New Roman" w:hAnsi="Times New Roman" w:eastAsia="宋体" w:cs="宋体"/>
                <w:i w:val="0"/>
                <w:color w:val="auto"/>
                <w:spacing w:val="-1"/>
                <w:sz w:val="24"/>
                <w:szCs w:val="24"/>
                <w:lang w:val="en-US" w:eastAsia="zh-CN"/>
              </w:rPr>
              <w:t>、L</w:t>
            </w:r>
            <w:r>
              <w:rPr>
                <w:rFonts w:hint="eastAsia" w:cs="宋体"/>
                <w:i w:val="0"/>
                <w:color w:val="auto"/>
                <w:spacing w:val="-1"/>
                <w:sz w:val="24"/>
                <w:szCs w:val="24"/>
                <w:vertAlign w:val="subscript"/>
                <w:lang w:val="en-US" w:eastAsia="zh-CN"/>
              </w:rPr>
              <w:t>(</w:t>
            </w:r>
            <w:r>
              <w:rPr>
                <w:rFonts w:hint="eastAsia" w:ascii="Times New Roman" w:hAnsi="Times New Roman" w:eastAsia="宋体" w:cs="宋体"/>
                <w:i w:val="0"/>
                <w:color w:val="auto"/>
                <w:spacing w:val="-1"/>
                <w:sz w:val="24"/>
                <w:szCs w:val="24"/>
                <w:vertAlign w:val="subscript"/>
                <w:lang w:val="en-US" w:eastAsia="zh-CN"/>
              </w:rPr>
              <w:t>R0</w:t>
            </w:r>
            <w:r>
              <w:rPr>
                <w:rFonts w:hint="eastAsia" w:cs="宋体"/>
                <w:i w:val="0"/>
                <w:color w:val="auto"/>
                <w:spacing w:val="-1"/>
                <w:sz w:val="24"/>
                <w:szCs w:val="24"/>
                <w:vertAlign w:val="subscript"/>
                <w:lang w:val="en-US" w:eastAsia="zh-CN"/>
              </w:rPr>
              <w:t>）</w:t>
            </w:r>
            <w:r>
              <w:rPr>
                <w:rFonts w:hint="eastAsia" w:ascii="Times New Roman" w:hAnsi="Times New Roman" w:eastAsia="宋体" w:cs="宋体"/>
                <w:i w:val="0"/>
                <w:color w:val="auto"/>
                <w:spacing w:val="-1"/>
                <w:sz w:val="24"/>
                <w:szCs w:val="24"/>
                <w:lang w:val="en-US" w:eastAsia="zh-CN"/>
              </w:rPr>
              <w:t>为距离声源r、r</w:t>
            </w:r>
            <w:r>
              <w:rPr>
                <w:rFonts w:hint="eastAsia" w:ascii="Times New Roman" w:hAnsi="Times New Roman" w:eastAsia="宋体" w:cs="宋体"/>
                <w:i w:val="0"/>
                <w:color w:val="auto"/>
                <w:spacing w:val="-1"/>
                <w:sz w:val="24"/>
                <w:szCs w:val="24"/>
                <w:vertAlign w:val="subscript"/>
                <w:lang w:val="en-US" w:eastAsia="zh-CN"/>
              </w:rPr>
              <w:t>0</w:t>
            </w:r>
            <w:r>
              <w:rPr>
                <w:rFonts w:hint="eastAsia" w:ascii="Times New Roman" w:hAnsi="Times New Roman" w:eastAsia="宋体" w:cs="宋体"/>
                <w:i w:val="0"/>
                <w:color w:val="auto"/>
                <w:spacing w:val="-1"/>
                <w:sz w:val="24"/>
                <w:szCs w:val="24"/>
                <w:lang w:val="en-US" w:eastAsia="zh-CN"/>
              </w:rPr>
              <w:t>处噪声级，dB(A)；</w:t>
            </w:r>
          </w:p>
          <w:p w14:paraId="398AA256">
            <w:pPr>
              <w:pStyle w:val="36"/>
              <w:bidi w:val="0"/>
              <w:rPr>
                <w:rFonts w:hint="default"/>
                <w:color w:val="auto"/>
                <w:lang w:val="en-US" w:eastAsia="zh-CN"/>
              </w:rPr>
            </w:pPr>
            <w:r>
              <w:rPr>
                <w:rFonts w:hint="eastAsia"/>
                <w:color w:val="auto"/>
                <w:lang w:val="en-US" w:eastAsia="zh-CN"/>
              </w:rPr>
              <w:t>预测结果见表4-2。</w:t>
            </w:r>
          </w:p>
          <w:p w14:paraId="3EF57507">
            <w:pPr>
              <w:pStyle w:val="31"/>
              <w:bidi w:val="0"/>
              <w:rPr>
                <w:rFonts w:hint="eastAsia"/>
                <w:color w:val="auto"/>
                <w:lang w:val="en-US" w:eastAsia="zh-CN"/>
              </w:rPr>
            </w:pPr>
            <w:r>
              <w:rPr>
                <w:rFonts w:hint="eastAsia"/>
                <w:color w:val="auto"/>
                <w:lang w:eastAsia="zh-CN"/>
              </w:rPr>
              <w:t>表</w:t>
            </w:r>
            <w:r>
              <w:rPr>
                <w:rFonts w:hint="eastAsia"/>
                <w:color w:val="auto"/>
                <w:lang w:val="en-US" w:eastAsia="zh-CN"/>
              </w:rPr>
              <w:t xml:space="preserve">4-3  </w:t>
            </w:r>
            <w:r>
              <w:rPr>
                <w:color w:val="auto"/>
              </w:rPr>
              <w:t>噪声源随距离衰减情况一览表</w:t>
            </w:r>
          </w:p>
          <w:tbl>
            <w:tblPr>
              <w:tblStyle w:val="23"/>
              <w:tblW w:w="80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1"/>
              <w:gridCol w:w="731"/>
              <w:gridCol w:w="731"/>
              <w:gridCol w:w="731"/>
              <w:gridCol w:w="731"/>
              <w:gridCol w:w="731"/>
              <w:gridCol w:w="731"/>
              <w:gridCol w:w="731"/>
              <w:gridCol w:w="731"/>
              <w:gridCol w:w="731"/>
              <w:gridCol w:w="732"/>
            </w:tblGrid>
            <w:tr w14:paraId="5A0B2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31" w:type="dxa"/>
                  <w:vMerge w:val="restart"/>
                  <w:vAlign w:val="center"/>
                </w:tcPr>
                <w:p w14:paraId="1F76F48E">
                  <w:pPr>
                    <w:pStyle w:val="34"/>
                    <w:bidi w:val="0"/>
                    <w:rPr>
                      <w:rFonts w:hint="eastAsia"/>
                      <w:b/>
                      <w:bCs/>
                      <w:color w:val="auto"/>
                      <w:lang w:val="en-US" w:eastAsia="zh-CN"/>
                    </w:rPr>
                  </w:pPr>
                  <w:r>
                    <w:rPr>
                      <w:b/>
                      <w:bCs/>
                      <w:color w:val="auto"/>
                    </w:rPr>
                    <w:t>设备名称</w:t>
                  </w:r>
                </w:p>
              </w:tc>
              <w:tc>
                <w:tcPr>
                  <w:tcW w:w="731" w:type="dxa"/>
                  <w:vMerge w:val="restart"/>
                  <w:vAlign w:val="center"/>
                </w:tcPr>
                <w:p w14:paraId="4A52A862">
                  <w:pPr>
                    <w:pStyle w:val="34"/>
                    <w:bidi w:val="0"/>
                    <w:rPr>
                      <w:rFonts w:hint="eastAsia"/>
                      <w:b/>
                      <w:bCs/>
                      <w:color w:val="auto"/>
                      <w:lang w:val="en-US" w:eastAsia="zh-CN"/>
                    </w:rPr>
                  </w:pPr>
                  <w:r>
                    <w:rPr>
                      <w:rFonts w:hint="eastAsia"/>
                      <w:b/>
                      <w:bCs/>
                      <w:color w:val="auto"/>
                      <w:lang w:val="en-US" w:eastAsia="zh-CN"/>
                    </w:rPr>
                    <w:t>源强</w:t>
                  </w:r>
                </w:p>
              </w:tc>
              <w:tc>
                <w:tcPr>
                  <w:tcW w:w="6580" w:type="dxa"/>
                  <w:gridSpan w:val="9"/>
                  <w:vAlign w:val="center"/>
                </w:tcPr>
                <w:p w14:paraId="1F623065">
                  <w:pPr>
                    <w:pStyle w:val="34"/>
                    <w:bidi w:val="0"/>
                    <w:rPr>
                      <w:rFonts w:hint="eastAsia"/>
                      <w:b/>
                      <w:bCs/>
                      <w:color w:val="auto"/>
                      <w:lang w:val="en-US" w:eastAsia="zh-CN"/>
                    </w:rPr>
                  </w:pPr>
                  <w:r>
                    <w:rPr>
                      <w:b/>
                      <w:bCs/>
                      <w:color w:val="auto"/>
                    </w:rPr>
                    <w:t>噪声源不同距离噪声值</w:t>
                  </w:r>
                </w:p>
              </w:tc>
            </w:tr>
            <w:tr w14:paraId="5084D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1" w:type="dxa"/>
                  <w:vMerge w:val="continue"/>
                  <w:vAlign w:val="center"/>
                </w:tcPr>
                <w:p w14:paraId="48348989">
                  <w:pPr>
                    <w:pStyle w:val="34"/>
                    <w:bidi w:val="0"/>
                    <w:rPr>
                      <w:rFonts w:hint="eastAsia"/>
                      <w:b/>
                      <w:bCs/>
                      <w:color w:val="auto"/>
                      <w:lang w:val="en-US" w:eastAsia="zh-CN"/>
                    </w:rPr>
                  </w:pPr>
                </w:p>
              </w:tc>
              <w:tc>
                <w:tcPr>
                  <w:tcW w:w="731" w:type="dxa"/>
                  <w:vMerge w:val="continue"/>
                  <w:vAlign w:val="center"/>
                </w:tcPr>
                <w:p w14:paraId="07160DDD">
                  <w:pPr>
                    <w:pStyle w:val="34"/>
                    <w:bidi w:val="0"/>
                    <w:rPr>
                      <w:rFonts w:hint="eastAsia"/>
                      <w:b/>
                      <w:bCs/>
                      <w:color w:val="auto"/>
                      <w:lang w:val="en-US" w:eastAsia="zh-CN"/>
                    </w:rPr>
                  </w:pPr>
                </w:p>
              </w:tc>
              <w:tc>
                <w:tcPr>
                  <w:tcW w:w="731" w:type="dxa"/>
                  <w:vAlign w:val="center"/>
                </w:tcPr>
                <w:p w14:paraId="69D818AA">
                  <w:pPr>
                    <w:pStyle w:val="34"/>
                    <w:bidi w:val="0"/>
                    <w:rPr>
                      <w:rFonts w:hint="eastAsia"/>
                      <w:b/>
                      <w:bCs/>
                      <w:color w:val="auto"/>
                      <w:lang w:val="en-US" w:eastAsia="zh-CN"/>
                    </w:rPr>
                  </w:pPr>
                  <w:r>
                    <w:rPr>
                      <w:b/>
                      <w:bCs/>
                      <w:color w:val="auto"/>
                    </w:rPr>
                    <w:t>5m</w:t>
                  </w:r>
                </w:p>
              </w:tc>
              <w:tc>
                <w:tcPr>
                  <w:tcW w:w="731" w:type="dxa"/>
                  <w:vAlign w:val="center"/>
                </w:tcPr>
                <w:p w14:paraId="22E6BDBC">
                  <w:pPr>
                    <w:pStyle w:val="34"/>
                    <w:bidi w:val="0"/>
                    <w:rPr>
                      <w:rFonts w:hint="eastAsia"/>
                      <w:b/>
                      <w:bCs/>
                      <w:color w:val="auto"/>
                      <w:lang w:val="en-US" w:eastAsia="zh-CN"/>
                    </w:rPr>
                  </w:pPr>
                  <w:r>
                    <w:rPr>
                      <w:b/>
                      <w:bCs/>
                      <w:color w:val="auto"/>
                    </w:rPr>
                    <w:t>10m</w:t>
                  </w:r>
                </w:p>
              </w:tc>
              <w:tc>
                <w:tcPr>
                  <w:tcW w:w="731" w:type="dxa"/>
                  <w:vAlign w:val="center"/>
                </w:tcPr>
                <w:p w14:paraId="1615340D">
                  <w:pPr>
                    <w:pStyle w:val="34"/>
                    <w:bidi w:val="0"/>
                    <w:rPr>
                      <w:rFonts w:hint="eastAsia"/>
                      <w:b/>
                      <w:bCs/>
                      <w:color w:val="auto"/>
                      <w:lang w:val="en-US" w:eastAsia="zh-CN"/>
                    </w:rPr>
                  </w:pPr>
                  <w:r>
                    <w:rPr>
                      <w:b/>
                      <w:bCs/>
                      <w:color w:val="auto"/>
                    </w:rPr>
                    <w:t>20m</w:t>
                  </w:r>
                </w:p>
              </w:tc>
              <w:tc>
                <w:tcPr>
                  <w:tcW w:w="731" w:type="dxa"/>
                  <w:vAlign w:val="center"/>
                </w:tcPr>
                <w:p w14:paraId="2CEF459F">
                  <w:pPr>
                    <w:pStyle w:val="34"/>
                    <w:bidi w:val="0"/>
                    <w:rPr>
                      <w:rFonts w:hint="eastAsia"/>
                      <w:b/>
                      <w:bCs/>
                      <w:color w:val="auto"/>
                      <w:lang w:val="en-US" w:eastAsia="zh-CN"/>
                    </w:rPr>
                  </w:pPr>
                  <w:r>
                    <w:rPr>
                      <w:b/>
                      <w:bCs/>
                      <w:color w:val="auto"/>
                    </w:rPr>
                    <w:t>30m</w:t>
                  </w:r>
                </w:p>
              </w:tc>
              <w:tc>
                <w:tcPr>
                  <w:tcW w:w="731" w:type="dxa"/>
                  <w:vAlign w:val="center"/>
                </w:tcPr>
                <w:p w14:paraId="0181223E">
                  <w:pPr>
                    <w:pStyle w:val="34"/>
                    <w:bidi w:val="0"/>
                    <w:rPr>
                      <w:rFonts w:hint="eastAsia"/>
                      <w:b/>
                      <w:bCs/>
                      <w:color w:val="auto"/>
                      <w:lang w:val="en-US" w:eastAsia="zh-CN"/>
                    </w:rPr>
                  </w:pPr>
                  <w:r>
                    <w:rPr>
                      <w:b/>
                      <w:bCs/>
                      <w:color w:val="auto"/>
                    </w:rPr>
                    <w:t>40m</w:t>
                  </w:r>
                </w:p>
              </w:tc>
              <w:tc>
                <w:tcPr>
                  <w:tcW w:w="731" w:type="dxa"/>
                  <w:vAlign w:val="center"/>
                </w:tcPr>
                <w:p w14:paraId="6753E2A3">
                  <w:pPr>
                    <w:pStyle w:val="34"/>
                    <w:bidi w:val="0"/>
                    <w:rPr>
                      <w:rFonts w:hint="eastAsia"/>
                      <w:b/>
                      <w:bCs/>
                      <w:color w:val="auto"/>
                      <w:lang w:val="en-US" w:eastAsia="zh-CN"/>
                    </w:rPr>
                  </w:pPr>
                  <w:r>
                    <w:rPr>
                      <w:b/>
                      <w:bCs/>
                      <w:color w:val="auto"/>
                    </w:rPr>
                    <w:t>50m</w:t>
                  </w:r>
                </w:p>
              </w:tc>
              <w:tc>
                <w:tcPr>
                  <w:tcW w:w="731" w:type="dxa"/>
                  <w:vAlign w:val="center"/>
                </w:tcPr>
                <w:p w14:paraId="11BCB4FD">
                  <w:pPr>
                    <w:pStyle w:val="34"/>
                    <w:bidi w:val="0"/>
                    <w:rPr>
                      <w:rFonts w:hint="eastAsia"/>
                      <w:b/>
                      <w:bCs/>
                      <w:color w:val="auto"/>
                      <w:lang w:val="en-US" w:eastAsia="zh-CN"/>
                    </w:rPr>
                  </w:pPr>
                  <w:r>
                    <w:rPr>
                      <w:b/>
                      <w:bCs/>
                      <w:color w:val="auto"/>
                    </w:rPr>
                    <w:t>100m</w:t>
                  </w:r>
                </w:p>
              </w:tc>
              <w:tc>
                <w:tcPr>
                  <w:tcW w:w="731" w:type="dxa"/>
                  <w:vAlign w:val="center"/>
                </w:tcPr>
                <w:p w14:paraId="2BAEB671">
                  <w:pPr>
                    <w:pStyle w:val="34"/>
                    <w:bidi w:val="0"/>
                    <w:rPr>
                      <w:rFonts w:hint="eastAsia"/>
                      <w:b/>
                      <w:bCs/>
                      <w:color w:val="auto"/>
                      <w:lang w:val="en-US" w:eastAsia="zh-CN"/>
                    </w:rPr>
                  </w:pPr>
                  <w:r>
                    <w:rPr>
                      <w:b/>
                      <w:bCs/>
                      <w:color w:val="auto"/>
                    </w:rPr>
                    <w:t>150m</w:t>
                  </w:r>
                </w:p>
              </w:tc>
              <w:tc>
                <w:tcPr>
                  <w:tcW w:w="732" w:type="dxa"/>
                  <w:vAlign w:val="center"/>
                </w:tcPr>
                <w:p w14:paraId="6B993D2E">
                  <w:pPr>
                    <w:pStyle w:val="34"/>
                    <w:bidi w:val="0"/>
                    <w:rPr>
                      <w:rFonts w:hint="eastAsia"/>
                      <w:b/>
                      <w:bCs/>
                      <w:color w:val="auto"/>
                      <w:lang w:val="en-US" w:eastAsia="zh-CN"/>
                    </w:rPr>
                  </w:pPr>
                  <w:r>
                    <w:rPr>
                      <w:b/>
                      <w:bCs/>
                      <w:color w:val="auto"/>
                    </w:rPr>
                    <w:t>200m</w:t>
                  </w:r>
                </w:p>
              </w:tc>
            </w:tr>
            <w:tr w14:paraId="64FF1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1" w:type="dxa"/>
                  <w:vAlign w:val="center"/>
                </w:tcPr>
                <w:p w14:paraId="04E7AADE">
                  <w:pPr>
                    <w:pStyle w:val="34"/>
                    <w:bidi w:val="0"/>
                    <w:ind w:firstLine="0" w:firstLineChars="0"/>
                    <w:rPr>
                      <w:rFonts w:hint="eastAsia"/>
                      <w:color w:val="auto"/>
                      <w:lang w:val="en-US" w:eastAsia="zh-CN"/>
                    </w:rPr>
                  </w:pPr>
                  <w:r>
                    <w:rPr>
                      <w:color w:val="auto"/>
                    </w:rPr>
                    <w:t>挖掘机</w:t>
                  </w:r>
                </w:p>
              </w:tc>
              <w:tc>
                <w:tcPr>
                  <w:tcW w:w="731" w:type="dxa"/>
                  <w:vAlign w:val="center"/>
                </w:tcPr>
                <w:p w14:paraId="2CFA455A">
                  <w:pPr>
                    <w:pStyle w:val="34"/>
                    <w:bidi w:val="0"/>
                    <w:rPr>
                      <w:rFonts w:hint="default"/>
                      <w:color w:val="auto"/>
                      <w:lang w:val="en-US" w:eastAsia="zh-CN"/>
                    </w:rPr>
                  </w:pPr>
                  <w:r>
                    <w:rPr>
                      <w:rFonts w:hint="eastAsia"/>
                      <w:color w:val="auto"/>
                      <w:lang w:val="en-US" w:eastAsia="zh-CN"/>
                    </w:rPr>
                    <w:t>90</w:t>
                  </w:r>
                </w:p>
              </w:tc>
              <w:tc>
                <w:tcPr>
                  <w:tcW w:w="731" w:type="dxa"/>
                  <w:vAlign w:val="center"/>
                </w:tcPr>
                <w:p w14:paraId="00B552B4">
                  <w:pPr>
                    <w:pStyle w:val="34"/>
                    <w:bidi w:val="0"/>
                    <w:rPr>
                      <w:rFonts w:hint="default"/>
                      <w:color w:val="auto"/>
                      <w:lang w:val="en-US" w:eastAsia="zh-CN"/>
                    </w:rPr>
                  </w:pPr>
                  <w:r>
                    <w:rPr>
                      <w:rFonts w:hint="eastAsia"/>
                      <w:color w:val="auto"/>
                      <w:lang w:val="en-US" w:eastAsia="zh-CN"/>
                    </w:rPr>
                    <w:t>76.02</w:t>
                  </w:r>
                </w:p>
              </w:tc>
              <w:tc>
                <w:tcPr>
                  <w:tcW w:w="731" w:type="dxa"/>
                  <w:vAlign w:val="center"/>
                </w:tcPr>
                <w:p w14:paraId="03EAA6A1">
                  <w:pPr>
                    <w:pStyle w:val="34"/>
                    <w:bidi w:val="0"/>
                    <w:rPr>
                      <w:rFonts w:hint="default"/>
                      <w:color w:val="auto"/>
                      <w:lang w:val="en-US" w:eastAsia="zh-CN"/>
                    </w:rPr>
                  </w:pPr>
                  <w:r>
                    <w:rPr>
                      <w:rFonts w:hint="eastAsia"/>
                      <w:color w:val="auto"/>
                      <w:lang w:val="en-US" w:eastAsia="zh-CN"/>
                    </w:rPr>
                    <w:t>70</w:t>
                  </w:r>
                </w:p>
              </w:tc>
              <w:tc>
                <w:tcPr>
                  <w:tcW w:w="731" w:type="dxa"/>
                  <w:vAlign w:val="center"/>
                </w:tcPr>
                <w:p w14:paraId="7FC9F5AF">
                  <w:pPr>
                    <w:pStyle w:val="34"/>
                    <w:bidi w:val="0"/>
                    <w:rPr>
                      <w:rFonts w:hint="default"/>
                      <w:color w:val="auto"/>
                      <w:lang w:val="en-US" w:eastAsia="zh-CN"/>
                    </w:rPr>
                  </w:pPr>
                  <w:r>
                    <w:rPr>
                      <w:rFonts w:hint="eastAsia"/>
                      <w:color w:val="auto"/>
                      <w:lang w:val="en-US" w:eastAsia="zh-CN"/>
                    </w:rPr>
                    <w:t>63.98</w:t>
                  </w:r>
                </w:p>
              </w:tc>
              <w:tc>
                <w:tcPr>
                  <w:tcW w:w="731" w:type="dxa"/>
                  <w:vAlign w:val="center"/>
                </w:tcPr>
                <w:p w14:paraId="60F5E4CF">
                  <w:pPr>
                    <w:pStyle w:val="34"/>
                    <w:bidi w:val="0"/>
                    <w:rPr>
                      <w:rFonts w:hint="default"/>
                      <w:color w:val="auto"/>
                      <w:lang w:val="en-US" w:eastAsia="zh-CN"/>
                    </w:rPr>
                  </w:pPr>
                  <w:r>
                    <w:rPr>
                      <w:rFonts w:hint="eastAsia"/>
                      <w:color w:val="auto"/>
                      <w:lang w:val="en-US" w:eastAsia="zh-CN"/>
                    </w:rPr>
                    <w:t>60.46</w:t>
                  </w:r>
                </w:p>
              </w:tc>
              <w:tc>
                <w:tcPr>
                  <w:tcW w:w="731" w:type="dxa"/>
                  <w:vAlign w:val="center"/>
                </w:tcPr>
                <w:p w14:paraId="484FCAD8">
                  <w:pPr>
                    <w:pStyle w:val="34"/>
                    <w:bidi w:val="0"/>
                    <w:rPr>
                      <w:rFonts w:hint="default"/>
                      <w:color w:val="auto"/>
                      <w:lang w:val="en-US" w:eastAsia="zh-CN"/>
                    </w:rPr>
                  </w:pPr>
                  <w:r>
                    <w:rPr>
                      <w:rFonts w:hint="eastAsia"/>
                      <w:color w:val="auto"/>
                      <w:lang w:val="en-US" w:eastAsia="zh-CN"/>
                    </w:rPr>
                    <w:t>57.96</w:t>
                  </w:r>
                </w:p>
              </w:tc>
              <w:tc>
                <w:tcPr>
                  <w:tcW w:w="731" w:type="dxa"/>
                  <w:vAlign w:val="center"/>
                </w:tcPr>
                <w:p w14:paraId="549F5B70">
                  <w:pPr>
                    <w:pStyle w:val="34"/>
                    <w:bidi w:val="0"/>
                    <w:rPr>
                      <w:rFonts w:hint="default"/>
                      <w:color w:val="auto"/>
                      <w:lang w:val="en-US" w:eastAsia="zh-CN"/>
                    </w:rPr>
                  </w:pPr>
                  <w:r>
                    <w:rPr>
                      <w:rFonts w:hint="eastAsia"/>
                      <w:color w:val="auto"/>
                      <w:lang w:val="en-US" w:eastAsia="zh-CN"/>
                    </w:rPr>
                    <w:t>56.02</w:t>
                  </w:r>
                </w:p>
              </w:tc>
              <w:tc>
                <w:tcPr>
                  <w:tcW w:w="731" w:type="dxa"/>
                  <w:vAlign w:val="center"/>
                </w:tcPr>
                <w:p w14:paraId="3210011F">
                  <w:pPr>
                    <w:pStyle w:val="34"/>
                    <w:bidi w:val="0"/>
                    <w:rPr>
                      <w:rFonts w:hint="default"/>
                      <w:color w:val="auto"/>
                      <w:lang w:val="en-US" w:eastAsia="zh-CN"/>
                    </w:rPr>
                  </w:pPr>
                  <w:r>
                    <w:rPr>
                      <w:rFonts w:hint="eastAsia"/>
                      <w:color w:val="auto"/>
                      <w:lang w:val="en-US" w:eastAsia="zh-CN"/>
                    </w:rPr>
                    <w:t>50</w:t>
                  </w:r>
                </w:p>
              </w:tc>
              <w:tc>
                <w:tcPr>
                  <w:tcW w:w="731" w:type="dxa"/>
                  <w:vAlign w:val="center"/>
                </w:tcPr>
                <w:p w14:paraId="7C717051">
                  <w:pPr>
                    <w:pStyle w:val="34"/>
                    <w:bidi w:val="0"/>
                    <w:rPr>
                      <w:rFonts w:hint="default"/>
                      <w:color w:val="auto"/>
                      <w:lang w:val="en-US" w:eastAsia="zh-CN"/>
                    </w:rPr>
                  </w:pPr>
                  <w:r>
                    <w:rPr>
                      <w:rFonts w:hint="eastAsia"/>
                      <w:color w:val="auto"/>
                      <w:lang w:val="en-US" w:eastAsia="zh-CN"/>
                    </w:rPr>
                    <w:t>46.48</w:t>
                  </w:r>
                </w:p>
              </w:tc>
              <w:tc>
                <w:tcPr>
                  <w:tcW w:w="732" w:type="dxa"/>
                  <w:vAlign w:val="center"/>
                </w:tcPr>
                <w:p w14:paraId="0BF51CEC">
                  <w:pPr>
                    <w:pStyle w:val="34"/>
                    <w:bidi w:val="0"/>
                    <w:rPr>
                      <w:rFonts w:hint="default"/>
                      <w:color w:val="auto"/>
                      <w:lang w:val="en-US" w:eastAsia="zh-CN"/>
                    </w:rPr>
                  </w:pPr>
                  <w:r>
                    <w:rPr>
                      <w:rFonts w:hint="eastAsia"/>
                      <w:color w:val="auto"/>
                      <w:lang w:val="en-US" w:eastAsia="zh-CN"/>
                    </w:rPr>
                    <w:t>43.98</w:t>
                  </w:r>
                </w:p>
              </w:tc>
            </w:tr>
            <w:tr w14:paraId="21903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1" w:type="dxa"/>
                  <w:vAlign w:val="center"/>
                </w:tcPr>
                <w:p w14:paraId="02D9EEEB">
                  <w:pPr>
                    <w:pStyle w:val="34"/>
                    <w:bidi w:val="0"/>
                    <w:ind w:firstLine="0" w:firstLineChars="0"/>
                    <w:rPr>
                      <w:rFonts w:hint="eastAsia"/>
                      <w:color w:val="auto"/>
                      <w:lang w:val="en-US" w:eastAsia="zh-CN"/>
                    </w:rPr>
                  </w:pPr>
                  <w:r>
                    <w:rPr>
                      <w:color w:val="auto"/>
                    </w:rPr>
                    <w:t>装载机</w:t>
                  </w:r>
                </w:p>
              </w:tc>
              <w:tc>
                <w:tcPr>
                  <w:tcW w:w="731" w:type="dxa"/>
                  <w:vAlign w:val="center"/>
                </w:tcPr>
                <w:p w14:paraId="4BE681ED">
                  <w:pPr>
                    <w:pStyle w:val="34"/>
                    <w:bidi w:val="0"/>
                    <w:rPr>
                      <w:rFonts w:hint="default"/>
                      <w:color w:val="auto"/>
                      <w:lang w:val="en-US" w:eastAsia="zh-CN"/>
                    </w:rPr>
                  </w:pPr>
                  <w:r>
                    <w:rPr>
                      <w:rFonts w:hint="eastAsia"/>
                      <w:color w:val="auto"/>
                      <w:lang w:val="en-US" w:eastAsia="zh-CN"/>
                    </w:rPr>
                    <w:t>90</w:t>
                  </w:r>
                </w:p>
              </w:tc>
              <w:tc>
                <w:tcPr>
                  <w:tcW w:w="731" w:type="dxa"/>
                  <w:vAlign w:val="center"/>
                </w:tcPr>
                <w:p w14:paraId="532C9371">
                  <w:pPr>
                    <w:pStyle w:val="34"/>
                    <w:bidi w:val="0"/>
                    <w:rPr>
                      <w:rFonts w:hint="default"/>
                      <w:color w:val="auto"/>
                      <w:lang w:val="en-US" w:eastAsia="zh-CN"/>
                    </w:rPr>
                  </w:pPr>
                  <w:r>
                    <w:rPr>
                      <w:rFonts w:hint="eastAsia"/>
                      <w:color w:val="auto"/>
                      <w:lang w:val="en-US" w:eastAsia="zh-CN"/>
                    </w:rPr>
                    <w:t>76.02</w:t>
                  </w:r>
                </w:p>
              </w:tc>
              <w:tc>
                <w:tcPr>
                  <w:tcW w:w="731" w:type="dxa"/>
                  <w:vAlign w:val="center"/>
                </w:tcPr>
                <w:p w14:paraId="71E335C4">
                  <w:pPr>
                    <w:pStyle w:val="34"/>
                    <w:bidi w:val="0"/>
                    <w:rPr>
                      <w:rFonts w:hint="default"/>
                      <w:color w:val="auto"/>
                      <w:lang w:val="en-US" w:eastAsia="zh-CN"/>
                    </w:rPr>
                  </w:pPr>
                  <w:r>
                    <w:rPr>
                      <w:rFonts w:hint="eastAsia"/>
                      <w:color w:val="auto"/>
                      <w:lang w:val="en-US" w:eastAsia="zh-CN"/>
                    </w:rPr>
                    <w:t>70</w:t>
                  </w:r>
                </w:p>
              </w:tc>
              <w:tc>
                <w:tcPr>
                  <w:tcW w:w="731" w:type="dxa"/>
                  <w:vAlign w:val="center"/>
                </w:tcPr>
                <w:p w14:paraId="60D28D44">
                  <w:pPr>
                    <w:pStyle w:val="34"/>
                    <w:bidi w:val="0"/>
                    <w:rPr>
                      <w:rFonts w:hint="default"/>
                      <w:color w:val="auto"/>
                      <w:lang w:val="en-US" w:eastAsia="zh-CN"/>
                    </w:rPr>
                  </w:pPr>
                  <w:r>
                    <w:rPr>
                      <w:rFonts w:hint="eastAsia"/>
                      <w:color w:val="auto"/>
                      <w:lang w:val="en-US" w:eastAsia="zh-CN"/>
                    </w:rPr>
                    <w:t>63.98</w:t>
                  </w:r>
                </w:p>
              </w:tc>
              <w:tc>
                <w:tcPr>
                  <w:tcW w:w="731" w:type="dxa"/>
                  <w:vAlign w:val="center"/>
                </w:tcPr>
                <w:p w14:paraId="55796734">
                  <w:pPr>
                    <w:pStyle w:val="34"/>
                    <w:bidi w:val="0"/>
                    <w:rPr>
                      <w:rFonts w:hint="default"/>
                      <w:color w:val="auto"/>
                      <w:lang w:val="en-US" w:eastAsia="zh-CN"/>
                    </w:rPr>
                  </w:pPr>
                  <w:r>
                    <w:rPr>
                      <w:rFonts w:hint="eastAsia"/>
                      <w:color w:val="auto"/>
                      <w:lang w:val="en-US" w:eastAsia="zh-CN"/>
                    </w:rPr>
                    <w:t>60.46</w:t>
                  </w:r>
                </w:p>
              </w:tc>
              <w:tc>
                <w:tcPr>
                  <w:tcW w:w="731" w:type="dxa"/>
                  <w:vAlign w:val="center"/>
                </w:tcPr>
                <w:p w14:paraId="79ABCD24">
                  <w:pPr>
                    <w:pStyle w:val="34"/>
                    <w:bidi w:val="0"/>
                    <w:rPr>
                      <w:rFonts w:hint="default"/>
                      <w:color w:val="auto"/>
                      <w:lang w:val="en-US" w:eastAsia="zh-CN"/>
                    </w:rPr>
                  </w:pPr>
                  <w:r>
                    <w:rPr>
                      <w:rFonts w:hint="eastAsia"/>
                      <w:color w:val="auto"/>
                      <w:lang w:val="en-US" w:eastAsia="zh-CN"/>
                    </w:rPr>
                    <w:t>57.96</w:t>
                  </w:r>
                </w:p>
              </w:tc>
              <w:tc>
                <w:tcPr>
                  <w:tcW w:w="731" w:type="dxa"/>
                  <w:vAlign w:val="center"/>
                </w:tcPr>
                <w:p w14:paraId="2EF2F0B0">
                  <w:pPr>
                    <w:pStyle w:val="34"/>
                    <w:bidi w:val="0"/>
                    <w:rPr>
                      <w:rFonts w:hint="default"/>
                      <w:color w:val="auto"/>
                      <w:lang w:val="en-US" w:eastAsia="zh-CN"/>
                    </w:rPr>
                  </w:pPr>
                  <w:r>
                    <w:rPr>
                      <w:rFonts w:hint="eastAsia"/>
                      <w:color w:val="auto"/>
                      <w:lang w:val="en-US" w:eastAsia="zh-CN"/>
                    </w:rPr>
                    <w:t>56.02</w:t>
                  </w:r>
                </w:p>
              </w:tc>
              <w:tc>
                <w:tcPr>
                  <w:tcW w:w="731" w:type="dxa"/>
                  <w:vAlign w:val="center"/>
                </w:tcPr>
                <w:p w14:paraId="71B15BE4">
                  <w:pPr>
                    <w:pStyle w:val="34"/>
                    <w:bidi w:val="0"/>
                    <w:rPr>
                      <w:rFonts w:hint="default"/>
                      <w:color w:val="auto"/>
                      <w:lang w:val="en-US" w:eastAsia="zh-CN"/>
                    </w:rPr>
                  </w:pPr>
                  <w:r>
                    <w:rPr>
                      <w:rFonts w:hint="eastAsia"/>
                      <w:color w:val="auto"/>
                      <w:lang w:val="en-US" w:eastAsia="zh-CN"/>
                    </w:rPr>
                    <w:t>50</w:t>
                  </w:r>
                </w:p>
              </w:tc>
              <w:tc>
                <w:tcPr>
                  <w:tcW w:w="731" w:type="dxa"/>
                  <w:vAlign w:val="center"/>
                </w:tcPr>
                <w:p w14:paraId="527B8426">
                  <w:pPr>
                    <w:pStyle w:val="34"/>
                    <w:bidi w:val="0"/>
                    <w:rPr>
                      <w:rFonts w:hint="default"/>
                      <w:color w:val="auto"/>
                      <w:lang w:val="en-US" w:eastAsia="zh-CN"/>
                    </w:rPr>
                  </w:pPr>
                  <w:r>
                    <w:rPr>
                      <w:rFonts w:hint="eastAsia"/>
                      <w:color w:val="auto"/>
                      <w:lang w:val="en-US" w:eastAsia="zh-CN"/>
                    </w:rPr>
                    <w:t>46.48</w:t>
                  </w:r>
                </w:p>
              </w:tc>
              <w:tc>
                <w:tcPr>
                  <w:tcW w:w="732" w:type="dxa"/>
                  <w:vAlign w:val="center"/>
                </w:tcPr>
                <w:p w14:paraId="1C4824BE">
                  <w:pPr>
                    <w:pStyle w:val="34"/>
                    <w:bidi w:val="0"/>
                    <w:rPr>
                      <w:rFonts w:hint="default"/>
                      <w:color w:val="auto"/>
                      <w:lang w:val="en-US" w:eastAsia="zh-CN"/>
                    </w:rPr>
                  </w:pPr>
                  <w:r>
                    <w:rPr>
                      <w:rFonts w:hint="eastAsia"/>
                      <w:color w:val="auto"/>
                      <w:lang w:val="en-US" w:eastAsia="zh-CN"/>
                    </w:rPr>
                    <w:t>43.98</w:t>
                  </w:r>
                </w:p>
              </w:tc>
            </w:tr>
            <w:tr w14:paraId="7FCDE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1" w:type="dxa"/>
                  <w:vAlign w:val="center"/>
                </w:tcPr>
                <w:p w14:paraId="2B7DA322">
                  <w:pPr>
                    <w:pStyle w:val="34"/>
                    <w:bidi w:val="0"/>
                    <w:ind w:firstLine="0" w:firstLineChars="0"/>
                    <w:rPr>
                      <w:rFonts w:hint="eastAsia"/>
                      <w:color w:val="auto"/>
                      <w:lang w:val="en-US" w:eastAsia="zh-CN"/>
                    </w:rPr>
                  </w:pPr>
                  <w:r>
                    <w:rPr>
                      <w:color w:val="auto"/>
                    </w:rPr>
                    <w:t>大型载重车</w:t>
                  </w:r>
                </w:p>
              </w:tc>
              <w:tc>
                <w:tcPr>
                  <w:tcW w:w="731" w:type="dxa"/>
                  <w:vAlign w:val="center"/>
                </w:tcPr>
                <w:p w14:paraId="18EC682F">
                  <w:pPr>
                    <w:pStyle w:val="34"/>
                    <w:bidi w:val="0"/>
                    <w:rPr>
                      <w:rFonts w:hint="default"/>
                      <w:color w:val="auto"/>
                      <w:lang w:val="en-US" w:eastAsia="zh-CN"/>
                    </w:rPr>
                  </w:pPr>
                  <w:r>
                    <w:rPr>
                      <w:rFonts w:hint="eastAsia"/>
                      <w:color w:val="auto"/>
                      <w:lang w:val="en-US" w:eastAsia="zh-CN"/>
                    </w:rPr>
                    <w:t>90</w:t>
                  </w:r>
                </w:p>
              </w:tc>
              <w:tc>
                <w:tcPr>
                  <w:tcW w:w="731" w:type="dxa"/>
                  <w:vAlign w:val="center"/>
                </w:tcPr>
                <w:p w14:paraId="1B6023EC">
                  <w:pPr>
                    <w:pStyle w:val="34"/>
                    <w:bidi w:val="0"/>
                    <w:rPr>
                      <w:rFonts w:hint="default"/>
                      <w:color w:val="auto"/>
                      <w:lang w:val="en-US" w:eastAsia="zh-CN"/>
                    </w:rPr>
                  </w:pPr>
                  <w:r>
                    <w:rPr>
                      <w:rFonts w:hint="eastAsia"/>
                      <w:color w:val="auto"/>
                      <w:lang w:val="en-US" w:eastAsia="zh-CN"/>
                    </w:rPr>
                    <w:t>76.02</w:t>
                  </w:r>
                </w:p>
              </w:tc>
              <w:tc>
                <w:tcPr>
                  <w:tcW w:w="731" w:type="dxa"/>
                  <w:vAlign w:val="center"/>
                </w:tcPr>
                <w:p w14:paraId="3C97737F">
                  <w:pPr>
                    <w:pStyle w:val="34"/>
                    <w:bidi w:val="0"/>
                    <w:rPr>
                      <w:rFonts w:hint="default"/>
                      <w:color w:val="auto"/>
                      <w:lang w:val="en-US" w:eastAsia="zh-CN"/>
                    </w:rPr>
                  </w:pPr>
                  <w:r>
                    <w:rPr>
                      <w:rFonts w:hint="eastAsia"/>
                      <w:color w:val="auto"/>
                      <w:lang w:val="en-US" w:eastAsia="zh-CN"/>
                    </w:rPr>
                    <w:t>70</w:t>
                  </w:r>
                </w:p>
              </w:tc>
              <w:tc>
                <w:tcPr>
                  <w:tcW w:w="731" w:type="dxa"/>
                  <w:vAlign w:val="center"/>
                </w:tcPr>
                <w:p w14:paraId="661FD6E8">
                  <w:pPr>
                    <w:pStyle w:val="34"/>
                    <w:bidi w:val="0"/>
                    <w:rPr>
                      <w:rFonts w:hint="default"/>
                      <w:color w:val="auto"/>
                      <w:lang w:val="en-US" w:eastAsia="zh-CN"/>
                    </w:rPr>
                  </w:pPr>
                  <w:r>
                    <w:rPr>
                      <w:rFonts w:hint="eastAsia"/>
                      <w:color w:val="auto"/>
                      <w:lang w:val="en-US" w:eastAsia="zh-CN"/>
                    </w:rPr>
                    <w:t>63.98</w:t>
                  </w:r>
                </w:p>
              </w:tc>
              <w:tc>
                <w:tcPr>
                  <w:tcW w:w="731" w:type="dxa"/>
                  <w:vAlign w:val="center"/>
                </w:tcPr>
                <w:p w14:paraId="5AB32F16">
                  <w:pPr>
                    <w:pStyle w:val="34"/>
                    <w:bidi w:val="0"/>
                    <w:rPr>
                      <w:rFonts w:hint="default"/>
                      <w:color w:val="auto"/>
                      <w:lang w:val="en-US" w:eastAsia="zh-CN"/>
                    </w:rPr>
                  </w:pPr>
                  <w:r>
                    <w:rPr>
                      <w:rFonts w:hint="eastAsia"/>
                      <w:color w:val="auto"/>
                      <w:lang w:val="en-US" w:eastAsia="zh-CN"/>
                    </w:rPr>
                    <w:t>60.46</w:t>
                  </w:r>
                </w:p>
              </w:tc>
              <w:tc>
                <w:tcPr>
                  <w:tcW w:w="731" w:type="dxa"/>
                  <w:vAlign w:val="center"/>
                </w:tcPr>
                <w:p w14:paraId="06ECD284">
                  <w:pPr>
                    <w:pStyle w:val="34"/>
                    <w:bidi w:val="0"/>
                    <w:rPr>
                      <w:rFonts w:hint="default"/>
                      <w:color w:val="auto"/>
                      <w:lang w:val="en-US" w:eastAsia="zh-CN"/>
                    </w:rPr>
                  </w:pPr>
                  <w:r>
                    <w:rPr>
                      <w:rFonts w:hint="eastAsia"/>
                      <w:color w:val="auto"/>
                      <w:lang w:val="en-US" w:eastAsia="zh-CN"/>
                    </w:rPr>
                    <w:t>57.96</w:t>
                  </w:r>
                </w:p>
              </w:tc>
              <w:tc>
                <w:tcPr>
                  <w:tcW w:w="731" w:type="dxa"/>
                  <w:vAlign w:val="center"/>
                </w:tcPr>
                <w:p w14:paraId="28BAD431">
                  <w:pPr>
                    <w:pStyle w:val="34"/>
                    <w:bidi w:val="0"/>
                    <w:rPr>
                      <w:rFonts w:hint="default"/>
                      <w:color w:val="auto"/>
                      <w:lang w:val="en-US" w:eastAsia="zh-CN"/>
                    </w:rPr>
                  </w:pPr>
                  <w:r>
                    <w:rPr>
                      <w:rFonts w:hint="eastAsia"/>
                      <w:color w:val="auto"/>
                      <w:lang w:val="en-US" w:eastAsia="zh-CN"/>
                    </w:rPr>
                    <w:t>56.02</w:t>
                  </w:r>
                </w:p>
              </w:tc>
              <w:tc>
                <w:tcPr>
                  <w:tcW w:w="731" w:type="dxa"/>
                  <w:vAlign w:val="center"/>
                </w:tcPr>
                <w:p w14:paraId="420F0872">
                  <w:pPr>
                    <w:pStyle w:val="34"/>
                    <w:bidi w:val="0"/>
                    <w:rPr>
                      <w:rFonts w:hint="default"/>
                      <w:color w:val="auto"/>
                      <w:lang w:val="en-US" w:eastAsia="zh-CN"/>
                    </w:rPr>
                  </w:pPr>
                  <w:r>
                    <w:rPr>
                      <w:rFonts w:hint="eastAsia"/>
                      <w:color w:val="auto"/>
                      <w:lang w:val="en-US" w:eastAsia="zh-CN"/>
                    </w:rPr>
                    <w:t>50</w:t>
                  </w:r>
                </w:p>
              </w:tc>
              <w:tc>
                <w:tcPr>
                  <w:tcW w:w="731" w:type="dxa"/>
                  <w:vAlign w:val="center"/>
                </w:tcPr>
                <w:p w14:paraId="3E27E8D6">
                  <w:pPr>
                    <w:pStyle w:val="34"/>
                    <w:bidi w:val="0"/>
                    <w:rPr>
                      <w:rFonts w:hint="default"/>
                      <w:color w:val="auto"/>
                      <w:lang w:val="en-US" w:eastAsia="zh-CN"/>
                    </w:rPr>
                  </w:pPr>
                  <w:r>
                    <w:rPr>
                      <w:rFonts w:hint="eastAsia"/>
                      <w:color w:val="auto"/>
                      <w:lang w:val="en-US" w:eastAsia="zh-CN"/>
                    </w:rPr>
                    <w:t>46.48</w:t>
                  </w:r>
                </w:p>
              </w:tc>
              <w:tc>
                <w:tcPr>
                  <w:tcW w:w="732" w:type="dxa"/>
                  <w:vAlign w:val="center"/>
                </w:tcPr>
                <w:p w14:paraId="1C5BA534">
                  <w:pPr>
                    <w:pStyle w:val="34"/>
                    <w:bidi w:val="0"/>
                    <w:rPr>
                      <w:rFonts w:hint="default"/>
                      <w:color w:val="auto"/>
                      <w:lang w:val="en-US" w:eastAsia="zh-CN"/>
                    </w:rPr>
                  </w:pPr>
                  <w:r>
                    <w:rPr>
                      <w:rFonts w:hint="eastAsia"/>
                      <w:color w:val="auto"/>
                      <w:lang w:val="en-US" w:eastAsia="zh-CN"/>
                    </w:rPr>
                    <w:t>43.98</w:t>
                  </w:r>
                </w:p>
              </w:tc>
            </w:tr>
            <w:tr w14:paraId="10ADB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1" w:type="dxa"/>
                  <w:vAlign w:val="center"/>
                </w:tcPr>
                <w:p w14:paraId="75BC58F8">
                  <w:pPr>
                    <w:pStyle w:val="34"/>
                    <w:bidi w:val="0"/>
                    <w:ind w:firstLine="0" w:firstLineChars="0"/>
                    <w:rPr>
                      <w:rFonts w:hint="eastAsia"/>
                      <w:color w:val="auto"/>
                      <w:lang w:val="en-US" w:eastAsia="zh-CN"/>
                    </w:rPr>
                  </w:pPr>
                  <w:r>
                    <w:rPr>
                      <w:color w:val="auto"/>
                    </w:rPr>
                    <w:t>振捣器</w:t>
                  </w:r>
                </w:p>
              </w:tc>
              <w:tc>
                <w:tcPr>
                  <w:tcW w:w="731" w:type="dxa"/>
                  <w:vAlign w:val="center"/>
                </w:tcPr>
                <w:p w14:paraId="48BE9280">
                  <w:pPr>
                    <w:pStyle w:val="34"/>
                    <w:bidi w:val="0"/>
                    <w:rPr>
                      <w:rFonts w:hint="default"/>
                      <w:color w:val="auto"/>
                      <w:lang w:val="en-US" w:eastAsia="zh-CN"/>
                    </w:rPr>
                  </w:pPr>
                  <w:r>
                    <w:rPr>
                      <w:rFonts w:hint="eastAsia"/>
                      <w:color w:val="auto"/>
                      <w:lang w:val="en-US" w:eastAsia="zh-CN"/>
                    </w:rPr>
                    <w:t>95</w:t>
                  </w:r>
                </w:p>
              </w:tc>
              <w:tc>
                <w:tcPr>
                  <w:tcW w:w="731" w:type="dxa"/>
                  <w:vAlign w:val="center"/>
                </w:tcPr>
                <w:p w14:paraId="0070AFE9">
                  <w:pPr>
                    <w:pStyle w:val="34"/>
                    <w:bidi w:val="0"/>
                    <w:rPr>
                      <w:rFonts w:hint="default"/>
                      <w:color w:val="auto"/>
                      <w:lang w:val="en-US" w:eastAsia="zh-CN"/>
                    </w:rPr>
                  </w:pPr>
                  <w:r>
                    <w:rPr>
                      <w:rFonts w:hint="eastAsia"/>
                      <w:color w:val="auto"/>
                      <w:lang w:val="en-US" w:eastAsia="zh-CN"/>
                    </w:rPr>
                    <w:t>81.02</w:t>
                  </w:r>
                </w:p>
              </w:tc>
              <w:tc>
                <w:tcPr>
                  <w:tcW w:w="731" w:type="dxa"/>
                  <w:vAlign w:val="center"/>
                </w:tcPr>
                <w:p w14:paraId="2C12C567">
                  <w:pPr>
                    <w:pStyle w:val="34"/>
                    <w:bidi w:val="0"/>
                    <w:rPr>
                      <w:rFonts w:hint="default"/>
                      <w:color w:val="auto"/>
                      <w:lang w:val="en-US" w:eastAsia="zh-CN"/>
                    </w:rPr>
                  </w:pPr>
                  <w:r>
                    <w:rPr>
                      <w:rFonts w:hint="eastAsia"/>
                      <w:color w:val="auto"/>
                      <w:lang w:val="en-US" w:eastAsia="zh-CN"/>
                    </w:rPr>
                    <w:t>75</w:t>
                  </w:r>
                </w:p>
              </w:tc>
              <w:tc>
                <w:tcPr>
                  <w:tcW w:w="731" w:type="dxa"/>
                  <w:vAlign w:val="center"/>
                </w:tcPr>
                <w:p w14:paraId="05091CDF">
                  <w:pPr>
                    <w:pStyle w:val="34"/>
                    <w:bidi w:val="0"/>
                    <w:rPr>
                      <w:rFonts w:hint="default"/>
                      <w:color w:val="auto"/>
                      <w:lang w:val="en-US" w:eastAsia="zh-CN"/>
                    </w:rPr>
                  </w:pPr>
                  <w:r>
                    <w:rPr>
                      <w:rFonts w:hint="eastAsia"/>
                      <w:color w:val="auto"/>
                      <w:lang w:val="en-US" w:eastAsia="zh-CN"/>
                    </w:rPr>
                    <w:t>68.98</w:t>
                  </w:r>
                </w:p>
              </w:tc>
              <w:tc>
                <w:tcPr>
                  <w:tcW w:w="731" w:type="dxa"/>
                  <w:vAlign w:val="center"/>
                </w:tcPr>
                <w:p w14:paraId="7C4A0535">
                  <w:pPr>
                    <w:pStyle w:val="34"/>
                    <w:bidi w:val="0"/>
                    <w:rPr>
                      <w:rFonts w:hint="default"/>
                      <w:color w:val="auto"/>
                      <w:lang w:val="en-US" w:eastAsia="zh-CN"/>
                    </w:rPr>
                  </w:pPr>
                  <w:r>
                    <w:rPr>
                      <w:rFonts w:hint="eastAsia"/>
                      <w:color w:val="auto"/>
                      <w:lang w:val="en-US" w:eastAsia="zh-CN"/>
                    </w:rPr>
                    <w:t>65.46</w:t>
                  </w:r>
                </w:p>
              </w:tc>
              <w:tc>
                <w:tcPr>
                  <w:tcW w:w="731" w:type="dxa"/>
                  <w:vAlign w:val="center"/>
                </w:tcPr>
                <w:p w14:paraId="71B24D7E">
                  <w:pPr>
                    <w:pStyle w:val="34"/>
                    <w:bidi w:val="0"/>
                    <w:rPr>
                      <w:rFonts w:hint="default"/>
                      <w:color w:val="auto"/>
                      <w:lang w:val="en-US" w:eastAsia="zh-CN"/>
                    </w:rPr>
                  </w:pPr>
                  <w:r>
                    <w:rPr>
                      <w:rFonts w:hint="eastAsia"/>
                      <w:color w:val="auto"/>
                      <w:lang w:val="en-US" w:eastAsia="zh-CN"/>
                    </w:rPr>
                    <w:t>62.96</w:t>
                  </w:r>
                </w:p>
              </w:tc>
              <w:tc>
                <w:tcPr>
                  <w:tcW w:w="731" w:type="dxa"/>
                  <w:vAlign w:val="center"/>
                </w:tcPr>
                <w:p w14:paraId="077C63C5">
                  <w:pPr>
                    <w:pStyle w:val="34"/>
                    <w:bidi w:val="0"/>
                    <w:rPr>
                      <w:rFonts w:hint="default"/>
                      <w:color w:val="auto"/>
                      <w:lang w:val="en-US" w:eastAsia="zh-CN"/>
                    </w:rPr>
                  </w:pPr>
                  <w:r>
                    <w:rPr>
                      <w:rFonts w:hint="eastAsia"/>
                      <w:color w:val="auto"/>
                      <w:lang w:val="en-US" w:eastAsia="zh-CN"/>
                    </w:rPr>
                    <w:t>61.02</w:t>
                  </w:r>
                </w:p>
              </w:tc>
              <w:tc>
                <w:tcPr>
                  <w:tcW w:w="731" w:type="dxa"/>
                  <w:vAlign w:val="center"/>
                </w:tcPr>
                <w:p w14:paraId="3C9AB8E9">
                  <w:pPr>
                    <w:pStyle w:val="34"/>
                    <w:bidi w:val="0"/>
                    <w:rPr>
                      <w:rFonts w:hint="default"/>
                      <w:color w:val="auto"/>
                      <w:lang w:val="en-US" w:eastAsia="zh-CN"/>
                    </w:rPr>
                  </w:pPr>
                  <w:r>
                    <w:rPr>
                      <w:rFonts w:hint="eastAsia"/>
                      <w:color w:val="auto"/>
                      <w:lang w:val="en-US" w:eastAsia="zh-CN"/>
                    </w:rPr>
                    <w:t>55</w:t>
                  </w:r>
                </w:p>
              </w:tc>
              <w:tc>
                <w:tcPr>
                  <w:tcW w:w="731" w:type="dxa"/>
                  <w:vAlign w:val="center"/>
                </w:tcPr>
                <w:p w14:paraId="1698ABE8">
                  <w:pPr>
                    <w:pStyle w:val="34"/>
                    <w:bidi w:val="0"/>
                    <w:rPr>
                      <w:rFonts w:hint="default"/>
                      <w:color w:val="auto"/>
                      <w:lang w:val="en-US" w:eastAsia="zh-CN"/>
                    </w:rPr>
                  </w:pPr>
                  <w:r>
                    <w:rPr>
                      <w:rFonts w:hint="eastAsia"/>
                      <w:color w:val="auto"/>
                      <w:lang w:val="en-US" w:eastAsia="zh-CN"/>
                    </w:rPr>
                    <w:t>51.48</w:t>
                  </w:r>
                </w:p>
              </w:tc>
              <w:tc>
                <w:tcPr>
                  <w:tcW w:w="732" w:type="dxa"/>
                  <w:vAlign w:val="center"/>
                </w:tcPr>
                <w:p w14:paraId="09D2F298">
                  <w:pPr>
                    <w:pStyle w:val="34"/>
                    <w:bidi w:val="0"/>
                    <w:rPr>
                      <w:rFonts w:hint="default"/>
                      <w:color w:val="auto"/>
                      <w:lang w:val="en-US" w:eastAsia="zh-CN"/>
                    </w:rPr>
                  </w:pPr>
                  <w:r>
                    <w:rPr>
                      <w:rFonts w:hint="eastAsia"/>
                      <w:color w:val="auto"/>
                      <w:lang w:val="en-US" w:eastAsia="zh-CN"/>
                    </w:rPr>
                    <w:t>48.98</w:t>
                  </w:r>
                </w:p>
              </w:tc>
            </w:tr>
            <w:tr w14:paraId="6F834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1" w:type="dxa"/>
                  <w:vAlign w:val="center"/>
                </w:tcPr>
                <w:p w14:paraId="608D9B66">
                  <w:pPr>
                    <w:pStyle w:val="34"/>
                    <w:bidi w:val="0"/>
                    <w:ind w:firstLine="0" w:firstLineChars="0"/>
                    <w:rPr>
                      <w:rFonts w:hint="eastAsia"/>
                      <w:color w:val="auto"/>
                      <w:lang w:val="en-US" w:eastAsia="zh-CN"/>
                    </w:rPr>
                  </w:pPr>
                  <w:r>
                    <w:rPr>
                      <w:color w:val="auto"/>
                    </w:rPr>
                    <w:t>空压机</w:t>
                  </w:r>
                </w:p>
              </w:tc>
              <w:tc>
                <w:tcPr>
                  <w:tcW w:w="731" w:type="dxa"/>
                  <w:vAlign w:val="center"/>
                </w:tcPr>
                <w:p w14:paraId="29167D55">
                  <w:pPr>
                    <w:pStyle w:val="34"/>
                    <w:bidi w:val="0"/>
                    <w:rPr>
                      <w:rFonts w:hint="default"/>
                      <w:color w:val="auto"/>
                      <w:lang w:val="en-US" w:eastAsia="zh-CN"/>
                    </w:rPr>
                  </w:pPr>
                  <w:r>
                    <w:rPr>
                      <w:rFonts w:hint="eastAsia"/>
                      <w:color w:val="auto"/>
                      <w:lang w:val="en-US" w:eastAsia="zh-CN"/>
                    </w:rPr>
                    <w:t>90</w:t>
                  </w:r>
                </w:p>
              </w:tc>
              <w:tc>
                <w:tcPr>
                  <w:tcW w:w="731" w:type="dxa"/>
                  <w:vAlign w:val="center"/>
                </w:tcPr>
                <w:p w14:paraId="45B0B501">
                  <w:pPr>
                    <w:pStyle w:val="34"/>
                    <w:bidi w:val="0"/>
                    <w:rPr>
                      <w:rFonts w:hint="default"/>
                      <w:color w:val="auto"/>
                      <w:lang w:val="en-US" w:eastAsia="zh-CN"/>
                    </w:rPr>
                  </w:pPr>
                  <w:r>
                    <w:rPr>
                      <w:rFonts w:hint="eastAsia"/>
                      <w:color w:val="auto"/>
                      <w:lang w:val="en-US" w:eastAsia="zh-CN"/>
                    </w:rPr>
                    <w:t>76.02</w:t>
                  </w:r>
                </w:p>
              </w:tc>
              <w:tc>
                <w:tcPr>
                  <w:tcW w:w="731" w:type="dxa"/>
                  <w:vAlign w:val="center"/>
                </w:tcPr>
                <w:p w14:paraId="1E007D43">
                  <w:pPr>
                    <w:pStyle w:val="34"/>
                    <w:bidi w:val="0"/>
                    <w:rPr>
                      <w:rFonts w:hint="default"/>
                      <w:color w:val="auto"/>
                      <w:lang w:val="en-US" w:eastAsia="zh-CN"/>
                    </w:rPr>
                  </w:pPr>
                  <w:r>
                    <w:rPr>
                      <w:rFonts w:hint="eastAsia"/>
                      <w:color w:val="auto"/>
                      <w:lang w:val="en-US" w:eastAsia="zh-CN"/>
                    </w:rPr>
                    <w:t>70</w:t>
                  </w:r>
                </w:p>
              </w:tc>
              <w:tc>
                <w:tcPr>
                  <w:tcW w:w="731" w:type="dxa"/>
                  <w:vAlign w:val="center"/>
                </w:tcPr>
                <w:p w14:paraId="03C68C31">
                  <w:pPr>
                    <w:pStyle w:val="34"/>
                    <w:bidi w:val="0"/>
                    <w:rPr>
                      <w:rFonts w:hint="default"/>
                      <w:color w:val="auto"/>
                      <w:lang w:val="en-US" w:eastAsia="zh-CN"/>
                    </w:rPr>
                  </w:pPr>
                  <w:r>
                    <w:rPr>
                      <w:rFonts w:hint="eastAsia"/>
                      <w:color w:val="auto"/>
                      <w:lang w:val="en-US" w:eastAsia="zh-CN"/>
                    </w:rPr>
                    <w:t>63.98</w:t>
                  </w:r>
                </w:p>
              </w:tc>
              <w:tc>
                <w:tcPr>
                  <w:tcW w:w="731" w:type="dxa"/>
                  <w:vAlign w:val="center"/>
                </w:tcPr>
                <w:p w14:paraId="2A017D8F">
                  <w:pPr>
                    <w:pStyle w:val="34"/>
                    <w:bidi w:val="0"/>
                    <w:rPr>
                      <w:rFonts w:hint="default"/>
                      <w:color w:val="auto"/>
                      <w:lang w:val="en-US" w:eastAsia="zh-CN"/>
                    </w:rPr>
                  </w:pPr>
                  <w:r>
                    <w:rPr>
                      <w:rFonts w:hint="eastAsia"/>
                      <w:color w:val="auto"/>
                      <w:lang w:val="en-US" w:eastAsia="zh-CN"/>
                    </w:rPr>
                    <w:t>60.46</w:t>
                  </w:r>
                </w:p>
              </w:tc>
              <w:tc>
                <w:tcPr>
                  <w:tcW w:w="731" w:type="dxa"/>
                  <w:vAlign w:val="center"/>
                </w:tcPr>
                <w:p w14:paraId="6B9DA2A4">
                  <w:pPr>
                    <w:pStyle w:val="34"/>
                    <w:bidi w:val="0"/>
                    <w:rPr>
                      <w:rFonts w:hint="default"/>
                      <w:color w:val="auto"/>
                      <w:lang w:val="en-US" w:eastAsia="zh-CN"/>
                    </w:rPr>
                  </w:pPr>
                  <w:r>
                    <w:rPr>
                      <w:rFonts w:hint="eastAsia"/>
                      <w:color w:val="auto"/>
                      <w:lang w:val="en-US" w:eastAsia="zh-CN"/>
                    </w:rPr>
                    <w:t>57.96</w:t>
                  </w:r>
                </w:p>
              </w:tc>
              <w:tc>
                <w:tcPr>
                  <w:tcW w:w="731" w:type="dxa"/>
                  <w:vAlign w:val="center"/>
                </w:tcPr>
                <w:p w14:paraId="3DB1649D">
                  <w:pPr>
                    <w:pStyle w:val="34"/>
                    <w:bidi w:val="0"/>
                    <w:rPr>
                      <w:rFonts w:hint="default"/>
                      <w:color w:val="auto"/>
                      <w:lang w:val="en-US" w:eastAsia="zh-CN"/>
                    </w:rPr>
                  </w:pPr>
                  <w:r>
                    <w:rPr>
                      <w:rFonts w:hint="eastAsia"/>
                      <w:color w:val="auto"/>
                      <w:lang w:val="en-US" w:eastAsia="zh-CN"/>
                    </w:rPr>
                    <w:t>56.02</w:t>
                  </w:r>
                </w:p>
              </w:tc>
              <w:tc>
                <w:tcPr>
                  <w:tcW w:w="731" w:type="dxa"/>
                  <w:vAlign w:val="center"/>
                </w:tcPr>
                <w:p w14:paraId="7B5A11B9">
                  <w:pPr>
                    <w:pStyle w:val="34"/>
                    <w:bidi w:val="0"/>
                    <w:rPr>
                      <w:rFonts w:hint="default"/>
                      <w:color w:val="auto"/>
                      <w:lang w:val="en-US" w:eastAsia="zh-CN"/>
                    </w:rPr>
                  </w:pPr>
                  <w:r>
                    <w:rPr>
                      <w:rFonts w:hint="eastAsia"/>
                      <w:color w:val="auto"/>
                      <w:lang w:val="en-US" w:eastAsia="zh-CN"/>
                    </w:rPr>
                    <w:t>50</w:t>
                  </w:r>
                </w:p>
              </w:tc>
              <w:tc>
                <w:tcPr>
                  <w:tcW w:w="731" w:type="dxa"/>
                  <w:vAlign w:val="center"/>
                </w:tcPr>
                <w:p w14:paraId="0A395F92">
                  <w:pPr>
                    <w:pStyle w:val="34"/>
                    <w:bidi w:val="0"/>
                    <w:rPr>
                      <w:rFonts w:hint="default"/>
                      <w:color w:val="auto"/>
                      <w:lang w:val="en-US" w:eastAsia="zh-CN"/>
                    </w:rPr>
                  </w:pPr>
                  <w:r>
                    <w:rPr>
                      <w:rFonts w:hint="eastAsia"/>
                      <w:color w:val="auto"/>
                      <w:lang w:val="en-US" w:eastAsia="zh-CN"/>
                    </w:rPr>
                    <w:t>46.48</w:t>
                  </w:r>
                </w:p>
              </w:tc>
              <w:tc>
                <w:tcPr>
                  <w:tcW w:w="732" w:type="dxa"/>
                  <w:vAlign w:val="center"/>
                </w:tcPr>
                <w:p w14:paraId="55AC3BD9">
                  <w:pPr>
                    <w:pStyle w:val="34"/>
                    <w:bidi w:val="0"/>
                    <w:rPr>
                      <w:rFonts w:hint="default"/>
                      <w:color w:val="auto"/>
                      <w:lang w:val="en-US" w:eastAsia="zh-CN"/>
                    </w:rPr>
                  </w:pPr>
                  <w:r>
                    <w:rPr>
                      <w:rFonts w:hint="eastAsia"/>
                      <w:color w:val="auto"/>
                      <w:lang w:val="en-US" w:eastAsia="zh-CN"/>
                    </w:rPr>
                    <w:t>43.98</w:t>
                  </w:r>
                </w:p>
              </w:tc>
            </w:tr>
            <w:tr w14:paraId="7920B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1" w:type="dxa"/>
                  <w:vAlign w:val="center"/>
                </w:tcPr>
                <w:p w14:paraId="78F893D6">
                  <w:pPr>
                    <w:pStyle w:val="34"/>
                    <w:bidi w:val="0"/>
                    <w:ind w:firstLine="0" w:firstLineChars="0"/>
                    <w:rPr>
                      <w:rFonts w:hint="eastAsia" w:eastAsia="宋体"/>
                      <w:color w:val="auto"/>
                      <w:lang w:eastAsia="zh-CN"/>
                    </w:rPr>
                  </w:pPr>
                  <w:r>
                    <w:rPr>
                      <w:rFonts w:hint="eastAsia"/>
                      <w:color w:val="auto"/>
                      <w:lang w:eastAsia="zh-CN"/>
                    </w:rPr>
                    <w:t>混凝土搅拌机</w:t>
                  </w:r>
                </w:p>
              </w:tc>
              <w:tc>
                <w:tcPr>
                  <w:tcW w:w="731" w:type="dxa"/>
                  <w:vAlign w:val="center"/>
                </w:tcPr>
                <w:p w14:paraId="3534DDCD">
                  <w:pPr>
                    <w:pStyle w:val="34"/>
                    <w:bidi w:val="0"/>
                    <w:rPr>
                      <w:rFonts w:hint="default"/>
                      <w:color w:val="auto"/>
                      <w:lang w:val="en-US" w:eastAsia="zh-CN"/>
                    </w:rPr>
                  </w:pPr>
                  <w:r>
                    <w:rPr>
                      <w:rFonts w:hint="eastAsia"/>
                      <w:color w:val="auto"/>
                      <w:lang w:val="en-US" w:eastAsia="zh-CN"/>
                    </w:rPr>
                    <w:t>70</w:t>
                  </w:r>
                </w:p>
              </w:tc>
              <w:tc>
                <w:tcPr>
                  <w:tcW w:w="731" w:type="dxa"/>
                  <w:vAlign w:val="center"/>
                </w:tcPr>
                <w:p w14:paraId="31BC66C1">
                  <w:pPr>
                    <w:pStyle w:val="34"/>
                    <w:bidi w:val="0"/>
                    <w:rPr>
                      <w:rFonts w:hint="default"/>
                      <w:color w:val="auto"/>
                      <w:lang w:val="en-US" w:eastAsia="zh-CN"/>
                    </w:rPr>
                  </w:pPr>
                  <w:r>
                    <w:rPr>
                      <w:rFonts w:hint="eastAsia"/>
                      <w:color w:val="auto"/>
                      <w:lang w:val="en-US" w:eastAsia="zh-CN"/>
                    </w:rPr>
                    <w:t>56.02</w:t>
                  </w:r>
                </w:p>
              </w:tc>
              <w:tc>
                <w:tcPr>
                  <w:tcW w:w="731" w:type="dxa"/>
                  <w:vAlign w:val="center"/>
                </w:tcPr>
                <w:p w14:paraId="395F5301">
                  <w:pPr>
                    <w:pStyle w:val="34"/>
                    <w:bidi w:val="0"/>
                    <w:rPr>
                      <w:rFonts w:hint="default"/>
                      <w:color w:val="auto"/>
                      <w:lang w:val="en-US" w:eastAsia="zh-CN"/>
                    </w:rPr>
                  </w:pPr>
                  <w:r>
                    <w:rPr>
                      <w:rFonts w:hint="eastAsia"/>
                      <w:color w:val="auto"/>
                      <w:lang w:val="en-US" w:eastAsia="zh-CN"/>
                    </w:rPr>
                    <w:t>50</w:t>
                  </w:r>
                </w:p>
              </w:tc>
              <w:tc>
                <w:tcPr>
                  <w:tcW w:w="731" w:type="dxa"/>
                  <w:vAlign w:val="center"/>
                </w:tcPr>
                <w:p w14:paraId="09C988A2">
                  <w:pPr>
                    <w:pStyle w:val="34"/>
                    <w:bidi w:val="0"/>
                    <w:rPr>
                      <w:rFonts w:hint="default"/>
                      <w:color w:val="auto"/>
                      <w:lang w:val="en-US" w:eastAsia="zh-CN"/>
                    </w:rPr>
                  </w:pPr>
                  <w:r>
                    <w:rPr>
                      <w:rFonts w:hint="eastAsia"/>
                      <w:color w:val="auto"/>
                      <w:lang w:val="en-US" w:eastAsia="zh-CN"/>
                    </w:rPr>
                    <w:t>43.98</w:t>
                  </w:r>
                </w:p>
              </w:tc>
              <w:tc>
                <w:tcPr>
                  <w:tcW w:w="731" w:type="dxa"/>
                  <w:vAlign w:val="center"/>
                </w:tcPr>
                <w:p w14:paraId="17BA0C3B">
                  <w:pPr>
                    <w:pStyle w:val="34"/>
                    <w:bidi w:val="0"/>
                    <w:rPr>
                      <w:rFonts w:hint="default"/>
                      <w:color w:val="auto"/>
                      <w:lang w:val="en-US" w:eastAsia="zh-CN"/>
                    </w:rPr>
                  </w:pPr>
                  <w:r>
                    <w:rPr>
                      <w:rFonts w:hint="eastAsia"/>
                      <w:color w:val="auto"/>
                      <w:lang w:val="en-US" w:eastAsia="zh-CN"/>
                    </w:rPr>
                    <w:t>40.46</w:t>
                  </w:r>
                </w:p>
              </w:tc>
              <w:tc>
                <w:tcPr>
                  <w:tcW w:w="731" w:type="dxa"/>
                  <w:vAlign w:val="center"/>
                </w:tcPr>
                <w:p w14:paraId="0B3025CA">
                  <w:pPr>
                    <w:pStyle w:val="34"/>
                    <w:bidi w:val="0"/>
                    <w:rPr>
                      <w:rFonts w:hint="default"/>
                      <w:color w:val="auto"/>
                      <w:lang w:val="en-US" w:eastAsia="zh-CN"/>
                    </w:rPr>
                  </w:pPr>
                  <w:r>
                    <w:rPr>
                      <w:rFonts w:hint="eastAsia"/>
                      <w:color w:val="auto"/>
                      <w:lang w:val="en-US" w:eastAsia="zh-CN"/>
                    </w:rPr>
                    <w:t>37.96</w:t>
                  </w:r>
                </w:p>
              </w:tc>
              <w:tc>
                <w:tcPr>
                  <w:tcW w:w="731" w:type="dxa"/>
                  <w:vAlign w:val="center"/>
                </w:tcPr>
                <w:p w14:paraId="1E2CF618">
                  <w:pPr>
                    <w:pStyle w:val="34"/>
                    <w:bidi w:val="0"/>
                    <w:rPr>
                      <w:rFonts w:hint="default"/>
                      <w:color w:val="auto"/>
                      <w:lang w:val="en-US" w:eastAsia="zh-CN"/>
                    </w:rPr>
                  </w:pPr>
                  <w:r>
                    <w:rPr>
                      <w:rFonts w:hint="eastAsia"/>
                      <w:color w:val="auto"/>
                      <w:lang w:val="en-US" w:eastAsia="zh-CN"/>
                    </w:rPr>
                    <w:t>36.02</w:t>
                  </w:r>
                </w:p>
              </w:tc>
              <w:tc>
                <w:tcPr>
                  <w:tcW w:w="731" w:type="dxa"/>
                  <w:vAlign w:val="center"/>
                </w:tcPr>
                <w:p w14:paraId="0B803644">
                  <w:pPr>
                    <w:pStyle w:val="34"/>
                    <w:bidi w:val="0"/>
                    <w:rPr>
                      <w:rFonts w:hint="default"/>
                      <w:color w:val="auto"/>
                      <w:lang w:val="en-US" w:eastAsia="zh-CN"/>
                    </w:rPr>
                  </w:pPr>
                  <w:r>
                    <w:rPr>
                      <w:rFonts w:hint="eastAsia"/>
                      <w:color w:val="auto"/>
                      <w:lang w:val="en-US" w:eastAsia="zh-CN"/>
                    </w:rPr>
                    <w:t>30</w:t>
                  </w:r>
                </w:p>
              </w:tc>
              <w:tc>
                <w:tcPr>
                  <w:tcW w:w="731" w:type="dxa"/>
                  <w:vAlign w:val="center"/>
                </w:tcPr>
                <w:p w14:paraId="2F12C633">
                  <w:pPr>
                    <w:pStyle w:val="34"/>
                    <w:bidi w:val="0"/>
                    <w:rPr>
                      <w:rFonts w:hint="default"/>
                      <w:color w:val="auto"/>
                      <w:lang w:val="en-US" w:eastAsia="zh-CN"/>
                    </w:rPr>
                  </w:pPr>
                  <w:r>
                    <w:rPr>
                      <w:rFonts w:hint="eastAsia"/>
                      <w:color w:val="auto"/>
                      <w:lang w:val="en-US" w:eastAsia="zh-CN"/>
                    </w:rPr>
                    <w:t>26.48</w:t>
                  </w:r>
                </w:p>
              </w:tc>
              <w:tc>
                <w:tcPr>
                  <w:tcW w:w="732" w:type="dxa"/>
                  <w:vAlign w:val="center"/>
                </w:tcPr>
                <w:p w14:paraId="7ECD9FA0">
                  <w:pPr>
                    <w:pStyle w:val="34"/>
                    <w:bidi w:val="0"/>
                    <w:rPr>
                      <w:rFonts w:hint="default"/>
                      <w:color w:val="auto"/>
                      <w:lang w:val="en-US" w:eastAsia="zh-CN"/>
                    </w:rPr>
                  </w:pPr>
                  <w:r>
                    <w:rPr>
                      <w:rFonts w:hint="eastAsia"/>
                      <w:color w:val="auto"/>
                      <w:lang w:val="en-US" w:eastAsia="zh-CN"/>
                    </w:rPr>
                    <w:t>23.98</w:t>
                  </w:r>
                </w:p>
              </w:tc>
            </w:tr>
            <w:tr w14:paraId="450E9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1" w:type="dxa"/>
                  <w:vAlign w:val="center"/>
                </w:tcPr>
                <w:p w14:paraId="357A7E8D">
                  <w:pPr>
                    <w:pStyle w:val="34"/>
                    <w:bidi w:val="0"/>
                    <w:ind w:firstLine="0" w:firstLineChars="0"/>
                    <w:rPr>
                      <w:rFonts w:hint="eastAsia"/>
                      <w:color w:val="auto"/>
                      <w:lang w:val="en-US" w:eastAsia="zh-CN"/>
                    </w:rPr>
                  </w:pPr>
                  <w:r>
                    <w:rPr>
                      <w:color w:val="auto"/>
                    </w:rPr>
                    <w:t>电焊机</w:t>
                  </w:r>
                </w:p>
              </w:tc>
              <w:tc>
                <w:tcPr>
                  <w:tcW w:w="731" w:type="dxa"/>
                  <w:vAlign w:val="center"/>
                </w:tcPr>
                <w:p w14:paraId="69CE8581">
                  <w:pPr>
                    <w:pStyle w:val="34"/>
                    <w:bidi w:val="0"/>
                    <w:rPr>
                      <w:rFonts w:hint="default"/>
                      <w:color w:val="auto"/>
                      <w:lang w:val="en-US" w:eastAsia="zh-CN"/>
                    </w:rPr>
                  </w:pPr>
                  <w:r>
                    <w:rPr>
                      <w:rFonts w:hint="eastAsia"/>
                      <w:color w:val="auto"/>
                      <w:lang w:val="en-US" w:eastAsia="zh-CN"/>
                    </w:rPr>
                    <w:t>85</w:t>
                  </w:r>
                </w:p>
              </w:tc>
              <w:tc>
                <w:tcPr>
                  <w:tcW w:w="731" w:type="dxa"/>
                  <w:vAlign w:val="center"/>
                </w:tcPr>
                <w:p w14:paraId="097B7E23">
                  <w:pPr>
                    <w:pStyle w:val="34"/>
                    <w:bidi w:val="0"/>
                    <w:rPr>
                      <w:rFonts w:hint="default"/>
                      <w:color w:val="auto"/>
                      <w:lang w:val="en-US" w:eastAsia="zh-CN"/>
                    </w:rPr>
                  </w:pPr>
                  <w:r>
                    <w:rPr>
                      <w:rFonts w:hint="eastAsia"/>
                      <w:color w:val="auto"/>
                      <w:lang w:val="en-US" w:eastAsia="zh-CN"/>
                    </w:rPr>
                    <w:t>71.02</w:t>
                  </w:r>
                </w:p>
              </w:tc>
              <w:tc>
                <w:tcPr>
                  <w:tcW w:w="731" w:type="dxa"/>
                  <w:vAlign w:val="center"/>
                </w:tcPr>
                <w:p w14:paraId="3EF05B8A">
                  <w:pPr>
                    <w:pStyle w:val="34"/>
                    <w:bidi w:val="0"/>
                    <w:rPr>
                      <w:rFonts w:hint="default"/>
                      <w:color w:val="auto"/>
                      <w:lang w:val="en-US" w:eastAsia="zh-CN"/>
                    </w:rPr>
                  </w:pPr>
                  <w:r>
                    <w:rPr>
                      <w:rFonts w:hint="eastAsia"/>
                      <w:color w:val="auto"/>
                      <w:lang w:val="en-US" w:eastAsia="zh-CN"/>
                    </w:rPr>
                    <w:t>65</w:t>
                  </w:r>
                </w:p>
              </w:tc>
              <w:tc>
                <w:tcPr>
                  <w:tcW w:w="731" w:type="dxa"/>
                  <w:vAlign w:val="center"/>
                </w:tcPr>
                <w:p w14:paraId="16CE2630">
                  <w:pPr>
                    <w:pStyle w:val="34"/>
                    <w:bidi w:val="0"/>
                    <w:rPr>
                      <w:rFonts w:hint="default"/>
                      <w:color w:val="auto"/>
                      <w:lang w:val="en-US" w:eastAsia="zh-CN"/>
                    </w:rPr>
                  </w:pPr>
                  <w:r>
                    <w:rPr>
                      <w:rFonts w:hint="eastAsia"/>
                      <w:color w:val="auto"/>
                      <w:lang w:val="en-US" w:eastAsia="zh-CN"/>
                    </w:rPr>
                    <w:t>58.98</w:t>
                  </w:r>
                </w:p>
              </w:tc>
              <w:tc>
                <w:tcPr>
                  <w:tcW w:w="731" w:type="dxa"/>
                  <w:vAlign w:val="center"/>
                </w:tcPr>
                <w:p w14:paraId="002D8C1C">
                  <w:pPr>
                    <w:pStyle w:val="34"/>
                    <w:bidi w:val="0"/>
                    <w:rPr>
                      <w:rFonts w:hint="default"/>
                      <w:color w:val="auto"/>
                      <w:lang w:val="en-US" w:eastAsia="zh-CN"/>
                    </w:rPr>
                  </w:pPr>
                  <w:r>
                    <w:rPr>
                      <w:rFonts w:hint="eastAsia"/>
                      <w:color w:val="auto"/>
                      <w:lang w:val="en-US" w:eastAsia="zh-CN"/>
                    </w:rPr>
                    <w:t>55.46</w:t>
                  </w:r>
                </w:p>
              </w:tc>
              <w:tc>
                <w:tcPr>
                  <w:tcW w:w="731" w:type="dxa"/>
                  <w:vAlign w:val="center"/>
                </w:tcPr>
                <w:p w14:paraId="51FA6737">
                  <w:pPr>
                    <w:pStyle w:val="34"/>
                    <w:bidi w:val="0"/>
                    <w:rPr>
                      <w:rFonts w:hint="default"/>
                      <w:color w:val="auto"/>
                      <w:lang w:val="en-US" w:eastAsia="zh-CN"/>
                    </w:rPr>
                  </w:pPr>
                  <w:r>
                    <w:rPr>
                      <w:rFonts w:hint="eastAsia"/>
                      <w:color w:val="auto"/>
                      <w:lang w:val="en-US" w:eastAsia="zh-CN"/>
                    </w:rPr>
                    <w:t>52.96</w:t>
                  </w:r>
                </w:p>
              </w:tc>
              <w:tc>
                <w:tcPr>
                  <w:tcW w:w="731" w:type="dxa"/>
                  <w:vAlign w:val="center"/>
                </w:tcPr>
                <w:p w14:paraId="28AA76F0">
                  <w:pPr>
                    <w:pStyle w:val="34"/>
                    <w:bidi w:val="0"/>
                    <w:rPr>
                      <w:rFonts w:hint="default"/>
                      <w:color w:val="auto"/>
                      <w:lang w:val="en-US" w:eastAsia="zh-CN"/>
                    </w:rPr>
                  </w:pPr>
                  <w:r>
                    <w:rPr>
                      <w:rFonts w:hint="eastAsia"/>
                      <w:color w:val="auto"/>
                      <w:lang w:val="en-US" w:eastAsia="zh-CN"/>
                    </w:rPr>
                    <w:t>51.02</w:t>
                  </w:r>
                </w:p>
              </w:tc>
              <w:tc>
                <w:tcPr>
                  <w:tcW w:w="731" w:type="dxa"/>
                  <w:vAlign w:val="center"/>
                </w:tcPr>
                <w:p w14:paraId="0FF31280">
                  <w:pPr>
                    <w:pStyle w:val="34"/>
                    <w:bidi w:val="0"/>
                    <w:rPr>
                      <w:rFonts w:hint="default"/>
                      <w:color w:val="auto"/>
                      <w:lang w:val="en-US" w:eastAsia="zh-CN"/>
                    </w:rPr>
                  </w:pPr>
                  <w:r>
                    <w:rPr>
                      <w:rFonts w:hint="eastAsia"/>
                      <w:color w:val="auto"/>
                      <w:lang w:val="en-US" w:eastAsia="zh-CN"/>
                    </w:rPr>
                    <w:t>45</w:t>
                  </w:r>
                </w:p>
              </w:tc>
              <w:tc>
                <w:tcPr>
                  <w:tcW w:w="731" w:type="dxa"/>
                  <w:vAlign w:val="center"/>
                </w:tcPr>
                <w:p w14:paraId="2AC096FC">
                  <w:pPr>
                    <w:pStyle w:val="34"/>
                    <w:bidi w:val="0"/>
                    <w:rPr>
                      <w:rFonts w:hint="default"/>
                      <w:color w:val="auto"/>
                      <w:lang w:val="en-US" w:eastAsia="zh-CN"/>
                    </w:rPr>
                  </w:pPr>
                  <w:r>
                    <w:rPr>
                      <w:rFonts w:hint="eastAsia"/>
                      <w:color w:val="auto"/>
                      <w:lang w:val="en-US" w:eastAsia="zh-CN"/>
                    </w:rPr>
                    <w:t>41.48</w:t>
                  </w:r>
                </w:p>
              </w:tc>
              <w:tc>
                <w:tcPr>
                  <w:tcW w:w="732" w:type="dxa"/>
                  <w:vAlign w:val="center"/>
                </w:tcPr>
                <w:p w14:paraId="08FF10B7">
                  <w:pPr>
                    <w:pStyle w:val="34"/>
                    <w:bidi w:val="0"/>
                    <w:rPr>
                      <w:rFonts w:hint="default"/>
                      <w:color w:val="auto"/>
                      <w:lang w:val="en-US" w:eastAsia="zh-CN"/>
                    </w:rPr>
                  </w:pPr>
                  <w:r>
                    <w:rPr>
                      <w:rFonts w:hint="eastAsia"/>
                      <w:color w:val="auto"/>
                      <w:lang w:val="en-US" w:eastAsia="zh-CN"/>
                    </w:rPr>
                    <w:t>38.98</w:t>
                  </w:r>
                </w:p>
              </w:tc>
            </w:tr>
            <w:tr w14:paraId="735E9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1" w:type="dxa"/>
                  <w:vAlign w:val="center"/>
                </w:tcPr>
                <w:p w14:paraId="3A499FF9">
                  <w:pPr>
                    <w:pStyle w:val="34"/>
                    <w:bidi w:val="0"/>
                    <w:ind w:firstLine="0" w:firstLineChars="0"/>
                    <w:rPr>
                      <w:rFonts w:hint="eastAsia"/>
                      <w:color w:val="auto"/>
                      <w:lang w:val="en-US" w:eastAsia="zh-CN"/>
                    </w:rPr>
                  </w:pPr>
                  <w:r>
                    <w:rPr>
                      <w:color w:val="auto"/>
                    </w:rPr>
                    <w:t>中型载重车</w:t>
                  </w:r>
                </w:p>
              </w:tc>
              <w:tc>
                <w:tcPr>
                  <w:tcW w:w="731" w:type="dxa"/>
                  <w:vAlign w:val="center"/>
                </w:tcPr>
                <w:p w14:paraId="228151B0">
                  <w:pPr>
                    <w:pStyle w:val="34"/>
                    <w:bidi w:val="0"/>
                    <w:rPr>
                      <w:rFonts w:hint="default"/>
                      <w:color w:val="auto"/>
                      <w:lang w:val="en-US" w:eastAsia="zh-CN"/>
                    </w:rPr>
                  </w:pPr>
                  <w:r>
                    <w:rPr>
                      <w:rFonts w:hint="eastAsia"/>
                      <w:color w:val="auto"/>
                      <w:lang w:val="en-US" w:eastAsia="zh-CN"/>
                    </w:rPr>
                    <w:t>85</w:t>
                  </w:r>
                </w:p>
              </w:tc>
              <w:tc>
                <w:tcPr>
                  <w:tcW w:w="731" w:type="dxa"/>
                  <w:vAlign w:val="center"/>
                </w:tcPr>
                <w:p w14:paraId="2BBB0E95">
                  <w:pPr>
                    <w:pStyle w:val="34"/>
                    <w:bidi w:val="0"/>
                    <w:rPr>
                      <w:rFonts w:hint="default"/>
                      <w:color w:val="auto"/>
                      <w:lang w:val="en-US" w:eastAsia="zh-CN"/>
                    </w:rPr>
                  </w:pPr>
                  <w:r>
                    <w:rPr>
                      <w:rFonts w:hint="eastAsia"/>
                      <w:color w:val="auto"/>
                      <w:lang w:val="en-US" w:eastAsia="zh-CN"/>
                    </w:rPr>
                    <w:t>71.02</w:t>
                  </w:r>
                </w:p>
              </w:tc>
              <w:tc>
                <w:tcPr>
                  <w:tcW w:w="731" w:type="dxa"/>
                  <w:vAlign w:val="center"/>
                </w:tcPr>
                <w:p w14:paraId="379D870C">
                  <w:pPr>
                    <w:pStyle w:val="34"/>
                    <w:bidi w:val="0"/>
                    <w:rPr>
                      <w:rFonts w:hint="default"/>
                      <w:color w:val="auto"/>
                      <w:lang w:val="en-US" w:eastAsia="zh-CN"/>
                    </w:rPr>
                  </w:pPr>
                  <w:r>
                    <w:rPr>
                      <w:rFonts w:hint="eastAsia"/>
                      <w:color w:val="auto"/>
                      <w:lang w:val="en-US" w:eastAsia="zh-CN"/>
                    </w:rPr>
                    <w:t>65</w:t>
                  </w:r>
                </w:p>
              </w:tc>
              <w:tc>
                <w:tcPr>
                  <w:tcW w:w="731" w:type="dxa"/>
                  <w:vAlign w:val="center"/>
                </w:tcPr>
                <w:p w14:paraId="7934B5D9">
                  <w:pPr>
                    <w:pStyle w:val="34"/>
                    <w:bidi w:val="0"/>
                    <w:rPr>
                      <w:rFonts w:hint="default"/>
                      <w:color w:val="auto"/>
                      <w:lang w:val="en-US" w:eastAsia="zh-CN"/>
                    </w:rPr>
                  </w:pPr>
                  <w:r>
                    <w:rPr>
                      <w:rFonts w:hint="eastAsia"/>
                      <w:color w:val="auto"/>
                      <w:lang w:val="en-US" w:eastAsia="zh-CN"/>
                    </w:rPr>
                    <w:t>58.98</w:t>
                  </w:r>
                </w:p>
              </w:tc>
              <w:tc>
                <w:tcPr>
                  <w:tcW w:w="731" w:type="dxa"/>
                  <w:vAlign w:val="center"/>
                </w:tcPr>
                <w:p w14:paraId="145FDEA5">
                  <w:pPr>
                    <w:pStyle w:val="34"/>
                    <w:bidi w:val="0"/>
                    <w:rPr>
                      <w:rFonts w:hint="default"/>
                      <w:color w:val="auto"/>
                      <w:lang w:val="en-US" w:eastAsia="zh-CN"/>
                    </w:rPr>
                  </w:pPr>
                  <w:r>
                    <w:rPr>
                      <w:rFonts w:hint="eastAsia"/>
                      <w:color w:val="auto"/>
                      <w:lang w:val="en-US" w:eastAsia="zh-CN"/>
                    </w:rPr>
                    <w:t>55.46</w:t>
                  </w:r>
                </w:p>
              </w:tc>
              <w:tc>
                <w:tcPr>
                  <w:tcW w:w="731" w:type="dxa"/>
                  <w:vAlign w:val="center"/>
                </w:tcPr>
                <w:p w14:paraId="4C696031">
                  <w:pPr>
                    <w:pStyle w:val="34"/>
                    <w:bidi w:val="0"/>
                    <w:rPr>
                      <w:rFonts w:hint="default"/>
                      <w:color w:val="auto"/>
                      <w:lang w:val="en-US" w:eastAsia="zh-CN"/>
                    </w:rPr>
                  </w:pPr>
                  <w:r>
                    <w:rPr>
                      <w:rFonts w:hint="eastAsia"/>
                      <w:color w:val="auto"/>
                      <w:lang w:val="en-US" w:eastAsia="zh-CN"/>
                    </w:rPr>
                    <w:t>52.96</w:t>
                  </w:r>
                </w:p>
              </w:tc>
              <w:tc>
                <w:tcPr>
                  <w:tcW w:w="731" w:type="dxa"/>
                  <w:vAlign w:val="center"/>
                </w:tcPr>
                <w:p w14:paraId="45D31E98">
                  <w:pPr>
                    <w:pStyle w:val="34"/>
                    <w:bidi w:val="0"/>
                    <w:rPr>
                      <w:rFonts w:hint="default"/>
                      <w:color w:val="auto"/>
                      <w:lang w:val="en-US" w:eastAsia="zh-CN"/>
                    </w:rPr>
                  </w:pPr>
                  <w:r>
                    <w:rPr>
                      <w:rFonts w:hint="eastAsia"/>
                      <w:color w:val="auto"/>
                      <w:lang w:val="en-US" w:eastAsia="zh-CN"/>
                    </w:rPr>
                    <w:t>51.02</w:t>
                  </w:r>
                </w:p>
              </w:tc>
              <w:tc>
                <w:tcPr>
                  <w:tcW w:w="731" w:type="dxa"/>
                  <w:vAlign w:val="center"/>
                </w:tcPr>
                <w:p w14:paraId="7F8BACE1">
                  <w:pPr>
                    <w:pStyle w:val="34"/>
                    <w:bidi w:val="0"/>
                    <w:rPr>
                      <w:rFonts w:hint="default"/>
                      <w:color w:val="auto"/>
                      <w:lang w:val="en-US" w:eastAsia="zh-CN"/>
                    </w:rPr>
                  </w:pPr>
                  <w:r>
                    <w:rPr>
                      <w:rFonts w:hint="eastAsia"/>
                      <w:color w:val="auto"/>
                      <w:lang w:val="en-US" w:eastAsia="zh-CN"/>
                    </w:rPr>
                    <w:t>45</w:t>
                  </w:r>
                </w:p>
              </w:tc>
              <w:tc>
                <w:tcPr>
                  <w:tcW w:w="731" w:type="dxa"/>
                  <w:vAlign w:val="center"/>
                </w:tcPr>
                <w:p w14:paraId="13E3138A">
                  <w:pPr>
                    <w:pStyle w:val="34"/>
                    <w:bidi w:val="0"/>
                    <w:rPr>
                      <w:rFonts w:hint="default"/>
                      <w:color w:val="auto"/>
                      <w:lang w:val="en-US" w:eastAsia="zh-CN"/>
                    </w:rPr>
                  </w:pPr>
                  <w:r>
                    <w:rPr>
                      <w:rFonts w:hint="eastAsia"/>
                      <w:color w:val="auto"/>
                      <w:lang w:val="en-US" w:eastAsia="zh-CN"/>
                    </w:rPr>
                    <w:t>41.48</w:t>
                  </w:r>
                </w:p>
              </w:tc>
              <w:tc>
                <w:tcPr>
                  <w:tcW w:w="732" w:type="dxa"/>
                  <w:vAlign w:val="center"/>
                </w:tcPr>
                <w:p w14:paraId="308AAE5B">
                  <w:pPr>
                    <w:pStyle w:val="34"/>
                    <w:bidi w:val="0"/>
                    <w:rPr>
                      <w:rFonts w:hint="default"/>
                      <w:color w:val="auto"/>
                      <w:lang w:val="en-US" w:eastAsia="zh-CN"/>
                    </w:rPr>
                  </w:pPr>
                  <w:r>
                    <w:rPr>
                      <w:rFonts w:hint="eastAsia"/>
                      <w:color w:val="auto"/>
                      <w:lang w:val="en-US" w:eastAsia="zh-CN"/>
                    </w:rPr>
                    <w:t>38.98</w:t>
                  </w:r>
                </w:p>
              </w:tc>
            </w:tr>
            <w:tr w14:paraId="11AC9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1" w:type="dxa"/>
                  <w:vAlign w:val="center"/>
                </w:tcPr>
                <w:p w14:paraId="7997FA15">
                  <w:pPr>
                    <w:pStyle w:val="34"/>
                    <w:bidi w:val="0"/>
                    <w:ind w:firstLine="0" w:firstLineChars="0"/>
                    <w:rPr>
                      <w:rFonts w:hint="eastAsia" w:eastAsia="宋体"/>
                      <w:color w:val="auto"/>
                      <w:lang w:eastAsia="zh-CN"/>
                    </w:rPr>
                  </w:pPr>
                  <w:r>
                    <w:rPr>
                      <w:rFonts w:hint="eastAsia"/>
                      <w:color w:val="auto"/>
                      <w:lang w:eastAsia="zh-CN"/>
                    </w:rPr>
                    <w:t>叠加值</w:t>
                  </w:r>
                </w:p>
              </w:tc>
              <w:tc>
                <w:tcPr>
                  <w:tcW w:w="731" w:type="dxa"/>
                  <w:vAlign w:val="center"/>
                </w:tcPr>
                <w:p w14:paraId="5EFADB47">
                  <w:pPr>
                    <w:pStyle w:val="34"/>
                    <w:bidi w:val="0"/>
                    <w:rPr>
                      <w:rFonts w:hint="default"/>
                      <w:color w:val="auto"/>
                      <w:lang w:val="en-US" w:eastAsia="zh-CN"/>
                    </w:rPr>
                  </w:pPr>
                  <w:r>
                    <w:rPr>
                      <w:rFonts w:hint="eastAsia"/>
                      <w:color w:val="auto"/>
                      <w:lang w:val="en-US" w:eastAsia="zh-CN"/>
                    </w:rPr>
                    <w:t>98.93</w:t>
                  </w:r>
                </w:p>
              </w:tc>
              <w:tc>
                <w:tcPr>
                  <w:tcW w:w="731" w:type="dxa"/>
                  <w:vAlign w:val="center"/>
                </w:tcPr>
                <w:p w14:paraId="568B2A82">
                  <w:pPr>
                    <w:pStyle w:val="34"/>
                    <w:bidi w:val="0"/>
                    <w:rPr>
                      <w:rFonts w:hint="default"/>
                      <w:color w:val="auto"/>
                      <w:lang w:val="en-US" w:eastAsia="zh-CN"/>
                    </w:rPr>
                  </w:pPr>
                  <w:r>
                    <w:rPr>
                      <w:rFonts w:hint="eastAsia"/>
                      <w:color w:val="auto"/>
                      <w:lang w:val="en-US" w:eastAsia="zh-CN"/>
                    </w:rPr>
                    <w:t>84.95</w:t>
                  </w:r>
                </w:p>
              </w:tc>
              <w:tc>
                <w:tcPr>
                  <w:tcW w:w="731" w:type="dxa"/>
                  <w:vAlign w:val="center"/>
                </w:tcPr>
                <w:p w14:paraId="7F96A027">
                  <w:pPr>
                    <w:pStyle w:val="34"/>
                    <w:bidi w:val="0"/>
                    <w:rPr>
                      <w:rFonts w:hint="default"/>
                      <w:color w:val="auto"/>
                      <w:lang w:val="en-US" w:eastAsia="zh-CN"/>
                    </w:rPr>
                  </w:pPr>
                  <w:r>
                    <w:rPr>
                      <w:rFonts w:hint="eastAsia"/>
                      <w:color w:val="auto"/>
                      <w:lang w:val="en-US" w:eastAsia="zh-CN"/>
                    </w:rPr>
                    <w:t>78.93</w:t>
                  </w:r>
                </w:p>
              </w:tc>
              <w:tc>
                <w:tcPr>
                  <w:tcW w:w="731" w:type="dxa"/>
                  <w:vAlign w:val="center"/>
                </w:tcPr>
                <w:p w14:paraId="046F5747">
                  <w:pPr>
                    <w:pStyle w:val="34"/>
                    <w:bidi w:val="0"/>
                    <w:rPr>
                      <w:rFonts w:hint="default"/>
                      <w:color w:val="auto"/>
                      <w:lang w:val="en-US" w:eastAsia="zh-CN"/>
                    </w:rPr>
                  </w:pPr>
                  <w:r>
                    <w:rPr>
                      <w:rFonts w:hint="eastAsia"/>
                      <w:color w:val="auto"/>
                      <w:lang w:val="en-US" w:eastAsia="zh-CN"/>
                    </w:rPr>
                    <w:t>72.91</w:t>
                  </w:r>
                </w:p>
              </w:tc>
              <w:tc>
                <w:tcPr>
                  <w:tcW w:w="731" w:type="dxa"/>
                  <w:vAlign w:val="center"/>
                </w:tcPr>
                <w:p w14:paraId="4F3B533C">
                  <w:pPr>
                    <w:pStyle w:val="34"/>
                    <w:bidi w:val="0"/>
                    <w:rPr>
                      <w:rFonts w:hint="default"/>
                      <w:color w:val="auto"/>
                      <w:lang w:val="en-US" w:eastAsia="zh-CN"/>
                    </w:rPr>
                  </w:pPr>
                  <w:r>
                    <w:rPr>
                      <w:rFonts w:hint="eastAsia"/>
                      <w:color w:val="auto"/>
                      <w:lang w:val="en-US" w:eastAsia="zh-CN"/>
                    </w:rPr>
                    <w:t>69.39</w:t>
                  </w:r>
                </w:p>
              </w:tc>
              <w:tc>
                <w:tcPr>
                  <w:tcW w:w="731" w:type="dxa"/>
                  <w:vAlign w:val="center"/>
                </w:tcPr>
                <w:p w14:paraId="0A20EAA6">
                  <w:pPr>
                    <w:pStyle w:val="34"/>
                    <w:bidi w:val="0"/>
                    <w:rPr>
                      <w:rFonts w:hint="default"/>
                      <w:color w:val="auto"/>
                      <w:lang w:val="en-US" w:eastAsia="zh-CN"/>
                    </w:rPr>
                  </w:pPr>
                  <w:r>
                    <w:rPr>
                      <w:rFonts w:hint="eastAsia"/>
                      <w:color w:val="auto"/>
                      <w:lang w:val="en-US" w:eastAsia="zh-CN"/>
                    </w:rPr>
                    <w:t>66.89</w:t>
                  </w:r>
                </w:p>
              </w:tc>
              <w:tc>
                <w:tcPr>
                  <w:tcW w:w="731" w:type="dxa"/>
                  <w:vAlign w:val="center"/>
                </w:tcPr>
                <w:p w14:paraId="43EF6A48">
                  <w:pPr>
                    <w:pStyle w:val="34"/>
                    <w:bidi w:val="0"/>
                    <w:rPr>
                      <w:rFonts w:hint="default"/>
                      <w:color w:val="auto"/>
                      <w:lang w:val="en-US" w:eastAsia="zh-CN"/>
                    </w:rPr>
                  </w:pPr>
                  <w:r>
                    <w:rPr>
                      <w:rFonts w:hint="eastAsia"/>
                      <w:color w:val="auto"/>
                      <w:lang w:val="en-US" w:eastAsia="zh-CN"/>
                    </w:rPr>
                    <w:t>64.95</w:t>
                  </w:r>
                </w:p>
              </w:tc>
              <w:tc>
                <w:tcPr>
                  <w:tcW w:w="731" w:type="dxa"/>
                  <w:vAlign w:val="center"/>
                </w:tcPr>
                <w:p w14:paraId="2B680FE4">
                  <w:pPr>
                    <w:pStyle w:val="34"/>
                    <w:bidi w:val="0"/>
                    <w:rPr>
                      <w:rFonts w:hint="default"/>
                      <w:color w:val="auto"/>
                      <w:lang w:val="en-US" w:eastAsia="zh-CN"/>
                    </w:rPr>
                  </w:pPr>
                  <w:r>
                    <w:rPr>
                      <w:rFonts w:hint="eastAsia"/>
                      <w:color w:val="auto"/>
                      <w:lang w:val="en-US" w:eastAsia="zh-CN"/>
                    </w:rPr>
                    <w:t>58.93</w:t>
                  </w:r>
                </w:p>
              </w:tc>
              <w:tc>
                <w:tcPr>
                  <w:tcW w:w="731" w:type="dxa"/>
                  <w:vAlign w:val="center"/>
                </w:tcPr>
                <w:p w14:paraId="1953D181">
                  <w:pPr>
                    <w:pStyle w:val="34"/>
                    <w:bidi w:val="0"/>
                    <w:rPr>
                      <w:rFonts w:hint="default"/>
                      <w:color w:val="auto"/>
                      <w:lang w:val="en-US" w:eastAsia="zh-CN"/>
                    </w:rPr>
                  </w:pPr>
                  <w:r>
                    <w:rPr>
                      <w:rFonts w:hint="eastAsia"/>
                      <w:color w:val="auto"/>
                      <w:lang w:val="en-US" w:eastAsia="zh-CN"/>
                    </w:rPr>
                    <w:t>55.41</w:t>
                  </w:r>
                </w:p>
              </w:tc>
              <w:tc>
                <w:tcPr>
                  <w:tcW w:w="732" w:type="dxa"/>
                  <w:vAlign w:val="center"/>
                </w:tcPr>
                <w:p w14:paraId="46C63EFB">
                  <w:pPr>
                    <w:pStyle w:val="34"/>
                    <w:bidi w:val="0"/>
                    <w:rPr>
                      <w:rFonts w:hint="default"/>
                      <w:color w:val="auto"/>
                      <w:lang w:val="en-US" w:eastAsia="zh-CN"/>
                    </w:rPr>
                  </w:pPr>
                  <w:r>
                    <w:rPr>
                      <w:rFonts w:hint="eastAsia"/>
                      <w:color w:val="auto"/>
                      <w:lang w:val="en-US" w:eastAsia="zh-CN"/>
                    </w:rPr>
                    <w:t>52.91</w:t>
                  </w:r>
                </w:p>
              </w:tc>
            </w:tr>
          </w:tbl>
          <w:p w14:paraId="0C02FE2D">
            <w:pPr>
              <w:pStyle w:val="36"/>
              <w:bidi w:val="0"/>
              <w:rPr>
                <w:color w:val="auto"/>
              </w:rPr>
            </w:pPr>
            <w:r>
              <w:rPr>
                <w:color w:val="auto"/>
              </w:rPr>
              <w:t>由上表可知，在无遮挡的情况下，在每个施工区会多台设备同时使用，通过距离衰减，项目施工期间昼间噪声超标范围控制在噪声源强外</w:t>
            </w:r>
            <w:r>
              <w:rPr>
                <w:rFonts w:hint="eastAsia"/>
                <w:color w:val="auto"/>
                <w:lang w:val="en-US" w:eastAsia="zh-CN"/>
              </w:rPr>
              <w:t>5</w:t>
            </w:r>
            <w:r>
              <w:rPr>
                <w:color w:val="auto"/>
              </w:rPr>
              <w:t>0m范围内，项目夜间不施工。</w:t>
            </w:r>
          </w:p>
          <w:p w14:paraId="52796D20">
            <w:pPr>
              <w:pStyle w:val="36"/>
              <w:bidi w:val="0"/>
              <w:rPr>
                <w:color w:val="auto"/>
              </w:rPr>
            </w:pPr>
            <w:r>
              <w:rPr>
                <w:color w:val="auto"/>
              </w:rPr>
              <w:t>根据项目特点，噪声对周边敏感点的影响体现在施工期。施工期间产噪设备主要集中在河道两侧，施工期间施工噪声对敏感点影响较大，应加强施工期对敏感点的保护措施。</w:t>
            </w:r>
          </w:p>
          <w:p w14:paraId="788D9718">
            <w:pPr>
              <w:pStyle w:val="36"/>
              <w:bidi w:val="0"/>
              <w:rPr>
                <w:b/>
                <w:bCs/>
                <w:color w:val="auto"/>
              </w:rPr>
            </w:pPr>
            <w:r>
              <w:rPr>
                <w:rFonts w:hint="eastAsia"/>
                <w:b/>
                <w:bCs/>
                <w:color w:val="auto"/>
                <w:lang w:val="en-US" w:eastAsia="zh-CN"/>
              </w:rPr>
              <w:t>5</w:t>
            </w:r>
            <w:r>
              <w:rPr>
                <w:b/>
                <w:bCs/>
                <w:color w:val="auto"/>
              </w:rPr>
              <w:t>、固体废弃物影响分析</w:t>
            </w:r>
          </w:p>
          <w:p w14:paraId="15A3DA7D">
            <w:pPr>
              <w:pStyle w:val="36"/>
              <w:bidi w:val="0"/>
              <w:rPr>
                <w:rFonts w:hint="eastAsia"/>
                <w:color w:val="auto"/>
                <w:lang w:eastAsia="zh-CN"/>
              </w:rPr>
            </w:pPr>
            <w:r>
              <w:rPr>
                <w:color w:val="auto"/>
              </w:rPr>
              <w:t>项目施工期固体废弃物主要为</w:t>
            </w:r>
            <w:r>
              <w:rPr>
                <w:rFonts w:hint="eastAsia"/>
                <w:color w:val="auto"/>
                <w:lang w:eastAsia="zh-CN"/>
              </w:rPr>
              <w:t>建筑垃圾</w:t>
            </w:r>
            <w:r>
              <w:rPr>
                <w:color w:val="auto"/>
              </w:rPr>
              <w:t>、施工生活垃圾、</w:t>
            </w:r>
            <w:r>
              <w:rPr>
                <w:rFonts w:hint="eastAsia"/>
                <w:color w:val="auto"/>
                <w:lang w:eastAsia="zh-CN"/>
              </w:rPr>
              <w:t>车辆维修废矿物油</w:t>
            </w:r>
            <w:r>
              <w:rPr>
                <w:color w:val="auto"/>
              </w:rPr>
              <w:t>等</w:t>
            </w:r>
            <w:r>
              <w:rPr>
                <w:rFonts w:hint="eastAsia"/>
                <w:color w:val="auto"/>
                <w:lang w:eastAsia="zh-CN"/>
              </w:rPr>
              <w:t>。</w:t>
            </w:r>
          </w:p>
          <w:p w14:paraId="74C723EB">
            <w:pPr>
              <w:pStyle w:val="36"/>
              <w:keepNext w:val="0"/>
              <w:keepLines w:val="0"/>
              <w:pageBreakBefore w:val="0"/>
              <w:widowControl w:val="0"/>
              <w:numPr>
                <w:ilvl w:val="0"/>
                <w:numId w:val="0"/>
              </w:numPr>
              <w:kinsoku/>
              <w:wordWrap/>
              <w:overflowPunct/>
              <w:topLinePunct w:val="0"/>
              <w:autoSpaceDE/>
              <w:autoSpaceDN/>
              <w:bidi w:val="0"/>
              <w:snapToGrid/>
              <w:ind w:left="0" w:leftChars="0" w:right="0" w:rightChars="0" w:firstLine="482" w:firstLineChars="200"/>
              <w:rPr>
                <w:rFonts w:hint="eastAsia"/>
                <w:b/>
                <w:bCs/>
                <w:color w:val="auto"/>
                <w:lang w:eastAsia="zh-CN"/>
              </w:rPr>
            </w:pPr>
            <w:r>
              <w:rPr>
                <w:rFonts w:hint="eastAsia" w:ascii="Times New Roman" w:hAnsi="Times New Roman" w:eastAsia="宋体" w:cs="Times New Roman"/>
                <w:b/>
                <w:bCs/>
                <w:color w:val="auto"/>
                <w:kern w:val="0"/>
                <w:sz w:val="24"/>
                <w:szCs w:val="24"/>
                <w:lang w:val="en-US" w:eastAsia="zh-CN" w:bidi="ar-SA"/>
              </w:rPr>
              <w:t>（1）</w:t>
            </w:r>
            <w:r>
              <w:rPr>
                <w:rFonts w:hint="eastAsia"/>
                <w:b/>
                <w:bCs/>
                <w:color w:val="auto"/>
                <w:lang w:eastAsia="zh-CN"/>
              </w:rPr>
              <w:t>施工土石方</w:t>
            </w:r>
          </w:p>
          <w:p w14:paraId="67E842A2">
            <w:pPr>
              <w:pStyle w:val="36"/>
              <w:keepNext w:val="0"/>
              <w:keepLines w:val="0"/>
              <w:pageBreakBefore w:val="0"/>
              <w:widowControl w:val="0"/>
              <w:kinsoku/>
              <w:wordWrap/>
              <w:overflowPunct/>
              <w:topLinePunct w:val="0"/>
              <w:autoSpaceDE/>
              <w:autoSpaceDN/>
              <w:bidi w:val="0"/>
              <w:snapToGrid/>
              <w:ind w:left="0" w:right="0"/>
              <w:rPr>
                <w:b/>
                <w:bCs/>
                <w:color w:val="auto"/>
              </w:rPr>
            </w:pPr>
            <w:r>
              <w:rPr>
                <w:rFonts w:hint="eastAsia"/>
                <w:b/>
                <w:bCs/>
                <w:color w:val="auto"/>
                <w:lang w:eastAsia="zh-CN"/>
              </w:rPr>
              <w:t>①</w:t>
            </w:r>
            <w:r>
              <w:rPr>
                <w:b/>
                <w:bCs/>
                <w:color w:val="auto"/>
              </w:rPr>
              <w:t>工程</w:t>
            </w:r>
            <w:r>
              <w:rPr>
                <w:rFonts w:hint="eastAsia"/>
                <w:b/>
                <w:bCs/>
                <w:color w:val="auto"/>
                <w:lang w:eastAsia="zh-CN"/>
              </w:rPr>
              <w:t>建设</w:t>
            </w:r>
            <w:r>
              <w:rPr>
                <w:b/>
                <w:bCs/>
                <w:color w:val="auto"/>
              </w:rPr>
              <w:t>区</w:t>
            </w:r>
          </w:p>
          <w:p w14:paraId="6935688E">
            <w:pPr>
              <w:keepNext w:val="0"/>
              <w:keepLines w:val="0"/>
              <w:pageBreakBefore w:val="0"/>
              <w:widowControl w:val="0"/>
              <w:kinsoku/>
              <w:wordWrap/>
              <w:overflowPunct/>
              <w:topLinePunct w:val="0"/>
              <w:autoSpaceDE/>
              <w:autoSpaceDN/>
              <w:bidi w:val="0"/>
              <w:snapToGrid/>
              <w:spacing w:line="360" w:lineRule="auto"/>
              <w:ind w:left="0" w:right="0" w:firstLine="480"/>
              <w:rPr>
                <w:rFonts w:hint="eastAsia" w:eastAsia="宋体"/>
                <w:color w:val="auto"/>
                <w:lang w:eastAsia="zh-CN"/>
              </w:rPr>
            </w:pPr>
            <w:r>
              <w:rPr>
                <w:color w:val="auto"/>
              </w:rPr>
              <w:t>根据主体工程设计及相关资料，</w:t>
            </w:r>
            <w:r>
              <w:rPr>
                <w:rFonts w:ascii="宋体" w:hAnsi="宋体" w:eastAsia="宋体" w:cs="宋体"/>
                <w:color w:val="auto"/>
                <w:sz w:val="24"/>
                <w:szCs w:val="24"/>
              </w:rPr>
              <w:t>工程建设区土石方主要来源于钢筋石笼开挖及回填。工程建设区开挖土石方量</w:t>
            </w:r>
            <w:r>
              <w:rPr>
                <w:rFonts w:ascii="宋体" w:hAnsi="宋体" w:eastAsia="宋体" w:cs="宋体"/>
                <w:color w:val="auto"/>
                <w:spacing w:val="-5"/>
                <w:sz w:val="24"/>
                <w:szCs w:val="24"/>
              </w:rPr>
              <w:t>为</w:t>
            </w:r>
            <w:r>
              <w:rPr>
                <w:rFonts w:ascii="Times New Roman" w:hAnsi="Times New Roman" w:eastAsia="Times New Roman" w:cs="Times New Roman"/>
                <w:color w:val="auto"/>
                <w:spacing w:val="-5"/>
                <w:sz w:val="24"/>
                <w:szCs w:val="24"/>
              </w:rPr>
              <w:t>23.16</w:t>
            </w:r>
            <w:r>
              <w:rPr>
                <w:rFonts w:ascii="宋体" w:hAnsi="宋体" w:eastAsia="宋体" w:cs="宋体"/>
                <w:color w:val="auto"/>
                <w:spacing w:val="-5"/>
                <w:sz w:val="24"/>
                <w:szCs w:val="24"/>
              </w:rPr>
              <w:t>万</w:t>
            </w:r>
            <w:r>
              <w:rPr>
                <w:rFonts w:ascii="宋体" w:hAnsi="宋体" w:eastAsia="宋体" w:cs="宋体"/>
                <w:color w:val="auto"/>
                <w:spacing w:val="-58"/>
                <w:sz w:val="24"/>
                <w:szCs w:val="24"/>
              </w:rPr>
              <w:t xml:space="preserve"> </w:t>
            </w:r>
            <w:r>
              <w:rPr>
                <w:rFonts w:ascii="Times New Roman" w:hAnsi="Times New Roman" w:eastAsia="Times New Roman" w:cs="Times New Roman"/>
                <w:color w:val="auto"/>
                <w:spacing w:val="-5"/>
                <w:sz w:val="24"/>
                <w:szCs w:val="24"/>
              </w:rPr>
              <w:t>m</w:t>
            </w:r>
            <w:r>
              <w:rPr>
                <w:rFonts w:ascii="Times New Roman" w:hAnsi="Times New Roman" w:eastAsia="Times New Roman" w:cs="Times New Roman"/>
                <w:color w:val="auto"/>
                <w:spacing w:val="-5"/>
                <w:position w:val="7"/>
                <w:sz w:val="15"/>
                <w:szCs w:val="15"/>
              </w:rPr>
              <w:t>3</w:t>
            </w:r>
            <w:r>
              <w:rPr>
                <w:rFonts w:ascii="宋体" w:hAnsi="宋体" w:eastAsia="宋体" w:cs="宋体"/>
                <w:color w:val="auto"/>
                <w:spacing w:val="-5"/>
                <w:sz w:val="24"/>
                <w:szCs w:val="24"/>
              </w:rPr>
              <w:t>，工程建设区回填</w:t>
            </w:r>
            <w:r>
              <w:rPr>
                <w:rFonts w:ascii="Times New Roman" w:hAnsi="Times New Roman" w:eastAsia="Times New Roman" w:cs="Times New Roman"/>
                <w:color w:val="auto"/>
                <w:spacing w:val="-5"/>
                <w:sz w:val="24"/>
                <w:szCs w:val="24"/>
              </w:rPr>
              <w:t>11.62</w:t>
            </w:r>
            <w:r>
              <w:rPr>
                <w:rFonts w:ascii="宋体" w:hAnsi="宋体" w:eastAsia="宋体" w:cs="宋体"/>
                <w:color w:val="auto"/>
                <w:spacing w:val="-5"/>
                <w:sz w:val="24"/>
                <w:szCs w:val="24"/>
              </w:rPr>
              <w:t>万</w:t>
            </w:r>
            <w:r>
              <w:rPr>
                <w:rFonts w:ascii="Times New Roman" w:hAnsi="Times New Roman" w:eastAsia="Times New Roman" w:cs="Times New Roman"/>
                <w:color w:val="auto"/>
                <w:spacing w:val="-5"/>
                <w:sz w:val="24"/>
                <w:szCs w:val="24"/>
              </w:rPr>
              <w:t>m</w:t>
            </w:r>
            <w:r>
              <w:rPr>
                <w:rFonts w:ascii="Times New Roman" w:hAnsi="Times New Roman" w:eastAsia="Times New Roman" w:cs="Times New Roman"/>
                <w:color w:val="auto"/>
                <w:spacing w:val="-5"/>
                <w:position w:val="7"/>
                <w:sz w:val="15"/>
                <w:szCs w:val="15"/>
              </w:rPr>
              <w:t>3</w:t>
            </w:r>
            <w:r>
              <w:rPr>
                <w:rFonts w:ascii="宋体" w:hAnsi="宋体" w:eastAsia="宋体" w:cs="宋体"/>
                <w:color w:val="auto"/>
                <w:spacing w:val="-5"/>
                <w:sz w:val="24"/>
                <w:szCs w:val="24"/>
              </w:rPr>
              <w:t>，调出土石方</w:t>
            </w:r>
            <w:r>
              <w:rPr>
                <w:rFonts w:ascii="Times New Roman" w:hAnsi="Times New Roman" w:eastAsia="Times New Roman" w:cs="Times New Roman"/>
                <w:color w:val="auto"/>
                <w:spacing w:val="-6"/>
                <w:sz w:val="24"/>
                <w:szCs w:val="24"/>
              </w:rPr>
              <w:t>11.54</w:t>
            </w:r>
            <w:r>
              <w:rPr>
                <w:rFonts w:hint="eastAsia" w:ascii="Times New Roman" w:hAnsi="Times New Roman" w:eastAsia="宋体" w:cs="Times New Roman"/>
                <w:color w:val="auto"/>
                <w:spacing w:val="-6"/>
                <w:sz w:val="24"/>
                <w:szCs w:val="24"/>
                <w:lang w:eastAsia="zh-CN"/>
              </w:rPr>
              <w:t>万</w:t>
            </w:r>
            <w:r>
              <w:rPr>
                <w:rFonts w:ascii="Times New Roman" w:hAnsi="Times New Roman" w:eastAsia="Times New Roman" w:cs="Times New Roman"/>
                <w:color w:val="auto"/>
                <w:spacing w:val="-6"/>
                <w:sz w:val="24"/>
                <w:szCs w:val="24"/>
              </w:rPr>
              <w:t>m</w:t>
            </w:r>
            <w:r>
              <w:rPr>
                <w:rFonts w:hint="eastAsia" w:ascii="Times New Roman" w:hAnsi="Times New Roman" w:eastAsia="宋体" w:cs="Times New Roman"/>
                <w:color w:val="auto"/>
                <w:spacing w:val="-6"/>
                <w:sz w:val="24"/>
                <w:szCs w:val="24"/>
                <w:vertAlign w:val="superscript"/>
                <w:lang w:val="en-US" w:eastAsia="zh-CN"/>
              </w:rPr>
              <w:t>3</w:t>
            </w:r>
            <w:r>
              <w:rPr>
                <w:rFonts w:ascii="宋体" w:hAnsi="宋体" w:eastAsia="宋体" w:cs="宋体"/>
                <w:color w:val="auto"/>
                <w:spacing w:val="-6"/>
                <w:sz w:val="24"/>
                <w:szCs w:val="24"/>
              </w:rPr>
              <w:t>至施工临时道</w:t>
            </w:r>
            <w:r>
              <w:rPr>
                <w:rFonts w:ascii="宋体" w:hAnsi="宋体" w:eastAsia="宋体" w:cs="宋体"/>
                <w:color w:val="auto"/>
                <w:spacing w:val="-3"/>
                <w:sz w:val="24"/>
                <w:szCs w:val="24"/>
              </w:rPr>
              <w:t>路区铺填</w:t>
            </w:r>
            <w:r>
              <w:rPr>
                <w:rFonts w:hint="eastAsia" w:ascii="宋体" w:hAnsi="宋体" w:eastAsia="宋体" w:cs="宋体"/>
                <w:color w:val="auto"/>
                <w:spacing w:val="-3"/>
                <w:sz w:val="24"/>
                <w:szCs w:val="24"/>
                <w:lang w:eastAsia="zh-CN"/>
              </w:rPr>
              <w:t>，本区无永久废弃土石方。</w:t>
            </w:r>
          </w:p>
          <w:p w14:paraId="101BDDC7">
            <w:pPr>
              <w:pStyle w:val="36"/>
              <w:bidi w:val="0"/>
              <w:rPr>
                <w:b/>
                <w:bCs/>
                <w:color w:val="auto"/>
              </w:rPr>
            </w:pPr>
            <w:r>
              <w:rPr>
                <w:rFonts w:hint="eastAsia"/>
                <w:b/>
                <w:bCs/>
                <w:color w:val="auto"/>
                <w:lang w:val="en-US" w:eastAsia="zh-CN"/>
              </w:rPr>
              <w:t>②</w:t>
            </w:r>
            <w:r>
              <w:rPr>
                <w:b/>
                <w:bCs/>
                <w:color w:val="auto"/>
              </w:rPr>
              <w:t>施工</w:t>
            </w:r>
            <w:r>
              <w:rPr>
                <w:rFonts w:hint="eastAsia"/>
                <w:b/>
                <w:bCs/>
                <w:color w:val="auto"/>
                <w:lang w:eastAsia="zh-CN"/>
              </w:rPr>
              <w:t>临时道路</w:t>
            </w:r>
            <w:r>
              <w:rPr>
                <w:b/>
                <w:bCs/>
                <w:color w:val="auto"/>
              </w:rPr>
              <w:t>区</w:t>
            </w:r>
          </w:p>
          <w:p w14:paraId="33690F2E">
            <w:pPr>
              <w:pStyle w:val="36"/>
              <w:bidi w:val="0"/>
              <w:rPr>
                <w:color w:val="auto"/>
              </w:rPr>
            </w:pPr>
            <w:r>
              <w:rPr>
                <w:rFonts w:hint="eastAsia"/>
                <w:color w:val="auto"/>
                <w:lang w:val="en-US" w:eastAsia="zh-CN"/>
              </w:rPr>
              <w:t>根据工程需要，本项目考虑将堤后4m范围作为临时施工道路，施工前需对本区域进行铺填，土方开挖为表土剥离1.58万m</w:t>
            </w:r>
            <w:r>
              <w:rPr>
                <w:rFonts w:hint="eastAsia"/>
                <w:color w:val="auto"/>
                <w:vertAlign w:val="superscript"/>
                <w:lang w:val="en-US" w:eastAsia="zh-CN"/>
              </w:rPr>
              <w:t>3</w:t>
            </w:r>
            <w:r>
              <w:rPr>
                <w:rFonts w:hint="eastAsia"/>
                <w:color w:val="auto"/>
                <w:lang w:val="en-US" w:eastAsia="zh-CN"/>
              </w:rPr>
              <w:t>，土石方铺填量为13.12万m</w:t>
            </w:r>
            <w:r>
              <w:rPr>
                <w:rFonts w:hint="eastAsia"/>
                <w:color w:val="auto"/>
                <w:vertAlign w:val="superscript"/>
                <w:lang w:val="en-US" w:eastAsia="zh-CN"/>
              </w:rPr>
              <w:t>3</w:t>
            </w:r>
            <w:r>
              <w:rPr>
                <w:rFonts w:hint="eastAsia"/>
                <w:color w:val="auto"/>
                <w:lang w:val="en-US" w:eastAsia="zh-CN"/>
              </w:rPr>
              <w:t>（其中：表土回填1.58万m</w:t>
            </w:r>
            <w:r>
              <w:rPr>
                <w:rFonts w:hint="eastAsia"/>
                <w:color w:val="auto"/>
                <w:vertAlign w:val="superscript"/>
                <w:lang w:val="en-US" w:eastAsia="zh-CN"/>
              </w:rPr>
              <w:t>3</w:t>
            </w:r>
            <w:r>
              <w:rPr>
                <w:rFonts w:hint="eastAsia"/>
                <w:color w:val="auto"/>
                <w:vertAlign w:val="baseline"/>
                <w:lang w:val="en-US" w:eastAsia="zh-CN"/>
              </w:rPr>
              <w:t>，</w:t>
            </w:r>
            <w:r>
              <w:rPr>
                <w:rFonts w:hint="eastAsia"/>
                <w:color w:val="auto"/>
                <w:lang w:val="en-US" w:eastAsia="zh-CN"/>
              </w:rPr>
              <w:t>一般铺填量为11.54万m</w:t>
            </w:r>
            <w:r>
              <w:rPr>
                <w:rFonts w:hint="eastAsia"/>
                <w:color w:val="auto"/>
                <w:vertAlign w:val="superscript"/>
                <w:lang w:val="en-US" w:eastAsia="zh-CN"/>
              </w:rPr>
              <w:t>3</w:t>
            </w:r>
            <w:r>
              <w:rPr>
                <w:rFonts w:hint="eastAsia"/>
                <w:color w:val="auto"/>
                <w:lang w:val="en-US" w:eastAsia="zh-CN"/>
              </w:rPr>
              <w:t>），铺填土石方全部从工程建设区调入。施工结束后，本区域进行复耕。</w:t>
            </w:r>
          </w:p>
          <w:p w14:paraId="5EBC746E">
            <w:pPr>
              <w:pStyle w:val="36"/>
              <w:bidi w:val="0"/>
              <w:rPr>
                <w:b/>
                <w:bCs/>
                <w:color w:val="auto"/>
              </w:rPr>
            </w:pPr>
            <w:r>
              <w:rPr>
                <w:rFonts w:hint="eastAsia"/>
                <w:b/>
                <w:bCs/>
                <w:color w:val="auto"/>
                <w:lang w:val="en-US" w:eastAsia="zh-CN"/>
              </w:rPr>
              <w:t>③</w:t>
            </w:r>
            <w:r>
              <w:rPr>
                <w:b/>
                <w:bCs/>
                <w:color w:val="auto"/>
              </w:rPr>
              <w:t>临时道路区</w:t>
            </w:r>
          </w:p>
          <w:p w14:paraId="3EC74E29">
            <w:pPr>
              <w:pStyle w:val="36"/>
              <w:bidi w:val="0"/>
              <w:rPr>
                <w:rFonts w:hint="eastAsia"/>
                <w:color w:val="auto"/>
                <w:lang w:val="en-US" w:eastAsia="zh-CN"/>
              </w:rPr>
            </w:pPr>
            <w:r>
              <w:rPr>
                <w:rFonts w:hint="eastAsia"/>
                <w:color w:val="auto"/>
                <w:lang w:val="en-US" w:eastAsia="zh-CN"/>
              </w:rPr>
              <w:t>根据堤线布置及施工组织设计，芒市果朗河大新寨至芒里大桥段治理工程共布置临时施工营地区4个，占地面积为0.24hm</w:t>
            </w:r>
            <w:r>
              <w:rPr>
                <w:rFonts w:hint="eastAsia"/>
                <w:color w:val="auto"/>
                <w:vertAlign w:val="superscript"/>
                <w:lang w:val="en-US" w:eastAsia="zh-CN"/>
              </w:rPr>
              <w:t>2</w:t>
            </w:r>
            <w:r>
              <w:rPr>
                <w:rFonts w:hint="eastAsia"/>
                <w:color w:val="auto"/>
                <w:lang w:val="en-US" w:eastAsia="zh-CN"/>
              </w:rPr>
              <w:t>。主要工程内容为场地平整，本区土石方开挖为表土剥离0.06万m</w:t>
            </w:r>
            <w:r>
              <w:rPr>
                <w:rFonts w:hint="eastAsia"/>
                <w:color w:val="auto"/>
                <w:vertAlign w:val="superscript"/>
                <w:lang w:val="en-US" w:eastAsia="zh-CN"/>
              </w:rPr>
              <w:t>3</w:t>
            </w:r>
            <w:r>
              <w:rPr>
                <w:rFonts w:hint="eastAsia"/>
                <w:color w:val="auto"/>
                <w:lang w:val="en-US" w:eastAsia="zh-CN"/>
              </w:rPr>
              <w:t>，复耕覆土回填0.06万m</w:t>
            </w:r>
            <w:r>
              <w:rPr>
                <w:rFonts w:hint="eastAsia"/>
                <w:color w:val="auto"/>
                <w:vertAlign w:val="superscript"/>
                <w:lang w:val="en-US" w:eastAsia="zh-CN"/>
              </w:rPr>
              <w:t>3</w:t>
            </w:r>
            <w:r>
              <w:rPr>
                <w:rFonts w:hint="eastAsia"/>
                <w:color w:val="auto"/>
                <w:lang w:val="en-US" w:eastAsia="zh-CN"/>
              </w:rPr>
              <w:t>。主体工程施工结束后，对本区域进行复耕。本区无永久弃渣产生。</w:t>
            </w:r>
          </w:p>
          <w:p w14:paraId="71CCF789">
            <w:pPr>
              <w:pStyle w:val="36"/>
              <w:bidi w:val="0"/>
              <w:rPr>
                <w:rFonts w:hint="eastAsia"/>
                <w:color w:val="auto"/>
                <w:lang w:val="en-US" w:eastAsia="zh-CN"/>
              </w:rPr>
            </w:pPr>
            <w:r>
              <w:rPr>
                <w:rFonts w:hint="eastAsia"/>
                <w:b/>
                <w:bCs/>
                <w:color w:val="auto"/>
                <w:lang w:val="en-US" w:eastAsia="zh-CN"/>
              </w:rPr>
              <w:t>④</w:t>
            </w:r>
            <w:r>
              <w:rPr>
                <w:b/>
                <w:bCs/>
                <w:color w:val="auto"/>
              </w:rPr>
              <w:t>土石方汇总</w:t>
            </w:r>
          </w:p>
          <w:p w14:paraId="259E00A9">
            <w:pPr>
              <w:pStyle w:val="36"/>
              <w:bidi w:val="0"/>
              <w:rPr>
                <w:rFonts w:hint="eastAsia" w:eastAsia="宋体"/>
                <w:color w:val="auto"/>
                <w:lang w:eastAsia="zh-CN"/>
              </w:rPr>
            </w:pPr>
            <w:r>
              <w:rPr>
                <w:rFonts w:hint="eastAsia"/>
                <w:color w:val="auto"/>
                <w:lang w:val="en-US" w:eastAsia="zh-CN"/>
              </w:rPr>
              <w:t>综上所述，本项目建设过程中共产生开挖土石方24.80万m</w:t>
            </w:r>
            <w:r>
              <w:rPr>
                <w:rFonts w:hint="eastAsia"/>
                <w:color w:val="auto"/>
                <w:vertAlign w:val="superscript"/>
                <w:lang w:val="en-US" w:eastAsia="zh-CN"/>
              </w:rPr>
              <w:t>3</w:t>
            </w:r>
            <w:r>
              <w:rPr>
                <w:rFonts w:hint="eastAsia"/>
                <w:color w:val="auto"/>
                <w:lang w:val="en-US" w:eastAsia="zh-CN"/>
              </w:rPr>
              <w:t>（表土剥离1.64万m</w:t>
            </w:r>
            <w:r>
              <w:rPr>
                <w:rFonts w:hint="eastAsia"/>
                <w:color w:val="auto"/>
                <w:vertAlign w:val="superscript"/>
                <w:lang w:val="en-US" w:eastAsia="zh-CN"/>
              </w:rPr>
              <w:t>3</w:t>
            </w:r>
            <w:r>
              <w:rPr>
                <w:rFonts w:hint="eastAsia"/>
                <w:color w:val="auto"/>
                <w:lang w:val="en-US" w:eastAsia="zh-CN"/>
              </w:rPr>
              <w:t>，一般开挖23.16万m</w:t>
            </w:r>
            <w:r>
              <w:rPr>
                <w:rFonts w:hint="eastAsia"/>
                <w:color w:val="auto"/>
                <w:vertAlign w:val="superscript"/>
                <w:lang w:val="en-US" w:eastAsia="zh-CN"/>
              </w:rPr>
              <w:t>3</w:t>
            </w:r>
            <w:r>
              <w:rPr>
                <w:rFonts w:hint="eastAsia"/>
                <w:color w:val="auto"/>
                <w:lang w:val="en-US" w:eastAsia="zh-CN"/>
              </w:rPr>
              <w:t>），回填土石方24.80万m</w:t>
            </w:r>
            <w:r>
              <w:rPr>
                <w:rFonts w:hint="eastAsia"/>
                <w:color w:val="auto"/>
                <w:vertAlign w:val="superscript"/>
                <w:lang w:val="en-US" w:eastAsia="zh-CN"/>
              </w:rPr>
              <w:t>3</w:t>
            </w:r>
            <w:r>
              <w:rPr>
                <w:rFonts w:hint="eastAsia"/>
                <w:color w:val="auto"/>
                <w:lang w:val="en-US" w:eastAsia="zh-CN"/>
              </w:rPr>
              <w:t>（其中：表土回填1.64万m</w:t>
            </w:r>
            <w:r>
              <w:rPr>
                <w:rFonts w:hint="eastAsia"/>
                <w:color w:val="auto"/>
                <w:vertAlign w:val="superscript"/>
                <w:lang w:val="en-US" w:eastAsia="zh-CN"/>
              </w:rPr>
              <w:t>3</w:t>
            </w:r>
            <w:r>
              <w:rPr>
                <w:rFonts w:hint="eastAsia"/>
                <w:color w:val="auto"/>
                <w:lang w:val="en-US" w:eastAsia="zh-CN"/>
              </w:rPr>
              <w:t>，工程建设区回填11.62万m</w:t>
            </w:r>
            <w:r>
              <w:rPr>
                <w:rFonts w:hint="eastAsia"/>
                <w:color w:val="auto"/>
                <w:vertAlign w:val="superscript"/>
                <w:lang w:val="en-US" w:eastAsia="zh-CN"/>
              </w:rPr>
              <w:t>3</w:t>
            </w:r>
            <w:r>
              <w:rPr>
                <w:rFonts w:hint="eastAsia"/>
                <w:color w:val="auto"/>
                <w:lang w:val="en-US" w:eastAsia="zh-CN"/>
              </w:rPr>
              <w:t>，施工临时道路区回填11.54万m</w:t>
            </w:r>
            <w:r>
              <w:rPr>
                <w:rFonts w:hint="eastAsia"/>
                <w:color w:val="auto"/>
                <w:vertAlign w:val="superscript"/>
                <w:lang w:val="en-US" w:eastAsia="zh-CN"/>
              </w:rPr>
              <w:t>3</w:t>
            </w:r>
            <w:r>
              <w:rPr>
                <w:rFonts w:hint="eastAsia"/>
                <w:color w:val="auto"/>
                <w:lang w:val="en-US" w:eastAsia="zh-CN"/>
              </w:rPr>
              <w:t>），内部调运土石方14.82万m</w:t>
            </w:r>
            <w:r>
              <w:rPr>
                <w:rFonts w:hint="eastAsia"/>
                <w:color w:val="auto"/>
                <w:vertAlign w:val="superscript"/>
                <w:lang w:val="en-US" w:eastAsia="zh-CN"/>
              </w:rPr>
              <w:t>3</w:t>
            </w:r>
            <w:r>
              <w:rPr>
                <w:rFonts w:hint="eastAsia"/>
                <w:color w:val="auto"/>
                <w:lang w:val="en-US" w:eastAsia="zh-CN"/>
              </w:rPr>
              <w:t>，以上土石方均为自然方量。剥离表土用于后期土地复耕覆土。通过项目土石方平衡及内部调运，项目不产生永久弃渣。</w:t>
            </w:r>
          </w:p>
          <w:p w14:paraId="050354B6">
            <w:pPr>
              <w:pStyle w:val="36"/>
              <w:bidi w:val="0"/>
              <w:rPr>
                <w:rFonts w:hint="eastAsia"/>
                <w:color w:val="auto"/>
                <w:lang w:eastAsia="zh-CN"/>
              </w:rPr>
            </w:pPr>
            <w:r>
              <w:rPr>
                <w:color w:val="auto"/>
              </w:rPr>
              <w:t>施工期间临时堆土场应尽量远离保护目标，临时表土堆存过程中，堆放的四周采用编织袋挡墙，采用土工布覆盖，定期洒水抑尘；建设方在落实临时堆土防护方案，及时清运工程临时堆土的基础上，本项目工程临时堆土对周围环境的影响较小。</w:t>
            </w:r>
          </w:p>
          <w:p w14:paraId="6977790B">
            <w:pPr>
              <w:pStyle w:val="36"/>
              <w:bidi w:val="0"/>
              <w:rPr>
                <w:rFonts w:hint="eastAsia"/>
                <w:b/>
                <w:bCs/>
                <w:color w:val="auto"/>
                <w:lang w:eastAsia="zh-CN"/>
              </w:rPr>
            </w:pPr>
            <w:r>
              <w:rPr>
                <w:rFonts w:hint="eastAsia"/>
                <w:b/>
                <w:bCs/>
                <w:color w:val="auto"/>
                <w:lang w:val="en-US" w:eastAsia="zh-CN"/>
              </w:rPr>
              <w:t>（2）</w:t>
            </w:r>
            <w:r>
              <w:rPr>
                <w:rFonts w:hint="eastAsia"/>
                <w:b/>
                <w:bCs/>
                <w:color w:val="auto"/>
                <w:lang w:eastAsia="zh-CN"/>
              </w:rPr>
              <w:t>生活垃圾</w:t>
            </w:r>
          </w:p>
          <w:p w14:paraId="6D15222B">
            <w:pPr>
              <w:pStyle w:val="36"/>
              <w:bidi w:val="0"/>
              <w:rPr>
                <w:rStyle w:val="68"/>
                <w:rFonts w:hint="eastAsia"/>
                <w:color w:val="auto"/>
                <w:lang w:eastAsia="zh-CN"/>
              </w:rPr>
            </w:pPr>
            <w:r>
              <w:rPr>
                <w:color w:val="auto"/>
              </w:rPr>
              <w:t>根据施工组织设计，本工程施工人数</w:t>
            </w:r>
            <w:r>
              <w:rPr>
                <w:rFonts w:hint="eastAsia"/>
                <w:color w:val="auto"/>
                <w:lang w:eastAsia="zh-CN"/>
              </w:rPr>
              <w:t>以</w:t>
            </w:r>
            <w:r>
              <w:rPr>
                <w:color w:val="auto"/>
              </w:rPr>
              <w:t>30</w:t>
            </w:r>
            <w:r>
              <w:rPr>
                <w:rFonts w:hint="eastAsia"/>
                <w:color w:val="auto"/>
                <w:lang w:val="en-US" w:eastAsia="zh-CN"/>
              </w:rPr>
              <w:t>0</w:t>
            </w:r>
            <w:r>
              <w:rPr>
                <w:color w:val="auto"/>
              </w:rPr>
              <w:t>人</w:t>
            </w:r>
            <w:r>
              <w:rPr>
                <w:rFonts w:hint="eastAsia"/>
                <w:color w:val="auto"/>
                <w:lang w:eastAsia="zh-CN"/>
              </w:rPr>
              <w:t>计</w:t>
            </w:r>
            <w:r>
              <w:rPr>
                <w:color w:val="auto"/>
              </w:rPr>
              <w:t>，生活垃圾产生量按每人0.5kg/d计算，则日生活垃圾产生量为15</w:t>
            </w:r>
            <w:r>
              <w:rPr>
                <w:rFonts w:hint="eastAsia"/>
                <w:color w:val="auto"/>
                <w:lang w:val="en-US" w:eastAsia="zh-CN"/>
              </w:rPr>
              <w:t>0</w:t>
            </w:r>
            <w:r>
              <w:rPr>
                <w:color w:val="auto"/>
              </w:rPr>
              <w:t>kg/d。总施工期</w:t>
            </w:r>
            <w:r>
              <w:rPr>
                <w:rFonts w:hint="eastAsia"/>
                <w:color w:val="auto"/>
                <w:lang w:val="en-US" w:eastAsia="zh-CN"/>
              </w:rPr>
              <w:t>12</w:t>
            </w:r>
            <w:r>
              <w:rPr>
                <w:color w:val="auto"/>
              </w:rPr>
              <w:t>个月，累计垃圾产生量</w:t>
            </w:r>
            <w:r>
              <w:rPr>
                <w:rFonts w:hint="eastAsia"/>
                <w:color w:val="auto"/>
                <w:lang w:val="en-US" w:eastAsia="zh-CN"/>
              </w:rPr>
              <w:t>54.75</w:t>
            </w:r>
            <w:r>
              <w:rPr>
                <w:color w:val="auto"/>
              </w:rPr>
              <w:t>t，垃圾成分以有机垃圾为主。</w:t>
            </w:r>
            <w:r>
              <w:rPr>
                <w:rFonts w:hint="eastAsia"/>
                <w:color w:val="auto"/>
                <w:lang w:eastAsia="zh-CN"/>
              </w:rPr>
              <w:t>生活垃圾分类收集，能回收利用的回收利用，不能回收利用的，</w:t>
            </w:r>
            <w:r>
              <w:rPr>
                <w:rStyle w:val="68"/>
                <w:rFonts w:hint="eastAsia"/>
                <w:color w:val="auto"/>
              </w:rPr>
              <w:t>专人</w:t>
            </w:r>
            <w:r>
              <w:rPr>
                <w:rStyle w:val="68"/>
                <w:color w:val="auto"/>
              </w:rPr>
              <w:t>定期</w:t>
            </w:r>
            <w:r>
              <w:rPr>
                <w:rStyle w:val="68"/>
                <w:rFonts w:hint="eastAsia"/>
                <w:color w:val="auto"/>
              </w:rPr>
              <w:t>统一</w:t>
            </w:r>
            <w:r>
              <w:rPr>
                <w:rStyle w:val="68"/>
                <w:color w:val="auto"/>
              </w:rPr>
              <w:t>清运至</w:t>
            </w:r>
            <w:r>
              <w:rPr>
                <w:rStyle w:val="68"/>
                <w:rFonts w:hint="eastAsia"/>
                <w:color w:val="auto"/>
              </w:rPr>
              <w:t>各自就近乡镇垃圾场</w:t>
            </w:r>
            <w:r>
              <w:rPr>
                <w:rStyle w:val="68"/>
                <w:color w:val="auto"/>
              </w:rPr>
              <w:t>进行</w:t>
            </w:r>
            <w:r>
              <w:rPr>
                <w:rStyle w:val="68"/>
                <w:rFonts w:hint="eastAsia"/>
                <w:color w:val="auto"/>
              </w:rPr>
              <w:t>统一</w:t>
            </w:r>
            <w:r>
              <w:rPr>
                <w:rStyle w:val="68"/>
                <w:color w:val="auto"/>
              </w:rPr>
              <w:t>处理</w:t>
            </w:r>
            <w:r>
              <w:rPr>
                <w:rStyle w:val="68"/>
                <w:rFonts w:hint="eastAsia"/>
                <w:color w:val="auto"/>
                <w:lang w:eastAsia="zh-CN"/>
              </w:rPr>
              <w:t>，不得随意丢弃，私自焚烧。</w:t>
            </w:r>
          </w:p>
          <w:p w14:paraId="3CCC3AF3">
            <w:pPr>
              <w:pStyle w:val="36"/>
              <w:numPr>
                <w:ilvl w:val="0"/>
                <w:numId w:val="0"/>
              </w:numPr>
              <w:bidi w:val="0"/>
              <w:ind w:left="0" w:leftChars="0" w:right="0" w:rightChars="0" w:firstLine="482" w:firstLineChars="200"/>
              <w:rPr>
                <w:b/>
                <w:bCs/>
                <w:color w:val="auto"/>
              </w:rPr>
            </w:pPr>
            <w:r>
              <w:rPr>
                <w:rFonts w:ascii="Times New Roman" w:hAnsi="Times New Roman" w:eastAsia="宋体" w:cs="Times New Roman"/>
                <w:b/>
                <w:bCs/>
                <w:color w:val="auto"/>
                <w:kern w:val="0"/>
                <w:sz w:val="24"/>
                <w:szCs w:val="24"/>
                <w:lang w:val="en-US" w:eastAsia="zh-CN" w:bidi="ar-SA"/>
              </w:rPr>
              <w:t>（3）</w:t>
            </w:r>
            <w:r>
              <w:rPr>
                <w:b/>
                <w:bCs/>
                <w:color w:val="auto"/>
              </w:rPr>
              <w:t>废水泥包装袋</w:t>
            </w:r>
          </w:p>
          <w:p w14:paraId="418B0DB7">
            <w:pPr>
              <w:pStyle w:val="36"/>
              <w:numPr>
                <w:ilvl w:val="0"/>
                <w:numId w:val="0"/>
              </w:numPr>
              <w:bidi w:val="0"/>
              <w:ind w:left="0" w:leftChars="0" w:right="0" w:rightChars="0" w:firstLine="480" w:firstLineChars="200"/>
              <w:rPr>
                <w:color w:val="auto"/>
              </w:rPr>
            </w:pPr>
            <w:r>
              <w:rPr>
                <w:color w:val="auto"/>
              </w:rPr>
              <w:t>项目在施工过程中用到的水泥等建筑材料，施工结束会产生一定量的水泥包装袋，施工过程应该将产生的废水泥包装袋统一收集后与生活垃圾定期清运至最近村落生活垃圾处置点由环卫部门清运处置，严禁随意丢弃（掩埋）、焚烧和向河道内倾倒。</w:t>
            </w:r>
          </w:p>
          <w:p w14:paraId="6D6B2713">
            <w:pPr>
              <w:pStyle w:val="36"/>
              <w:numPr>
                <w:ilvl w:val="0"/>
                <w:numId w:val="0"/>
              </w:numPr>
              <w:bidi w:val="0"/>
              <w:ind w:left="0" w:leftChars="0" w:right="0" w:rightChars="0" w:firstLine="482" w:firstLineChars="200"/>
              <w:rPr>
                <w:rFonts w:hint="eastAsia"/>
                <w:b/>
                <w:bCs/>
                <w:color w:val="auto"/>
                <w:lang w:eastAsia="zh-CN"/>
              </w:rPr>
            </w:pPr>
            <w:r>
              <w:rPr>
                <w:rFonts w:hint="eastAsia" w:ascii="Times New Roman" w:hAnsi="Times New Roman" w:eastAsia="宋体" w:cs="Times New Roman"/>
                <w:b/>
                <w:bCs/>
                <w:color w:val="auto"/>
                <w:kern w:val="0"/>
                <w:sz w:val="24"/>
                <w:szCs w:val="24"/>
                <w:lang w:val="en-US" w:eastAsia="zh-CN" w:bidi="ar-SA"/>
              </w:rPr>
              <w:t>（</w:t>
            </w:r>
            <w:r>
              <w:rPr>
                <w:rFonts w:hint="eastAsia" w:cs="Times New Roman"/>
                <w:b/>
                <w:bCs/>
                <w:color w:val="auto"/>
                <w:kern w:val="0"/>
                <w:sz w:val="24"/>
                <w:szCs w:val="24"/>
                <w:lang w:val="en-US" w:eastAsia="zh-CN" w:bidi="ar-SA"/>
              </w:rPr>
              <w:t>4</w:t>
            </w:r>
            <w:r>
              <w:rPr>
                <w:rFonts w:hint="eastAsia" w:ascii="Times New Roman" w:hAnsi="Times New Roman" w:eastAsia="宋体" w:cs="Times New Roman"/>
                <w:b/>
                <w:bCs/>
                <w:color w:val="auto"/>
                <w:kern w:val="0"/>
                <w:sz w:val="24"/>
                <w:szCs w:val="24"/>
                <w:lang w:val="en-US" w:eastAsia="zh-CN" w:bidi="ar-SA"/>
              </w:rPr>
              <w:t>）</w:t>
            </w:r>
            <w:r>
              <w:rPr>
                <w:rFonts w:hint="eastAsia" w:cs="Times New Roman"/>
                <w:b/>
                <w:bCs/>
                <w:color w:val="auto"/>
                <w:kern w:val="0"/>
                <w:sz w:val="24"/>
                <w:szCs w:val="24"/>
                <w:lang w:val="en-US" w:eastAsia="zh-CN" w:bidi="ar-SA"/>
              </w:rPr>
              <w:t>车辆维修废矿物油</w:t>
            </w:r>
          </w:p>
          <w:p w14:paraId="4CB676C1">
            <w:pPr>
              <w:pStyle w:val="36"/>
              <w:numPr>
                <w:ilvl w:val="0"/>
                <w:numId w:val="0"/>
              </w:numPr>
              <w:bidi w:val="0"/>
              <w:ind w:left="0" w:leftChars="0" w:right="0" w:rightChars="0" w:firstLine="480" w:firstLineChars="200"/>
              <w:rPr>
                <w:rFonts w:hint="eastAsia" w:eastAsia="宋体"/>
                <w:color w:val="auto"/>
                <w:lang w:eastAsia="zh-CN"/>
              </w:rPr>
            </w:pPr>
            <w:r>
              <w:rPr>
                <w:rFonts w:hint="eastAsia" w:cs="Times New Roman"/>
                <w:color w:val="auto"/>
                <w:kern w:val="0"/>
                <w:sz w:val="24"/>
                <w:szCs w:val="24"/>
                <w:lang w:val="en-US" w:eastAsia="zh-CN" w:bidi="ar-SA"/>
              </w:rPr>
              <w:t>施工机械不在施工场地维修，车辆维修，施工机械设备开往附近修理厂维修，维修过程产生的废矿物油处置责任由修理厂承担，施工场地不涉及废矿物油的产生及储存</w:t>
            </w:r>
            <w:r>
              <w:rPr>
                <w:rFonts w:hint="eastAsia"/>
                <w:color w:val="auto"/>
                <w:lang w:eastAsia="zh-CN"/>
              </w:rPr>
              <w:t>。</w:t>
            </w:r>
          </w:p>
          <w:p w14:paraId="6BF9C572">
            <w:pPr>
              <w:pStyle w:val="36"/>
              <w:bidi w:val="0"/>
              <w:rPr>
                <w:color w:val="auto"/>
              </w:rPr>
            </w:pPr>
            <w:r>
              <w:rPr>
                <w:color w:val="auto"/>
              </w:rPr>
              <w:t>综上所述，施工期间产生的固体废弃物均能得到合理处置，对周围环境影响较小。</w:t>
            </w:r>
          </w:p>
          <w:p w14:paraId="448F172E">
            <w:pPr>
              <w:pStyle w:val="36"/>
              <w:numPr>
                <w:ilvl w:val="0"/>
                <w:numId w:val="0"/>
              </w:numPr>
              <w:bidi w:val="0"/>
              <w:ind w:left="0" w:leftChars="0" w:right="0" w:rightChars="0" w:firstLine="502" w:firstLineChars="200"/>
              <w:rPr>
                <w:b/>
                <w:bCs/>
                <w:color w:val="auto"/>
                <w:spacing w:val="5"/>
              </w:rPr>
            </w:pPr>
            <w:r>
              <w:rPr>
                <w:rFonts w:ascii="Times New Roman" w:hAnsi="Times New Roman" w:eastAsia="宋体" w:cs="Times New Roman"/>
                <w:b/>
                <w:bCs/>
                <w:color w:val="auto"/>
                <w:spacing w:val="5"/>
                <w:kern w:val="0"/>
                <w:sz w:val="24"/>
                <w:szCs w:val="24"/>
                <w:lang w:val="en-US" w:eastAsia="zh-CN" w:bidi="ar-SA"/>
              </w:rPr>
              <w:t>6、</w:t>
            </w:r>
            <w:r>
              <w:rPr>
                <w:b/>
                <w:bCs/>
                <w:color w:val="auto"/>
                <w:spacing w:val="5"/>
              </w:rPr>
              <w:t>临时道路施工影响分析</w:t>
            </w:r>
          </w:p>
          <w:p w14:paraId="1D87E064">
            <w:pPr>
              <w:pStyle w:val="36"/>
              <w:numPr>
                <w:ilvl w:val="0"/>
                <w:numId w:val="0"/>
              </w:numPr>
              <w:bidi w:val="0"/>
              <w:ind w:leftChars="200" w:right="0" w:rightChars="0"/>
              <w:rPr>
                <w:rFonts w:hint="eastAsia"/>
                <w:b/>
                <w:bCs/>
                <w:color w:val="auto"/>
                <w:spacing w:val="5"/>
                <w:lang w:val="en-US" w:eastAsia="zh-CN"/>
              </w:rPr>
            </w:pPr>
            <w:r>
              <w:rPr>
                <w:rFonts w:hint="eastAsia"/>
                <w:b/>
                <w:bCs/>
                <w:color w:val="auto"/>
                <w:spacing w:val="5"/>
                <w:lang w:val="en-US" w:eastAsia="zh-CN"/>
              </w:rPr>
              <w:t>（1）临时道路占地影响分析</w:t>
            </w:r>
          </w:p>
          <w:p w14:paraId="42CD588A">
            <w:pPr>
              <w:pStyle w:val="36"/>
              <w:bidi w:val="0"/>
              <w:rPr>
                <w:color w:val="auto"/>
              </w:rPr>
            </w:pPr>
            <w:r>
              <w:rPr>
                <w:rFonts w:hint="eastAsia"/>
                <w:color w:val="auto"/>
              </w:rPr>
              <w:t>工程施工所在地的对外交通基本方便，工程区现有乡村公路及机耕路通达，施工交通运输较为方便。场内交通主要为通往施工生产生活区的</w:t>
            </w:r>
            <w:r>
              <w:rPr>
                <w:color w:val="auto"/>
              </w:rPr>
              <w:t>道路</w:t>
            </w:r>
            <w:r>
              <w:rPr>
                <w:rFonts w:hint="eastAsia"/>
                <w:color w:val="auto"/>
              </w:rPr>
              <w:t>，主要承担工程区建筑物、施工场地和物资材料运输等项目的施工交通。</w:t>
            </w:r>
          </w:p>
          <w:p w14:paraId="62A000FD">
            <w:pPr>
              <w:pStyle w:val="36"/>
              <w:bidi w:val="0"/>
              <w:rPr>
                <w:rFonts w:hint="eastAsia"/>
                <w:color w:val="auto"/>
              </w:rPr>
            </w:pPr>
            <w:r>
              <w:rPr>
                <w:rFonts w:hint="eastAsia"/>
                <w:color w:val="auto"/>
              </w:rPr>
              <w:t>需新建16.36km临时施工道路，组成施工道路网，以保证工程建设物资运输和施工的顺利进行。新建临时施工道路宽4.0m，根据现场实际情况沿河道沿岸布设。</w:t>
            </w:r>
          </w:p>
          <w:p w14:paraId="5506BECF">
            <w:pPr>
              <w:pStyle w:val="36"/>
              <w:bidi w:val="0"/>
              <w:rPr>
                <w:rFonts w:hint="eastAsia"/>
                <w:color w:val="auto"/>
                <w:lang w:eastAsia="zh-CN"/>
              </w:rPr>
            </w:pPr>
            <w:r>
              <w:rPr>
                <w:rStyle w:val="68"/>
                <w:rFonts w:hint="eastAsia"/>
                <w:color w:val="auto"/>
                <w:lang w:val="en-US" w:eastAsia="zh-CN"/>
              </w:rPr>
              <w:t>施工时，临时占用的土地会造成一定的扰动，产生新的水土流失</w:t>
            </w:r>
            <w:r>
              <w:rPr>
                <w:rStyle w:val="68"/>
                <w:rFonts w:hint="eastAsia"/>
                <w:color w:val="auto"/>
                <w:lang w:eastAsia="zh-CN"/>
              </w:rPr>
              <w:t>。</w:t>
            </w:r>
            <w:r>
              <w:rPr>
                <w:rFonts w:hint="eastAsia"/>
                <w:color w:val="auto"/>
                <w:lang w:eastAsia="zh-CN"/>
              </w:rPr>
              <w:t>临时占地在施工结束后可通过植被恢复和土地复垦等措施使其原来土地的性质和功能得到一定程度的恢复。</w:t>
            </w:r>
            <w:r>
              <w:rPr>
                <w:rFonts w:ascii="宋体" w:hAnsi="宋体" w:eastAsia="宋体" w:cs="宋体"/>
                <w:color w:val="auto"/>
                <w:sz w:val="24"/>
                <w:szCs w:val="24"/>
              </w:rPr>
              <w:t>项目区</w:t>
            </w:r>
            <w:r>
              <w:rPr>
                <w:rFonts w:ascii="宋体" w:hAnsi="宋体" w:eastAsia="宋体" w:cs="宋体"/>
                <w:color w:val="auto"/>
                <w:spacing w:val="1"/>
                <w:sz w:val="24"/>
                <w:szCs w:val="24"/>
              </w:rPr>
              <w:t>内临时道路周边已有机耕路排水沟，同时，施工结束后施工临时道路区进行复耕。</w:t>
            </w:r>
            <w:r>
              <w:rPr>
                <w:rFonts w:ascii="宋体" w:hAnsi="宋体" w:eastAsia="宋体" w:cs="宋体"/>
                <w:color w:val="auto"/>
                <w:spacing w:val="-4"/>
                <w:sz w:val="24"/>
                <w:szCs w:val="24"/>
              </w:rPr>
              <w:t>在工程结束后，仅需对道路进行清扫、破坏的道路进行修复</w:t>
            </w:r>
            <w:r>
              <w:rPr>
                <w:rFonts w:hint="eastAsia" w:ascii="宋体" w:hAnsi="宋体" w:cs="宋体"/>
                <w:color w:val="auto"/>
                <w:spacing w:val="-4"/>
                <w:sz w:val="24"/>
                <w:szCs w:val="24"/>
                <w:lang w:eastAsia="zh-CN"/>
              </w:rPr>
              <w:t>。</w:t>
            </w:r>
            <w:r>
              <w:rPr>
                <w:rFonts w:hint="eastAsia"/>
                <w:color w:val="auto"/>
                <w:lang w:eastAsia="zh-CN"/>
              </w:rPr>
              <w:t>对于工程占用的土地，建设单位将按照国家有关规定进行补偿，在做好补偿工作并及时恢复植被、复垦的情况下，工程建设不会对该区域的土地利用造成明显的影响。</w:t>
            </w:r>
          </w:p>
          <w:p w14:paraId="74E47168">
            <w:pPr>
              <w:pStyle w:val="36"/>
              <w:bidi w:val="0"/>
              <w:rPr>
                <w:rFonts w:hint="eastAsia"/>
                <w:b w:val="0"/>
                <w:bCs w:val="0"/>
                <w:color w:val="auto"/>
              </w:rPr>
            </w:pPr>
            <w:r>
              <w:rPr>
                <w:rFonts w:hint="eastAsia"/>
                <w:b w:val="0"/>
                <w:bCs w:val="0"/>
                <w:color w:val="auto"/>
                <w:lang w:eastAsia="zh-CN"/>
              </w:rPr>
              <w:t>临时用地恢复应注意：</w:t>
            </w:r>
            <w:r>
              <w:rPr>
                <w:rFonts w:hint="eastAsia"/>
                <w:b w:val="0"/>
                <w:bCs w:val="0"/>
                <w:color w:val="auto"/>
              </w:rPr>
              <w:t>施工阶段，施工完成后采取多种措施对临时占地进行恢复，恢复的原则为尽量保持原有土地使用功能不变，占用前为耕地的恢复为耕地，</w:t>
            </w:r>
            <w:r>
              <w:rPr>
                <w:rFonts w:hint="eastAsia"/>
                <w:b w:val="0"/>
                <w:bCs w:val="0"/>
                <w:color w:val="auto"/>
                <w:lang w:eastAsia="zh-CN"/>
              </w:rPr>
              <w:t>对于其他</w:t>
            </w:r>
            <w:r>
              <w:rPr>
                <w:rFonts w:hint="eastAsia"/>
                <w:b w:val="0"/>
                <w:bCs w:val="0"/>
                <w:color w:val="auto"/>
              </w:rPr>
              <w:t>用地尽量恢复为林地，并做好植被养护管理工作并转交给当地政府。因此，通过全面的复耕或植被恢复，原有的耕地和林地面积将得到增加，对当地农业生态影响轻微。</w:t>
            </w:r>
          </w:p>
          <w:p w14:paraId="35B222E3">
            <w:pPr>
              <w:pStyle w:val="36"/>
              <w:numPr>
                <w:ilvl w:val="0"/>
                <w:numId w:val="0"/>
              </w:numPr>
              <w:bidi w:val="0"/>
              <w:ind w:left="0" w:leftChars="0" w:right="0" w:rightChars="0" w:firstLine="482" w:firstLineChars="200"/>
              <w:rPr>
                <w:rFonts w:hint="eastAsia"/>
                <w:b/>
                <w:bCs/>
                <w:color w:val="auto"/>
                <w:lang w:eastAsia="zh-CN"/>
              </w:rPr>
            </w:pPr>
            <w:r>
              <w:rPr>
                <w:rFonts w:hint="eastAsia" w:ascii="Times New Roman" w:hAnsi="Times New Roman" w:eastAsia="宋体" w:cs="Times New Roman"/>
                <w:b/>
                <w:bCs/>
                <w:color w:val="auto"/>
                <w:kern w:val="0"/>
                <w:sz w:val="24"/>
                <w:szCs w:val="24"/>
                <w:lang w:val="en-US" w:eastAsia="zh-CN" w:bidi="ar-SA"/>
              </w:rPr>
              <w:t>（2）</w:t>
            </w:r>
            <w:r>
              <w:rPr>
                <w:rFonts w:hint="eastAsia"/>
                <w:b/>
                <w:bCs/>
                <w:color w:val="auto"/>
                <w:lang w:eastAsia="zh-CN"/>
              </w:rPr>
              <w:t>临时道路扬尘影响分析</w:t>
            </w:r>
          </w:p>
          <w:p w14:paraId="1887665A">
            <w:pPr>
              <w:pStyle w:val="36"/>
              <w:bidi w:val="0"/>
              <w:rPr>
                <w:rFonts w:hint="eastAsia"/>
                <w:b w:val="0"/>
                <w:bCs w:val="0"/>
                <w:color w:val="auto"/>
              </w:rPr>
            </w:pPr>
            <w:r>
              <w:rPr>
                <w:rFonts w:hint="eastAsia"/>
                <w:b w:val="0"/>
                <w:bCs w:val="0"/>
                <w:color w:val="auto"/>
              </w:rPr>
              <w:t>据有关文献资料介绍，车辆行驶产生的扬尘占总扬尘的60%以上。车辆行驶产生的扬尘，在完全干燥情况下，可按下列经验公式计算：</w:t>
            </w:r>
          </w:p>
          <w:p w14:paraId="581A83AF">
            <w:pPr>
              <w:pStyle w:val="36"/>
              <w:bidi w:val="0"/>
              <w:jc w:val="center"/>
              <w:rPr>
                <w:rFonts w:hint="eastAsia"/>
                <w:b w:val="0"/>
                <w:bCs w:val="0"/>
                <w:color w:val="auto"/>
                <w:lang w:val="en-US" w:eastAsia="zh-CN"/>
              </w:rPr>
            </w:pPr>
            <w:r>
              <w:rPr>
                <w:rFonts w:hint="eastAsia"/>
                <w:b w:val="0"/>
                <w:bCs w:val="0"/>
                <w:color w:val="auto"/>
              </w:rPr>
              <w:t>Q=0.123(V/5)(W/6.8)</w:t>
            </w:r>
            <w:r>
              <w:rPr>
                <w:rFonts w:hint="eastAsia"/>
                <w:b w:val="0"/>
                <w:bCs w:val="0"/>
                <w:color w:val="auto"/>
                <w:vertAlign w:val="superscript"/>
                <w:lang w:val="en-US" w:eastAsia="zh-CN"/>
              </w:rPr>
              <w:t>0.85</w:t>
            </w:r>
            <w:r>
              <w:rPr>
                <w:rFonts w:hint="eastAsia"/>
                <w:b w:val="0"/>
                <w:bCs w:val="0"/>
                <w:color w:val="auto"/>
              </w:rPr>
              <w:t>(P/0.5)</w:t>
            </w:r>
            <w:r>
              <w:rPr>
                <w:rFonts w:hint="eastAsia"/>
                <w:b w:val="0"/>
                <w:bCs w:val="0"/>
                <w:color w:val="auto"/>
                <w:vertAlign w:val="superscript"/>
                <w:lang w:val="en-US" w:eastAsia="zh-CN"/>
              </w:rPr>
              <w:t>0.75</w:t>
            </w:r>
          </w:p>
          <w:p w14:paraId="50FEA484">
            <w:pPr>
              <w:pStyle w:val="36"/>
              <w:bidi w:val="0"/>
              <w:rPr>
                <w:rFonts w:hint="eastAsia"/>
                <w:color w:val="auto"/>
              </w:rPr>
            </w:pPr>
            <w:r>
              <w:rPr>
                <w:rFonts w:hint="eastAsia"/>
                <w:color w:val="auto"/>
              </w:rPr>
              <w:t>式中：Q—汽车行驶的扬尘，kg/km·辆；</w:t>
            </w:r>
          </w:p>
          <w:p w14:paraId="2A159CC5">
            <w:pPr>
              <w:pStyle w:val="36"/>
              <w:bidi w:val="0"/>
              <w:ind w:firstLine="1200" w:firstLineChars="500"/>
              <w:rPr>
                <w:rFonts w:hint="eastAsia" w:eastAsia="宋体"/>
                <w:color w:val="auto"/>
                <w:lang w:eastAsia="zh-CN"/>
              </w:rPr>
            </w:pPr>
            <w:r>
              <w:rPr>
                <w:rFonts w:hint="eastAsia"/>
                <w:color w:val="auto"/>
              </w:rPr>
              <w:t>V—汽车速度，km/h</w:t>
            </w:r>
            <w:r>
              <w:rPr>
                <w:rFonts w:hint="eastAsia"/>
                <w:color w:val="auto"/>
                <w:lang w:eastAsia="zh-CN"/>
              </w:rPr>
              <w:t>；</w:t>
            </w:r>
          </w:p>
          <w:p w14:paraId="46C398D1">
            <w:pPr>
              <w:pStyle w:val="36"/>
              <w:bidi w:val="0"/>
              <w:ind w:firstLine="1200" w:firstLineChars="500"/>
              <w:rPr>
                <w:rFonts w:hint="eastAsia"/>
                <w:color w:val="auto"/>
                <w:lang w:eastAsia="zh-CN"/>
              </w:rPr>
            </w:pPr>
            <w:r>
              <w:rPr>
                <w:rFonts w:hint="eastAsia"/>
                <w:color w:val="auto"/>
              </w:rPr>
              <w:t>W—汽车载重量，t</w:t>
            </w:r>
            <w:r>
              <w:rPr>
                <w:rFonts w:hint="eastAsia"/>
                <w:color w:val="auto"/>
                <w:lang w:eastAsia="zh-CN"/>
              </w:rPr>
              <w:t>；</w:t>
            </w:r>
          </w:p>
          <w:p w14:paraId="1771D071">
            <w:pPr>
              <w:pStyle w:val="36"/>
              <w:bidi w:val="0"/>
              <w:ind w:firstLine="1200" w:firstLineChars="500"/>
              <w:rPr>
                <w:rFonts w:hint="eastAsia"/>
                <w:color w:val="FF0000"/>
                <w:lang w:eastAsia="zh-CN"/>
              </w:rPr>
            </w:pPr>
            <w:r>
              <w:rPr>
                <w:rFonts w:hint="eastAsia"/>
                <w:color w:val="auto"/>
              </w:rPr>
              <w:t>P—道路表面粉尘量，kg/m²。</w:t>
            </w:r>
          </w:p>
          <w:p w14:paraId="1EE71D7B">
            <w:pPr>
              <w:pStyle w:val="31"/>
              <w:bidi w:val="0"/>
              <w:rPr>
                <w:rFonts w:hint="eastAsia"/>
                <w:color w:val="auto"/>
                <w:lang w:val="en-US" w:eastAsia="zh-CN"/>
              </w:rPr>
            </w:pPr>
            <w:r>
              <w:rPr>
                <w:rFonts w:hint="eastAsia"/>
                <w:color w:val="auto"/>
                <w:lang w:eastAsia="zh-CN"/>
              </w:rPr>
              <w:t>表</w:t>
            </w:r>
            <w:r>
              <w:rPr>
                <w:rFonts w:hint="eastAsia"/>
                <w:color w:val="auto"/>
                <w:lang w:val="en-US" w:eastAsia="zh-CN"/>
              </w:rPr>
              <w:t>4-4  不同车速和地面清洁程度时的汽车扬尘  单位：kg/辆·公里</w:t>
            </w:r>
          </w:p>
          <w:tbl>
            <w:tblPr>
              <w:tblStyle w:val="23"/>
              <w:tblW w:w="8118"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108" w:type="dxa"/>
                <w:bottom w:w="0" w:type="dxa"/>
                <w:right w:w="108" w:type="dxa"/>
              </w:tblCellMar>
            </w:tblPr>
            <w:tblGrid>
              <w:gridCol w:w="1505"/>
              <w:gridCol w:w="1080"/>
              <w:gridCol w:w="1066"/>
              <w:gridCol w:w="1080"/>
              <w:gridCol w:w="1107"/>
              <w:gridCol w:w="1147"/>
              <w:gridCol w:w="1133"/>
            </w:tblGrid>
            <w:tr w14:paraId="49B61A9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84" w:hRule="atLeast"/>
                <w:jc w:val="center"/>
              </w:trPr>
              <w:tc>
                <w:tcPr>
                  <w:tcW w:w="1505" w:type="dxa"/>
                  <w:tcBorders>
                    <w:top w:val="single" w:color="000000" w:sz="4" w:space="0"/>
                    <w:left w:val="single" w:color="000000" w:sz="4" w:space="0"/>
                    <w:bottom w:val="single" w:color="000000" w:sz="4" w:space="0"/>
                    <w:right w:val="single" w:color="000000" w:sz="4" w:space="0"/>
                    <w:tl2br w:val="single" w:color="000000" w:sz="4" w:space="0"/>
                    <w:tr2bl w:val="nil"/>
                  </w:tcBorders>
                  <w:shd w:val="clear" w:color="auto" w:fill="FFFFFF"/>
                  <w:vAlign w:val="center"/>
                </w:tcPr>
                <w:p w14:paraId="6DF90010">
                  <w:pPr>
                    <w:pStyle w:val="34"/>
                    <w:keepNext w:val="0"/>
                    <w:keepLines w:val="0"/>
                    <w:pageBreakBefore w:val="0"/>
                    <w:widowControl w:val="0"/>
                    <w:kinsoku/>
                    <w:wordWrap/>
                    <w:overflowPunct/>
                    <w:topLinePunct w:val="0"/>
                    <w:autoSpaceDE/>
                    <w:autoSpaceDN/>
                    <w:bidi w:val="0"/>
                    <w:adjustRightInd/>
                    <w:snapToGrid/>
                    <w:textAlignment w:val="auto"/>
                    <w:rPr>
                      <w:rFonts w:hint="eastAsia"/>
                      <w:color w:val="auto"/>
                      <w:sz w:val="21"/>
                      <w:szCs w:val="21"/>
                      <w:lang w:val="en-US" w:eastAsia="zh-CN"/>
                    </w:rPr>
                  </w:pPr>
                  <w:r>
                    <w:rPr>
                      <w:rFonts w:hint="eastAsia"/>
                      <w:color w:val="auto"/>
                      <w:sz w:val="21"/>
                      <w:szCs w:val="21"/>
                      <w:lang w:val="en-US" w:eastAsia="zh-CN"/>
                    </w:rPr>
                    <w:t>道路表面粉</w:t>
                  </w:r>
                </w:p>
                <w:p w14:paraId="5E40A362">
                  <w:pPr>
                    <w:pStyle w:val="34"/>
                    <w:keepNext w:val="0"/>
                    <w:keepLines w:val="0"/>
                    <w:pageBreakBefore w:val="0"/>
                    <w:widowControl w:val="0"/>
                    <w:kinsoku/>
                    <w:wordWrap/>
                    <w:overflowPunct/>
                    <w:topLinePunct w:val="0"/>
                    <w:autoSpaceDE/>
                    <w:autoSpaceDN/>
                    <w:bidi w:val="0"/>
                    <w:adjustRightInd/>
                    <w:snapToGrid/>
                    <w:textAlignment w:val="auto"/>
                    <w:rPr>
                      <w:rFonts w:hint="eastAsia"/>
                      <w:color w:val="auto"/>
                      <w:sz w:val="21"/>
                      <w:szCs w:val="21"/>
                      <w:lang w:val="en-US" w:eastAsia="zh-CN"/>
                    </w:rPr>
                  </w:pPr>
                  <w:r>
                    <w:rPr>
                      <w:rFonts w:hint="eastAsia"/>
                      <w:color w:val="auto"/>
                      <w:sz w:val="21"/>
                      <w:szCs w:val="21"/>
                      <w:lang w:val="en-US" w:eastAsia="zh-CN"/>
                    </w:rPr>
                    <w:t>尘量</w:t>
                  </w:r>
                </w:p>
                <w:p w14:paraId="7ACD609C">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车速</w:t>
                  </w:r>
                </w:p>
              </w:tc>
              <w:tc>
                <w:tcPr>
                  <w:tcW w:w="1080"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114F2067">
                  <w:pPr>
                    <w:pStyle w:val="34"/>
                    <w:keepNext w:val="0"/>
                    <w:keepLines w:val="0"/>
                    <w:pageBreakBefore w:val="0"/>
                    <w:widowControl w:val="0"/>
                    <w:kinsoku/>
                    <w:wordWrap/>
                    <w:overflowPunct/>
                    <w:topLinePunct w:val="0"/>
                    <w:autoSpaceDE/>
                    <w:autoSpaceDN/>
                    <w:bidi w:val="0"/>
                    <w:adjustRightInd/>
                    <w:snapToGrid/>
                    <w:textAlignment w:val="auto"/>
                    <w:rPr>
                      <w:rFonts w:hint="eastAsia"/>
                      <w:color w:val="auto"/>
                      <w:sz w:val="21"/>
                      <w:szCs w:val="21"/>
                      <w:lang w:val="en-US" w:eastAsia="zh-CN"/>
                    </w:rPr>
                  </w:pPr>
                  <w:r>
                    <w:rPr>
                      <w:rFonts w:hint="eastAsia"/>
                      <w:color w:val="auto"/>
                      <w:sz w:val="21"/>
                      <w:szCs w:val="21"/>
                      <w:lang w:val="en-US" w:eastAsia="zh-CN"/>
                    </w:rPr>
                    <w:t>0.1</w:t>
                  </w:r>
                </w:p>
                <w:p w14:paraId="54D0DE07">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（kg/m</w:t>
                  </w:r>
                  <w:r>
                    <w:rPr>
                      <w:rFonts w:hint="eastAsia"/>
                      <w:color w:val="auto"/>
                      <w:sz w:val="21"/>
                      <w:szCs w:val="21"/>
                      <w:vertAlign w:val="superscript"/>
                      <w:lang w:val="en-US" w:eastAsia="zh-CN"/>
                    </w:rPr>
                    <w:t>2</w:t>
                  </w:r>
                  <w:r>
                    <w:rPr>
                      <w:rFonts w:hint="eastAsia"/>
                      <w:color w:val="auto"/>
                      <w:sz w:val="21"/>
                      <w:szCs w:val="21"/>
                      <w:lang w:val="en-US" w:eastAsia="zh-CN"/>
                    </w:rPr>
                    <w:t>）</w:t>
                  </w:r>
                </w:p>
              </w:tc>
              <w:tc>
                <w:tcPr>
                  <w:tcW w:w="1066"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71ABE7A2">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0.2</w:t>
                  </w:r>
                </w:p>
                <w:p w14:paraId="02408063">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（kg/m</w:t>
                  </w:r>
                  <w:r>
                    <w:rPr>
                      <w:rFonts w:hint="eastAsia"/>
                      <w:color w:val="auto"/>
                      <w:sz w:val="21"/>
                      <w:szCs w:val="21"/>
                      <w:vertAlign w:val="superscript"/>
                      <w:lang w:val="en-US" w:eastAsia="zh-CN"/>
                    </w:rPr>
                    <w:t>2</w:t>
                  </w:r>
                  <w:r>
                    <w:rPr>
                      <w:rFonts w:hint="eastAsia"/>
                      <w:color w:val="auto"/>
                      <w:sz w:val="21"/>
                      <w:szCs w:val="21"/>
                      <w:lang w:val="en-US" w:eastAsia="zh-CN"/>
                    </w:rPr>
                    <w:t>）</w:t>
                  </w:r>
                </w:p>
              </w:tc>
              <w:tc>
                <w:tcPr>
                  <w:tcW w:w="1080"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2680073F">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0.3</w:t>
                  </w:r>
                </w:p>
                <w:p w14:paraId="227651F1">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（kg/m</w:t>
                  </w:r>
                  <w:r>
                    <w:rPr>
                      <w:rFonts w:hint="eastAsia"/>
                      <w:color w:val="auto"/>
                      <w:sz w:val="21"/>
                      <w:szCs w:val="21"/>
                      <w:vertAlign w:val="superscript"/>
                      <w:lang w:val="en-US" w:eastAsia="zh-CN"/>
                    </w:rPr>
                    <w:t>2</w:t>
                  </w:r>
                  <w:r>
                    <w:rPr>
                      <w:rFonts w:hint="eastAsia"/>
                      <w:color w:val="auto"/>
                      <w:sz w:val="21"/>
                      <w:szCs w:val="21"/>
                      <w:lang w:val="en-US" w:eastAsia="zh-CN"/>
                    </w:rPr>
                    <w:t>）</w:t>
                  </w:r>
                </w:p>
              </w:tc>
              <w:tc>
                <w:tcPr>
                  <w:tcW w:w="1107"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2B8CC847">
                  <w:pPr>
                    <w:pStyle w:val="34"/>
                    <w:keepNext w:val="0"/>
                    <w:keepLines w:val="0"/>
                    <w:pageBreakBefore w:val="0"/>
                    <w:widowControl w:val="0"/>
                    <w:kinsoku/>
                    <w:wordWrap/>
                    <w:overflowPunct/>
                    <w:topLinePunct w:val="0"/>
                    <w:autoSpaceDE/>
                    <w:autoSpaceDN/>
                    <w:bidi w:val="0"/>
                    <w:adjustRightInd/>
                    <w:snapToGrid/>
                    <w:textAlignment w:val="auto"/>
                    <w:rPr>
                      <w:rFonts w:hint="eastAsia"/>
                      <w:color w:val="auto"/>
                      <w:sz w:val="21"/>
                      <w:szCs w:val="21"/>
                      <w:lang w:val="en-US" w:eastAsia="zh-CN"/>
                    </w:rPr>
                  </w:pPr>
                  <w:r>
                    <w:rPr>
                      <w:rFonts w:hint="eastAsia"/>
                      <w:color w:val="auto"/>
                      <w:sz w:val="21"/>
                      <w:szCs w:val="21"/>
                      <w:lang w:val="en-US" w:eastAsia="zh-CN"/>
                    </w:rPr>
                    <w:t>0.4</w:t>
                  </w:r>
                </w:p>
                <w:p w14:paraId="19E07FC2">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（kg/m</w:t>
                  </w:r>
                  <w:r>
                    <w:rPr>
                      <w:rFonts w:hint="eastAsia"/>
                      <w:color w:val="auto"/>
                      <w:sz w:val="21"/>
                      <w:szCs w:val="21"/>
                      <w:vertAlign w:val="superscript"/>
                      <w:lang w:val="en-US" w:eastAsia="zh-CN"/>
                    </w:rPr>
                    <w:t>2</w:t>
                  </w:r>
                  <w:r>
                    <w:rPr>
                      <w:rFonts w:hint="eastAsia"/>
                      <w:color w:val="auto"/>
                      <w:sz w:val="21"/>
                      <w:szCs w:val="21"/>
                      <w:lang w:val="en-US" w:eastAsia="zh-CN"/>
                    </w:rPr>
                    <w:t>）</w:t>
                  </w:r>
                </w:p>
              </w:tc>
              <w:tc>
                <w:tcPr>
                  <w:tcW w:w="1147"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6AC0E5A2">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0.5</w:t>
                  </w:r>
                </w:p>
                <w:p w14:paraId="0A0DFD6D">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（kg/m</w:t>
                  </w:r>
                  <w:r>
                    <w:rPr>
                      <w:rFonts w:hint="eastAsia"/>
                      <w:color w:val="auto"/>
                      <w:sz w:val="21"/>
                      <w:szCs w:val="21"/>
                      <w:vertAlign w:val="superscript"/>
                      <w:lang w:val="en-US" w:eastAsia="zh-CN"/>
                    </w:rPr>
                    <w:t>2</w:t>
                  </w:r>
                  <w:r>
                    <w:rPr>
                      <w:rFonts w:hint="eastAsia"/>
                      <w:color w:val="auto"/>
                      <w:sz w:val="21"/>
                      <w:szCs w:val="21"/>
                      <w:lang w:val="en-US" w:eastAsia="zh-CN"/>
                    </w:rPr>
                    <w:t>）</w:t>
                  </w:r>
                </w:p>
              </w:tc>
              <w:tc>
                <w:tcPr>
                  <w:tcW w:w="1133"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6403B4C7">
                  <w:pPr>
                    <w:pStyle w:val="34"/>
                    <w:keepNext w:val="0"/>
                    <w:keepLines w:val="0"/>
                    <w:pageBreakBefore w:val="0"/>
                    <w:widowControl w:val="0"/>
                    <w:kinsoku/>
                    <w:wordWrap/>
                    <w:overflowPunct/>
                    <w:topLinePunct w:val="0"/>
                    <w:autoSpaceDE/>
                    <w:autoSpaceDN/>
                    <w:bidi w:val="0"/>
                    <w:adjustRightInd/>
                    <w:snapToGrid/>
                    <w:textAlignment w:val="auto"/>
                    <w:rPr>
                      <w:rFonts w:hint="eastAsia"/>
                      <w:color w:val="auto"/>
                      <w:sz w:val="21"/>
                      <w:szCs w:val="21"/>
                      <w:lang w:val="en-US" w:eastAsia="zh-CN"/>
                    </w:rPr>
                  </w:pPr>
                  <w:r>
                    <w:rPr>
                      <w:rFonts w:hint="eastAsia"/>
                      <w:color w:val="auto"/>
                      <w:sz w:val="21"/>
                      <w:szCs w:val="21"/>
                      <w:lang w:val="en-US" w:eastAsia="zh-CN"/>
                    </w:rPr>
                    <w:t>1.0</w:t>
                  </w:r>
                </w:p>
                <w:p w14:paraId="3428F67D">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（kg/m</w:t>
                  </w:r>
                  <w:r>
                    <w:rPr>
                      <w:rFonts w:hint="eastAsia"/>
                      <w:color w:val="auto"/>
                      <w:sz w:val="21"/>
                      <w:szCs w:val="21"/>
                      <w:vertAlign w:val="superscript"/>
                      <w:lang w:val="en-US" w:eastAsia="zh-CN"/>
                    </w:rPr>
                    <w:t>2</w:t>
                  </w:r>
                  <w:r>
                    <w:rPr>
                      <w:rFonts w:hint="eastAsia"/>
                      <w:color w:val="auto"/>
                      <w:sz w:val="21"/>
                      <w:szCs w:val="21"/>
                      <w:lang w:val="en-US" w:eastAsia="zh-CN"/>
                    </w:rPr>
                    <w:t>）</w:t>
                  </w:r>
                </w:p>
              </w:tc>
            </w:tr>
            <w:tr w14:paraId="3BB013D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84" w:hRule="atLeast"/>
                <w:jc w:val="center"/>
              </w:trPr>
              <w:tc>
                <w:tcPr>
                  <w:tcW w:w="150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5F1A9466">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5（km/h）</w:t>
                  </w:r>
                </w:p>
              </w:tc>
              <w:tc>
                <w:tcPr>
                  <w:tcW w:w="1080"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4B11FFF3">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0.0283</w:t>
                  </w:r>
                </w:p>
              </w:tc>
              <w:tc>
                <w:tcPr>
                  <w:tcW w:w="1066"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0CB7922D">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0.0476</w:t>
                  </w:r>
                </w:p>
              </w:tc>
              <w:tc>
                <w:tcPr>
                  <w:tcW w:w="1080"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042C2066">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0.0646</w:t>
                  </w:r>
                </w:p>
              </w:tc>
              <w:tc>
                <w:tcPr>
                  <w:tcW w:w="1107"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324F3D46">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0.0801</w:t>
                  </w:r>
                </w:p>
              </w:tc>
              <w:tc>
                <w:tcPr>
                  <w:tcW w:w="1147"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1DB474C9">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0.0947</w:t>
                  </w:r>
                </w:p>
              </w:tc>
              <w:tc>
                <w:tcPr>
                  <w:tcW w:w="1133"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49CF19E1">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0.1593</w:t>
                  </w:r>
                </w:p>
              </w:tc>
            </w:tr>
            <w:tr w14:paraId="1A2E34B1">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84" w:hRule="atLeast"/>
                <w:jc w:val="center"/>
              </w:trPr>
              <w:tc>
                <w:tcPr>
                  <w:tcW w:w="150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5C96B1B8">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10（km/h）</w:t>
                  </w:r>
                </w:p>
              </w:tc>
              <w:tc>
                <w:tcPr>
                  <w:tcW w:w="1080"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140A4C35">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0.0566</w:t>
                  </w:r>
                </w:p>
              </w:tc>
              <w:tc>
                <w:tcPr>
                  <w:tcW w:w="1066"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3879DF25">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0.0953</w:t>
                  </w:r>
                </w:p>
              </w:tc>
              <w:tc>
                <w:tcPr>
                  <w:tcW w:w="1080"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6577E833">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0.1291</w:t>
                  </w:r>
                </w:p>
              </w:tc>
              <w:tc>
                <w:tcPr>
                  <w:tcW w:w="1107"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0D4C328E">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0.1602</w:t>
                  </w:r>
                </w:p>
              </w:tc>
              <w:tc>
                <w:tcPr>
                  <w:tcW w:w="1147"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26C74570">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0.1894</w:t>
                  </w:r>
                </w:p>
              </w:tc>
              <w:tc>
                <w:tcPr>
                  <w:tcW w:w="1133"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23B00E26">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0.3186</w:t>
                  </w:r>
                </w:p>
              </w:tc>
            </w:tr>
            <w:tr w14:paraId="2AAAD4EE">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84" w:hRule="atLeast"/>
                <w:jc w:val="center"/>
              </w:trPr>
              <w:tc>
                <w:tcPr>
                  <w:tcW w:w="150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4BD13B13">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15（km/h）</w:t>
                  </w:r>
                </w:p>
              </w:tc>
              <w:tc>
                <w:tcPr>
                  <w:tcW w:w="1080"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5AB66AD0">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0.0850</w:t>
                  </w:r>
                </w:p>
              </w:tc>
              <w:tc>
                <w:tcPr>
                  <w:tcW w:w="1066"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335587E2">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0.1429</w:t>
                  </w:r>
                </w:p>
              </w:tc>
              <w:tc>
                <w:tcPr>
                  <w:tcW w:w="1080"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2A91C738">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0.1937</w:t>
                  </w:r>
                </w:p>
              </w:tc>
              <w:tc>
                <w:tcPr>
                  <w:tcW w:w="1107"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492D4A99">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0.2403</w:t>
                  </w:r>
                </w:p>
              </w:tc>
              <w:tc>
                <w:tcPr>
                  <w:tcW w:w="1147"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29E3A3F9">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0.2841</w:t>
                  </w:r>
                </w:p>
              </w:tc>
              <w:tc>
                <w:tcPr>
                  <w:tcW w:w="1133"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1A778D20">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0.4778</w:t>
                  </w:r>
                </w:p>
              </w:tc>
            </w:tr>
            <w:tr w14:paraId="6522506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84" w:hRule="atLeast"/>
                <w:jc w:val="center"/>
              </w:trPr>
              <w:tc>
                <w:tcPr>
                  <w:tcW w:w="150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254BD547">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20（km/h）</w:t>
                  </w:r>
                </w:p>
              </w:tc>
              <w:tc>
                <w:tcPr>
                  <w:tcW w:w="1080"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5AECD009">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0.1133</w:t>
                  </w:r>
                </w:p>
              </w:tc>
              <w:tc>
                <w:tcPr>
                  <w:tcW w:w="1066"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048D28D4">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0.1905</w:t>
                  </w:r>
                </w:p>
              </w:tc>
              <w:tc>
                <w:tcPr>
                  <w:tcW w:w="1080"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11CBBFA1">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0.2583</w:t>
                  </w:r>
                </w:p>
              </w:tc>
              <w:tc>
                <w:tcPr>
                  <w:tcW w:w="1107"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687EF540">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0.3204</w:t>
                  </w:r>
                </w:p>
              </w:tc>
              <w:tc>
                <w:tcPr>
                  <w:tcW w:w="1147"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0FA5E149">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0.3788</w:t>
                  </w:r>
                </w:p>
              </w:tc>
              <w:tc>
                <w:tcPr>
                  <w:tcW w:w="1133"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1EE131BC">
                  <w:pPr>
                    <w:pStyle w:val="34"/>
                    <w:keepNext w:val="0"/>
                    <w:keepLines w:val="0"/>
                    <w:pageBreakBefore w:val="0"/>
                    <w:widowControl w:val="0"/>
                    <w:kinsoku/>
                    <w:wordWrap/>
                    <w:overflowPunct/>
                    <w:topLinePunct w:val="0"/>
                    <w:autoSpaceDE/>
                    <w:autoSpaceDN/>
                    <w:bidi w:val="0"/>
                    <w:adjustRightInd/>
                    <w:snapToGrid/>
                    <w:textAlignment w:val="auto"/>
                    <w:rPr>
                      <w:rFonts w:hint="default"/>
                      <w:color w:val="auto"/>
                      <w:sz w:val="21"/>
                      <w:szCs w:val="21"/>
                      <w:lang w:val="en-US" w:eastAsia="zh-CN"/>
                    </w:rPr>
                  </w:pPr>
                  <w:r>
                    <w:rPr>
                      <w:rFonts w:hint="eastAsia"/>
                      <w:color w:val="auto"/>
                      <w:sz w:val="21"/>
                      <w:szCs w:val="21"/>
                      <w:lang w:val="en-US" w:eastAsia="zh-CN"/>
                    </w:rPr>
                    <w:t>0.6371</w:t>
                  </w:r>
                </w:p>
              </w:tc>
            </w:tr>
          </w:tbl>
          <w:p w14:paraId="53740B2D">
            <w:pPr>
              <w:pStyle w:val="36"/>
              <w:bidi w:val="0"/>
              <w:rPr>
                <w:color w:val="auto"/>
              </w:rPr>
            </w:pPr>
            <w:r>
              <w:rPr>
                <w:rFonts w:hint="eastAsia"/>
                <w:color w:val="auto"/>
                <w:lang w:val="en-US" w:eastAsia="zh-CN"/>
              </w:rPr>
              <w:t>表</w:t>
            </w:r>
            <w:r>
              <w:rPr>
                <w:rFonts w:hint="default"/>
                <w:color w:val="auto"/>
                <w:lang w:val="en-US" w:eastAsia="zh-CN"/>
              </w:rPr>
              <w:t>4-</w:t>
            </w:r>
            <w:r>
              <w:rPr>
                <w:rFonts w:hint="eastAsia"/>
                <w:color w:val="auto"/>
                <w:lang w:val="en-US" w:eastAsia="zh-CN"/>
              </w:rPr>
              <w:t>4为一辆载重5吨的卡车，通过一段长度为</w:t>
            </w:r>
            <w:r>
              <w:rPr>
                <w:rFonts w:hint="default"/>
                <w:color w:val="auto"/>
                <w:lang w:val="en-US" w:eastAsia="zh-CN"/>
              </w:rPr>
              <w:t>500m</w:t>
            </w:r>
            <w:r>
              <w:rPr>
                <w:rFonts w:hint="eastAsia"/>
                <w:color w:val="auto"/>
                <w:lang w:val="en-US" w:eastAsia="zh-CN"/>
              </w:rPr>
              <w:t>的路面时，不同路面清洁程度（道路表面粉尘量），不同行驶速度情况下产生的扬尘量。由此可见，在同样路面清洁情况下，车速越快，扬尘量越大；而在同样车速情况下，路面清洁度越差，则扬尘量越大。</w:t>
            </w:r>
          </w:p>
          <w:p w14:paraId="1C3FB6AD">
            <w:pPr>
              <w:pStyle w:val="36"/>
              <w:bidi w:val="0"/>
              <w:rPr>
                <w:rFonts w:hint="eastAsia"/>
                <w:color w:val="auto"/>
              </w:rPr>
            </w:pPr>
            <w:r>
              <w:rPr>
                <w:rFonts w:hint="eastAsia"/>
                <w:color w:val="auto"/>
              </w:rPr>
              <w:t>为了最大限度</w:t>
            </w:r>
            <w:r>
              <w:rPr>
                <w:rFonts w:hint="eastAsia"/>
                <w:color w:val="auto"/>
                <w:lang w:eastAsia="zh-CN"/>
              </w:rPr>
              <w:t>地</w:t>
            </w:r>
            <w:r>
              <w:rPr>
                <w:rFonts w:hint="eastAsia"/>
                <w:color w:val="auto"/>
              </w:rPr>
              <w:t>降低施工扬尘对周边环境的影响，项目必须保证洒水次数并限速行驶及定时清扫道路、保持路面清洁，同时对车辆轮胎进行清扫，车辆加盖，以减少汽车扬尘。</w:t>
            </w:r>
          </w:p>
          <w:p w14:paraId="3090A719">
            <w:pPr>
              <w:pStyle w:val="36"/>
              <w:numPr>
                <w:ilvl w:val="0"/>
                <w:numId w:val="0"/>
              </w:numPr>
              <w:bidi w:val="0"/>
              <w:ind w:left="0" w:leftChars="0" w:right="0" w:rightChars="0" w:firstLine="482" w:firstLineChars="200"/>
              <w:rPr>
                <w:rFonts w:hint="eastAsia"/>
                <w:b/>
                <w:bCs/>
                <w:color w:val="auto"/>
                <w:lang w:eastAsia="zh-CN"/>
              </w:rPr>
            </w:pPr>
            <w:r>
              <w:rPr>
                <w:rFonts w:hint="eastAsia" w:ascii="Times New Roman" w:hAnsi="Times New Roman" w:eastAsia="宋体" w:cs="Times New Roman"/>
                <w:b/>
                <w:bCs/>
                <w:color w:val="auto"/>
                <w:kern w:val="0"/>
                <w:sz w:val="24"/>
                <w:szCs w:val="24"/>
                <w:lang w:val="en-US" w:eastAsia="zh-CN" w:bidi="ar-SA"/>
              </w:rPr>
              <w:t>（3）</w:t>
            </w:r>
            <w:r>
              <w:rPr>
                <w:rFonts w:hint="eastAsia"/>
                <w:b/>
                <w:bCs/>
                <w:color w:val="auto"/>
                <w:lang w:eastAsia="zh-CN"/>
              </w:rPr>
              <w:t>临时道路噪声环境影响分析</w:t>
            </w:r>
          </w:p>
          <w:p w14:paraId="66098CE6">
            <w:pPr>
              <w:pStyle w:val="36"/>
              <w:bidi w:val="0"/>
              <w:rPr>
                <w:rFonts w:hint="eastAsia"/>
                <w:color w:val="auto"/>
                <w:lang w:eastAsia="zh-CN"/>
              </w:rPr>
            </w:pPr>
            <w:r>
              <w:rPr>
                <w:rFonts w:hint="eastAsia"/>
                <w:color w:val="auto"/>
                <w:lang w:eastAsia="zh-CN"/>
              </w:rPr>
              <w:t>临时道路上的噪声源一般为运输车辆，视作移动噪声源，影响时间较短。环评提出，</w:t>
            </w:r>
            <w:r>
              <w:rPr>
                <w:color w:val="auto"/>
              </w:rPr>
              <w:t>施工车辆路过敏感点路段应禁鸣限速。</w:t>
            </w:r>
          </w:p>
          <w:p w14:paraId="6E1AD313">
            <w:pPr>
              <w:pStyle w:val="36"/>
              <w:bidi w:val="0"/>
              <w:rPr>
                <w:rFonts w:hint="eastAsia"/>
                <w:b/>
                <w:bCs/>
                <w:color w:val="auto"/>
                <w:lang w:val="en-US" w:eastAsia="zh-CN"/>
              </w:rPr>
            </w:pPr>
            <w:r>
              <w:rPr>
                <w:rFonts w:hint="eastAsia"/>
                <w:b/>
                <w:bCs/>
                <w:color w:val="auto"/>
                <w:lang w:val="en-US" w:eastAsia="zh-CN"/>
              </w:rPr>
              <w:t>7、社会环境影响分析</w:t>
            </w:r>
          </w:p>
          <w:p w14:paraId="5E2D2074">
            <w:pPr>
              <w:pStyle w:val="36"/>
              <w:bidi w:val="0"/>
              <w:rPr>
                <w:rFonts w:hint="eastAsia" w:cs="Times New Roman"/>
                <w:bCs/>
                <w:color w:val="auto"/>
                <w:lang w:eastAsia="zh-CN"/>
              </w:rPr>
            </w:pPr>
            <w:r>
              <w:rPr>
                <w:color w:val="auto"/>
              </w:rPr>
              <w:t>本工程为防洪治理工程，工程实施后能够提高</w:t>
            </w:r>
            <w:r>
              <w:rPr>
                <w:rFonts w:hint="eastAsia"/>
                <w:color w:val="auto"/>
              </w:rPr>
              <w:t>治理段</w:t>
            </w:r>
            <w:r>
              <w:rPr>
                <w:color w:val="auto"/>
              </w:rPr>
              <w:t>的防洪标准，保障工程沿线居民的生命财产安全，为当地社会经济的发展提供有</w:t>
            </w:r>
            <w:r>
              <w:rPr>
                <w:rFonts w:hint="eastAsia"/>
                <w:color w:val="auto"/>
                <w:lang w:val="en-US" w:eastAsia="zh-CN"/>
              </w:rPr>
              <w:t>力</w:t>
            </w:r>
            <w:r>
              <w:rPr>
                <w:color w:val="auto"/>
              </w:rPr>
              <w:t>保障，对社会环境产生有利影响。工程建设对社会环境的不利影响主要表现为工程征占地对被征地村民的影响，本工程无动迁移民，在严格落实征地补偿措施前提下不会导致被征地村民的生活水平降低。</w:t>
            </w:r>
          </w:p>
        </w:tc>
      </w:tr>
      <w:tr w14:paraId="4AA2A3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4" w:type="pct"/>
            <w:tcMar>
              <w:left w:w="28" w:type="dxa"/>
              <w:right w:w="28" w:type="dxa"/>
            </w:tcMar>
            <w:vAlign w:val="center"/>
          </w:tcPr>
          <w:p w14:paraId="0185639C">
            <w:pPr>
              <w:pStyle w:val="18"/>
              <w:adjustRightInd w:val="0"/>
              <w:snapToGrid w:val="0"/>
              <w:spacing w:before="0" w:beforeAutospacing="0" w:after="0" w:afterAutospacing="0"/>
              <w:ind w:left="0" w:leftChars="0" w:firstLine="0" w:firstLineChars="0"/>
              <w:jc w:val="center"/>
              <w:rPr>
                <w:rFonts w:hint="default" w:ascii="Times New Roman" w:hAnsi="Times New Roman" w:cs="Times New Roman"/>
                <w:bCs/>
                <w:color w:val="auto"/>
                <w:kern w:val="2"/>
              </w:rPr>
            </w:pPr>
            <w:r>
              <w:rPr>
                <w:rFonts w:hint="default" w:ascii="Times New Roman" w:hAnsi="Times New Roman" w:cs="Times New Roman"/>
                <w:bCs/>
                <w:color w:val="auto"/>
                <w:spacing w:val="10"/>
                <w:kern w:val="2"/>
              </w:rPr>
              <w:t>运营期生态环境影响分析</w:t>
            </w:r>
          </w:p>
        </w:tc>
        <w:tc>
          <w:tcPr>
            <w:tcW w:w="4755" w:type="pct"/>
          </w:tcPr>
          <w:p w14:paraId="5CC7B681">
            <w:pPr>
              <w:pStyle w:val="36"/>
              <w:bidi w:val="0"/>
              <w:rPr>
                <w:rFonts w:hint="default"/>
                <w:b/>
                <w:bCs/>
                <w:color w:val="auto"/>
              </w:rPr>
            </w:pPr>
            <w:r>
              <w:rPr>
                <w:rFonts w:hint="default"/>
                <w:b/>
                <w:bCs/>
                <w:color w:val="auto"/>
              </w:rPr>
              <w:t>一、运营期生态环境影响分析</w:t>
            </w:r>
          </w:p>
          <w:p w14:paraId="62DA07EC">
            <w:pPr>
              <w:pStyle w:val="36"/>
              <w:bidi w:val="0"/>
              <w:rPr>
                <w:rFonts w:hint="default"/>
                <w:b/>
                <w:bCs/>
                <w:color w:val="auto"/>
              </w:rPr>
            </w:pPr>
            <w:r>
              <w:rPr>
                <w:rFonts w:hint="default"/>
                <w:b/>
                <w:bCs/>
                <w:color w:val="auto"/>
              </w:rPr>
              <w:t>1、地质环境影响分析</w:t>
            </w:r>
          </w:p>
          <w:p w14:paraId="62C636A4">
            <w:pPr>
              <w:pStyle w:val="36"/>
              <w:bidi w:val="0"/>
              <w:rPr>
                <w:rFonts w:hint="eastAsia"/>
                <w:color w:val="auto"/>
                <w:lang w:val="zh-CN"/>
              </w:rPr>
            </w:pPr>
            <w:r>
              <w:rPr>
                <w:rFonts w:hint="eastAsia"/>
                <w:color w:val="auto"/>
                <w:lang w:val="zh-CN"/>
              </w:rPr>
              <w:t>根据1：400万《中国地震动参数区划图》（GB18306-2015），工程区地震动峰值加速度为0.30g，地震动反应谱特征周期为0.45s，属Ⅷ度地震烈度区。根据《水电水利工程区域构造稳定性勘察技术规程》（NB/T35098-2017），工程区区域构造稳定性较差。</w:t>
            </w:r>
          </w:p>
          <w:p w14:paraId="13FF4A33">
            <w:pPr>
              <w:pStyle w:val="36"/>
              <w:bidi w:val="0"/>
              <w:rPr>
                <w:rFonts w:hint="eastAsia"/>
                <w:color w:val="auto"/>
                <w:lang w:val="zh-CN"/>
              </w:rPr>
            </w:pPr>
            <w:r>
              <w:rPr>
                <w:rFonts w:hint="eastAsia"/>
                <w:color w:val="auto"/>
                <w:lang w:val="zh-CN"/>
              </w:rPr>
              <w:t>香果林逆断层（F19）、河爬山断层（F20）及邦海平移断层（F24）均在工程区 分布，龙陵～瑞丽大断裂（F13 ）分布在工程区北部隐伏于芒市盆地之下。香果林逆断层（F19）与邦海平移断层（F24）在勐戛镇南西方向交汇，当地大龙洞上升泉即为二者影响之产物。因此，断层的分布对工程区影响较大。</w:t>
            </w:r>
          </w:p>
          <w:p w14:paraId="573080EF">
            <w:pPr>
              <w:pStyle w:val="36"/>
              <w:bidi w:val="0"/>
              <w:rPr>
                <w:rFonts w:hint="eastAsia"/>
                <w:color w:val="auto"/>
                <w:lang w:val="zh-CN"/>
              </w:rPr>
            </w:pPr>
            <w:r>
              <w:rPr>
                <w:rFonts w:hint="eastAsia"/>
                <w:color w:val="auto"/>
                <w:lang w:val="zh-CN"/>
              </w:rPr>
              <w:t>本次果朗河大新寨至芒里大桥段治理工程治理起点为勐戛镇大新寨村，终点为风平镇芒里村芒里大桥，河道长34.44km，治理范围内有治理任务的共分为四段，为果朗河中、上游，从上游至下游分别为：第一段起点勐戛镇大龙洞附近，终点至勐戛镇小坝子脚（河道里程K5+000～K12+350）；第二段起点勐戛镇勐稳小坝子头，终点至勐戛镇勐稳小坝子脚（河道里程K14+275～K20+200）；第三段起点勐戛镇干沟坪村上游，终点至勐戛镇干沟坪村下游（河道里程K24+250～K29+460）；第四段 起点风平镇果朗河电站附近，终点至风平镇芒里村芒里大桥（河道里程K31+870~K34+435）。果朗河为芒市大河左岸一级支流，长44.0km（本次治理段长20.23km，其中左右岸新建钢筋石笼护岸共25.73km，新建钢筋石笼护脚+堤防共2.70km），河道平均比降15.4‰。芒里大桥（河道里程K31+870～K34+435），治理河道总长20.23km。</w:t>
            </w:r>
          </w:p>
          <w:p w14:paraId="12CE2EC5">
            <w:pPr>
              <w:pStyle w:val="36"/>
              <w:bidi w:val="0"/>
              <w:rPr>
                <w:rFonts w:hint="eastAsia"/>
                <w:color w:val="auto"/>
                <w:lang w:val="zh-CN"/>
              </w:rPr>
            </w:pPr>
            <w:r>
              <w:rPr>
                <w:rFonts w:hint="eastAsia"/>
                <w:color w:val="auto"/>
                <w:lang w:val="zh-CN"/>
              </w:rPr>
              <w:t>工程区治理段为大部分为小型坝子河段，局部为山间河谷地带，果朗河贯穿勐戛小坝子、勐稳小坝子始末，经过勐稳小坝子后，沿途多为山间河谷地段，河床比降相对较大，之后流入芒市坝子，芒市坝子为山间断陷沉积盆地，最终汇入芒市大河。治理区内河床多位于Ⅰ级阶地界面前缘，区内沟溪密布，冲沟发育，局部冲沟汇入河道处及果朗河汇口处发育冲积扇。</w:t>
            </w:r>
          </w:p>
          <w:p w14:paraId="00D5C9D9">
            <w:pPr>
              <w:pStyle w:val="36"/>
              <w:bidi w:val="0"/>
              <w:rPr>
                <w:rFonts w:hint="eastAsia"/>
                <w:color w:val="auto"/>
                <w:lang w:eastAsia="zh-CN"/>
              </w:rPr>
            </w:pPr>
            <w:r>
              <w:rPr>
                <w:rFonts w:hint="default"/>
                <w:color w:val="auto"/>
              </w:rPr>
              <w:t>综合考虑河流特性、防护对象、征占地及拆迁量、洪灾损失等因素，本次治理河段属乡村河段，在满足防洪、排涝、灌溉的前提下，同时采用生态结构的河堤和护岸措施，体现水生态的理念。此外，在河道沿河岸分布有田地，岸坡冲刷严重，导致农田受损，但河岸处的田地面积不大的河段，为减少占地，本次采取以保护耕地不被破坏为原则，仅采取护脚措施，保证田块不被冲毁，允许作物短时被淹</w:t>
            </w:r>
            <w:r>
              <w:rPr>
                <w:rFonts w:hint="eastAsia"/>
                <w:color w:val="auto"/>
                <w:lang w:eastAsia="zh-CN"/>
              </w:rPr>
              <w:t>。</w:t>
            </w:r>
          </w:p>
          <w:p w14:paraId="7214A036">
            <w:pPr>
              <w:pStyle w:val="36"/>
              <w:bidi w:val="0"/>
              <w:rPr>
                <w:rFonts w:hint="default"/>
                <w:color w:val="auto"/>
              </w:rPr>
            </w:pPr>
            <w:r>
              <w:rPr>
                <w:rFonts w:hint="default"/>
                <w:color w:val="auto"/>
              </w:rPr>
              <w:t>本次治理主要是使治理河段防洪标准</w:t>
            </w:r>
            <w:r>
              <w:rPr>
                <w:rFonts w:hint="eastAsia"/>
                <w:color w:val="auto"/>
                <w:lang w:eastAsia="zh-CN"/>
              </w:rPr>
              <w:t>提升</w:t>
            </w:r>
            <w:r>
              <w:rPr>
                <w:rFonts w:hint="default"/>
                <w:color w:val="auto"/>
              </w:rPr>
              <w:t>到</w:t>
            </w:r>
            <w:r>
              <w:rPr>
                <w:rFonts w:hint="eastAsia"/>
                <w:color w:val="auto"/>
                <w:lang w:val="en-US" w:eastAsia="zh-CN"/>
              </w:rPr>
              <w:t>10</w:t>
            </w:r>
            <w:r>
              <w:rPr>
                <w:rFonts w:hint="default"/>
                <w:color w:val="auto"/>
              </w:rPr>
              <w:t>年一遇的洪水标准，使治理段能安全下泄10年一遇洪水。修建护堤后，坍塌、滑坡等地质灾害现象减轻，水土流失侵蚀得到有效控制。</w:t>
            </w:r>
          </w:p>
          <w:p w14:paraId="1B6EAF7E">
            <w:pPr>
              <w:pStyle w:val="36"/>
              <w:bidi w:val="0"/>
              <w:rPr>
                <w:rFonts w:hint="default"/>
                <w:b/>
                <w:bCs/>
                <w:color w:val="auto"/>
              </w:rPr>
            </w:pPr>
            <w:r>
              <w:rPr>
                <w:rFonts w:hint="default"/>
                <w:b/>
                <w:bCs/>
                <w:color w:val="auto"/>
              </w:rPr>
              <w:t>2、河流水文、泥沙情势影响分析</w:t>
            </w:r>
          </w:p>
          <w:p w14:paraId="4EC80FF6">
            <w:pPr>
              <w:pStyle w:val="36"/>
              <w:bidi w:val="0"/>
              <w:rPr>
                <w:rFonts w:hint="default"/>
                <w:color w:val="auto"/>
              </w:rPr>
            </w:pPr>
            <w:r>
              <w:rPr>
                <w:rFonts w:hint="default"/>
                <w:color w:val="auto"/>
              </w:rPr>
              <w:t>项目采取了修建</w:t>
            </w:r>
            <w:r>
              <w:rPr>
                <w:rFonts w:hint="eastAsia"/>
                <w:color w:val="auto"/>
                <w:lang w:eastAsia="zh-CN"/>
              </w:rPr>
              <w:t>护岸、</w:t>
            </w:r>
            <w:r>
              <w:rPr>
                <w:rFonts w:hint="default"/>
                <w:color w:val="auto"/>
              </w:rPr>
              <w:t>堤防、堤基护脚工程等工程措施进行治理</w:t>
            </w:r>
            <w:r>
              <w:rPr>
                <w:rFonts w:hint="eastAsia"/>
                <w:color w:val="auto"/>
                <w:lang w:eastAsia="zh-CN"/>
              </w:rPr>
              <w:t>，</w:t>
            </w:r>
            <w:r>
              <w:rPr>
                <w:rFonts w:hint="default"/>
                <w:color w:val="auto"/>
              </w:rPr>
              <w:t>减少了河水冲刷河岸进入河流的沙土量，河道两岸水土流失量减少，并且部分河道将得到拓宽，主河槽宽在</w:t>
            </w:r>
            <w:r>
              <w:rPr>
                <w:rFonts w:hint="eastAsia"/>
                <w:color w:val="auto"/>
              </w:rPr>
              <w:t>3.0m~35.0mm</w:t>
            </w:r>
            <w:r>
              <w:rPr>
                <w:rFonts w:hint="default"/>
                <w:color w:val="auto"/>
              </w:rPr>
              <w:t>之间，加大了河流的过水面积河流在此部分河道上的流速将增加，河水中的含沙量将会降低，输沙量增大，使河道行洪更通畅。</w:t>
            </w:r>
          </w:p>
          <w:p w14:paraId="2A8A3945">
            <w:pPr>
              <w:pStyle w:val="36"/>
              <w:bidi w:val="0"/>
              <w:rPr>
                <w:rFonts w:hint="default"/>
                <w:color w:val="auto"/>
              </w:rPr>
            </w:pPr>
            <w:r>
              <w:rPr>
                <w:rFonts w:hint="default"/>
                <w:color w:val="auto"/>
              </w:rPr>
              <w:t>河道整治只对河道行过水断面和岸坡作了稳定安全治理，使得洪水宣泄更加顺畅，有效降低和减缓了原河道汛期洪水的水位高和流速慢的问题，减轻了洪水对整治河道的冲刷力，一些中小颗粒的泥沙仍会被洪水冲刷带走，而上游进入工程区河段的推移质泥沙在洪水冲击作用下，则缓慢向下游移动，以填充被洪水冲刷后形成的凹面，使河床趋于稳定和达到新的冲淤平衡。</w:t>
            </w:r>
          </w:p>
          <w:p w14:paraId="21B00F23">
            <w:pPr>
              <w:pStyle w:val="36"/>
              <w:bidi w:val="0"/>
              <w:rPr>
                <w:rFonts w:hint="default"/>
                <w:b/>
                <w:bCs/>
                <w:color w:val="auto"/>
              </w:rPr>
            </w:pPr>
            <w:r>
              <w:rPr>
                <w:rFonts w:hint="default"/>
                <w:b/>
                <w:bCs/>
                <w:color w:val="auto"/>
              </w:rPr>
              <w:t>3、对植被的影响分析</w:t>
            </w:r>
          </w:p>
          <w:p w14:paraId="7D8918C5">
            <w:pPr>
              <w:pStyle w:val="36"/>
              <w:bidi w:val="0"/>
              <w:rPr>
                <w:rFonts w:hint="default"/>
                <w:color w:val="auto"/>
              </w:rPr>
            </w:pPr>
            <w:r>
              <w:rPr>
                <w:rFonts w:hint="default"/>
                <w:color w:val="auto"/>
              </w:rPr>
              <w:t>项目建成后，临时占用的土地将恢复原有的使用性质，项目受影响的植被和自然生态系统也将逐渐得到恢复和发展，工程建设对生态环境的影响将逐渐减小和消失。工程永久占地主要沿</w:t>
            </w:r>
            <w:r>
              <w:rPr>
                <w:rFonts w:hint="eastAsia"/>
                <w:color w:val="auto"/>
                <w:lang w:eastAsia="zh-CN"/>
              </w:rPr>
              <w:t>果朗河</w:t>
            </w:r>
            <w:r>
              <w:rPr>
                <w:rFonts w:hint="default"/>
                <w:color w:val="auto"/>
              </w:rPr>
              <w:t>河道两侧，占地类型主要为旱地和</w:t>
            </w:r>
            <w:r>
              <w:rPr>
                <w:rFonts w:hint="eastAsia"/>
                <w:color w:val="auto"/>
                <w:lang w:eastAsia="zh-CN"/>
              </w:rPr>
              <w:t>河滩地</w:t>
            </w:r>
            <w:r>
              <w:rPr>
                <w:rFonts w:hint="default"/>
                <w:color w:val="auto"/>
              </w:rPr>
              <w:t>，因此，项目建设及运行不会对评价区土地利用格局产生大的影响。</w:t>
            </w:r>
          </w:p>
          <w:p w14:paraId="22CBFC24">
            <w:pPr>
              <w:pStyle w:val="36"/>
              <w:bidi w:val="0"/>
              <w:rPr>
                <w:rFonts w:hint="default"/>
                <w:b/>
                <w:bCs/>
                <w:color w:val="auto"/>
              </w:rPr>
            </w:pPr>
            <w:r>
              <w:rPr>
                <w:rFonts w:hint="default"/>
                <w:b/>
                <w:bCs/>
                <w:color w:val="auto"/>
              </w:rPr>
              <w:t>4、对植物的影响分析</w:t>
            </w:r>
          </w:p>
          <w:p w14:paraId="73E7F74A">
            <w:pPr>
              <w:pStyle w:val="36"/>
              <w:bidi w:val="0"/>
              <w:rPr>
                <w:rFonts w:hint="default"/>
                <w:color w:val="auto"/>
              </w:rPr>
            </w:pPr>
            <w:r>
              <w:rPr>
                <w:rFonts w:hint="default"/>
                <w:color w:val="auto"/>
              </w:rPr>
              <w:t>项目永久占地范围主要为</w:t>
            </w:r>
            <w:r>
              <w:rPr>
                <w:rFonts w:hint="eastAsia"/>
                <w:color w:val="auto"/>
              </w:rPr>
              <w:t>水田、</w:t>
            </w:r>
            <w:r>
              <w:rPr>
                <w:color w:val="auto"/>
              </w:rPr>
              <w:t>旱地</w:t>
            </w:r>
            <w:r>
              <w:rPr>
                <w:rFonts w:hint="eastAsia"/>
                <w:color w:val="auto"/>
              </w:rPr>
              <w:t>、水域（河流水面）、其它土地（裸土地）</w:t>
            </w:r>
            <w:r>
              <w:rPr>
                <w:rFonts w:hint="default"/>
                <w:color w:val="auto"/>
              </w:rPr>
              <w:t>，工程施工结束后对临时占地进行植被恢复，对植物资源影响很小。</w:t>
            </w:r>
          </w:p>
          <w:p w14:paraId="0CD9F97F">
            <w:pPr>
              <w:pStyle w:val="36"/>
              <w:bidi w:val="0"/>
              <w:rPr>
                <w:rFonts w:hint="default"/>
                <w:b/>
                <w:bCs/>
                <w:color w:val="auto"/>
              </w:rPr>
            </w:pPr>
            <w:r>
              <w:rPr>
                <w:rFonts w:hint="default"/>
                <w:b/>
                <w:bCs/>
                <w:color w:val="auto"/>
              </w:rPr>
              <w:t>5、对陆生脊椎动物的影响分析</w:t>
            </w:r>
          </w:p>
          <w:p w14:paraId="070C7C55">
            <w:pPr>
              <w:pStyle w:val="36"/>
              <w:bidi w:val="0"/>
              <w:rPr>
                <w:rFonts w:hint="default"/>
                <w:color w:val="auto"/>
              </w:rPr>
            </w:pPr>
            <w:r>
              <w:rPr>
                <w:rFonts w:hint="default"/>
                <w:color w:val="auto"/>
              </w:rPr>
              <w:t>工程运行后，随着施工人员撤出、施工临时占地的生态环境将逐步恢复，区域内的生态环境质量将恢复到原有水平，受影响而迁移别处的野生动物会陆续回到原栖息地，工程建设对野生动物产生的影响将逐渐消除。</w:t>
            </w:r>
          </w:p>
          <w:p w14:paraId="1DC82C84">
            <w:pPr>
              <w:pStyle w:val="36"/>
              <w:bidi w:val="0"/>
              <w:rPr>
                <w:rFonts w:hint="default"/>
                <w:color w:val="auto"/>
              </w:rPr>
            </w:pPr>
            <w:r>
              <w:rPr>
                <w:rFonts w:hint="default"/>
                <w:b/>
                <w:bCs/>
                <w:color w:val="auto"/>
              </w:rPr>
              <w:t>6、对重点保护野生动物的影响分</w:t>
            </w:r>
            <w:r>
              <w:rPr>
                <w:rFonts w:hint="default"/>
                <w:color w:val="auto"/>
              </w:rPr>
              <w:t>析</w:t>
            </w:r>
          </w:p>
          <w:p w14:paraId="21E8133A">
            <w:pPr>
              <w:pStyle w:val="36"/>
              <w:bidi w:val="0"/>
              <w:rPr>
                <w:rFonts w:hint="default"/>
                <w:color w:val="auto"/>
              </w:rPr>
            </w:pPr>
            <w:r>
              <w:rPr>
                <w:rFonts w:hint="default"/>
                <w:color w:val="auto"/>
              </w:rPr>
              <w:t>项目工程占地面积较小，评价区范围内调查期间，未发现国家级和云南省级重点保护野生动物分布，也没有发现《中国濒危动物红皮书》收录动物和珍稀濒危动物。调查未发现该地区特有种类分布。</w:t>
            </w:r>
          </w:p>
          <w:p w14:paraId="57BBA3E6">
            <w:pPr>
              <w:pStyle w:val="36"/>
              <w:bidi w:val="0"/>
              <w:rPr>
                <w:rFonts w:hint="default"/>
                <w:b/>
                <w:bCs/>
                <w:color w:val="auto"/>
              </w:rPr>
            </w:pPr>
            <w:r>
              <w:rPr>
                <w:rFonts w:hint="default"/>
                <w:b/>
                <w:bCs/>
                <w:color w:val="auto"/>
              </w:rPr>
              <w:t>7、对鱼类的影响分析</w:t>
            </w:r>
          </w:p>
          <w:p w14:paraId="663A89EE">
            <w:pPr>
              <w:pStyle w:val="36"/>
              <w:bidi w:val="0"/>
              <w:rPr>
                <w:rFonts w:hint="default"/>
                <w:color w:val="auto"/>
              </w:rPr>
            </w:pPr>
            <w:r>
              <w:rPr>
                <w:rFonts w:hint="default"/>
                <w:color w:val="auto"/>
              </w:rPr>
              <w:t>项目建成后，不会改变治理河段的水文情势，不减少河道水量，临时占地的区域经植被恢复后对环境影响较小。工程运行期间，无影响河道水质污染物排放，不会对河道水质产生影响，不会对鱼类产生影响。</w:t>
            </w:r>
          </w:p>
          <w:p w14:paraId="35F86502">
            <w:pPr>
              <w:pStyle w:val="36"/>
              <w:bidi w:val="0"/>
              <w:rPr>
                <w:rFonts w:hint="default"/>
                <w:b/>
                <w:bCs/>
                <w:color w:val="auto"/>
              </w:rPr>
            </w:pPr>
            <w:r>
              <w:rPr>
                <w:rFonts w:hint="default"/>
                <w:b/>
                <w:bCs/>
                <w:color w:val="auto"/>
              </w:rPr>
              <w:t>8</w:t>
            </w:r>
            <w:r>
              <w:rPr>
                <w:rFonts w:hint="eastAsia"/>
                <w:b/>
                <w:bCs/>
                <w:color w:val="auto"/>
                <w:lang w:eastAsia="zh-CN"/>
              </w:rPr>
              <w:t>、</w:t>
            </w:r>
            <w:r>
              <w:rPr>
                <w:rFonts w:hint="default"/>
                <w:b/>
                <w:bCs/>
                <w:color w:val="auto"/>
              </w:rPr>
              <w:t>对水生生境的影响分析</w:t>
            </w:r>
          </w:p>
          <w:p w14:paraId="473B2AD9">
            <w:pPr>
              <w:pStyle w:val="36"/>
              <w:bidi w:val="0"/>
              <w:rPr>
                <w:rFonts w:hint="default"/>
                <w:color w:val="auto"/>
              </w:rPr>
            </w:pPr>
            <w:r>
              <w:rPr>
                <w:rFonts w:hint="default"/>
                <w:color w:val="auto"/>
              </w:rPr>
              <w:t>河道治理结束后，项目水环境中泥沙含量减少，河水水质含沙量大幅降低，生存环境的优化将有利于水生生物的生长和繁殖。而水中污染物浓度降低，含氧量增加，则有利于各种水生生物的生长。水质变清，透光深度变大，将有利于光合浮游生物的生长，从而带动整个生态系统的生产力的提高。而各种浮游生物的增加，将使以这些生物为食物的鱼虾</w:t>
            </w:r>
            <w:r>
              <w:rPr>
                <w:rFonts w:hint="eastAsia"/>
                <w:color w:val="auto"/>
                <w:lang w:eastAsia="zh-CN"/>
              </w:rPr>
              <w:t>，以及</w:t>
            </w:r>
            <w:r>
              <w:rPr>
                <w:rFonts w:hint="default"/>
                <w:color w:val="auto"/>
              </w:rPr>
              <w:t>以小鱼虾为食物的大型鱼类得到更充足的食物供应。因而，工程完成后黑潓江治理段内水生群落的生物量和净生产量将会有较大提高。</w:t>
            </w:r>
          </w:p>
          <w:p w14:paraId="07D454D3">
            <w:pPr>
              <w:pStyle w:val="36"/>
              <w:bidi w:val="0"/>
              <w:rPr>
                <w:rFonts w:hint="default"/>
                <w:color w:val="auto"/>
              </w:rPr>
            </w:pPr>
            <w:r>
              <w:rPr>
                <w:rFonts w:hint="default"/>
                <w:color w:val="auto"/>
              </w:rPr>
              <w:t>随着生物多样性的提高，河道内水生生态系统的物种结构将更完善，食物链的断链环节重新恢复，食物网复杂化。而生境异质性的恢复也使生态系统的水平和垂直结构更完整。从而使整个水生生态系统发育更成熟，其质量、稳定性和服务功能将得到提高，有利阻止或减缓生态环境的恶化。</w:t>
            </w:r>
          </w:p>
          <w:p w14:paraId="5DCB9915">
            <w:pPr>
              <w:pStyle w:val="36"/>
              <w:bidi w:val="0"/>
              <w:rPr>
                <w:rFonts w:hint="default"/>
                <w:color w:val="auto"/>
              </w:rPr>
            </w:pPr>
            <w:r>
              <w:rPr>
                <w:rFonts w:hint="default"/>
                <w:color w:val="auto"/>
              </w:rPr>
              <w:t>总体而言，项目的完工将使</w:t>
            </w:r>
            <w:r>
              <w:rPr>
                <w:rFonts w:hint="eastAsia"/>
                <w:color w:val="auto"/>
                <w:lang w:eastAsia="zh-CN"/>
              </w:rPr>
              <w:t>果朗河大新寨至芒里大桥</w:t>
            </w:r>
            <w:r>
              <w:rPr>
                <w:rFonts w:hint="default"/>
                <w:color w:val="auto"/>
              </w:rPr>
              <w:t>治理段的水生生态环境得到改善，生物量和净生产量会有所提高，生物多样性和异质性增加，生态系统结构更完整。</w:t>
            </w:r>
          </w:p>
          <w:p w14:paraId="43B8A377">
            <w:pPr>
              <w:pStyle w:val="36"/>
              <w:bidi w:val="0"/>
              <w:rPr>
                <w:rFonts w:hint="default"/>
                <w:b/>
                <w:bCs/>
                <w:color w:val="auto"/>
              </w:rPr>
            </w:pPr>
            <w:r>
              <w:rPr>
                <w:rFonts w:hint="default"/>
                <w:b/>
                <w:bCs/>
                <w:color w:val="auto"/>
              </w:rPr>
              <w:t>二、运营期污染影响分析</w:t>
            </w:r>
          </w:p>
          <w:p w14:paraId="7430C4F4">
            <w:pPr>
              <w:pStyle w:val="36"/>
              <w:bidi w:val="0"/>
              <w:rPr>
                <w:rFonts w:hint="default"/>
                <w:b/>
                <w:bCs/>
                <w:color w:val="auto"/>
              </w:rPr>
            </w:pPr>
            <w:r>
              <w:rPr>
                <w:rFonts w:hint="default"/>
                <w:b/>
                <w:bCs/>
                <w:color w:val="auto"/>
              </w:rPr>
              <w:t>1、大气环境影响分析</w:t>
            </w:r>
          </w:p>
          <w:p w14:paraId="49ECDE07">
            <w:pPr>
              <w:pStyle w:val="36"/>
              <w:bidi w:val="0"/>
              <w:rPr>
                <w:rFonts w:hint="default"/>
                <w:color w:val="auto"/>
              </w:rPr>
            </w:pPr>
            <w:r>
              <w:rPr>
                <w:rFonts w:hint="default"/>
                <w:color w:val="auto"/>
              </w:rPr>
              <w:t>本项目影响主要存在于施工期，工程运营期项目本身无废气产生。</w:t>
            </w:r>
          </w:p>
          <w:p w14:paraId="1AC979D0">
            <w:pPr>
              <w:pStyle w:val="36"/>
              <w:bidi w:val="0"/>
              <w:rPr>
                <w:rFonts w:hint="default"/>
                <w:b/>
                <w:bCs/>
                <w:color w:val="auto"/>
              </w:rPr>
            </w:pPr>
            <w:r>
              <w:rPr>
                <w:rFonts w:hint="default"/>
                <w:b/>
                <w:bCs/>
                <w:color w:val="auto"/>
              </w:rPr>
              <w:t>2、水环境影响分析</w:t>
            </w:r>
          </w:p>
          <w:p w14:paraId="5112C212">
            <w:pPr>
              <w:pStyle w:val="36"/>
              <w:bidi w:val="0"/>
              <w:rPr>
                <w:rFonts w:hint="default"/>
                <w:color w:val="auto"/>
              </w:rPr>
            </w:pPr>
            <w:r>
              <w:rPr>
                <w:rFonts w:hint="default"/>
                <w:color w:val="auto"/>
              </w:rPr>
              <w:t>工程完工后，运营期无废水产生，不会对河道及下游河道水体水质产生影响。</w:t>
            </w:r>
          </w:p>
          <w:p w14:paraId="4DAC545C">
            <w:pPr>
              <w:pStyle w:val="36"/>
              <w:bidi w:val="0"/>
              <w:rPr>
                <w:rFonts w:hint="default"/>
                <w:b/>
                <w:bCs/>
                <w:color w:val="auto"/>
              </w:rPr>
            </w:pPr>
            <w:r>
              <w:rPr>
                <w:rFonts w:hint="default"/>
                <w:b/>
                <w:bCs/>
                <w:color w:val="auto"/>
              </w:rPr>
              <w:t>3、声环境影响分析</w:t>
            </w:r>
          </w:p>
          <w:p w14:paraId="0C96BBA2">
            <w:pPr>
              <w:pStyle w:val="36"/>
              <w:bidi w:val="0"/>
              <w:rPr>
                <w:rFonts w:hint="default"/>
                <w:color w:val="auto"/>
              </w:rPr>
            </w:pPr>
            <w:r>
              <w:rPr>
                <w:rFonts w:hint="default"/>
                <w:color w:val="auto"/>
              </w:rPr>
              <w:t>工程运行期项目本身不产生噪声，因此项目运行期间不会对周边产生噪声影响。</w:t>
            </w:r>
          </w:p>
          <w:p w14:paraId="1DDF1106">
            <w:pPr>
              <w:pStyle w:val="36"/>
              <w:bidi w:val="0"/>
              <w:rPr>
                <w:rFonts w:hint="default"/>
                <w:b/>
                <w:bCs/>
                <w:color w:val="auto"/>
              </w:rPr>
            </w:pPr>
            <w:r>
              <w:rPr>
                <w:rFonts w:hint="default"/>
                <w:b/>
                <w:bCs/>
                <w:color w:val="auto"/>
              </w:rPr>
              <w:t>4、固体废物影响分析</w:t>
            </w:r>
          </w:p>
          <w:p w14:paraId="5E6EF4CF">
            <w:pPr>
              <w:pStyle w:val="36"/>
              <w:bidi w:val="0"/>
              <w:rPr>
                <w:rFonts w:hint="default"/>
                <w:color w:val="auto"/>
              </w:rPr>
            </w:pPr>
            <w:r>
              <w:rPr>
                <w:rFonts w:hint="default"/>
                <w:color w:val="auto"/>
              </w:rPr>
              <w:t>工程完工后，运行期无固体废物产生。</w:t>
            </w:r>
          </w:p>
        </w:tc>
      </w:tr>
      <w:tr w14:paraId="241787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31" w:hRule="atLeast"/>
          <w:jc w:val="center"/>
        </w:trPr>
        <w:tc>
          <w:tcPr>
            <w:tcW w:w="244" w:type="pct"/>
            <w:vAlign w:val="center"/>
          </w:tcPr>
          <w:p w14:paraId="6E425885">
            <w:pPr>
              <w:pStyle w:val="18"/>
              <w:adjustRightInd w:val="0"/>
              <w:snapToGrid w:val="0"/>
              <w:spacing w:before="0" w:beforeAutospacing="0" w:after="0" w:afterAutospacing="0"/>
              <w:ind w:left="0" w:leftChars="0" w:firstLine="0" w:firstLineChars="0"/>
              <w:jc w:val="center"/>
              <w:rPr>
                <w:rFonts w:hint="default" w:ascii="Times New Roman" w:hAnsi="Times New Roman" w:cs="Times New Roman"/>
                <w:bCs/>
                <w:color w:val="auto"/>
                <w:kern w:val="2"/>
              </w:rPr>
            </w:pPr>
            <w:r>
              <w:rPr>
                <w:rFonts w:hint="default" w:ascii="Times New Roman" w:hAnsi="Times New Roman" w:cs="Times New Roman"/>
                <w:bCs/>
                <w:color w:val="auto"/>
                <w:kern w:val="2"/>
              </w:rPr>
              <w:t>选址选线环境合理性分析</w:t>
            </w:r>
          </w:p>
        </w:tc>
        <w:tc>
          <w:tcPr>
            <w:tcW w:w="4755" w:type="pct"/>
          </w:tcPr>
          <w:p w14:paraId="5625C154">
            <w:pPr>
              <w:pStyle w:val="36"/>
              <w:bidi w:val="0"/>
              <w:rPr>
                <w:rFonts w:hint="default"/>
                <w:b/>
                <w:bCs/>
                <w:color w:val="auto"/>
              </w:rPr>
            </w:pPr>
            <w:r>
              <w:rPr>
                <w:rFonts w:hint="default"/>
                <w:b/>
                <w:bCs/>
                <w:color w:val="auto"/>
              </w:rPr>
              <w:t>选线选址环境合理性分析</w:t>
            </w:r>
          </w:p>
          <w:p w14:paraId="351202A6">
            <w:pPr>
              <w:pStyle w:val="36"/>
              <w:bidi w:val="0"/>
              <w:rPr>
                <w:rFonts w:hint="default"/>
                <w:b/>
                <w:bCs/>
                <w:color w:val="auto"/>
              </w:rPr>
            </w:pPr>
            <w:r>
              <w:rPr>
                <w:rFonts w:hint="default"/>
                <w:b/>
                <w:bCs/>
                <w:color w:val="auto"/>
              </w:rPr>
              <w:t>1</w:t>
            </w:r>
            <w:r>
              <w:rPr>
                <w:rFonts w:hint="eastAsia"/>
                <w:b/>
                <w:bCs/>
                <w:color w:val="auto"/>
                <w:lang w:eastAsia="zh-CN"/>
              </w:rPr>
              <w:t>、</w:t>
            </w:r>
            <w:r>
              <w:rPr>
                <w:rFonts w:hint="default"/>
                <w:b/>
                <w:bCs/>
                <w:color w:val="auto"/>
              </w:rPr>
              <w:t>环境制约因素</w:t>
            </w:r>
          </w:p>
          <w:p w14:paraId="2B90A342">
            <w:pPr>
              <w:pStyle w:val="36"/>
              <w:bidi w:val="0"/>
              <w:rPr>
                <w:rFonts w:hint="default"/>
                <w:color w:val="auto"/>
              </w:rPr>
            </w:pPr>
            <w:r>
              <w:rPr>
                <w:rFonts w:hint="default"/>
                <w:color w:val="auto"/>
              </w:rPr>
              <w:t>工程选址不涉及自然保护区、风景名胜区及其他需要特殊保护的区域，不属于饮用水水源保护区、饮用水取水口、涉水的自然保护区、风景名胜区、重要湿地、重点保护与珍稀水生生物的栖息地、重要水生生物的自然产卵场及索饵场、越冬场和洄游通道，天然渔场等渔业水体等。项目无环境制约因素。</w:t>
            </w:r>
          </w:p>
          <w:p w14:paraId="0AD471BF">
            <w:pPr>
              <w:pStyle w:val="36"/>
              <w:bidi w:val="0"/>
              <w:rPr>
                <w:rFonts w:hint="default"/>
                <w:b/>
                <w:bCs/>
                <w:color w:val="auto"/>
              </w:rPr>
            </w:pPr>
            <w:r>
              <w:rPr>
                <w:rFonts w:hint="default"/>
                <w:b/>
                <w:bCs/>
                <w:color w:val="auto"/>
              </w:rPr>
              <w:t>2</w:t>
            </w:r>
            <w:r>
              <w:rPr>
                <w:rFonts w:hint="eastAsia"/>
                <w:b/>
                <w:bCs/>
                <w:color w:val="auto"/>
                <w:lang w:eastAsia="zh-CN"/>
              </w:rPr>
              <w:t>、</w:t>
            </w:r>
            <w:r>
              <w:rPr>
                <w:rFonts w:hint="default"/>
                <w:b/>
                <w:bCs/>
                <w:color w:val="auto"/>
              </w:rPr>
              <w:t>环境影响程度</w:t>
            </w:r>
          </w:p>
          <w:p w14:paraId="4F86B740">
            <w:pPr>
              <w:pStyle w:val="36"/>
              <w:bidi w:val="0"/>
              <w:rPr>
                <w:rFonts w:hint="default"/>
                <w:color w:val="auto"/>
              </w:rPr>
            </w:pPr>
            <w:r>
              <w:rPr>
                <w:rFonts w:hint="default"/>
                <w:color w:val="auto"/>
              </w:rPr>
              <w:t>本项目属于《产业结构调整指导目录（2024年本）</w:t>
            </w:r>
            <w:r>
              <w:rPr>
                <w:rFonts w:hint="eastAsia"/>
                <w:color w:val="auto"/>
                <w:lang w:eastAsia="zh-CN"/>
              </w:rPr>
              <w:t>》</w:t>
            </w:r>
            <w:r>
              <w:rPr>
                <w:rFonts w:hint="default"/>
                <w:color w:val="auto"/>
              </w:rPr>
              <w:t>鼓励类：第二大类：水利中第三条防洪提升工程中的江河湖海堤防建设及河道治理工程。属于环境治理项目，符合《云南省长江经济带发展负面清单指南实施细则（试行）》的要求，对因施工期间破坏的各种植被、临时占用的施工便道、临时堆土区，工程按照水土选址选线保持措施，通过实施生态恢复措施使其逐步得到恢复。</w:t>
            </w:r>
          </w:p>
          <w:p w14:paraId="13435D30">
            <w:pPr>
              <w:pStyle w:val="36"/>
              <w:bidi w:val="0"/>
              <w:rPr>
                <w:rFonts w:hint="default"/>
                <w:color w:val="auto"/>
              </w:rPr>
            </w:pPr>
            <w:r>
              <w:rPr>
                <w:rFonts w:hint="default"/>
                <w:color w:val="auto"/>
              </w:rPr>
              <w:t>项目施工时间短，对河道环境的治理随着施工期的结束而结束，项目施工期间对环境影响程度较小。运营期无污染物产生，对周围环境无影响。项目建设完成后有利于改善黑潓江治理河段生态环境，有利于减少水土流失，促进生态环境的可持续发展，确保安全行洪，提高防洪能力，有效保护沿线居民和耕地的防洪安全。</w:t>
            </w:r>
          </w:p>
          <w:p w14:paraId="6F269A54">
            <w:pPr>
              <w:pStyle w:val="36"/>
              <w:numPr>
                <w:ilvl w:val="0"/>
                <w:numId w:val="0"/>
              </w:numPr>
              <w:bidi w:val="0"/>
              <w:ind w:left="0" w:leftChars="0" w:right="0" w:rightChars="0" w:firstLine="482" w:firstLineChars="200"/>
              <w:rPr>
                <w:rFonts w:hint="eastAsia"/>
                <w:b/>
                <w:bCs/>
                <w:color w:val="auto"/>
                <w:lang w:val="en-US" w:eastAsia="zh-CN"/>
              </w:rPr>
            </w:pPr>
            <w:r>
              <w:rPr>
                <w:rFonts w:hint="eastAsia" w:ascii="Times New Roman" w:hAnsi="Times New Roman" w:eastAsia="宋体" w:cs="Times New Roman"/>
                <w:b/>
                <w:bCs/>
                <w:color w:val="auto"/>
                <w:kern w:val="0"/>
                <w:sz w:val="24"/>
                <w:szCs w:val="24"/>
                <w:lang w:val="en-US" w:eastAsia="zh-CN" w:bidi="ar-SA"/>
              </w:rPr>
              <w:t>3、</w:t>
            </w:r>
            <w:r>
              <w:rPr>
                <w:rFonts w:hint="eastAsia" w:cs="Times New Roman"/>
                <w:b/>
                <w:bCs/>
                <w:color w:val="auto"/>
                <w:kern w:val="0"/>
                <w:sz w:val="24"/>
                <w:szCs w:val="24"/>
                <w:lang w:val="en-US" w:eastAsia="zh-CN" w:bidi="ar-SA"/>
              </w:rPr>
              <w:t>施工三场选址合理性分析</w:t>
            </w:r>
          </w:p>
          <w:p w14:paraId="5B37FC69">
            <w:pPr>
              <w:pStyle w:val="36"/>
              <w:bidi w:val="0"/>
              <w:rPr>
                <w:rFonts w:hint="eastAsia" w:eastAsia="宋体"/>
                <w:color w:val="auto"/>
                <w:lang w:eastAsia="zh-CN"/>
              </w:rPr>
            </w:pPr>
            <w:r>
              <w:rPr>
                <w:rFonts w:hint="eastAsia"/>
                <w:color w:val="auto"/>
              </w:rPr>
              <w:t>根据堤防工程的施工特点，采用分散为主，集中为辅进行布置。工程建设单位管理局已在</w:t>
            </w:r>
            <w:r>
              <w:rPr>
                <w:rFonts w:hint="eastAsia"/>
                <w:color w:val="auto"/>
                <w:lang w:eastAsia="zh-CN"/>
              </w:rPr>
              <w:t>芒市</w:t>
            </w:r>
            <w:r>
              <w:rPr>
                <w:rFonts w:hint="eastAsia"/>
                <w:color w:val="auto"/>
              </w:rPr>
              <w:t>水务局</w:t>
            </w:r>
            <w:r>
              <w:rPr>
                <w:color w:val="auto"/>
              </w:rPr>
              <w:t>设置办公场所</w:t>
            </w:r>
            <w:r>
              <w:rPr>
                <w:rFonts w:hint="eastAsia"/>
                <w:color w:val="auto"/>
              </w:rPr>
              <w:t>，由有关负责人及技术人员组成。根据河道工程施工特性，施工单位管理机构办公及生活区沿河岸布置。生产生活区主要布置仓库、生活区、办公室等临时生产生活设施，</w:t>
            </w:r>
            <w:r>
              <w:rPr>
                <w:color w:val="auto"/>
              </w:rPr>
              <w:t>共设置</w:t>
            </w:r>
            <w:r>
              <w:rPr>
                <w:rFonts w:hint="eastAsia"/>
                <w:color w:val="auto"/>
                <w:lang w:val="en-US" w:eastAsia="zh-CN"/>
              </w:rPr>
              <w:t>4</w:t>
            </w:r>
            <w:r>
              <w:rPr>
                <w:rFonts w:hint="eastAsia"/>
                <w:color w:val="auto"/>
              </w:rPr>
              <w:t>个</w:t>
            </w:r>
            <w:r>
              <w:rPr>
                <w:rFonts w:hint="eastAsia"/>
                <w:color w:val="auto"/>
                <w:lang w:eastAsia="zh-CN"/>
              </w:rPr>
              <w:t>。</w:t>
            </w:r>
          </w:p>
          <w:p w14:paraId="34A25929">
            <w:pPr>
              <w:bidi w:val="0"/>
              <w:rPr>
                <w:rFonts w:hint="eastAsia"/>
                <w:color w:val="auto"/>
                <w:lang w:val="en-US" w:eastAsia="zh-CN"/>
              </w:rPr>
            </w:pPr>
            <w:r>
              <w:rPr>
                <w:rFonts w:hint="eastAsia"/>
                <w:color w:val="auto"/>
                <w:lang w:val="en-US" w:eastAsia="zh-CN"/>
              </w:rPr>
              <w:t>项目土石方挖填平衡不设置弃渣场。</w:t>
            </w:r>
            <w:r>
              <w:rPr>
                <w:rFonts w:hint="eastAsia"/>
                <w:color w:val="auto"/>
              </w:rPr>
              <w:t>根据本工程的施工条件，施工场地布置综合考虑本工程地形、地质条件、场内外交通布置，供水供电、防洪排水、安全环保等要求，施工总布置按集中布置与分散布置相结合的原则进行，方便施工及管理，减少干扰</w:t>
            </w:r>
            <w:r>
              <w:rPr>
                <w:rFonts w:hint="eastAsia"/>
                <w:color w:val="auto"/>
                <w:lang w:val="en-US" w:eastAsia="zh-CN"/>
              </w:rPr>
              <w:t>。从安全环保角度出发，生活设施靠近仓库布置，远离混凝土拌和站。噪声较大的施工设备应布置在远离村庄的一侧。因此，从环境保护角度分析，项目施工场地的选址是合理的。</w:t>
            </w:r>
          </w:p>
          <w:p w14:paraId="7E3CA6B7">
            <w:pPr>
              <w:pStyle w:val="36"/>
              <w:keepNext w:val="0"/>
              <w:keepLines w:val="0"/>
              <w:pageBreakBefore w:val="0"/>
              <w:widowControl w:val="0"/>
              <w:kinsoku/>
              <w:wordWrap/>
              <w:overflowPunct/>
              <w:topLinePunct w:val="0"/>
              <w:autoSpaceDE/>
              <w:autoSpaceDN/>
              <w:bidi w:val="0"/>
              <w:adjustRightInd/>
              <w:snapToGrid/>
              <w:spacing w:line="360" w:lineRule="auto"/>
              <w:ind w:left="0" w:right="0" w:firstLine="482" w:firstLineChars="200"/>
              <w:rPr>
                <w:rFonts w:hint="default"/>
                <w:color w:val="auto"/>
              </w:rPr>
            </w:pPr>
            <w:r>
              <w:rPr>
                <w:rFonts w:hint="eastAsia"/>
                <w:b/>
                <w:bCs/>
                <w:color w:val="auto"/>
                <w:lang w:val="en-US" w:eastAsia="zh-CN"/>
              </w:rPr>
              <w:t>4、表土转存场选址合理性</w:t>
            </w:r>
          </w:p>
          <w:p w14:paraId="544243B1">
            <w:pPr>
              <w:keepNext w:val="0"/>
              <w:keepLines w:val="0"/>
              <w:pageBreakBefore w:val="0"/>
              <w:widowControl w:val="0"/>
              <w:kinsoku/>
              <w:wordWrap/>
              <w:overflowPunct/>
              <w:topLinePunct w:val="0"/>
              <w:autoSpaceDE/>
              <w:autoSpaceDN/>
              <w:bidi w:val="0"/>
              <w:adjustRightInd/>
              <w:snapToGrid/>
              <w:spacing w:line="360" w:lineRule="auto"/>
              <w:ind w:left="0" w:right="0" w:firstLine="460" w:firstLineChars="200"/>
              <w:jc w:val="both"/>
            </w:pPr>
            <w:r>
              <w:rPr>
                <w:rFonts w:ascii="宋体" w:hAnsi="宋体" w:eastAsia="宋体" w:cs="宋体"/>
                <w:spacing w:val="-5"/>
                <w:sz w:val="24"/>
                <w:szCs w:val="24"/>
              </w:rPr>
              <w:t>本工程主体设计表土剥离措施，将表土收集、集中堆放于规划的表土转存场内，</w:t>
            </w:r>
            <w:r>
              <w:rPr>
                <w:rFonts w:ascii="宋体" w:hAnsi="宋体" w:eastAsia="宋体" w:cs="宋体"/>
                <w:spacing w:val="-4"/>
                <w:sz w:val="24"/>
                <w:szCs w:val="24"/>
              </w:rPr>
              <w:t>后期用于复耕的覆土，避免了外购复耕覆土产生新的水土</w:t>
            </w:r>
            <w:r>
              <w:rPr>
                <w:rFonts w:ascii="宋体" w:hAnsi="宋体" w:eastAsia="宋体" w:cs="宋体"/>
                <w:spacing w:val="-5"/>
                <w:sz w:val="24"/>
                <w:szCs w:val="24"/>
              </w:rPr>
              <w:t>流失问题。在表土收集时，</w:t>
            </w:r>
            <w:r>
              <w:rPr>
                <w:rFonts w:ascii="宋体" w:hAnsi="宋体" w:eastAsia="宋体" w:cs="宋体"/>
                <w:spacing w:val="1"/>
                <w:sz w:val="24"/>
                <w:szCs w:val="24"/>
              </w:rPr>
              <w:t>根据施工时序，先将表土堆放区域平整，再</w:t>
            </w:r>
            <w:r>
              <w:rPr>
                <w:rFonts w:ascii="宋体" w:hAnsi="宋体" w:eastAsia="宋体" w:cs="宋体"/>
                <w:sz w:val="24"/>
                <w:szCs w:val="24"/>
              </w:rPr>
              <w:t>进行其他区域的清表工作，将表土收集</w:t>
            </w:r>
            <w:r>
              <w:rPr>
                <w:rFonts w:ascii="宋体" w:hAnsi="宋体" w:eastAsia="宋体" w:cs="宋体"/>
                <w:spacing w:val="1"/>
                <w:sz w:val="24"/>
                <w:szCs w:val="24"/>
              </w:rPr>
              <w:t>堆放在平整好的指定场地内，施工后期，先</w:t>
            </w:r>
            <w:r>
              <w:rPr>
                <w:rFonts w:ascii="宋体" w:hAnsi="宋体" w:eastAsia="宋体" w:cs="宋体"/>
                <w:sz w:val="24"/>
                <w:szCs w:val="24"/>
              </w:rPr>
              <w:t>将表土回覆于复耕区后再进行表土转存</w:t>
            </w:r>
            <w:r>
              <w:rPr>
                <w:rFonts w:ascii="宋体" w:hAnsi="宋体" w:eastAsia="宋体" w:cs="宋体"/>
                <w:spacing w:val="1"/>
                <w:sz w:val="24"/>
                <w:szCs w:val="24"/>
              </w:rPr>
              <w:t>场的场地恢复。从水土保持的角度，转存场</w:t>
            </w:r>
            <w:r>
              <w:rPr>
                <w:rFonts w:ascii="宋体" w:hAnsi="宋体" w:eastAsia="宋体" w:cs="宋体"/>
                <w:sz w:val="24"/>
                <w:szCs w:val="24"/>
              </w:rPr>
              <w:t>的合理布局及措施对防治水土流失起到</w:t>
            </w:r>
            <w:r>
              <w:rPr>
                <w:rFonts w:ascii="宋体" w:hAnsi="宋体" w:eastAsia="宋体" w:cs="宋体"/>
                <w:spacing w:val="-2"/>
                <w:sz w:val="24"/>
                <w:szCs w:val="24"/>
              </w:rPr>
              <w:t>了较好的作用。本项目表土转存场的设置是合理的。</w:t>
            </w:r>
          </w:p>
          <w:p w14:paraId="36EB780E">
            <w:pPr>
              <w:pStyle w:val="36"/>
              <w:bidi w:val="0"/>
              <w:rPr>
                <w:rFonts w:hint="eastAsia" w:eastAsia="宋体"/>
                <w:b/>
                <w:bCs/>
                <w:color w:val="auto"/>
                <w:lang w:val="en-US" w:eastAsia="zh-CN"/>
              </w:rPr>
            </w:pPr>
            <w:r>
              <w:rPr>
                <w:rFonts w:hint="eastAsia"/>
                <w:b/>
                <w:bCs/>
                <w:color w:val="auto"/>
                <w:lang w:val="en-US" w:eastAsia="zh-CN"/>
              </w:rPr>
              <w:t>5、临时道路选址合理性分析</w:t>
            </w:r>
          </w:p>
          <w:p w14:paraId="55B926C4">
            <w:pPr>
              <w:pStyle w:val="3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rPr>
                <w:rFonts w:hint="default"/>
                <w:color w:val="auto"/>
              </w:rPr>
            </w:pPr>
            <w:r>
              <w:rPr>
                <w:color w:val="auto"/>
              </w:rPr>
              <w:t>根据主体工程设计，为了满足施工需要，工程施工期间拟新建</w:t>
            </w:r>
            <w:r>
              <w:rPr>
                <w:color w:val="auto"/>
                <w:lang w:val="en-GB"/>
              </w:rPr>
              <w:t>施工临时道路</w:t>
            </w:r>
            <w:r>
              <w:rPr>
                <w:rFonts w:hint="eastAsia"/>
                <w:color w:val="auto"/>
                <w:lang w:val="en-US" w:eastAsia="zh-CN"/>
              </w:rPr>
              <w:t>16.63</w:t>
            </w:r>
            <w:r>
              <w:rPr>
                <w:rFonts w:hint="default"/>
                <w:color w:val="auto"/>
                <w:lang w:val="en-US" w:eastAsia="zh-CN"/>
              </w:rPr>
              <w:t>km</w:t>
            </w:r>
            <w:r>
              <w:rPr>
                <w:rFonts w:hint="eastAsia"/>
                <w:color w:val="auto"/>
                <w:lang w:val="en-US" w:eastAsia="zh-CN"/>
              </w:rPr>
              <w:t>，组成施工道路网，以保证工程建设物资运输和施工的顺利进行。新建临时施工道路宽4.0m，</w:t>
            </w:r>
            <w:r>
              <w:rPr>
                <w:color w:val="auto"/>
              </w:rPr>
              <w:t>为临时占地，占地类型为</w:t>
            </w:r>
            <w:r>
              <w:rPr>
                <w:rFonts w:hint="eastAsia"/>
                <w:color w:val="auto"/>
                <w:lang w:eastAsia="zh-CN"/>
              </w:rPr>
              <w:t>耕地及其他土地</w:t>
            </w:r>
            <w:r>
              <w:rPr>
                <w:color w:val="auto"/>
              </w:rPr>
              <w:t>，在工程建设完毕后对</w:t>
            </w:r>
            <w:r>
              <w:rPr>
                <w:rFonts w:hint="eastAsia"/>
                <w:color w:val="auto"/>
                <w:lang w:eastAsia="zh-CN"/>
              </w:rPr>
              <w:t>占用的耕地</w:t>
            </w:r>
            <w:r>
              <w:rPr>
                <w:color w:val="auto"/>
              </w:rPr>
              <w:t>进行复耕</w:t>
            </w:r>
            <w:r>
              <w:rPr>
                <w:rFonts w:hint="eastAsia"/>
                <w:color w:val="auto"/>
                <w:lang w:val="en-US" w:eastAsia="zh-CN"/>
              </w:rPr>
              <w:t>。项目施工时应加强施工人员管理，施工车辆和</w:t>
            </w:r>
            <w:r>
              <w:rPr>
                <w:rFonts w:hint="eastAsia" w:ascii="Times New Roman" w:hAnsi="Times New Roman" w:cs="Times New Roman"/>
                <w:color w:val="auto"/>
                <w:lang w:val="en-US" w:eastAsia="zh-CN"/>
              </w:rPr>
              <w:t>各种设备应按规定的路线行驶，不得随意破坏道路和碾压道路范围外的植被。</w:t>
            </w:r>
            <w:r>
              <w:rPr>
                <w:rFonts w:hint="default"/>
                <w:color w:val="auto"/>
              </w:rPr>
              <w:t>综上，项目的建设对环境影响程度较小。</w:t>
            </w:r>
          </w:p>
        </w:tc>
      </w:tr>
    </w:tbl>
    <w:p w14:paraId="632BF56D">
      <w:pPr>
        <w:pStyle w:val="12"/>
        <w:rPr>
          <w:rFonts w:hint="default" w:ascii="Times New Roman" w:hAnsi="Times New Roman"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0DB806C2">
      <w:pPr>
        <w:pStyle w:val="4"/>
        <w:keepNext w:val="0"/>
        <w:keepLines w:val="0"/>
        <w:pageBreakBefore/>
        <w:widowControl w:val="0"/>
        <w:kinsoku/>
        <w:wordWrap/>
        <w:overflowPunct/>
        <w:topLinePunct w:val="0"/>
        <w:autoSpaceDE/>
        <w:autoSpaceDN/>
        <w:bidi w:val="0"/>
        <w:adjustRightInd/>
        <w:snapToGrid w:val="0"/>
        <w:ind w:firstLine="0" w:firstLineChars="0"/>
        <w:textAlignment w:val="auto"/>
        <w:rPr>
          <w:rFonts w:hint="default"/>
          <w:color w:val="auto"/>
        </w:rPr>
      </w:pPr>
      <w:bookmarkStart w:id="40" w:name="_Toc18777"/>
      <w:r>
        <w:rPr>
          <w:rFonts w:hint="default"/>
          <w:color w:val="auto"/>
        </w:rPr>
        <w:t>五、主要生态环境保护措施</w:t>
      </w:r>
      <w:bookmarkEnd w:id="40"/>
    </w:p>
    <w:tbl>
      <w:tblPr>
        <w:tblStyle w:val="22"/>
        <w:tblW w:w="504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3"/>
        <w:gridCol w:w="8067"/>
      </w:tblGrid>
      <w:tr w14:paraId="28BAA4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266" w:type="pct"/>
            <w:tcMar>
              <w:left w:w="28" w:type="dxa"/>
              <w:right w:w="28" w:type="dxa"/>
            </w:tcMar>
            <w:vAlign w:val="center"/>
          </w:tcPr>
          <w:p w14:paraId="6FA96092">
            <w:pPr>
              <w:keepNext w:val="0"/>
              <w:keepLines w:val="0"/>
              <w:pageBreakBefore w:val="0"/>
              <w:widowControl w:val="0"/>
              <w:kinsoku/>
              <w:wordWrap/>
              <w:overflowPunct/>
              <w:topLinePunct w:val="0"/>
              <w:autoSpaceDE/>
              <w:autoSpaceDN/>
              <w:bidi w:val="0"/>
              <w:adjustRightInd w:val="0"/>
              <w:snapToGrid w:val="0"/>
              <w:ind w:left="0" w:leftChars="0" w:right="0" w:firstLine="0" w:firstLineChars="0"/>
              <w:jc w:val="center"/>
              <w:textAlignment w:val="auto"/>
              <w:rPr>
                <w:rFonts w:hint="default" w:ascii="Times New Roman" w:hAnsi="Times New Roman" w:cs="Times New Roman"/>
                <w:bCs/>
                <w:color w:val="auto"/>
                <w:sz w:val="24"/>
              </w:rPr>
            </w:pPr>
            <w:r>
              <w:rPr>
                <w:rFonts w:hint="default" w:ascii="Times New Roman" w:hAnsi="Times New Roman" w:cs="Times New Roman"/>
                <w:bCs/>
                <w:color w:val="auto"/>
                <w:spacing w:val="10"/>
                <w:sz w:val="24"/>
              </w:rPr>
              <w:t>施工期生态环境保护措施</w:t>
            </w:r>
          </w:p>
        </w:tc>
        <w:tc>
          <w:tcPr>
            <w:tcW w:w="4733" w:type="pct"/>
          </w:tcPr>
          <w:p w14:paraId="2BE0EA7F">
            <w:pPr>
              <w:pStyle w:val="36"/>
              <w:bidi w:val="0"/>
              <w:rPr>
                <w:b/>
                <w:bCs/>
                <w:color w:val="auto"/>
              </w:rPr>
            </w:pPr>
            <w:r>
              <w:rPr>
                <w:b/>
                <w:bCs/>
                <w:color w:val="auto"/>
              </w:rPr>
              <w:t>一、生态环境保护措施</w:t>
            </w:r>
          </w:p>
          <w:p w14:paraId="6915C7AE">
            <w:pPr>
              <w:pStyle w:val="36"/>
              <w:bidi w:val="0"/>
              <w:rPr>
                <w:b/>
                <w:bCs/>
                <w:color w:val="auto"/>
              </w:rPr>
            </w:pPr>
            <w:r>
              <w:rPr>
                <w:b/>
                <w:bCs/>
                <w:color w:val="auto"/>
              </w:rPr>
              <w:t>1、生态影响避让措施</w:t>
            </w:r>
          </w:p>
          <w:p w14:paraId="2B76509C">
            <w:pPr>
              <w:pStyle w:val="36"/>
              <w:bidi w:val="0"/>
              <w:rPr>
                <w:color w:val="auto"/>
              </w:rPr>
            </w:pPr>
            <w:r>
              <w:rPr>
                <w:color w:val="auto"/>
              </w:rPr>
              <w:t>（1）项目进场道路施工</w:t>
            </w:r>
            <w:r>
              <w:rPr>
                <w:rFonts w:hint="eastAsia"/>
                <w:color w:val="auto"/>
                <w:lang w:eastAsia="zh-CN"/>
              </w:rPr>
              <w:t>、</w:t>
            </w:r>
            <w:r>
              <w:rPr>
                <w:color w:val="auto"/>
              </w:rPr>
              <w:t>施工生产生活场地</w:t>
            </w:r>
            <w:r>
              <w:rPr>
                <w:rFonts w:hint="eastAsia"/>
                <w:color w:val="auto"/>
                <w:lang w:eastAsia="zh-CN"/>
              </w:rPr>
              <w:t>、</w:t>
            </w:r>
            <w:r>
              <w:rPr>
                <w:color w:val="auto"/>
              </w:rPr>
              <w:t>临时堆土场等禁止布置在生态红线范围</w:t>
            </w:r>
            <w:r>
              <w:rPr>
                <w:rFonts w:hint="eastAsia"/>
                <w:color w:val="auto"/>
                <w:lang w:eastAsia="zh-CN"/>
              </w:rPr>
              <w:t>及基本农田内</w:t>
            </w:r>
            <w:r>
              <w:rPr>
                <w:color w:val="auto"/>
              </w:rPr>
              <w:t>；</w:t>
            </w:r>
          </w:p>
          <w:p w14:paraId="57FAA1DA">
            <w:pPr>
              <w:pStyle w:val="36"/>
              <w:bidi w:val="0"/>
              <w:rPr>
                <w:rFonts w:hint="eastAsia"/>
                <w:color w:val="auto"/>
                <w:lang w:eastAsia="zh-CN"/>
              </w:rPr>
            </w:pPr>
            <w:r>
              <w:rPr>
                <w:color w:val="auto"/>
              </w:rPr>
              <w:t>（2）严格控制施工用地范围，禁止在用地范围以外场地设置施工场地或进行施工活动</w:t>
            </w:r>
            <w:r>
              <w:rPr>
                <w:rFonts w:hint="eastAsia"/>
                <w:color w:val="auto"/>
                <w:lang w:eastAsia="zh-CN"/>
              </w:rPr>
              <w:t>；</w:t>
            </w:r>
          </w:p>
          <w:p w14:paraId="64946637">
            <w:pPr>
              <w:ind w:firstLine="480"/>
              <w:rPr>
                <w:rFonts w:hint="eastAsia"/>
                <w:color w:val="auto"/>
                <w:lang w:eastAsia="zh-CN"/>
              </w:rPr>
            </w:pPr>
            <w:r>
              <w:rPr>
                <w:color w:val="auto"/>
              </w:rPr>
              <w:t>（3）对施工区内的高大乔木，应尽量避让，能不砍伐的尽量不砍伐，以减少工程建设对植物的影响。</w:t>
            </w:r>
          </w:p>
          <w:p w14:paraId="20A91428">
            <w:pPr>
              <w:pStyle w:val="36"/>
              <w:bidi w:val="0"/>
              <w:rPr>
                <w:b/>
                <w:bCs/>
                <w:color w:val="auto"/>
              </w:rPr>
            </w:pPr>
            <w:r>
              <w:rPr>
                <w:b/>
                <w:bCs/>
                <w:color w:val="auto"/>
              </w:rPr>
              <w:t>2、生态影响减缓措施</w:t>
            </w:r>
          </w:p>
          <w:p w14:paraId="119B7736">
            <w:pPr>
              <w:pStyle w:val="36"/>
              <w:bidi w:val="0"/>
              <w:rPr>
                <w:color w:val="auto"/>
              </w:rPr>
            </w:pPr>
            <w:r>
              <w:rPr>
                <w:color w:val="auto"/>
              </w:rPr>
              <w:t>（1）施工期间</w:t>
            </w:r>
            <w:r>
              <w:rPr>
                <w:rFonts w:hint="eastAsia"/>
                <w:color w:val="auto"/>
                <w:lang w:eastAsia="zh-CN"/>
              </w:rPr>
              <w:t>，</w:t>
            </w:r>
            <w:r>
              <w:rPr>
                <w:color w:val="auto"/>
              </w:rPr>
              <w:t>施工单位应加强施工人员的管理</w:t>
            </w:r>
            <w:r>
              <w:rPr>
                <w:rFonts w:hint="eastAsia"/>
                <w:color w:val="auto"/>
                <w:lang w:eastAsia="zh-CN"/>
              </w:rPr>
              <w:t>，</w:t>
            </w:r>
            <w:r>
              <w:rPr>
                <w:color w:val="auto"/>
              </w:rPr>
              <w:t>严禁到非施工区活动，施工区外严禁烟火；</w:t>
            </w:r>
          </w:p>
          <w:p w14:paraId="3D3B3077">
            <w:pPr>
              <w:ind w:firstLine="480"/>
              <w:rPr>
                <w:color w:val="auto"/>
              </w:rPr>
            </w:pPr>
            <w:r>
              <w:rPr>
                <w:color w:val="auto"/>
              </w:rPr>
              <w:t>（2）工程施工期间加强施工人员管理，确保施工人员在规定的施工占地区域范围内施工，严禁擅自扩大施工场地，减少不必要的植被破坏。对施工人员和附近居民加强施工区生态环境保护的宣传教育，以公告、发放宣传册等形式，教育施工人员，通过制度严禁施工人员非法捕杀野生动物，严禁施工人员捕鱼、毒鱼，以减轻施工对当地陆生动物的影响。</w:t>
            </w:r>
          </w:p>
          <w:p w14:paraId="4AF80272">
            <w:pPr>
              <w:pStyle w:val="36"/>
              <w:bidi w:val="0"/>
              <w:rPr>
                <w:b/>
                <w:bCs/>
                <w:color w:val="auto"/>
              </w:rPr>
            </w:pPr>
            <w:r>
              <w:rPr>
                <w:b/>
                <w:bCs/>
                <w:color w:val="auto"/>
              </w:rPr>
              <w:t>3、生态影响补偿措施</w:t>
            </w:r>
          </w:p>
          <w:p w14:paraId="754165CA">
            <w:pPr>
              <w:pStyle w:val="36"/>
              <w:bidi w:val="0"/>
              <w:rPr>
                <w:color w:val="auto"/>
              </w:rPr>
            </w:pPr>
            <w:r>
              <w:rPr>
                <w:color w:val="auto"/>
              </w:rPr>
              <w:t>施工完毕后及时绿化、恢复植被、覆盖良土、复垦，并做好临时用地区绿化、恢复植被或覆盖良土复垦的监督和监管工作，确保临时用地的正常有序恢复。</w:t>
            </w:r>
          </w:p>
          <w:p w14:paraId="2F85F81F">
            <w:pPr>
              <w:pStyle w:val="36"/>
              <w:bidi w:val="0"/>
              <w:rPr>
                <w:b/>
                <w:bCs/>
                <w:color w:val="auto"/>
              </w:rPr>
            </w:pPr>
            <w:r>
              <w:rPr>
                <w:b/>
                <w:bCs/>
                <w:color w:val="auto"/>
              </w:rPr>
              <w:t>4、生态影响重建措施</w:t>
            </w:r>
          </w:p>
          <w:p w14:paraId="5051C2C7">
            <w:pPr>
              <w:pStyle w:val="36"/>
              <w:bidi w:val="0"/>
              <w:rPr>
                <w:color w:val="auto"/>
              </w:rPr>
            </w:pPr>
            <w:r>
              <w:rPr>
                <w:color w:val="auto"/>
              </w:rPr>
              <w:t>工程建设产生的不可避免的生态影响和暂时性的生态影响可以通过生态恢复技术予以消除</w:t>
            </w:r>
            <w:r>
              <w:rPr>
                <w:rFonts w:hint="eastAsia"/>
                <w:color w:val="auto"/>
                <w:lang w:eastAsia="zh-CN"/>
              </w:rPr>
              <w:t>。</w:t>
            </w:r>
            <w:r>
              <w:rPr>
                <w:color w:val="auto"/>
              </w:rPr>
              <w:t>需进行生态恢复的地段主要是受工程施工影响的区域，包括临时堆土场和施工生产生活区，除施工期间采取必要的防护措施外，主要采取绿化和恢复绿化两种恢复方式进行恢复。</w:t>
            </w:r>
          </w:p>
          <w:p w14:paraId="5D7D4B05">
            <w:pPr>
              <w:pStyle w:val="36"/>
              <w:bidi w:val="0"/>
              <w:rPr>
                <w:color w:val="auto"/>
              </w:rPr>
            </w:pPr>
            <w:r>
              <w:rPr>
                <w:rFonts w:hint="eastAsia"/>
                <w:color w:val="auto"/>
                <w:lang w:eastAsia="zh-CN"/>
              </w:rPr>
              <w:t>对于临时道路及施工营地临时</w:t>
            </w:r>
            <w:r>
              <w:rPr>
                <w:color w:val="auto"/>
              </w:rPr>
              <w:t>占用</w:t>
            </w:r>
            <w:r>
              <w:rPr>
                <w:rFonts w:hint="eastAsia"/>
                <w:color w:val="auto"/>
                <w:lang w:eastAsia="zh-CN"/>
              </w:rPr>
              <w:t>的耕地</w:t>
            </w:r>
            <w:r>
              <w:rPr>
                <w:color w:val="auto"/>
              </w:rPr>
              <w:t>，将表层土单独收集堆放，并采取水土流失防治措施。施工结束后，先将</w:t>
            </w:r>
            <w:r>
              <w:rPr>
                <w:rFonts w:hint="eastAsia"/>
                <w:color w:val="auto"/>
                <w:lang w:eastAsia="zh-CN"/>
              </w:rPr>
              <w:t>下层土翻耕恢复疏松</w:t>
            </w:r>
            <w:r>
              <w:rPr>
                <w:color w:val="auto"/>
              </w:rPr>
              <w:t>，之后再将表土均匀覆盖于表面，将场地进行平整。这样可以减轻对耕地质量的破坏。施工中临时踏压的土地会硬化、板结，在施工结束后应立即翻耕，恢复其疏松状态。</w:t>
            </w:r>
          </w:p>
          <w:p w14:paraId="696382F8">
            <w:pPr>
              <w:pStyle w:val="36"/>
              <w:bidi w:val="0"/>
              <w:rPr>
                <w:b/>
                <w:bCs/>
                <w:color w:val="auto"/>
              </w:rPr>
            </w:pPr>
            <w:r>
              <w:rPr>
                <w:b/>
                <w:bCs/>
                <w:color w:val="auto"/>
              </w:rPr>
              <w:t>5、植物保护措施</w:t>
            </w:r>
          </w:p>
          <w:p w14:paraId="29A50F25">
            <w:pPr>
              <w:pStyle w:val="36"/>
              <w:bidi w:val="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color w:val="auto"/>
              </w:rPr>
              <w:t>建设单位和施工单位须加强管理</w:t>
            </w:r>
            <w:r>
              <w:rPr>
                <w:rFonts w:hint="eastAsia"/>
                <w:color w:val="auto"/>
                <w:lang w:eastAsia="zh-CN"/>
              </w:rPr>
              <w:t>，</w:t>
            </w:r>
            <w:r>
              <w:rPr>
                <w:color w:val="auto"/>
              </w:rPr>
              <w:t>严格划定施工范围</w:t>
            </w:r>
            <w:r>
              <w:rPr>
                <w:rFonts w:hint="eastAsia"/>
                <w:color w:val="auto"/>
                <w:lang w:eastAsia="zh-CN"/>
              </w:rPr>
              <w:t>，</w:t>
            </w:r>
            <w:r>
              <w:rPr>
                <w:color w:val="auto"/>
              </w:rPr>
              <w:t>施工</w:t>
            </w:r>
            <w:r>
              <w:rPr>
                <w:rFonts w:hint="eastAsia"/>
                <w:color w:val="auto"/>
                <w:lang w:eastAsia="zh-CN"/>
              </w:rPr>
              <w:t>剥离的表土</w:t>
            </w:r>
            <w:r>
              <w:rPr>
                <w:color w:val="auto"/>
              </w:rPr>
              <w:t>运至临时堆土场进行堆存，施工后期进行</w:t>
            </w:r>
            <w:r>
              <w:rPr>
                <w:rFonts w:hint="eastAsia"/>
                <w:color w:val="auto"/>
                <w:lang w:eastAsia="zh-CN"/>
              </w:rPr>
              <w:t>回填利用，本工程施工期土石方利用平衡</w:t>
            </w:r>
            <w:r>
              <w:rPr>
                <w:color w:val="auto"/>
              </w:rPr>
              <w:t>，</w:t>
            </w:r>
            <w:r>
              <w:rPr>
                <w:rFonts w:hint="eastAsia"/>
                <w:color w:val="auto"/>
                <w:lang w:eastAsia="zh-CN"/>
              </w:rPr>
              <w:t>无永久弃土产生。</w:t>
            </w:r>
            <w:r>
              <w:rPr>
                <w:color w:val="auto"/>
              </w:rPr>
              <w:t>生活垃圾设置</w:t>
            </w:r>
            <w:r>
              <w:rPr>
                <w:rFonts w:hint="eastAsia"/>
                <w:color w:val="auto"/>
                <w:lang w:eastAsia="zh-CN"/>
              </w:rPr>
              <w:t>垃圾</w:t>
            </w:r>
            <w:r>
              <w:rPr>
                <w:color w:val="auto"/>
              </w:rPr>
              <w:t>桶收集，并及时对生活垃圾进行清除处理。</w:t>
            </w:r>
          </w:p>
          <w:p w14:paraId="7CDD8128">
            <w:pPr>
              <w:pStyle w:val="36"/>
              <w:bidi w:val="0"/>
              <w:rPr>
                <w:color w:val="auto"/>
              </w:rPr>
            </w:pPr>
            <w:r>
              <w:rPr>
                <w:color w:val="auto"/>
              </w:rPr>
              <w:t>（2）在施工过程中</w:t>
            </w:r>
            <w:r>
              <w:rPr>
                <w:rFonts w:hint="eastAsia"/>
                <w:color w:val="auto"/>
                <w:lang w:eastAsia="zh-CN"/>
              </w:rPr>
              <w:t>必须</w:t>
            </w:r>
            <w:r>
              <w:rPr>
                <w:color w:val="auto"/>
              </w:rPr>
              <w:t>注意保护周边植被</w:t>
            </w:r>
            <w:r>
              <w:rPr>
                <w:rFonts w:hint="eastAsia"/>
                <w:color w:val="auto"/>
                <w:lang w:eastAsia="zh-CN"/>
              </w:rPr>
              <w:t>，</w:t>
            </w:r>
            <w:r>
              <w:rPr>
                <w:color w:val="auto"/>
              </w:rPr>
              <w:t>禁止随意砍伐造成破坏；</w:t>
            </w:r>
            <w:r>
              <w:rPr>
                <w:rFonts w:hint="eastAsia"/>
                <w:color w:val="auto"/>
              </w:rPr>
              <w:t>根据施工占地实地及实物指调查成果，工程占地范围内未占用林地、草地等设施，未损坏林草植被。</w:t>
            </w:r>
          </w:p>
          <w:p w14:paraId="5E070859">
            <w:pPr>
              <w:pStyle w:val="36"/>
              <w:bidi w:val="0"/>
              <w:rPr>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color w:val="auto"/>
              </w:rPr>
              <w:t>并加强施工管理</w:t>
            </w:r>
            <w:r>
              <w:rPr>
                <w:rFonts w:hint="eastAsia"/>
                <w:color w:val="auto"/>
                <w:lang w:eastAsia="zh-CN"/>
              </w:rPr>
              <w:t>，</w:t>
            </w:r>
            <w:r>
              <w:rPr>
                <w:color w:val="auto"/>
              </w:rPr>
              <w:t>对施工营地</w:t>
            </w:r>
            <w:r>
              <w:rPr>
                <w:rFonts w:hint="eastAsia"/>
                <w:color w:val="auto"/>
                <w:lang w:eastAsia="zh-CN"/>
              </w:rPr>
              <w:t>、</w:t>
            </w:r>
            <w:r>
              <w:rPr>
                <w:color w:val="auto"/>
              </w:rPr>
              <w:t>场地实施恢复植被</w:t>
            </w:r>
            <w:r>
              <w:rPr>
                <w:rFonts w:hint="eastAsia"/>
                <w:color w:val="auto"/>
                <w:lang w:eastAsia="zh-CN"/>
              </w:rPr>
              <w:t>，</w:t>
            </w:r>
            <w:r>
              <w:rPr>
                <w:color w:val="auto"/>
              </w:rPr>
              <w:t>工程建设完工后，对临时占地应尽量恢复为原有用地；通过平整后</w:t>
            </w:r>
            <w:r>
              <w:rPr>
                <w:rFonts w:hint="eastAsia"/>
                <w:color w:val="auto"/>
                <w:lang w:eastAsia="zh-CN"/>
              </w:rPr>
              <w:t>，</w:t>
            </w:r>
            <w:r>
              <w:rPr>
                <w:color w:val="auto"/>
              </w:rPr>
              <w:t>按照“宜林则林、宜草则草”的原则，种植适宜的林木和草类，最大限度地提高生态环境质量。</w:t>
            </w:r>
          </w:p>
          <w:p w14:paraId="2986FBAB">
            <w:pPr>
              <w:pStyle w:val="36"/>
              <w:bidi w:val="0"/>
              <w:rPr>
                <w:color w:val="auto"/>
              </w:rPr>
            </w:pPr>
            <w:r>
              <w:rPr>
                <w:color w:val="auto"/>
              </w:rPr>
              <w:t>（4）对临时堆土场可能造成的水土流失</w:t>
            </w:r>
            <w:r>
              <w:rPr>
                <w:rFonts w:hint="eastAsia"/>
                <w:color w:val="auto"/>
                <w:lang w:eastAsia="zh-CN"/>
              </w:rPr>
              <w:t>，</w:t>
            </w:r>
            <w:r>
              <w:rPr>
                <w:color w:val="auto"/>
              </w:rPr>
              <w:t>应按水保方案要求修建挡墙和截排水沟；在堆土过程中应按水保要求加强堆土场的日常管理，确保挡渣墙和截排水沟完好运行，</w:t>
            </w:r>
            <w:r>
              <w:rPr>
                <w:rFonts w:hint="eastAsia"/>
                <w:color w:val="auto"/>
                <w:lang w:eastAsia="zh-CN"/>
              </w:rPr>
              <w:t>做好覆盖，</w:t>
            </w:r>
            <w:r>
              <w:rPr>
                <w:color w:val="auto"/>
              </w:rPr>
              <w:t>减少水土流失，尽早进行覆土绿化工作，恢复渣场区的生态环境。</w:t>
            </w:r>
          </w:p>
          <w:p w14:paraId="7CA57B9C">
            <w:pPr>
              <w:pStyle w:val="36"/>
              <w:bidi w:val="0"/>
              <w:rPr>
                <w:b/>
                <w:bCs/>
                <w:color w:val="auto"/>
              </w:rPr>
            </w:pPr>
            <w:r>
              <w:rPr>
                <w:b/>
                <w:bCs/>
                <w:color w:val="auto"/>
              </w:rPr>
              <w:t>6、陆生脊椎动物保护措施</w:t>
            </w:r>
          </w:p>
          <w:p w14:paraId="5066E3B0">
            <w:pPr>
              <w:pStyle w:val="36"/>
              <w:bidi w:val="0"/>
              <w:rPr>
                <w:b/>
                <w:bCs/>
                <w:color w:val="auto"/>
              </w:rPr>
            </w:pPr>
            <w:r>
              <w:rPr>
                <w:b/>
                <w:bCs/>
                <w:color w:val="auto"/>
              </w:rPr>
              <w:t>（1）动物生境保护措施</w:t>
            </w:r>
          </w:p>
          <w:p w14:paraId="757F694C">
            <w:pPr>
              <w:pStyle w:val="36"/>
              <w:bidi w:val="0"/>
              <w:rPr>
                <w:color w:val="auto"/>
              </w:rPr>
            </w:pPr>
            <w:r>
              <w:rPr>
                <w:color w:val="auto"/>
              </w:rPr>
              <w:t>1）严格划定施工范围</w:t>
            </w:r>
            <w:r>
              <w:rPr>
                <w:rFonts w:hint="eastAsia"/>
                <w:color w:val="auto"/>
                <w:lang w:eastAsia="zh-CN"/>
              </w:rPr>
              <w:t>，</w:t>
            </w:r>
            <w:r>
              <w:rPr>
                <w:color w:val="auto"/>
              </w:rPr>
              <w:t>禁止施工扩大进入划定以外的区域</w:t>
            </w:r>
            <w:r>
              <w:rPr>
                <w:rFonts w:hint="eastAsia"/>
                <w:color w:val="auto"/>
                <w:lang w:eastAsia="zh-CN"/>
              </w:rPr>
              <w:t>，</w:t>
            </w:r>
            <w:r>
              <w:rPr>
                <w:color w:val="auto"/>
              </w:rPr>
              <w:t>除征占区域外，尽可能保持现有陆生生态的完整。</w:t>
            </w:r>
          </w:p>
          <w:p w14:paraId="3D079287">
            <w:pPr>
              <w:pStyle w:val="36"/>
              <w:bidi w:val="0"/>
              <w:rPr>
                <w:color w:val="auto"/>
              </w:rPr>
            </w:pPr>
            <w:r>
              <w:rPr>
                <w:color w:val="auto"/>
              </w:rPr>
              <w:t>2）严格落实水土保持方案，禁止废土方进入河流污染水体，保证两栖动物的栖息地尽量少受影响</w:t>
            </w:r>
            <w:r>
              <w:rPr>
                <w:rFonts w:hint="eastAsia"/>
                <w:color w:val="auto"/>
                <w:lang w:eastAsia="zh-CN"/>
              </w:rPr>
              <w:t>。</w:t>
            </w:r>
            <w:r>
              <w:rPr>
                <w:color w:val="auto"/>
              </w:rPr>
              <w:t>处理好施工</w:t>
            </w:r>
            <w:r>
              <w:rPr>
                <w:rFonts w:hint="eastAsia"/>
                <w:color w:val="auto"/>
                <w:lang w:eastAsia="zh-CN"/>
              </w:rPr>
              <w:t>“</w:t>
            </w:r>
            <w:r>
              <w:rPr>
                <w:color w:val="auto"/>
              </w:rPr>
              <w:t>三废</w:t>
            </w:r>
            <w:r>
              <w:rPr>
                <w:rFonts w:hint="eastAsia"/>
                <w:color w:val="auto"/>
                <w:lang w:eastAsia="zh-CN"/>
              </w:rPr>
              <w:t>”，</w:t>
            </w:r>
            <w:r>
              <w:rPr>
                <w:color w:val="auto"/>
              </w:rPr>
              <w:t>禁止向自然环境中排放，以免对动物生境造成污染和破坏。设置标志及宣传牌，做好野生动物保护的宣传工作，鼓励附近群众和施工人员积极主动保护自然生态系统和动物生境。</w:t>
            </w:r>
          </w:p>
          <w:p w14:paraId="3861D106">
            <w:pPr>
              <w:pStyle w:val="36"/>
              <w:bidi w:val="0"/>
              <w:rPr>
                <w:b/>
                <w:bCs/>
                <w:color w:val="auto"/>
              </w:rPr>
            </w:pPr>
            <w:r>
              <w:rPr>
                <w:b/>
                <w:bCs/>
                <w:color w:val="auto"/>
              </w:rPr>
              <w:t>（2）对动物个体保护措施</w:t>
            </w:r>
          </w:p>
          <w:p w14:paraId="272FBB60">
            <w:pPr>
              <w:pStyle w:val="36"/>
              <w:bidi w:val="0"/>
              <w:rPr>
                <w:color w:val="auto"/>
              </w:rPr>
            </w:pPr>
            <w:r>
              <w:rPr>
                <w:color w:val="auto"/>
              </w:rPr>
              <w:t>1）加强施工单位和施工人员的宣传教育</w:t>
            </w:r>
            <w:r>
              <w:rPr>
                <w:rFonts w:hint="eastAsia"/>
                <w:color w:val="auto"/>
                <w:lang w:eastAsia="zh-CN"/>
              </w:rPr>
              <w:t>，</w:t>
            </w:r>
            <w:r>
              <w:rPr>
                <w:color w:val="auto"/>
              </w:rPr>
              <w:t>对施工人员明确规定严禁猎杀野生动物，通过环境保护法律知识普及、在施工区设置保护动物的告示牌及警告牌等措施进行宣传，树立施工人员的模范环保意识。</w:t>
            </w:r>
          </w:p>
          <w:p w14:paraId="05B82198">
            <w:pPr>
              <w:pStyle w:val="36"/>
              <w:bidi w:val="0"/>
              <w:rPr>
                <w:color w:val="auto"/>
              </w:rPr>
            </w:pPr>
            <w:r>
              <w:rPr>
                <w:color w:val="auto"/>
              </w:rPr>
              <w:t>2）施工结束后对迹地进行及时的绿化恢复，并在运输、施工中注意保护野生动物。</w:t>
            </w:r>
          </w:p>
          <w:p w14:paraId="5BC444A4">
            <w:pPr>
              <w:pStyle w:val="36"/>
              <w:bidi w:val="0"/>
              <w:rPr>
                <w:b/>
                <w:bCs/>
                <w:color w:val="auto"/>
              </w:rPr>
            </w:pPr>
            <w:r>
              <w:rPr>
                <w:b/>
                <w:bCs/>
                <w:color w:val="auto"/>
              </w:rPr>
              <w:t>7、鱼类保护措施</w:t>
            </w:r>
          </w:p>
          <w:p w14:paraId="17F2028B">
            <w:pPr>
              <w:pStyle w:val="36"/>
              <w:bidi w:val="0"/>
              <w:rPr>
                <w:color w:val="auto"/>
              </w:rPr>
            </w:pPr>
            <w:r>
              <w:rPr>
                <w:color w:val="auto"/>
              </w:rPr>
              <w:t>（1）加强施工管理</w:t>
            </w:r>
            <w:r>
              <w:rPr>
                <w:rFonts w:hint="eastAsia"/>
                <w:color w:val="auto"/>
                <w:lang w:eastAsia="zh-CN"/>
              </w:rPr>
              <w:t>，</w:t>
            </w:r>
            <w:r>
              <w:rPr>
                <w:color w:val="auto"/>
              </w:rPr>
              <w:t>保护水环境</w:t>
            </w:r>
            <w:r>
              <w:rPr>
                <w:rFonts w:hint="eastAsia"/>
                <w:color w:val="auto"/>
                <w:lang w:eastAsia="zh-CN"/>
              </w:rPr>
              <w:t>，</w:t>
            </w:r>
            <w:r>
              <w:rPr>
                <w:color w:val="auto"/>
              </w:rPr>
              <w:t>施工期间加强堆土场防护</w:t>
            </w:r>
            <w:r>
              <w:rPr>
                <w:rFonts w:hint="eastAsia"/>
                <w:color w:val="auto"/>
                <w:lang w:eastAsia="zh-CN"/>
              </w:rPr>
              <w:t>，</w:t>
            </w:r>
            <w:r>
              <w:rPr>
                <w:color w:val="auto"/>
              </w:rPr>
              <w:t>加强施工人员的各类卫生管理，避免生活污水的直接排放，减少水体污染；严禁渣土、生活垃圾、生活污水倾倒入河；做好工程完工后生态环境的恢复工作，以尽量减少对水质和水生生物的不利影响。</w:t>
            </w:r>
          </w:p>
          <w:p w14:paraId="10B2CEE3">
            <w:pPr>
              <w:pStyle w:val="36"/>
              <w:bidi w:val="0"/>
              <w:rPr>
                <w:color w:val="auto"/>
              </w:rPr>
            </w:pPr>
            <w:r>
              <w:rPr>
                <w:color w:val="auto"/>
              </w:rPr>
              <w:t>（3）加强施工期对施工人员的监管</w:t>
            </w:r>
            <w:r>
              <w:rPr>
                <w:rFonts w:hint="eastAsia"/>
                <w:color w:val="auto"/>
                <w:lang w:eastAsia="zh-CN"/>
              </w:rPr>
              <w:t>，</w:t>
            </w:r>
            <w:r>
              <w:rPr>
                <w:color w:val="auto"/>
              </w:rPr>
              <w:t>严禁施工人员进行非保护性质的鱼类捕捞，通过宣传、教育和培训等多途径增强施工人员对生物多样性保护意识。</w:t>
            </w:r>
          </w:p>
          <w:p w14:paraId="2A438E12">
            <w:pPr>
              <w:pStyle w:val="36"/>
              <w:bidi w:val="0"/>
              <w:rPr>
                <w:b/>
                <w:bCs/>
                <w:color w:val="auto"/>
              </w:rPr>
            </w:pPr>
            <w:r>
              <w:rPr>
                <w:b/>
                <w:bCs/>
                <w:color w:val="auto"/>
              </w:rPr>
              <w:t>二、施工期污染防治对策措施</w:t>
            </w:r>
          </w:p>
          <w:p w14:paraId="7C129935">
            <w:pPr>
              <w:pStyle w:val="36"/>
              <w:bidi w:val="0"/>
              <w:rPr>
                <w:b/>
                <w:bCs/>
                <w:color w:val="auto"/>
              </w:rPr>
            </w:pPr>
            <w:r>
              <w:rPr>
                <w:rFonts w:hint="eastAsia"/>
                <w:b/>
                <w:bCs/>
                <w:color w:val="auto"/>
                <w:lang w:val="en-US" w:eastAsia="zh-CN"/>
              </w:rPr>
              <w:t>1、</w:t>
            </w:r>
            <w:r>
              <w:rPr>
                <w:b/>
                <w:bCs/>
                <w:color w:val="auto"/>
              </w:rPr>
              <w:t>大气环境保护措施</w:t>
            </w:r>
          </w:p>
          <w:p w14:paraId="24DC4FCC">
            <w:pPr>
              <w:pStyle w:val="36"/>
              <w:bidi w:val="0"/>
              <w:rPr>
                <w:color w:val="auto"/>
              </w:rPr>
            </w:pPr>
            <w:r>
              <w:rPr>
                <w:color w:val="auto"/>
              </w:rPr>
              <w:t>①施工过程产生的粉尘，采取洒水降尘措施；</w:t>
            </w:r>
          </w:p>
          <w:p w14:paraId="2E2CC8C4">
            <w:pPr>
              <w:pStyle w:val="36"/>
              <w:bidi w:val="0"/>
              <w:rPr>
                <w:color w:val="auto"/>
              </w:rPr>
            </w:pPr>
            <w:r>
              <w:rPr>
                <w:color w:val="auto"/>
              </w:rPr>
              <w:t>②项目建筑砂石料在运输过程中，应采用防尘布遮盖，防止运输过程中施工材料的洒落。</w:t>
            </w:r>
          </w:p>
          <w:p w14:paraId="1FA36657">
            <w:pPr>
              <w:pStyle w:val="36"/>
              <w:bidi w:val="0"/>
              <w:rPr>
                <w:color w:val="auto"/>
              </w:rPr>
            </w:pPr>
            <w:r>
              <w:rPr>
                <w:color w:val="auto"/>
              </w:rPr>
              <w:t>③项目施工营地临时堆存的砂石料、水泥等建筑材料会产生一定的粉尘，水泥应采用防尘布遮盖，砂石料采用防尘网覆盖并采取洒水降尘措施；</w:t>
            </w:r>
          </w:p>
          <w:p w14:paraId="539FF476">
            <w:pPr>
              <w:pStyle w:val="36"/>
              <w:bidi w:val="0"/>
              <w:rPr>
                <w:color w:val="auto"/>
              </w:rPr>
            </w:pPr>
            <w:r>
              <w:rPr>
                <w:color w:val="auto"/>
              </w:rPr>
              <w:t>④临时堆存表土堆放的四周采用编织袋挡墙，采用土工布覆盖。</w:t>
            </w:r>
          </w:p>
          <w:p w14:paraId="46681147">
            <w:pPr>
              <w:pStyle w:val="36"/>
              <w:bidi w:val="0"/>
              <w:rPr>
                <w:color w:val="auto"/>
              </w:rPr>
            </w:pPr>
            <w:r>
              <w:rPr>
                <w:color w:val="auto"/>
              </w:rPr>
              <w:t>⑤工程施工机械应加强设备养护，施工机械产生的废气经大气稀释扩散后影响较小。</w:t>
            </w:r>
          </w:p>
          <w:p w14:paraId="36C2EB7F">
            <w:pPr>
              <w:pStyle w:val="36"/>
              <w:bidi w:val="0"/>
              <w:rPr>
                <w:color w:val="auto"/>
              </w:rPr>
            </w:pPr>
            <w:r>
              <w:rPr>
                <w:color w:val="auto"/>
              </w:rPr>
              <w:t>⑥加强施工临时道路洒水降尘工作，降低运输扬尘产生量。</w:t>
            </w:r>
          </w:p>
          <w:p w14:paraId="5A856F21">
            <w:pPr>
              <w:adjustRightInd w:val="0"/>
              <w:snapToGrid w:val="0"/>
              <w:spacing w:line="360" w:lineRule="auto"/>
              <w:ind w:firstLine="480" w:firstLineChars="200"/>
              <w:rPr>
                <w:rFonts w:ascii="Times New Roman" w:hAnsi="Times New Roman" w:cs="Times New Roman"/>
                <w:color w:val="auto"/>
                <w:sz w:val="24"/>
                <w:szCs w:val="24"/>
              </w:rPr>
            </w:pPr>
            <w:r>
              <w:rPr>
                <w:rFonts w:hint="eastAsia"/>
                <w:color w:val="auto"/>
                <w:lang w:eastAsia="zh-CN"/>
              </w:rPr>
              <w:t>⑦</w:t>
            </w:r>
            <w:r>
              <w:rPr>
                <w:rFonts w:ascii="Times New Roman" w:hAnsi="Times New Roman" w:cs="Times New Roman"/>
                <w:color w:val="auto"/>
                <w:sz w:val="24"/>
                <w:szCs w:val="24"/>
              </w:rPr>
              <w:t>在施工场地安排一些员工定期对工地洒水以及减少扬尘量，洒水次数根据天气情况而定，一般每天早、午、晚各洒水一次，若遇到大风或干燥天气可适当增加洒水次数，若遇</w:t>
            </w:r>
            <w:r>
              <w:rPr>
                <w:rFonts w:hint="eastAsia" w:ascii="Times New Roman" w:hAnsi="Times New Roman" w:cs="Times New Roman"/>
                <w:color w:val="auto"/>
                <w:sz w:val="24"/>
                <w:szCs w:val="24"/>
                <w:lang w:eastAsia="zh-CN"/>
              </w:rPr>
              <w:t>降</w:t>
            </w:r>
            <w:r>
              <w:rPr>
                <w:rFonts w:ascii="Times New Roman" w:hAnsi="Times New Roman" w:cs="Times New Roman"/>
                <w:color w:val="auto"/>
                <w:sz w:val="24"/>
                <w:szCs w:val="24"/>
              </w:rPr>
              <w:t>雨天气则不必洒水。</w:t>
            </w:r>
          </w:p>
          <w:p w14:paraId="19C32550">
            <w:pPr>
              <w:pStyle w:val="36"/>
              <w:bidi w:val="0"/>
              <w:rPr>
                <w:b/>
                <w:bCs/>
                <w:color w:val="auto"/>
              </w:rPr>
            </w:pPr>
            <w:r>
              <w:rPr>
                <w:rFonts w:hint="eastAsia"/>
                <w:b/>
                <w:bCs/>
                <w:color w:val="auto"/>
                <w:lang w:val="en-US" w:eastAsia="zh-CN"/>
              </w:rPr>
              <w:t>2、</w:t>
            </w:r>
            <w:r>
              <w:rPr>
                <w:b/>
                <w:bCs/>
                <w:color w:val="auto"/>
              </w:rPr>
              <w:t>水环境保护措施</w:t>
            </w:r>
          </w:p>
          <w:p w14:paraId="365B6F67">
            <w:pPr>
              <w:pStyle w:val="36"/>
              <w:bidi w:val="0"/>
              <w:rPr>
                <w:color w:val="auto"/>
              </w:rPr>
            </w:pPr>
            <w:r>
              <w:rPr>
                <w:color w:val="auto"/>
              </w:rPr>
              <w:t>①严格按照施工工序进行施工；</w:t>
            </w:r>
          </w:p>
          <w:p w14:paraId="5CDA3560">
            <w:pPr>
              <w:pStyle w:val="36"/>
              <w:bidi w:val="0"/>
              <w:rPr>
                <w:color w:val="FF0000"/>
              </w:rPr>
            </w:pPr>
            <w:r>
              <w:rPr>
                <w:color w:val="auto"/>
              </w:rPr>
              <w:t>②每个施工场地混凝土拌和系统处设置沉淀池，混凝土生产过程产生的冲洗废水经沉淀后用于洒水降尘，禁止外排。</w:t>
            </w:r>
          </w:p>
          <w:p w14:paraId="2283A112">
            <w:pPr>
              <w:pStyle w:val="36"/>
              <w:bidi w:val="0"/>
              <w:rPr>
                <w:color w:val="auto"/>
              </w:rPr>
            </w:pPr>
            <w:r>
              <w:rPr>
                <w:color w:val="auto"/>
              </w:rPr>
              <w:t>③每个机械停放场配套设置</w:t>
            </w:r>
            <w:r>
              <w:rPr>
                <w:rFonts w:hint="eastAsia"/>
                <w:color w:val="auto"/>
                <w:lang w:eastAsia="zh-CN"/>
              </w:rPr>
              <w:t>收集池</w:t>
            </w:r>
            <w:r>
              <w:rPr>
                <w:color w:val="auto"/>
              </w:rPr>
              <w:t>，对机械含油废水进行收集，含油废水经</w:t>
            </w:r>
            <w:r>
              <w:rPr>
                <w:rFonts w:hint="eastAsia"/>
                <w:color w:val="auto"/>
                <w:lang w:eastAsia="zh-CN"/>
              </w:rPr>
              <w:t>砂滤桶过滤后</w:t>
            </w:r>
            <w:r>
              <w:rPr>
                <w:color w:val="auto"/>
              </w:rPr>
              <w:t>用于</w:t>
            </w:r>
            <w:r>
              <w:rPr>
                <w:rFonts w:hint="eastAsia"/>
                <w:color w:val="auto"/>
                <w:lang w:eastAsia="zh-CN"/>
              </w:rPr>
              <w:t>施工</w:t>
            </w:r>
            <w:r>
              <w:rPr>
                <w:color w:val="auto"/>
              </w:rPr>
              <w:t>，不外排。</w:t>
            </w:r>
          </w:p>
          <w:p w14:paraId="31E994AE">
            <w:pPr>
              <w:pStyle w:val="36"/>
              <w:bidi w:val="0"/>
              <w:rPr>
                <w:color w:val="auto"/>
              </w:rPr>
            </w:pPr>
            <w:r>
              <w:rPr>
                <w:color w:val="auto"/>
              </w:rPr>
              <w:t>④项目在每个生产生活区附近分别设置</w:t>
            </w:r>
            <w:r>
              <w:rPr>
                <w:rFonts w:hint="eastAsia"/>
                <w:color w:val="auto"/>
                <w:lang w:val="en-US" w:eastAsia="zh-CN"/>
              </w:rPr>
              <w:t>1</w:t>
            </w:r>
            <w:r>
              <w:rPr>
                <w:color w:val="auto"/>
              </w:rPr>
              <w:t>座旱厕，同时在各生活区的供水区、洗漱区以及厨房排水区域挖设简易排水渠道。生活污水通过简易排水渠道进行汇集后进入旱厕进行处理。旱厕委托当地农户定期清理用作农肥。</w:t>
            </w:r>
          </w:p>
          <w:p w14:paraId="6A5175BB">
            <w:pPr>
              <w:pStyle w:val="36"/>
              <w:bidi w:val="0"/>
              <w:rPr>
                <w:b/>
                <w:bCs/>
                <w:color w:val="auto"/>
              </w:rPr>
            </w:pPr>
            <w:r>
              <w:rPr>
                <w:b/>
                <w:bCs/>
                <w:color w:val="auto"/>
              </w:rPr>
              <w:t>3、噪声环境保护措施</w:t>
            </w:r>
          </w:p>
          <w:p w14:paraId="00940CD7">
            <w:pPr>
              <w:pStyle w:val="36"/>
              <w:bidi w:val="0"/>
              <w:rPr>
                <w:color w:val="auto"/>
              </w:rPr>
            </w:pPr>
            <w:r>
              <w:rPr>
                <w:color w:val="auto"/>
              </w:rPr>
              <w:t>为减小施工噪声对周围环境的影响，本环评建议施工方采取以下措施：</w:t>
            </w:r>
          </w:p>
          <w:p w14:paraId="479DFB4F">
            <w:pPr>
              <w:pStyle w:val="36"/>
              <w:bidi w:val="0"/>
              <w:rPr>
                <w:color w:val="auto"/>
              </w:rPr>
            </w:pPr>
            <w:r>
              <w:rPr>
                <w:rFonts w:hint="eastAsia"/>
                <w:color w:val="auto"/>
                <w:lang w:val="en-US" w:eastAsia="zh-CN"/>
              </w:rPr>
              <w:t>1）</w:t>
            </w:r>
            <w:r>
              <w:rPr>
                <w:color w:val="auto"/>
              </w:rPr>
              <w:t>采用的主要机械设备为低噪声机械设备，同时在施工过程中施工单位应设专人对设备进行定期保养和维护，并负责对现场工作人员进行培训，严格按操作规范；</w:t>
            </w:r>
          </w:p>
          <w:p w14:paraId="14FB9A09">
            <w:pPr>
              <w:pStyle w:val="36"/>
              <w:numPr>
                <w:ilvl w:val="0"/>
                <w:numId w:val="0"/>
              </w:numPr>
              <w:bidi w:val="0"/>
              <w:ind w:left="0" w:leftChars="0" w:right="0" w:rightChars="0" w:firstLine="480" w:firstLineChars="200"/>
              <w:rPr>
                <w:color w:val="auto"/>
              </w:rPr>
            </w:pPr>
            <w:r>
              <w:rPr>
                <w:rFonts w:hint="eastAsia" w:cs="Times New Roman"/>
                <w:color w:val="auto"/>
                <w:kern w:val="0"/>
                <w:sz w:val="24"/>
                <w:szCs w:val="24"/>
                <w:lang w:val="en-US" w:eastAsia="zh-CN" w:bidi="ar-SA"/>
              </w:rPr>
              <w:t>2）</w:t>
            </w:r>
            <w:r>
              <w:rPr>
                <w:color w:val="auto"/>
              </w:rPr>
              <w:t>优化施工方案，合理安排施工时</w:t>
            </w:r>
            <w:r>
              <w:rPr>
                <w:rFonts w:hint="eastAsia"/>
                <w:color w:val="auto"/>
                <w:lang w:eastAsia="zh-CN"/>
              </w:rPr>
              <w:t>间</w:t>
            </w:r>
            <w:r>
              <w:rPr>
                <w:color w:val="auto"/>
              </w:rPr>
              <w:t>，在夜间</w:t>
            </w:r>
            <w:r>
              <w:rPr>
                <w:rFonts w:hint="eastAsia"/>
                <w:color w:val="auto"/>
                <w:lang w:val="en-US" w:eastAsia="zh-CN"/>
              </w:rPr>
              <w:t>22:00</w:t>
            </w:r>
            <w:r>
              <w:rPr>
                <w:color w:val="auto"/>
              </w:rPr>
              <w:t>至次日凌晨</w:t>
            </w:r>
            <w:r>
              <w:rPr>
                <w:rFonts w:hint="eastAsia"/>
                <w:color w:val="auto"/>
                <w:lang w:val="en-US" w:eastAsia="zh-CN"/>
              </w:rPr>
              <w:t>6:00</w:t>
            </w:r>
            <w:r>
              <w:rPr>
                <w:color w:val="auto"/>
              </w:rPr>
              <w:t>禁止作业；</w:t>
            </w:r>
          </w:p>
          <w:p w14:paraId="6200C855">
            <w:pPr>
              <w:pStyle w:val="36"/>
              <w:numPr>
                <w:ilvl w:val="0"/>
                <w:numId w:val="0"/>
              </w:numPr>
              <w:bidi w:val="0"/>
              <w:ind w:left="0" w:leftChars="0" w:right="0" w:rightChars="0" w:firstLine="480" w:firstLineChars="200"/>
              <w:rPr>
                <w:color w:val="auto"/>
              </w:rPr>
            </w:pPr>
            <w:r>
              <w:rPr>
                <w:rFonts w:hint="eastAsia"/>
                <w:color w:val="auto"/>
                <w:lang w:val="en-US" w:eastAsia="zh-CN"/>
              </w:rPr>
              <w:t>3）</w:t>
            </w:r>
            <w:r>
              <w:rPr>
                <w:rFonts w:hint="eastAsia"/>
                <w:color w:val="auto"/>
                <w:lang w:eastAsia="zh-CN"/>
              </w:rPr>
              <w:t>合理布设高噪设备，将高噪声设备布设在远离敏感点的一侧；</w:t>
            </w:r>
          </w:p>
          <w:p w14:paraId="01342B3E">
            <w:pPr>
              <w:pStyle w:val="36"/>
              <w:bidi w:val="0"/>
              <w:rPr>
                <w:color w:val="auto"/>
              </w:rPr>
            </w:pPr>
            <w:r>
              <w:rPr>
                <w:rFonts w:hint="eastAsia"/>
                <w:color w:val="auto"/>
                <w:lang w:val="en-US" w:eastAsia="zh-CN"/>
              </w:rPr>
              <w:t>4</w:t>
            </w:r>
            <w:r>
              <w:rPr>
                <w:rFonts w:hint="eastAsia"/>
                <w:color w:val="auto"/>
                <w:lang w:eastAsia="zh-CN"/>
              </w:rPr>
              <w:t>）</w:t>
            </w:r>
            <w:r>
              <w:rPr>
                <w:color w:val="auto"/>
              </w:rPr>
              <w:t>项目在进行物料运输时，应合理安排运输时间，避免在夜间及交通拥挤时段进行，减缓交通噪声对居民的影响；</w:t>
            </w:r>
          </w:p>
          <w:p w14:paraId="4E376DB4">
            <w:pPr>
              <w:pStyle w:val="36"/>
              <w:bidi w:val="0"/>
              <w:rPr>
                <w:rFonts w:hint="eastAsia" w:ascii="Times New Roman" w:hAnsi="Times New Roman" w:eastAsia="宋体" w:cs="Times New Roman"/>
                <w:color w:val="auto"/>
                <w:sz w:val="24"/>
                <w:szCs w:val="24"/>
                <w:lang w:val="en-US" w:eastAsia="zh-CN"/>
              </w:rPr>
            </w:pPr>
            <w:r>
              <w:rPr>
                <w:rFonts w:hint="eastAsia"/>
                <w:color w:val="auto"/>
                <w:lang w:val="en-US" w:eastAsia="zh-CN"/>
              </w:rPr>
              <w:t>5）</w:t>
            </w:r>
            <w:r>
              <w:rPr>
                <w:rFonts w:hint="eastAsia" w:cs="Times New Roman"/>
                <w:color w:val="auto"/>
                <w:sz w:val="24"/>
                <w:szCs w:val="24"/>
                <w:lang w:val="en-US" w:eastAsia="zh-CN"/>
              </w:rPr>
              <w:t>临时施工营地周围设置围挡，并</w:t>
            </w:r>
            <w:r>
              <w:rPr>
                <w:rFonts w:hint="eastAsia"/>
                <w:color w:val="auto"/>
                <w:lang w:eastAsia="zh-CN"/>
              </w:rPr>
              <w:t>将高噪声设备布设在远离敏感点的一侧，定期维护设备。</w:t>
            </w:r>
          </w:p>
          <w:p w14:paraId="69487923">
            <w:pPr>
              <w:pStyle w:val="36"/>
              <w:bidi w:val="0"/>
              <w:rPr>
                <w:color w:val="auto"/>
              </w:rPr>
            </w:pPr>
            <w:r>
              <w:rPr>
                <w:color w:val="auto"/>
              </w:rPr>
              <w:t>由于本工程为线性工程，各保护目标仅在其附近施工点施工期间会受到施工噪声影响，每个工程点的施工时间较短，随着施工点的移动其噪声对周围保护目标的影响将随着消失。采取上述措施后，施工期对声环境的影响可接受。</w:t>
            </w:r>
          </w:p>
          <w:p w14:paraId="359DEE75">
            <w:pPr>
              <w:pStyle w:val="36"/>
              <w:bidi w:val="0"/>
              <w:rPr>
                <w:b/>
                <w:bCs/>
                <w:color w:val="auto"/>
              </w:rPr>
            </w:pPr>
            <w:r>
              <w:rPr>
                <w:b/>
                <w:bCs/>
                <w:color w:val="auto"/>
              </w:rPr>
              <w:t>4、固体废物治理措施</w:t>
            </w:r>
          </w:p>
          <w:p w14:paraId="58B66427">
            <w:pPr>
              <w:pStyle w:val="36"/>
              <w:numPr>
                <w:ilvl w:val="0"/>
                <w:numId w:val="0"/>
              </w:numPr>
              <w:bidi w:val="0"/>
              <w:ind w:left="0" w:leftChars="0" w:right="0" w:rightChars="0" w:firstLine="482" w:firstLineChars="200"/>
              <w:rPr>
                <w:rFonts w:hint="eastAsia"/>
                <w:b/>
                <w:bCs/>
                <w:color w:val="auto"/>
                <w:lang w:eastAsia="zh-CN"/>
              </w:rPr>
            </w:pPr>
            <w:r>
              <w:rPr>
                <w:rFonts w:hint="eastAsia" w:ascii="Times New Roman" w:hAnsi="Times New Roman" w:eastAsia="宋体" w:cs="Times New Roman"/>
                <w:b/>
                <w:bCs/>
                <w:color w:val="auto"/>
                <w:kern w:val="0"/>
                <w:sz w:val="24"/>
                <w:szCs w:val="24"/>
                <w:lang w:val="en-US" w:eastAsia="zh-CN" w:bidi="ar-SA"/>
              </w:rPr>
              <w:t>（1）</w:t>
            </w:r>
            <w:r>
              <w:rPr>
                <w:rFonts w:hint="eastAsia"/>
                <w:b/>
                <w:bCs/>
                <w:color w:val="auto"/>
                <w:lang w:eastAsia="zh-CN"/>
              </w:rPr>
              <w:t>施工土石方</w:t>
            </w:r>
          </w:p>
          <w:p w14:paraId="45DA567E">
            <w:pPr>
              <w:ind w:firstLine="480"/>
              <w:rPr>
                <w:color w:val="auto"/>
              </w:rPr>
            </w:pPr>
            <w:r>
              <w:rPr>
                <w:color w:val="auto"/>
              </w:rPr>
              <w:t>项目施工期间临时堆土主要来源于基础开挖过程中产生的废弃土石方，根据项目</w:t>
            </w:r>
            <w:r>
              <w:rPr>
                <w:rFonts w:hint="eastAsia"/>
                <w:color w:val="auto"/>
                <w:lang w:eastAsia="zh-CN"/>
              </w:rPr>
              <w:t>初步设计</w:t>
            </w:r>
            <w:r>
              <w:rPr>
                <w:color w:val="auto"/>
              </w:rPr>
              <w:t>报告，</w:t>
            </w:r>
            <w:r>
              <w:rPr>
                <w:rFonts w:hint="eastAsia"/>
                <w:color w:val="auto"/>
                <w:lang w:eastAsia="zh-CN"/>
              </w:rPr>
              <w:t>本项目建设过程中共产生开挖土石方24.80万m</w:t>
            </w:r>
            <w:r>
              <w:rPr>
                <w:rFonts w:hint="eastAsia"/>
                <w:color w:val="auto"/>
                <w:vertAlign w:val="superscript"/>
                <w:lang w:eastAsia="zh-CN"/>
              </w:rPr>
              <w:t>3</w:t>
            </w:r>
            <w:r>
              <w:rPr>
                <w:rFonts w:hint="eastAsia"/>
                <w:color w:val="auto"/>
                <w:lang w:eastAsia="zh-CN"/>
              </w:rPr>
              <w:t>（表土剥离1.64万m</w:t>
            </w:r>
            <w:r>
              <w:rPr>
                <w:rFonts w:hint="eastAsia"/>
                <w:color w:val="auto"/>
                <w:vertAlign w:val="superscript"/>
                <w:lang w:eastAsia="zh-CN"/>
              </w:rPr>
              <w:t>3</w:t>
            </w:r>
            <w:r>
              <w:rPr>
                <w:rFonts w:hint="eastAsia"/>
                <w:color w:val="auto"/>
                <w:lang w:eastAsia="zh-CN"/>
              </w:rPr>
              <w:t>，一般开挖23.16万m</w:t>
            </w:r>
            <w:r>
              <w:rPr>
                <w:rFonts w:hint="eastAsia"/>
                <w:color w:val="auto"/>
                <w:vertAlign w:val="superscript"/>
                <w:lang w:eastAsia="zh-CN"/>
              </w:rPr>
              <w:t>3</w:t>
            </w:r>
            <w:r>
              <w:rPr>
                <w:rFonts w:hint="eastAsia"/>
                <w:color w:val="auto"/>
                <w:lang w:eastAsia="zh-CN"/>
              </w:rPr>
              <w:t>），回填土石方24.80万m</w:t>
            </w:r>
            <w:r>
              <w:rPr>
                <w:rFonts w:hint="eastAsia"/>
                <w:color w:val="auto"/>
                <w:vertAlign w:val="superscript"/>
                <w:lang w:eastAsia="zh-CN"/>
              </w:rPr>
              <w:t>3</w:t>
            </w:r>
            <w:r>
              <w:rPr>
                <w:rFonts w:hint="eastAsia"/>
                <w:color w:val="auto"/>
                <w:lang w:eastAsia="zh-CN"/>
              </w:rPr>
              <w:t>（其中：表土回填1.64万m</w:t>
            </w:r>
            <w:r>
              <w:rPr>
                <w:rFonts w:hint="eastAsia"/>
                <w:color w:val="auto"/>
                <w:vertAlign w:val="superscript"/>
                <w:lang w:eastAsia="zh-CN"/>
              </w:rPr>
              <w:t>3</w:t>
            </w:r>
            <w:r>
              <w:rPr>
                <w:rFonts w:hint="eastAsia"/>
                <w:color w:val="auto"/>
                <w:lang w:eastAsia="zh-CN"/>
              </w:rPr>
              <w:t>，工程建设区回填11.62万m</w:t>
            </w:r>
            <w:r>
              <w:rPr>
                <w:rFonts w:hint="eastAsia"/>
                <w:color w:val="auto"/>
                <w:vertAlign w:val="superscript"/>
                <w:lang w:eastAsia="zh-CN"/>
              </w:rPr>
              <w:t>3</w:t>
            </w:r>
            <w:r>
              <w:rPr>
                <w:rFonts w:hint="eastAsia"/>
                <w:color w:val="auto"/>
                <w:lang w:eastAsia="zh-CN"/>
              </w:rPr>
              <w:t>，施工临时道路区回填11.54万m</w:t>
            </w:r>
            <w:r>
              <w:rPr>
                <w:rFonts w:hint="eastAsia"/>
                <w:color w:val="auto"/>
                <w:vertAlign w:val="superscript"/>
                <w:lang w:eastAsia="zh-CN"/>
              </w:rPr>
              <w:t>3</w:t>
            </w:r>
            <w:r>
              <w:rPr>
                <w:rFonts w:hint="eastAsia"/>
                <w:color w:val="auto"/>
                <w:lang w:eastAsia="zh-CN"/>
              </w:rPr>
              <w:t>），内部调运土石方14.82万m</w:t>
            </w:r>
            <w:r>
              <w:rPr>
                <w:rFonts w:hint="eastAsia"/>
                <w:color w:val="auto"/>
                <w:vertAlign w:val="superscript"/>
                <w:lang w:eastAsia="zh-CN"/>
              </w:rPr>
              <w:t>3</w:t>
            </w:r>
            <w:r>
              <w:rPr>
                <w:rFonts w:hint="eastAsia"/>
                <w:color w:val="auto"/>
                <w:lang w:eastAsia="zh-CN"/>
              </w:rPr>
              <w:t>，以上土石方均为自然方量。剥离表土用于后期土地复耕覆土。通过项目土石方平衡及内部调运，</w:t>
            </w:r>
            <w:r>
              <w:rPr>
                <w:color w:val="auto"/>
              </w:rPr>
              <w:t>，工程建设无永久弃渣产生，项目不设置弃渣场。</w:t>
            </w:r>
          </w:p>
          <w:p w14:paraId="361D0962">
            <w:pPr>
              <w:pStyle w:val="36"/>
              <w:bidi w:val="0"/>
              <w:rPr>
                <w:rFonts w:hint="eastAsia"/>
                <w:b/>
                <w:bCs/>
                <w:color w:val="auto"/>
                <w:lang w:eastAsia="zh-CN"/>
              </w:rPr>
            </w:pPr>
            <w:r>
              <w:rPr>
                <w:rFonts w:hint="eastAsia"/>
                <w:b/>
                <w:bCs/>
                <w:color w:val="auto"/>
                <w:lang w:val="en-US" w:eastAsia="zh-CN"/>
              </w:rPr>
              <w:t>（2）</w:t>
            </w:r>
            <w:r>
              <w:rPr>
                <w:rFonts w:hint="eastAsia"/>
                <w:b/>
                <w:bCs/>
                <w:color w:val="auto"/>
                <w:lang w:eastAsia="zh-CN"/>
              </w:rPr>
              <w:t>生活垃圾</w:t>
            </w:r>
          </w:p>
          <w:p w14:paraId="1E7CF1EB">
            <w:pPr>
              <w:pStyle w:val="36"/>
              <w:bidi w:val="0"/>
              <w:rPr>
                <w:rStyle w:val="68"/>
                <w:rFonts w:hint="eastAsia"/>
                <w:color w:val="auto"/>
                <w:lang w:eastAsia="zh-CN"/>
              </w:rPr>
            </w:pPr>
            <w:r>
              <w:rPr>
                <w:color w:val="auto"/>
              </w:rPr>
              <w:t>根据施工组织设计，本工程施工人数</w:t>
            </w:r>
            <w:r>
              <w:rPr>
                <w:rFonts w:hint="eastAsia"/>
                <w:color w:val="auto"/>
                <w:lang w:eastAsia="zh-CN"/>
              </w:rPr>
              <w:t>以</w:t>
            </w:r>
            <w:r>
              <w:rPr>
                <w:color w:val="auto"/>
              </w:rPr>
              <w:t>30</w:t>
            </w:r>
            <w:r>
              <w:rPr>
                <w:rFonts w:hint="eastAsia"/>
                <w:color w:val="auto"/>
                <w:lang w:val="en-US" w:eastAsia="zh-CN"/>
              </w:rPr>
              <w:t>0</w:t>
            </w:r>
            <w:r>
              <w:rPr>
                <w:color w:val="auto"/>
              </w:rPr>
              <w:t>人</w:t>
            </w:r>
            <w:r>
              <w:rPr>
                <w:rFonts w:hint="eastAsia"/>
                <w:color w:val="auto"/>
                <w:lang w:eastAsia="zh-CN"/>
              </w:rPr>
              <w:t>计</w:t>
            </w:r>
            <w:r>
              <w:rPr>
                <w:color w:val="auto"/>
              </w:rPr>
              <w:t>，生活垃圾产生量按每人0.5kg/d计算，则日生活垃圾产生量为15</w:t>
            </w:r>
            <w:r>
              <w:rPr>
                <w:rFonts w:hint="eastAsia"/>
                <w:color w:val="auto"/>
                <w:lang w:val="en-US" w:eastAsia="zh-CN"/>
              </w:rPr>
              <w:t>0</w:t>
            </w:r>
            <w:r>
              <w:rPr>
                <w:color w:val="auto"/>
              </w:rPr>
              <w:t>kg/d。总施工期</w:t>
            </w:r>
            <w:r>
              <w:rPr>
                <w:rFonts w:hint="eastAsia"/>
                <w:color w:val="auto"/>
                <w:lang w:val="en-US" w:eastAsia="zh-CN"/>
              </w:rPr>
              <w:t>12</w:t>
            </w:r>
            <w:r>
              <w:rPr>
                <w:color w:val="auto"/>
              </w:rPr>
              <w:t>个月，累计垃圾产生量</w:t>
            </w:r>
            <w:r>
              <w:rPr>
                <w:rFonts w:hint="eastAsia"/>
                <w:color w:val="auto"/>
                <w:lang w:val="en-US" w:eastAsia="zh-CN"/>
              </w:rPr>
              <w:t>54.75</w:t>
            </w:r>
            <w:r>
              <w:rPr>
                <w:color w:val="auto"/>
              </w:rPr>
              <w:t>t，垃圾成分以有机垃圾为主。</w:t>
            </w:r>
            <w:r>
              <w:rPr>
                <w:rFonts w:hint="eastAsia"/>
                <w:color w:val="auto"/>
                <w:lang w:eastAsia="zh-CN"/>
              </w:rPr>
              <w:t>生活垃圾分类收集，能回收利用的回收利用，不能回收利用的，</w:t>
            </w:r>
            <w:r>
              <w:rPr>
                <w:rStyle w:val="68"/>
                <w:rFonts w:hint="eastAsia"/>
                <w:color w:val="auto"/>
              </w:rPr>
              <w:t>专人</w:t>
            </w:r>
            <w:r>
              <w:rPr>
                <w:rStyle w:val="68"/>
                <w:color w:val="auto"/>
              </w:rPr>
              <w:t>定期</w:t>
            </w:r>
            <w:r>
              <w:rPr>
                <w:rStyle w:val="68"/>
                <w:rFonts w:hint="eastAsia"/>
                <w:color w:val="auto"/>
              </w:rPr>
              <w:t>统一</w:t>
            </w:r>
            <w:r>
              <w:rPr>
                <w:rStyle w:val="68"/>
                <w:color w:val="auto"/>
              </w:rPr>
              <w:t>清运至</w:t>
            </w:r>
            <w:r>
              <w:rPr>
                <w:rStyle w:val="68"/>
                <w:rFonts w:hint="eastAsia"/>
                <w:color w:val="auto"/>
              </w:rPr>
              <w:t>各自就近乡镇垃圾场</w:t>
            </w:r>
            <w:r>
              <w:rPr>
                <w:rStyle w:val="68"/>
                <w:color w:val="auto"/>
              </w:rPr>
              <w:t>进行</w:t>
            </w:r>
            <w:r>
              <w:rPr>
                <w:rStyle w:val="68"/>
                <w:rFonts w:hint="eastAsia"/>
                <w:color w:val="auto"/>
              </w:rPr>
              <w:t>统一</w:t>
            </w:r>
            <w:r>
              <w:rPr>
                <w:rStyle w:val="68"/>
                <w:color w:val="auto"/>
              </w:rPr>
              <w:t>处理</w:t>
            </w:r>
            <w:r>
              <w:rPr>
                <w:rStyle w:val="68"/>
                <w:rFonts w:hint="eastAsia"/>
                <w:color w:val="auto"/>
                <w:lang w:eastAsia="zh-CN"/>
              </w:rPr>
              <w:t>，不得随意丢弃，私自焚烧。</w:t>
            </w:r>
          </w:p>
          <w:p w14:paraId="79A7E958">
            <w:pPr>
              <w:pStyle w:val="36"/>
              <w:numPr>
                <w:ilvl w:val="0"/>
                <w:numId w:val="0"/>
              </w:numPr>
              <w:bidi w:val="0"/>
              <w:ind w:left="0" w:leftChars="0" w:right="0" w:rightChars="0" w:firstLine="482" w:firstLineChars="200"/>
              <w:rPr>
                <w:b/>
                <w:bCs/>
                <w:color w:val="auto"/>
              </w:rPr>
            </w:pPr>
            <w:r>
              <w:rPr>
                <w:rFonts w:ascii="Times New Roman" w:hAnsi="Times New Roman" w:eastAsia="宋体" w:cs="Times New Roman"/>
                <w:b/>
                <w:bCs/>
                <w:color w:val="auto"/>
                <w:kern w:val="0"/>
                <w:sz w:val="24"/>
                <w:szCs w:val="24"/>
                <w:lang w:val="en-US" w:eastAsia="zh-CN" w:bidi="ar-SA"/>
              </w:rPr>
              <w:t>（3）</w:t>
            </w:r>
            <w:r>
              <w:rPr>
                <w:b/>
                <w:bCs/>
                <w:color w:val="auto"/>
              </w:rPr>
              <w:t>废水泥包装袋</w:t>
            </w:r>
          </w:p>
          <w:p w14:paraId="7EDE16A0">
            <w:pPr>
              <w:pStyle w:val="36"/>
              <w:numPr>
                <w:ilvl w:val="0"/>
                <w:numId w:val="0"/>
              </w:numPr>
              <w:bidi w:val="0"/>
              <w:ind w:left="0" w:leftChars="0" w:right="0" w:rightChars="0" w:firstLine="480" w:firstLineChars="200"/>
              <w:rPr>
                <w:color w:val="auto"/>
              </w:rPr>
            </w:pPr>
            <w:r>
              <w:rPr>
                <w:color w:val="auto"/>
              </w:rPr>
              <w:t>项目在施工过程中用到的水泥等建筑材料，施工结束会产生一定量的水泥包装袋，施工过程应该将产生的废水泥包装袋统一收集后与生活垃圾定期清运至最近村落生活垃圾处置点由环卫部门清运处置，严禁随意丢弃（掩埋）、焚烧和向河道内倾倒。</w:t>
            </w:r>
          </w:p>
          <w:p w14:paraId="031F8250">
            <w:pPr>
              <w:pStyle w:val="36"/>
              <w:bidi w:val="0"/>
              <w:rPr>
                <w:b/>
                <w:bCs/>
                <w:color w:val="auto"/>
              </w:rPr>
            </w:pPr>
            <w:r>
              <w:rPr>
                <w:b/>
                <w:bCs/>
                <w:color w:val="auto"/>
              </w:rPr>
              <w:t>5、水土流失保护措施</w:t>
            </w:r>
          </w:p>
          <w:p w14:paraId="2E593797">
            <w:pPr>
              <w:pStyle w:val="36"/>
              <w:bidi w:val="0"/>
              <w:rPr>
                <w:b/>
                <w:bCs/>
                <w:color w:val="auto"/>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b/>
                <w:bCs/>
                <w:color w:val="auto"/>
              </w:rPr>
              <w:t>主体工程已列措施工程量</w:t>
            </w:r>
          </w:p>
          <w:p w14:paraId="5C7F655A">
            <w:pPr>
              <w:pStyle w:val="36"/>
              <w:bidi w:val="0"/>
              <w:rPr>
                <w:rFonts w:hint="eastAsia"/>
                <w:color w:val="auto"/>
              </w:rPr>
            </w:pPr>
            <w:r>
              <w:rPr>
                <w:rFonts w:hint="eastAsia"/>
                <w:color w:val="auto"/>
              </w:rPr>
              <w:t>由于本工程所征用的土地为管护范围内的水田、旱地、园地、林地、交通运输用地、水域及水利设施用地等不存在生态敏感区，并且工程施工开挖土石方量除回填利用和砂石利用外，全部用于堤防及工程建设区凹地土地平整，消除了大量弃渣堆存带来的水土流失隐患。另外，为了减少工程建设所带来的水土流失影响，主体</w:t>
            </w:r>
            <w:r>
              <w:rPr>
                <w:rFonts w:hint="eastAsia"/>
                <w:color w:val="auto"/>
                <w:lang w:eastAsia="zh-CN"/>
              </w:rPr>
              <w:t>工</w:t>
            </w:r>
            <w:r>
              <w:rPr>
                <w:rFonts w:hint="eastAsia"/>
                <w:color w:val="auto"/>
              </w:rPr>
              <w:t>程进行了护岸措施，对确保工程区安全及防治水土流失起到了重要的作用。但主要是为防止主体工程的安全运行考虑，不计入水土保持方案投资。</w:t>
            </w:r>
          </w:p>
          <w:p w14:paraId="20E36952">
            <w:pPr>
              <w:pStyle w:val="36"/>
              <w:bidi w:val="0"/>
              <w:rPr>
                <w:rFonts w:hint="eastAsia" w:eastAsia="宋体"/>
                <w:color w:val="auto"/>
                <w:lang w:eastAsia="zh-CN"/>
              </w:rPr>
            </w:pPr>
            <w:r>
              <w:rPr>
                <w:rFonts w:hint="eastAsia"/>
                <w:color w:val="auto"/>
                <w:lang w:eastAsia="zh-CN"/>
              </w:rPr>
              <w:t>主体工程已列措施：</w:t>
            </w:r>
          </w:p>
          <w:p w14:paraId="71A7239C">
            <w:pPr>
              <w:pStyle w:val="36"/>
              <w:numPr>
                <w:ilvl w:val="0"/>
                <w:numId w:val="6"/>
              </w:numPr>
              <w:bidi w:val="0"/>
              <w:rPr>
                <w:rFonts w:hint="eastAsia"/>
                <w:color w:val="auto"/>
              </w:rPr>
            </w:pPr>
            <w:r>
              <w:rPr>
                <w:rFonts w:ascii="宋体" w:hAnsi="宋体" w:eastAsia="宋体" w:cs="宋体"/>
                <w:spacing w:val="-1"/>
                <w:sz w:val="24"/>
                <w:szCs w:val="24"/>
              </w:rPr>
              <w:t>表土剥离</w:t>
            </w:r>
            <w:r>
              <w:rPr>
                <w:rFonts w:ascii="Times New Roman" w:hAnsi="Times New Roman" w:eastAsia="Times New Roman" w:cs="Times New Roman"/>
                <w:spacing w:val="-2"/>
                <w:sz w:val="24"/>
                <w:szCs w:val="24"/>
              </w:rPr>
              <w:t>1.64</w:t>
            </w:r>
            <w:r>
              <w:rPr>
                <w:rFonts w:ascii="Times New Roman" w:hAnsi="Times New Roman" w:eastAsia="Times New Roman" w:cs="Times New Roman"/>
                <w:sz w:val="24"/>
                <w:szCs w:val="24"/>
              </w:rPr>
              <w:t xml:space="preserve"> </w:t>
            </w:r>
            <w:r>
              <w:rPr>
                <w:rFonts w:ascii="宋体" w:hAnsi="宋体" w:eastAsia="宋体" w:cs="宋体"/>
                <w:spacing w:val="-3"/>
                <w:sz w:val="24"/>
                <w:szCs w:val="24"/>
              </w:rPr>
              <w:t>万</w:t>
            </w:r>
            <w:r>
              <w:rPr>
                <w:rFonts w:ascii="宋体" w:hAnsi="宋体" w:eastAsia="宋体" w:cs="宋体"/>
                <w:spacing w:val="-52"/>
                <w:sz w:val="24"/>
                <w:szCs w:val="24"/>
              </w:rPr>
              <w:t xml:space="preserve"> </w:t>
            </w:r>
            <w:r>
              <w:rPr>
                <w:rFonts w:ascii="Times New Roman" w:hAnsi="Times New Roman" w:eastAsia="Times New Roman" w:cs="Times New Roman"/>
                <w:spacing w:val="-3"/>
                <w:sz w:val="24"/>
                <w:szCs w:val="24"/>
              </w:rPr>
              <w:t>m</w:t>
            </w:r>
            <w:r>
              <w:rPr>
                <w:rFonts w:ascii="Times New Roman" w:hAnsi="Times New Roman" w:eastAsia="Times New Roman" w:cs="Times New Roman"/>
                <w:spacing w:val="-3"/>
                <w:position w:val="8"/>
                <w:sz w:val="15"/>
                <w:szCs w:val="15"/>
              </w:rPr>
              <w:t>3</w:t>
            </w:r>
            <w:r>
              <w:rPr>
                <w:rFonts w:ascii="宋体" w:hAnsi="宋体" w:eastAsia="宋体" w:cs="宋体"/>
                <w:spacing w:val="-3"/>
                <w:sz w:val="24"/>
                <w:szCs w:val="24"/>
              </w:rPr>
              <w:t>，</w:t>
            </w:r>
            <w:r>
              <w:rPr>
                <w:rFonts w:hint="eastAsia"/>
                <w:color w:val="auto"/>
              </w:rPr>
              <w:t>施工结束后，</w:t>
            </w:r>
            <w:r>
              <w:rPr>
                <w:rFonts w:hint="eastAsia"/>
                <w:color w:val="auto"/>
                <w:lang w:eastAsia="zh-CN"/>
              </w:rPr>
              <w:t>全部</w:t>
            </w:r>
            <w:r>
              <w:rPr>
                <w:rFonts w:hint="eastAsia"/>
                <w:color w:val="auto"/>
              </w:rPr>
              <w:t>用于</w:t>
            </w:r>
            <w:r>
              <w:rPr>
                <w:rFonts w:hint="eastAsia"/>
                <w:color w:val="auto"/>
                <w:lang w:eastAsia="zh-CN"/>
              </w:rPr>
              <w:t>土地</w:t>
            </w:r>
            <w:r>
              <w:rPr>
                <w:rFonts w:hint="eastAsia"/>
                <w:color w:val="auto"/>
              </w:rPr>
              <w:t>复耕</w:t>
            </w:r>
            <w:r>
              <w:rPr>
                <w:rFonts w:hint="eastAsia"/>
                <w:color w:val="auto"/>
                <w:lang w:eastAsia="zh-CN"/>
              </w:rPr>
              <w:t>覆土</w:t>
            </w:r>
            <w:r>
              <w:rPr>
                <w:rFonts w:hint="eastAsia"/>
                <w:color w:val="auto"/>
              </w:rPr>
              <w:t>。</w:t>
            </w:r>
          </w:p>
          <w:p w14:paraId="3D19E57F">
            <w:pPr>
              <w:pStyle w:val="36"/>
              <w:numPr>
                <w:ilvl w:val="0"/>
                <w:numId w:val="6"/>
              </w:numPr>
              <w:bidi w:val="0"/>
              <w:rPr>
                <w:rFonts w:hint="eastAsia"/>
                <w:color w:val="auto"/>
              </w:rPr>
            </w:pPr>
            <w:r>
              <w:rPr>
                <w:rFonts w:ascii="宋体" w:hAnsi="宋体" w:eastAsia="宋体" w:cs="宋体"/>
                <w:spacing w:val="-3"/>
                <w:sz w:val="24"/>
                <w:szCs w:val="24"/>
              </w:rPr>
              <w:t>种植橘子树</w:t>
            </w:r>
            <w:r>
              <w:rPr>
                <w:rFonts w:ascii="Times New Roman" w:hAnsi="Times New Roman" w:eastAsia="Times New Roman" w:cs="Times New Roman"/>
                <w:spacing w:val="-3"/>
                <w:sz w:val="24"/>
                <w:szCs w:val="24"/>
              </w:rPr>
              <w:t>5395</w:t>
            </w:r>
            <w:r>
              <w:rPr>
                <w:rFonts w:ascii="宋体" w:hAnsi="宋体" w:eastAsia="宋体" w:cs="宋体"/>
                <w:spacing w:val="-3"/>
                <w:sz w:val="24"/>
                <w:szCs w:val="24"/>
              </w:rPr>
              <w:t>棵</w:t>
            </w:r>
            <w:r>
              <w:rPr>
                <w:rFonts w:hint="eastAsia" w:ascii="宋体" w:hAnsi="宋体" w:eastAsia="宋体" w:cs="宋体"/>
                <w:spacing w:val="-3"/>
                <w:sz w:val="24"/>
                <w:szCs w:val="24"/>
                <w:lang w:eastAsia="zh-CN"/>
              </w:rPr>
              <w:t>。</w:t>
            </w:r>
          </w:p>
          <w:p w14:paraId="7D18F90A">
            <w:pPr>
              <w:pStyle w:val="36"/>
              <w:numPr>
                <w:ilvl w:val="0"/>
                <w:numId w:val="6"/>
              </w:numPr>
              <w:bidi w:val="0"/>
              <w:rPr>
                <w:rFonts w:hint="eastAsia"/>
                <w:color w:val="auto"/>
              </w:rPr>
            </w:pPr>
            <w:r>
              <w:rPr>
                <w:rFonts w:ascii="宋体" w:hAnsi="宋体" w:eastAsia="宋体" w:cs="宋体"/>
                <w:spacing w:val="-3"/>
                <w:sz w:val="24"/>
                <w:szCs w:val="24"/>
              </w:rPr>
              <w:t>种植草皮</w:t>
            </w:r>
            <w:r>
              <w:rPr>
                <w:rFonts w:ascii="Times New Roman" w:hAnsi="Times New Roman" w:eastAsia="Times New Roman" w:cs="Times New Roman"/>
                <w:spacing w:val="-3"/>
                <w:sz w:val="24"/>
                <w:szCs w:val="24"/>
              </w:rPr>
              <w:t>7057 m</w:t>
            </w:r>
            <w:r>
              <w:rPr>
                <w:rFonts w:ascii="Times New Roman" w:hAnsi="Times New Roman" w:eastAsia="Times New Roman" w:cs="Times New Roman"/>
                <w:spacing w:val="-3"/>
                <w:position w:val="8"/>
                <w:sz w:val="15"/>
                <w:szCs w:val="15"/>
              </w:rPr>
              <w:t>2</w:t>
            </w:r>
            <w:r>
              <w:rPr>
                <w:rFonts w:ascii="宋体" w:hAnsi="宋体" w:eastAsia="宋体" w:cs="宋体"/>
                <w:spacing w:val="-3"/>
                <w:sz w:val="24"/>
                <w:szCs w:val="24"/>
              </w:rPr>
              <w:t>。</w:t>
            </w:r>
          </w:p>
          <w:p w14:paraId="04D9E73C">
            <w:pPr>
              <w:pStyle w:val="36"/>
              <w:bidi w:val="0"/>
              <w:rPr>
                <w:b/>
                <w:bCs/>
                <w:color w:val="auto"/>
              </w:rPr>
            </w:pPr>
            <w:r>
              <w:rPr>
                <w:rFonts w:hint="eastAsia"/>
                <w:b/>
                <w:bCs/>
                <w:color w:val="auto"/>
                <w:lang w:eastAsia="zh-CN"/>
              </w:rPr>
              <w:t>（</w:t>
            </w:r>
            <w:r>
              <w:rPr>
                <w:rFonts w:hint="eastAsia"/>
                <w:b/>
                <w:bCs/>
                <w:color w:val="auto"/>
                <w:lang w:val="en-US" w:eastAsia="zh-CN"/>
              </w:rPr>
              <w:t>2</w:t>
            </w:r>
            <w:r>
              <w:rPr>
                <w:rFonts w:hint="eastAsia"/>
                <w:b/>
                <w:bCs/>
                <w:color w:val="auto"/>
                <w:lang w:eastAsia="zh-CN"/>
              </w:rPr>
              <w:t>）水土保持方案</w:t>
            </w:r>
            <w:r>
              <w:rPr>
                <w:b/>
                <w:bCs/>
                <w:color w:val="auto"/>
              </w:rPr>
              <w:t>新增措施工程量</w:t>
            </w:r>
          </w:p>
          <w:p w14:paraId="5B66AB9D">
            <w:pPr>
              <w:pStyle w:val="36"/>
              <w:bidi w:val="0"/>
              <w:rPr>
                <w:rFonts w:hint="eastAsia"/>
                <w:color w:val="auto"/>
              </w:rPr>
            </w:pPr>
            <w:r>
              <w:rPr>
                <w:rFonts w:hint="eastAsia"/>
                <w:color w:val="auto"/>
              </w:rPr>
              <w:t>1）工程建设区：新建堤防是一个经碾压成形的堆积体，主体工程在堤防背水面均做了相应的植物措施处理，且工程区背水面大部分为水田，已布置了系统的排水措施，这些措施已能满足水土保持要求。本方案仅对回填土转存场新增临时拦挡及覆盖措施，以减少本区域产生的水土流失量。</w:t>
            </w:r>
          </w:p>
          <w:p w14:paraId="7905D000">
            <w:pPr>
              <w:pStyle w:val="36"/>
              <w:bidi w:val="0"/>
              <w:rPr>
                <w:rFonts w:hint="eastAsia"/>
                <w:color w:val="auto"/>
              </w:rPr>
            </w:pPr>
            <w:r>
              <w:rPr>
                <w:rFonts w:hint="eastAsia"/>
                <w:color w:val="auto"/>
              </w:rPr>
              <w:t>2）料场区：对料场区进行表土剥离及复耕覆土，结束后要对该区进行土地平整，平整后可作为耕地。</w:t>
            </w:r>
          </w:p>
          <w:p w14:paraId="01446219">
            <w:pPr>
              <w:pStyle w:val="36"/>
              <w:bidi w:val="0"/>
              <w:rPr>
                <w:rFonts w:hint="eastAsia"/>
                <w:color w:val="auto"/>
              </w:rPr>
            </w:pPr>
            <w:r>
              <w:rPr>
                <w:rFonts w:hint="eastAsia"/>
                <w:color w:val="auto"/>
              </w:rPr>
              <w:t>3）施工临时道路区：施工过程中主要承担堤防填筑材料运输道路，待施工结束后对本区域进行场地平整，对本区域进行复耕。</w:t>
            </w:r>
          </w:p>
          <w:p w14:paraId="2F330984">
            <w:pPr>
              <w:pStyle w:val="36"/>
              <w:bidi w:val="0"/>
              <w:rPr>
                <w:rFonts w:hint="eastAsia"/>
                <w:color w:val="auto"/>
              </w:rPr>
            </w:pPr>
            <w:r>
              <w:rPr>
                <w:rFonts w:hint="eastAsia"/>
                <w:color w:val="auto"/>
              </w:rPr>
              <w:t>4）施工营地区：施工中要针对该区域内水土流失薄弱地带，结束后要对该区进行土地平整，平整后可作为耕地。</w:t>
            </w:r>
          </w:p>
          <w:p w14:paraId="78E8E6D7">
            <w:pPr>
              <w:pStyle w:val="36"/>
              <w:bidi w:val="0"/>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水土保持方案新增措施：</w:t>
            </w:r>
          </w:p>
          <w:p w14:paraId="3E54060E">
            <w:pPr>
              <w:pStyle w:val="36"/>
              <w:bidi w:val="0"/>
              <w:rPr>
                <w:rFonts w:hint="default" w:ascii="Times New Roman" w:hAnsi="Times New Roman" w:eastAsia="宋体" w:cs="Times New Roman"/>
                <w:spacing w:val="-6"/>
                <w:sz w:val="24"/>
                <w:szCs w:val="24"/>
              </w:rPr>
            </w:pPr>
            <w:r>
              <w:rPr>
                <w:rFonts w:hint="default" w:ascii="Times New Roman" w:hAnsi="Times New Roman" w:eastAsia="宋体" w:cs="Times New Roman"/>
                <w:spacing w:val="-3"/>
                <w:sz w:val="24"/>
                <w:szCs w:val="24"/>
                <w:lang w:val="en-US" w:eastAsia="zh-CN"/>
              </w:rPr>
              <w:t>1)</w:t>
            </w:r>
            <w:r>
              <w:rPr>
                <w:rFonts w:hint="default" w:ascii="Times New Roman" w:hAnsi="Times New Roman" w:eastAsia="宋体" w:cs="Times New Roman"/>
                <w:spacing w:val="-3"/>
                <w:sz w:val="24"/>
                <w:szCs w:val="24"/>
              </w:rPr>
              <w:t>工程建设</w:t>
            </w:r>
            <w:r>
              <w:rPr>
                <w:rFonts w:hint="default" w:ascii="Times New Roman" w:hAnsi="Times New Roman" w:eastAsia="宋体" w:cs="Times New Roman"/>
                <w:spacing w:val="-6"/>
                <w:sz w:val="24"/>
                <w:szCs w:val="24"/>
              </w:rPr>
              <w:t>区开挖土质排水沟</w:t>
            </w:r>
            <w:r>
              <w:rPr>
                <w:rFonts w:hint="default" w:ascii="Times New Roman" w:hAnsi="Times New Roman" w:eastAsia="宋体" w:cs="Times New Roman"/>
                <w:spacing w:val="-55"/>
                <w:sz w:val="24"/>
                <w:szCs w:val="24"/>
              </w:rPr>
              <w:t xml:space="preserve"> </w:t>
            </w:r>
            <w:r>
              <w:rPr>
                <w:rFonts w:hint="default" w:ascii="Times New Roman" w:hAnsi="Times New Roman" w:eastAsia="Times New Roman" w:cs="Times New Roman"/>
                <w:spacing w:val="-6"/>
                <w:sz w:val="24"/>
                <w:szCs w:val="24"/>
              </w:rPr>
              <w:t>28377m</w:t>
            </w:r>
            <w:r>
              <w:rPr>
                <w:rFonts w:hint="default" w:ascii="Times New Roman" w:hAnsi="Times New Roman" w:eastAsia="宋体" w:cs="Times New Roman"/>
                <w:spacing w:val="-6"/>
                <w:sz w:val="24"/>
                <w:szCs w:val="24"/>
              </w:rPr>
              <w:t>；</w:t>
            </w:r>
          </w:p>
          <w:p w14:paraId="7BB6E307">
            <w:pPr>
              <w:pStyle w:val="36"/>
              <w:bidi w:val="0"/>
              <w:rPr>
                <w:rFonts w:ascii="宋体" w:hAnsi="宋体" w:eastAsia="宋体" w:cs="宋体"/>
                <w:spacing w:val="-2"/>
                <w:sz w:val="24"/>
                <w:szCs w:val="24"/>
              </w:rPr>
            </w:pPr>
            <w:r>
              <w:rPr>
                <w:rFonts w:hint="default" w:ascii="Times New Roman" w:hAnsi="Times New Roman" w:eastAsia="宋体" w:cs="Times New Roman"/>
                <w:spacing w:val="-6"/>
                <w:sz w:val="24"/>
                <w:szCs w:val="24"/>
                <w:lang w:val="en-US" w:eastAsia="zh-CN"/>
              </w:rPr>
              <w:t>2)</w:t>
            </w:r>
            <w:r>
              <w:rPr>
                <w:rFonts w:hint="default" w:ascii="Times New Roman" w:hAnsi="Times New Roman" w:eastAsia="宋体" w:cs="Times New Roman"/>
                <w:spacing w:val="-6"/>
                <w:sz w:val="24"/>
                <w:szCs w:val="24"/>
              </w:rPr>
              <w:t>表土转</w:t>
            </w:r>
            <w:r>
              <w:rPr>
                <w:rFonts w:ascii="宋体" w:hAnsi="宋体" w:eastAsia="宋体" w:cs="宋体"/>
                <w:spacing w:val="-6"/>
                <w:sz w:val="24"/>
                <w:szCs w:val="24"/>
              </w:rPr>
              <w:t>存场区场地平整</w:t>
            </w:r>
            <w:r>
              <w:rPr>
                <w:rFonts w:ascii="宋体" w:hAnsi="宋体" w:eastAsia="宋体" w:cs="宋体"/>
                <w:spacing w:val="-43"/>
                <w:sz w:val="24"/>
                <w:szCs w:val="24"/>
              </w:rPr>
              <w:t xml:space="preserve"> </w:t>
            </w:r>
            <w:r>
              <w:rPr>
                <w:rFonts w:ascii="Times New Roman" w:hAnsi="Times New Roman" w:eastAsia="Times New Roman" w:cs="Times New Roman"/>
                <w:spacing w:val="-6"/>
                <w:sz w:val="24"/>
                <w:szCs w:val="24"/>
              </w:rPr>
              <w:t>8700m</w:t>
            </w:r>
            <w:r>
              <w:rPr>
                <w:rFonts w:ascii="Times New Roman" w:hAnsi="Times New Roman" w:eastAsia="Times New Roman" w:cs="Times New Roman"/>
                <w:spacing w:val="-6"/>
                <w:position w:val="8"/>
                <w:sz w:val="15"/>
                <w:szCs w:val="15"/>
              </w:rPr>
              <w:t>2</w:t>
            </w:r>
            <w:r>
              <w:rPr>
                <w:rFonts w:ascii="宋体" w:hAnsi="宋体" w:eastAsia="宋体" w:cs="宋体"/>
                <w:spacing w:val="-6"/>
                <w:sz w:val="24"/>
                <w:szCs w:val="24"/>
              </w:rPr>
              <w:t>，开挖土质</w:t>
            </w:r>
            <w:r>
              <w:rPr>
                <w:rFonts w:ascii="宋体" w:hAnsi="宋体" w:eastAsia="宋体" w:cs="宋体"/>
                <w:spacing w:val="-7"/>
                <w:sz w:val="24"/>
                <w:szCs w:val="24"/>
              </w:rPr>
              <w:t>排水沟</w:t>
            </w:r>
            <w:r>
              <w:rPr>
                <w:rFonts w:ascii="宋体" w:hAnsi="宋体" w:eastAsia="宋体" w:cs="宋体"/>
                <w:spacing w:val="-43"/>
                <w:sz w:val="24"/>
                <w:szCs w:val="24"/>
              </w:rPr>
              <w:t xml:space="preserve"> </w:t>
            </w:r>
            <w:r>
              <w:rPr>
                <w:rFonts w:ascii="Times New Roman" w:hAnsi="Times New Roman" w:eastAsia="Times New Roman" w:cs="Times New Roman"/>
                <w:spacing w:val="-7"/>
                <w:sz w:val="24"/>
                <w:szCs w:val="24"/>
              </w:rPr>
              <w:t>810m</w:t>
            </w:r>
            <w:r>
              <w:rPr>
                <w:rFonts w:ascii="宋体" w:hAnsi="宋体" w:eastAsia="宋体" w:cs="宋体"/>
                <w:spacing w:val="-7"/>
                <w:sz w:val="24"/>
                <w:szCs w:val="24"/>
              </w:rPr>
              <w:t>，</w:t>
            </w:r>
            <w:r>
              <w:rPr>
                <w:rFonts w:ascii="宋体" w:hAnsi="宋体" w:eastAsia="宋体" w:cs="宋体"/>
                <w:spacing w:val="-1"/>
                <w:sz w:val="24"/>
                <w:szCs w:val="24"/>
              </w:rPr>
              <w:t>新建编织袋挡墙</w:t>
            </w:r>
            <w:r>
              <w:rPr>
                <w:rFonts w:ascii="宋体" w:hAnsi="宋体" w:eastAsia="宋体" w:cs="宋体"/>
                <w:spacing w:val="-51"/>
                <w:sz w:val="24"/>
                <w:szCs w:val="24"/>
              </w:rPr>
              <w:t xml:space="preserve"> </w:t>
            </w:r>
            <w:r>
              <w:rPr>
                <w:rFonts w:ascii="Times New Roman" w:hAnsi="Times New Roman" w:eastAsia="Times New Roman" w:cs="Times New Roman"/>
                <w:spacing w:val="-1"/>
                <w:sz w:val="24"/>
                <w:szCs w:val="24"/>
              </w:rPr>
              <w:t>783m</w:t>
            </w:r>
            <w:r>
              <w:rPr>
                <w:rFonts w:ascii="Times New Roman" w:hAnsi="Times New Roman" w:eastAsia="Times New Roman" w:cs="Times New Roman"/>
                <w:spacing w:val="-28"/>
                <w:sz w:val="24"/>
                <w:szCs w:val="24"/>
              </w:rPr>
              <w:t xml:space="preserve"> </w:t>
            </w:r>
            <w:r>
              <w:rPr>
                <w:rFonts w:ascii="宋体" w:hAnsi="宋体" w:eastAsia="宋体" w:cs="宋体"/>
                <w:spacing w:val="-1"/>
                <w:sz w:val="24"/>
                <w:szCs w:val="24"/>
              </w:rPr>
              <w:t>，彩条布覆盖</w:t>
            </w:r>
            <w:r>
              <w:rPr>
                <w:rFonts w:ascii="宋体" w:hAnsi="宋体" w:eastAsia="宋体" w:cs="宋体"/>
                <w:spacing w:val="-45"/>
                <w:sz w:val="24"/>
                <w:szCs w:val="24"/>
              </w:rPr>
              <w:t xml:space="preserve"> </w:t>
            </w:r>
            <w:r>
              <w:rPr>
                <w:rFonts w:ascii="Times New Roman" w:hAnsi="Times New Roman" w:eastAsia="Times New Roman" w:cs="Times New Roman"/>
                <w:spacing w:val="-1"/>
                <w:sz w:val="24"/>
                <w:szCs w:val="24"/>
              </w:rPr>
              <w:t>8200m</w:t>
            </w:r>
            <w:r>
              <w:rPr>
                <w:rFonts w:ascii="Times New Roman" w:hAnsi="Times New Roman" w:eastAsia="Times New Roman" w:cs="Times New Roman"/>
                <w:spacing w:val="-1"/>
                <w:position w:val="7"/>
                <w:sz w:val="15"/>
                <w:szCs w:val="15"/>
              </w:rPr>
              <w:t xml:space="preserve">2 </w:t>
            </w:r>
            <w:r>
              <w:rPr>
                <w:rFonts w:ascii="宋体" w:hAnsi="宋体" w:eastAsia="宋体" w:cs="宋体"/>
                <w:spacing w:val="-2"/>
                <w:sz w:val="24"/>
                <w:szCs w:val="24"/>
              </w:rPr>
              <w:t>。</w:t>
            </w:r>
          </w:p>
          <w:p w14:paraId="53449024">
            <w:pPr>
              <w:pStyle w:val="31"/>
              <w:bidi w:val="0"/>
              <w:rPr>
                <w:color w:val="auto"/>
              </w:rPr>
            </w:pPr>
            <w:r>
              <w:rPr>
                <w:rFonts w:hint="eastAsia"/>
                <w:color w:val="auto"/>
                <w:lang w:eastAsia="zh-CN"/>
              </w:rPr>
              <w:t>表</w:t>
            </w:r>
            <w:r>
              <w:rPr>
                <w:rFonts w:hint="eastAsia"/>
                <w:color w:val="auto"/>
                <w:lang w:val="en-US" w:eastAsia="zh-CN"/>
              </w:rPr>
              <w:t xml:space="preserve">5-1 </w:t>
            </w:r>
            <w:r>
              <w:rPr>
                <w:color w:val="auto"/>
              </w:rPr>
              <w:t xml:space="preserve"> </w:t>
            </w:r>
            <w:r>
              <w:rPr>
                <w:rFonts w:hint="eastAsia"/>
                <w:color w:val="auto"/>
              </w:rPr>
              <w:t>主体工程中具有水土保持功能的措施及工程量表</w:t>
            </w:r>
          </w:p>
          <w:tbl>
            <w:tblPr>
              <w:tblStyle w:val="46"/>
              <w:tblW w:w="7777"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23"/>
              <w:gridCol w:w="1333"/>
              <w:gridCol w:w="2673"/>
              <w:gridCol w:w="1029"/>
              <w:gridCol w:w="1119"/>
            </w:tblGrid>
            <w:tr w14:paraId="16338D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5" w:hRule="atLeast"/>
              </w:trPr>
              <w:tc>
                <w:tcPr>
                  <w:tcW w:w="1623" w:type="dxa"/>
                  <w:vAlign w:val="center"/>
                </w:tcPr>
                <w:p w14:paraId="56552FA8">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b/>
                      <w:bCs/>
                      <w:sz w:val="21"/>
                      <w:szCs w:val="21"/>
                    </w:rPr>
                  </w:pPr>
                  <w:r>
                    <w:rPr>
                      <w:b/>
                      <w:bCs/>
                      <w:spacing w:val="5"/>
                      <w:sz w:val="21"/>
                      <w:szCs w:val="21"/>
                    </w:rPr>
                    <w:t>项目区</w:t>
                  </w:r>
                </w:p>
              </w:tc>
              <w:tc>
                <w:tcPr>
                  <w:tcW w:w="1333" w:type="dxa"/>
                  <w:vAlign w:val="center"/>
                </w:tcPr>
                <w:p w14:paraId="38A45A98">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b/>
                      <w:bCs/>
                      <w:sz w:val="21"/>
                      <w:szCs w:val="21"/>
                    </w:rPr>
                  </w:pPr>
                  <w:r>
                    <w:rPr>
                      <w:b/>
                      <w:bCs/>
                      <w:spacing w:val="7"/>
                      <w:sz w:val="21"/>
                      <w:szCs w:val="21"/>
                    </w:rPr>
                    <w:t>措施类型</w:t>
                  </w:r>
                </w:p>
              </w:tc>
              <w:tc>
                <w:tcPr>
                  <w:tcW w:w="2673" w:type="dxa"/>
                  <w:vAlign w:val="center"/>
                </w:tcPr>
                <w:p w14:paraId="5E47F2CF">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b/>
                      <w:bCs/>
                      <w:sz w:val="21"/>
                      <w:szCs w:val="21"/>
                    </w:rPr>
                  </w:pPr>
                  <w:r>
                    <w:rPr>
                      <w:b/>
                      <w:bCs/>
                      <w:spacing w:val="7"/>
                      <w:sz w:val="21"/>
                      <w:szCs w:val="21"/>
                    </w:rPr>
                    <w:t>措施名称</w:t>
                  </w:r>
                </w:p>
              </w:tc>
              <w:tc>
                <w:tcPr>
                  <w:tcW w:w="1029" w:type="dxa"/>
                  <w:vAlign w:val="center"/>
                </w:tcPr>
                <w:p w14:paraId="69119016">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b/>
                      <w:bCs/>
                      <w:sz w:val="21"/>
                      <w:szCs w:val="21"/>
                    </w:rPr>
                  </w:pPr>
                  <w:r>
                    <w:rPr>
                      <w:b/>
                      <w:bCs/>
                      <w:spacing w:val="3"/>
                      <w:sz w:val="21"/>
                      <w:szCs w:val="21"/>
                    </w:rPr>
                    <w:t>单位</w:t>
                  </w:r>
                </w:p>
              </w:tc>
              <w:tc>
                <w:tcPr>
                  <w:tcW w:w="1119" w:type="dxa"/>
                  <w:vAlign w:val="center"/>
                </w:tcPr>
                <w:p w14:paraId="7F3E341E">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b/>
                      <w:bCs/>
                      <w:sz w:val="21"/>
                      <w:szCs w:val="21"/>
                    </w:rPr>
                  </w:pPr>
                  <w:r>
                    <w:rPr>
                      <w:b/>
                      <w:bCs/>
                      <w:spacing w:val="3"/>
                      <w:sz w:val="21"/>
                      <w:szCs w:val="21"/>
                    </w:rPr>
                    <w:t>数量</w:t>
                  </w:r>
                </w:p>
              </w:tc>
            </w:tr>
            <w:tr w14:paraId="2E2CFA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1" w:hRule="atLeast"/>
              </w:trPr>
              <w:tc>
                <w:tcPr>
                  <w:tcW w:w="1623" w:type="dxa"/>
                  <w:vMerge w:val="restart"/>
                  <w:tcBorders>
                    <w:bottom w:val="nil"/>
                  </w:tcBorders>
                  <w:vAlign w:val="center"/>
                </w:tcPr>
                <w:p w14:paraId="6E103B4A">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pacing w:val="7"/>
                      <w:sz w:val="21"/>
                      <w:szCs w:val="21"/>
                    </w:rPr>
                    <w:t>工程建设区</w:t>
                  </w:r>
                </w:p>
              </w:tc>
              <w:tc>
                <w:tcPr>
                  <w:tcW w:w="1333" w:type="dxa"/>
                  <w:vMerge w:val="restart"/>
                  <w:tcBorders>
                    <w:bottom w:val="nil"/>
                  </w:tcBorders>
                  <w:vAlign w:val="center"/>
                </w:tcPr>
                <w:p w14:paraId="2047B97E">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pacing w:val="7"/>
                      <w:sz w:val="21"/>
                      <w:szCs w:val="21"/>
                    </w:rPr>
                    <w:t>植物措施</w:t>
                  </w:r>
                </w:p>
              </w:tc>
              <w:tc>
                <w:tcPr>
                  <w:tcW w:w="2673" w:type="dxa"/>
                  <w:vAlign w:val="center"/>
                </w:tcPr>
                <w:p w14:paraId="24ED1085">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pacing w:val="7"/>
                      <w:sz w:val="21"/>
                      <w:szCs w:val="21"/>
                    </w:rPr>
                    <w:t>橘子树</w:t>
                  </w:r>
                </w:p>
              </w:tc>
              <w:tc>
                <w:tcPr>
                  <w:tcW w:w="1029" w:type="dxa"/>
                  <w:vAlign w:val="center"/>
                </w:tcPr>
                <w:p w14:paraId="5CAE3B4A">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z w:val="21"/>
                      <w:szCs w:val="21"/>
                    </w:rPr>
                    <w:t>棵</w:t>
                  </w:r>
                </w:p>
              </w:tc>
              <w:tc>
                <w:tcPr>
                  <w:tcW w:w="1119" w:type="dxa"/>
                  <w:vAlign w:val="center"/>
                </w:tcPr>
                <w:p w14:paraId="1533E30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5395</w:t>
                  </w:r>
                </w:p>
              </w:tc>
            </w:tr>
            <w:tr w14:paraId="6C94A2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6" w:hRule="atLeast"/>
              </w:trPr>
              <w:tc>
                <w:tcPr>
                  <w:tcW w:w="1623" w:type="dxa"/>
                  <w:vMerge w:val="continue"/>
                  <w:tcBorders>
                    <w:top w:val="nil"/>
                  </w:tcBorders>
                  <w:vAlign w:val="center"/>
                </w:tcPr>
                <w:p w14:paraId="1F17B3E4">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Arial"/>
                      <w:sz w:val="21"/>
                      <w:szCs w:val="21"/>
                    </w:rPr>
                  </w:pPr>
                </w:p>
              </w:tc>
              <w:tc>
                <w:tcPr>
                  <w:tcW w:w="1333" w:type="dxa"/>
                  <w:vMerge w:val="continue"/>
                  <w:tcBorders>
                    <w:top w:val="nil"/>
                  </w:tcBorders>
                  <w:vAlign w:val="center"/>
                </w:tcPr>
                <w:p w14:paraId="0FC3A51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Arial"/>
                      <w:sz w:val="21"/>
                      <w:szCs w:val="21"/>
                    </w:rPr>
                  </w:pPr>
                </w:p>
              </w:tc>
              <w:tc>
                <w:tcPr>
                  <w:tcW w:w="2673" w:type="dxa"/>
                  <w:vAlign w:val="center"/>
                </w:tcPr>
                <w:p w14:paraId="007E44EC">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pacing w:val="3"/>
                      <w:sz w:val="21"/>
                      <w:szCs w:val="21"/>
                    </w:rPr>
                    <w:t>草皮</w:t>
                  </w:r>
                </w:p>
              </w:tc>
              <w:tc>
                <w:tcPr>
                  <w:tcW w:w="1029" w:type="dxa"/>
                  <w:vAlign w:val="center"/>
                </w:tcPr>
                <w:p w14:paraId="7A7568C2">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pacing w:val="4"/>
                      <w:position w:val="-3"/>
                      <w:sz w:val="21"/>
                      <w:szCs w:val="21"/>
                      <w:lang w:val="en-US" w:eastAsia="zh-CN"/>
                    </w:rPr>
                    <w:t>m</w:t>
                  </w:r>
                  <w:r>
                    <w:rPr>
                      <w:rFonts w:hint="eastAsia" w:cs="Times New Roman"/>
                      <w:spacing w:val="4"/>
                      <w:position w:val="-3"/>
                      <w:sz w:val="21"/>
                      <w:szCs w:val="21"/>
                      <w:vertAlign w:val="superscript"/>
                      <w:lang w:val="en-US" w:eastAsia="zh-CN"/>
                    </w:rPr>
                    <w:t>2</w:t>
                  </w:r>
                </w:p>
              </w:tc>
              <w:tc>
                <w:tcPr>
                  <w:tcW w:w="1119" w:type="dxa"/>
                  <w:vAlign w:val="center"/>
                </w:tcPr>
                <w:p w14:paraId="6CC731F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7057</w:t>
                  </w:r>
                </w:p>
              </w:tc>
            </w:tr>
            <w:tr w14:paraId="6D613B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1" w:hRule="atLeast"/>
              </w:trPr>
              <w:tc>
                <w:tcPr>
                  <w:tcW w:w="1623" w:type="dxa"/>
                  <w:vAlign w:val="center"/>
                </w:tcPr>
                <w:p w14:paraId="33139B1C">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pacing w:val="8"/>
                      <w:sz w:val="21"/>
                      <w:szCs w:val="21"/>
                    </w:rPr>
                    <w:t>施工临时道路区</w:t>
                  </w:r>
                </w:p>
              </w:tc>
              <w:tc>
                <w:tcPr>
                  <w:tcW w:w="1333" w:type="dxa"/>
                  <w:vAlign w:val="center"/>
                </w:tcPr>
                <w:p w14:paraId="0CA16B18">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pacing w:val="6"/>
                      <w:sz w:val="21"/>
                      <w:szCs w:val="21"/>
                    </w:rPr>
                    <w:t>工程措施</w:t>
                  </w:r>
                </w:p>
              </w:tc>
              <w:tc>
                <w:tcPr>
                  <w:tcW w:w="2673" w:type="dxa"/>
                  <w:vAlign w:val="center"/>
                </w:tcPr>
                <w:p w14:paraId="48D82721">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pacing w:val="7"/>
                      <w:sz w:val="21"/>
                      <w:szCs w:val="21"/>
                    </w:rPr>
                    <w:t>表土剥离</w:t>
                  </w:r>
                </w:p>
              </w:tc>
              <w:tc>
                <w:tcPr>
                  <w:tcW w:w="1029" w:type="dxa"/>
                  <w:vAlign w:val="center"/>
                </w:tcPr>
                <w:p w14:paraId="61936EA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m</w:t>
                  </w:r>
                  <w:r>
                    <w:rPr>
                      <w:rFonts w:hint="eastAsia" w:cs="Times New Roman"/>
                      <w:sz w:val="21"/>
                      <w:szCs w:val="21"/>
                      <w:vertAlign w:val="superscript"/>
                      <w:lang w:val="en-US" w:eastAsia="zh-CN"/>
                    </w:rPr>
                    <w:t>3</w:t>
                  </w:r>
                </w:p>
              </w:tc>
              <w:tc>
                <w:tcPr>
                  <w:tcW w:w="1119" w:type="dxa"/>
                  <w:vAlign w:val="center"/>
                </w:tcPr>
                <w:p w14:paraId="116625D6">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15800</w:t>
                  </w:r>
                </w:p>
              </w:tc>
            </w:tr>
            <w:tr w14:paraId="018BCC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6" w:hRule="atLeast"/>
              </w:trPr>
              <w:tc>
                <w:tcPr>
                  <w:tcW w:w="1623" w:type="dxa"/>
                  <w:vAlign w:val="center"/>
                </w:tcPr>
                <w:p w14:paraId="3E6A37CE">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pacing w:val="8"/>
                      <w:sz w:val="21"/>
                      <w:szCs w:val="21"/>
                    </w:rPr>
                    <w:t>施工营地区</w:t>
                  </w:r>
                </w:p>
              </w:tc>
              <w:tc>
                <w:tcPr>
                  <w:tcW w:w="1333" w:type="dxa"/>
                  <w:vAlign w:val="center"/>
                </w:tcPr>
                <w:p w14:paraId="12A391BB">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pacing w:val="6"/>
                      <w:sz w:val="21"/>
                      <w:szCs w:val="21"/>
                    </w:rPr>
                    <w:t>工程措施</w:t>
                  </w:r>
                </w:p>
              </w:tc>
              <w:tc>
                <w:tcPr>
                  <w:tcW w:w="2673" w:type="dxa"/>
                  <w:vAlign w:val="center"/>
                </w:tcPr>
                <w:p w14:paraId="479607E3">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pacing w:val="7"/>
                      <w:sz w:val="21"/>
                      <w:szCs w:val="21"/>
                    </w:rPr>
                    <w:t>表土剥离</w:t>
                  </w:r>
                </w:p>
              </w:tc>
              <w:tc>
                <w:tcPr>
                  <w:tcW w:w="1029" w:type="dxa"/>
                  <w:vAlign w:val="center"/>
                </w:tcPr>
                <w:p w14:paraId="50457FB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1"/>
                      <w:szCs w:val="21"/>
                    </w:rPr>
                  </w:pPr>
                  <w:r>
                    <w:rPr>
                      <w:rFonts w:hint="eastAsia" w:cs="Times New Roman"/>
                      <w:sz w:val="21"/>
                      <w:szCs w:val="21"/>
                      <w:lang w:val="en-US" w:eastAsia="zh-CN"/>
                    </w:rPr>
                    <w:t>m</w:t>
                  </w:r>
                  <w:r>
                    <w:rPr>
                      <w:rFonts w:hint="eastAsia" w:cs="Times New Roman"/>
                      <w:sz w:val="21"/>
                      <w:szCs w:val="21"/>
                      <w:vertAlign w:val="superscript"/>
                      <w:lang w:val="en-US" w:eastAsia="zh-CN"/>
                    </w:rPr>
                    <w:t>3</w:t>
                  </w:r>
                </w:p>
              </w:tc>
              <w:tc>
                <w:tcPr>
                  <w:tcW w:w="1119" w:type="dxa"/>
                  <w:vAlign w:val="center"/>
                </w:tcPr>
                <w:p w14:paraId="0FED149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600</w:t>
                  </w:r>
                </w:p>
              </w:tc>
            </w:tr>
          </w:tbl>
          <w:p w14:paraId="1A099093">
            <w:pPr>
              <w:spacing w:before="78" w:line="212" w:lineRule="auto"/>
              <w:ind w:left="0" w:leftChars="0" w:firstLine="0" w:firstLineChars="0"/>
              <w:jc w:val="center"/>
              <w:rPr>
                <w:rFonts w:hint="eastAsia" w:ascii="Times New Roman" w:hAnsi="Times New Roman" w:eastAsia="宋体" w:cs="Times New Roman"/>
                <w:b/>
                <w:color w:val="auto"/>
                <w:kern w:val="0"/>
                <w:sz w:val="21"/>
                <w:szCs w:val="28"/>
                <w:lang w:val="en-US" w:eastAsia="zh-CN" w:bidi="ar-SA"/>
              </w:rPr>
            </w:pPr>
            <w:r>
              <w:rPr>
                <w:rFonts w:hint="eastAsia" w:ascii="Times New Roman" w:hAnsi="Times New Roman" w:eastAsia="宋体" w:cs="Times New Roman"/>
                <w:b/>
                <w:color w:val="auto"/>
                <w:kern w:val="0"/>
                <w:sz w:val="21"/>
                <w:szCs w:val="28"/>
                <w:lang w:val="en-US" w:eastAsia="zh-CN" w:bidi="ar-SA"/>
              </w:rPr>
              <w:t>表 5-2  本方案新增水土保持工程量汇总表</w:t>
            </w:r>
          </w:p>
          <w:tbl>
            <w:tblPr>
              <w:tblStyle w:val="46"/>
              <w:tblW w:w="777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23"/>
              <w:gridCol w:w="1188"/>
              <w:gridCol w:w="1736"/>
              <w:gridCol w:w="1291"/>
              <w:gridCol w:w="821"/>
              <w:gridCol w:w="1119"/>
            </w:tblGrid>
            <w:tr w14:paraId="6CD636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3" w:hRule="atLeast"/>
              </w:trPr>
              <w:tc>
                <w:tcPr>
                  <w:tcW w:w="1623" w:type="dxa"/>
                  <w:vAlign w:val="center"/>
                </w:tcPr>
                <w:p w14:paraId="2B02FACC">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pacing w:val="5"/>
                      <w:sz w:val="21"/>
                      <w:szCs w:val="21"/>
                    </w:rPr>
                    <w:t>项目区</w:t>
                  </w:r>
                </w:p>
              </w:tc>
              <w:tc>
                <w:tcPr>
                  <w:tcW w:w="1188" w:type="dxa"/>
                  <w:vAlign w:val="center"/>
                </w:tcPr>
                <w:p w14:paraId="28B9A81C">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pacing w:val="7"/>
                      <w:sz w:val="21"/>
                      <w:szCs w:val="21"/>
                    </w:rPr>
                    <w:t>措施类型</w:t>
                  </w:r>
                </w:p>
              </w:tc>
              <w:tc>
                <w:tcPr>
                  <w:tcW w:w="3027" w:type="dxa"/>
                  <w:gridSpan w:val="2"/>
                  <w:vAlign w:val="center"/>
                </w:tcPr>
                <w:p w14:paraId="2E19F542">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pacing w:val="7"/>
                      <w:sz w:val="21"/>
                      <w:szCs w:val="21"/>
                    </w:rPr>
                    <w:t>措施名称</w:t>
                  </w:r>
                </w:p>
              </w:tc>
              <w:tc>
                <w:tcPr>
                  <w:tcW w:w="821" w:type="dxa"/>
                  <w:vAlign w:val="center"/>
                </w:tcPr>
                <w:p w14:paraId="766F6B31">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pacing w:val="3"/>
                      <w:sz w:val="21"/>
                      <w:szCs w:val="21"/>
                    </w:rPr>
                    <w:t>单位</w:t>
                  </w:r>
                </w:p>
              </w:tc>
              <w:tc>
                <w:tcPr>
                  <w:tcW w:w="1119" w:type="dxa"/>
                  <w:vAlign w:val="center"/>
                </w:tcPr>
                <w:p w14:paraId="3F13AD8D">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pacing w:val="3"/>
                      <w:sz w:val="21"/>
                      <w:szCs w:val="21"/>
                    </w:rPr>
                    <w:t>数量</w:t>
                  </w:r>
                </w:p>
              </w:tc>
            </w:tr>
            <w:tr w14:paraId="262701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7" w:hRule="atLeast"/>
              </w:trPr>
              <w:tc>
                <w:tcPr>
                  <w:tcW w:w="1623" w:type="dxa"/>
                  <w:vAlign w:val="center"/>
                </w:tcPr>
                <w:p w14:paraId="45CADE23">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pacing w:val="8"/>
                      <w:sz w:val="21"/>
                      <w:szCs w:val="21"/>
                    </w:rPr>
                    <w:t>工程建设施工区</w:t>
                  </w:r>
                </w:p>
              </w:tc>
              <w:tc>
                <w:tcPr>
                  <w:tcW w:w="1188" w:type="dxa"/>
                  <w:vAlign w:val="center"/>
                </w:tcPr>
                <w:p w14:paraId="3067DECB">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pacing w:val="4"/>
                      <w:sz w:val="21"/>
                      <w:szCs w:val="21"/>
                    </w:rPr>
                    <w:t>临时措施</w:t>
                  </w:r>
                </w:p>
              </w:tc>
              <w:tc>
                <w:tcPr>
                  <w:tcW w:w="1736" w:type="dxa"/>
                  <w:vAlign w:val="center"/>
                </w:tcPr>
                <w:p w14:paraId="2B59D611">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pacing w:val="5"/>
                      <w:sz w:val="21"/>
                      <w:szCs w:val="21"/>
                    </w:rPr>
                    <w:t>排水沟（</w:t>
                  </w:r>
                  <w:r>
                    <w:rPr>
                      <w:rFonts w:ascii="Times New Roman" w:hAnsi="Times New Roman" w:eastAsia="Times New Roman" w:cs="Times New Roman"/>
                      <w:spacing w:val="5"/>
                      <w:sz w:val="21"/>
                      <w:szCs w:val="21"/>
                    </w:rPr>
                    <w:t>28377m</w:t>
                  </w:r>
                  <w:r>
                    <w:rPr>
                      <w:spacing w:val="5"/>
                      <w:sz w:val="21"/>
                      <w:szCs w:val="21"/>
                    </w:rPr>
                    <w:t>）</w:t>
                  </w:r>
                </w:p>
              </w:tc>
              <w:tc>
                <w:tcPr>
                  <w:tcW w:w="1291" w:type="dxa"/>
                  <w:vAlign w:val="center"/>
                </w:tcPr>
                <w:p w14:paraId="4E537992">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pacing w:val="7"/>
                      <w:sz w:val="21"/>
                      <w:szCs w:val="21"/>
                    </w:rPr>
                    <w:t>土方开挖</w:t>
                  </w:r>
                </w:p>
              </w:tc>
              <w:tc>
                <w:tcPr>
                  <w:tcW w:w="821" w:type="dxa"/>
                  <w:vAlign w:val="center"/>
                </w:tcPr>
                <w:p w14:paraId="25A77A1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m</w:t>
                  </w:r>
                  <w:r>
                    <w:rPr>
                      <w:rFonts w:hint="eastAsia" w:cs="Times New Roman"/>
                      <w:sz w:val="21"/>
                      <w:szCs w:val="21"/>
                      <w:vertAlign w:val="superscript"/>
                      <w:lang w:val="en-US" w:eastAsia="zh-CN"/>
                    </w:rPr>
                    <w:t>3</w:t>
                  </w:r>
                </w:p>
              </w:tc>
              <w:tc>
                <w:tcPr>
                  <w:tcW w:w="1119" w:type="dxa"/>
                  <w:vAlign w:val="center"/>
                </w:tcPr>
                <w:p w14:paraId="109C125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7151</w:t>
                  </w:r>
                </w:p>
              </w:tc>
            </w:tr>
            <w:tr w14:paraId="762A8A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7" w:hRule="atLeast"/>
              </w:trPr>
              <w:tc>
                <w:tcPr>
                  <w:tcW w:w="1623" w:type="dxa"/>
                  <w:vMerge w:val="restart"/>
                  <w:tcBorders>
                    <w:bottom w:val="nil"/>
                  </w:tcBorders>
                  <w:vAlign w:val="center"/>
                </w:tcPr>
                <w:p w14:paraId="0A9A2DAD">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pacing w:val="8"/>
                      <w:sz w:val="21"/>
                      <w:szCs w:val="21"/>
                    </w:rPr>
                    <w:t>表土转存场区</w:t>
                  </w:r>
                </w:p>
              </w:tc>
              <w:tc>
                <w:tcPr>
                  <w:tcW w:w="1188" w:type="dxa"/>
                  <w:vMerge w:val="restart"/>
                  <w:tcBorders>
                    <w:bottom w:val="nil"/>
                  </w:tcBorders>
                  <w:vAlign w:val="center"/>
                </w:tcPr>
                <w:p w14:paraId="212BE6D7">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pacing w:val="4"/>
                      <w:sz w:val="21"/>
                      <w:szCs w:val="21"/>
                    </w:rPr>
                    <w:t>临时措施</w:t>
                  </w:r>
                </w:p>
              </w:tc>
              <w:tc>
                <w:tcPr>
                  <w:tcW w:w="3027" w:type="dxa"/>
                  <w:gridSpan w:val="2"/>
                  <w:vAlign w:val="center"/>
                </w:tcPr>
                <w:p w14:paraId="2998EE5F">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pacing w:val="7"/>
                      <w:sz w:val="21"/>
                      <w:szCs w:val="21"/>
                    </w:rPr>
                    <w:t>场地平整</w:t>
                  </w:r>
                </w:p>
              </w:tc>
              <w:tc>
                <w:tcPr>
                  <w:tcW w:w="821" w:type="dxa"/>
                  <w:vAlign w:val="center"/>
                </w:tcPr>
                <w:p w14:paraId="230D55CC">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pacing w:val="4"/>
                      <w:position w:val="-3"/>
                      <w:sz w:val="21"/>
                      <w:szCs w:val="21"/>
                      <w:vertAlign w:val="baseline"/>
                      <w:lang w:val="en-US" w:eastAsia="zh-CN"/>
                    </w:rPr>
                    <w:t>m</w:t>
                  </w:r>
                  <w:r>
                    <w:rPr>
                      <w:rFonts w:hint="eastAsia" w:cs="Times New Roman"/>
                      <w:spacing w:val="4"/>
                      <w:position w:val="-3"/>
                      <w:sz w:val="21"/>
                      <w:szCs w:val="21"/>
                      <w:vertAlign w:val="superscript"/>
                      <w:lang w:val="en-US" w:eastAsia="zh-CN"/>
                    </w:rPr>
                    <w:t>2</w:t>
                  </w:r>
                </w:p>
              </w:tc>
              <w:tc>
                <w:tcPr>
                  <w:tcW w:w="1119" w:type="dxa"/>
                  <w:vAlign w:val="center"/>
                </w:tcPr>
                <w:p w14:paraId="681F9A04">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8200</w:t>
                  </w:r>
                </w:p>
              </w:tc>
            </w:tr>
            <w:tr w14:paraId="63CDCA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7" w:hRule="atLeast"/>
              </w:trPr>
              <w:tc>
                <w:tcPr>
                  <w:tcW w:w="1623" w:type="dxa"/>
                  <w:vMerge w:val="continue"/>
                  <w:tcBorders>
                    <w:top w:val="nil"/>
                    <w:bottom w:val="nil"/>
                  </w:tcBorders>
                  <w:vAlign w:val="center"/>
                </w:tcPr>
                <w:p w14:paraId="20B49A3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Arial"/>
                      <w:sz w:val="21"/>
                      <w:szCs w:val="21"/>
                    </w:rPr>
                  </w:pPr>
                </w:p>
              </w:tc>
              <w:tc>
                <w:tcPr>
                  <w:tcW w:w="1188" w:type="dxa"/>
                  <w:vMerge w:val="continue"/>
                  <w:tcBorders>
                    <w:top w:val="nil"/>
                    <w:bottom w:val="nil"/>
                  </w:tcBorders>
                  <w:vAlign w:val="center"/>
                </w:tcPr>
                <w:p w14:paraId="186C45D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Arial"/>
                      <w:sz w:val="21"/>
                      <w:szCs w:val="21"/>
                    </w:rPr>
                  </w:pPr>
                </w:p>
              </w:tc>
              <w:tc>
                <w:tcPr>
                  <w:tcW w:w="1736" w:type="dxa"/>
                  <w:vAlign w:val="center"/>
                </w:tcPr>
                <w:p w14:paraId="1491AAA6">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pacing w:val="5"/>
                      <w:sz w:val="21"/>
                      <w:szCs w:val="21"/>
                    </w:rPr>
                    <w:t>排水沟（</w:t>
                  </w:r>
                  <w:r>
                    <w:rPr>
                      <w:rFonts w:ascii="Times New Roman" w:hAnsi="Times New Roman" w:eastAsia="Times New Roman" w:cs="Times New Roman"/>
                      <w:spacing w:val="5"/>
                      <w:sz w:val="21"/>
                      <w:szCs w:val="21"/>
                    </w:rPr>
                    <w:t>810m</w:t>
                  </w:r>
                  <w:r>
                    <w:rPr>
                      <w:spacing w:val="5"/>
                      <w:sz w:val="21"/>
                      <w:szCs w:val="21"/>
                    </w:rPr>
                    <w:t>）</w:t>
                  </w:r>
                </w:p>
              </w:tc>
              <w:tc>
                <w:tcPr>
                  <w:tcW w:w="1291" w:type="dxa"/>
                  <w:vAlign w:val="center"/>
                </w:tcPr>
                <w:p w14:paraId="1A47D392">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pacing w:val="7"/>
                      <w:sz w:val="21"/>
                      <w:szCs w:val="21"/>
                    </w:rPr>
                    <w:t>土方开挖</w:t>
                  </w:r>
                </w:p>
              </w:tc>
              <w:tc>
                <w:tcPr>
                  <w:tcW w:w="821" w:type="dxa"/>
                  <w:vAlign w:val="center"/>
                </w:tcPr>
                <w:p w14:paraId="014738A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1"/>
                      <w:szCs w:val="21"/>
                    </w:rPr>
                  </w:pPr>
                  <w:r>
                    <w:rPr>
                      <w:rFonts w:hint="eastAsia" w:cs="Times New Roman"/>
                      <w:sz w:val="21"/>
                      <w:szCs w:val="21"/>
                      <w:lang w:val="en-US" w:eastAsia="zh-CN"/>
                    </w:rPr>
                    <w:t>m</w:t>
                  </w:r>
                  <w:r>
                    <w:rPr>
                      <w:rFonts w:hint="eastAsia" w:cs="Times New Roman"/>
                      <w:sz w:val="21"/>
                      <w:szCs w:val="21"/>
                      <w:vertAlign w:val="superscript"/>
                      <w:lang w:val="en-US" w:eastAsia="zh-CN"/>
                    </w:rPr>
                    <w:t>3</w:t>
                  </w:r>
                </w:p>
              </w:tc>
              <w:tc>
                <w:tcPr>
                  <w:tcW w:w="1119" w:type="dxa"/>
                  <w:vAlign w:val="center"/>
                </w:tcPr>
                <w:p w14:paraId="211CE1E4">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205</w:t>
                  </w:r>
                </w:p>
              </w:tc>
            </w:tr>
            <w:tr w14:paraId="153D58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7" w:hRule="atLeast"/>
              </w:trPr>
              <w:tc>
                <w:tcPr>
                  <w:tcW w:w="1623" w:type="dxa"/>
                  <w:vMerge w:val="continue"/>
                  <w:tcBorders>
                    <w:top w:val="nil"/>
                    <w:bottom w:val="nil"/>
                  </w:tcBorders>
                  <w:vAlign w:val="center"/>
                </w:tcPr>
                <w:p w14:paraId="597D3F0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Arial"/>
                      <w:sz w:val="21"/>
                      <w:szCs w:val="21"/>
                    </w:rPr>
                  </w:pPr>
                </w:p>
              </w:tc>
              <w:tc>
                <w:tcPr>
                  <w:tcW w:w="1188" w:type="dxa"/>
                  <w:vMerge w:val="continue"/>
                  <w:tcBorders>
                    <w:top w:val="nil"/>
                    <w:bottom w:val="nil"/>
                  </w:tcBorders>
                  <w:vAlign w:val="center"/>
                </w:tcPr>
                <w:p w14:paraId="2AE643C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Arial"/>
                      <w:sz w:val="21"/>
                      <w:szCs w:val="21"/>
                    </w:rPr>
                  </w:pPr>
                </w:p>
              </w:tc>
              <w:tc>
                <w:tcPr>
                  <w:tcW w:w="3027" w:type="dxa"/>
                  <w:gridSpan w:val="2"/>
                  <w:vAlign w:val="center"/>
                </w:tcPr>
                <w:p w14:paraId="37C2E15D">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pacing w:val="7"/>
                      <w:sz w:val="21"/>
                      <w:szCs w:val="21"/>
                    </w:rPr>
                    <w:t>粘土编织袋拦挡、拆除（</w:t>
                  </w:r>
                  <w:r>
                    <w:rPr>
                      <w:rFonts w:ascii="Times New Roman" w:hAnsi="Times New Roman" w:eastAsia="Times New Roman" w:cs="Times New Roman"/>
                      <w:spacing w:val="7"/>
                      <w:sz w:val="21"/>
                      <w:szCs w:val="21"/>
                    </w:rPr>
                    <w:t>783m</w:t>
                  </w:r>
                  <w:r>
                    <w:rPr>
                      <w:spacing w:val="7"/>
                      <w:sz w:val="21"/>
                      <w:szCs w:val="21"/>
                    </w:rPr>
                    <w:t>）</w:t>
                  </w:r>
                </w:p>
              </w:tc>
              <w:tc>
                <w:tcPr>
                  <w:tcW w:w="821" w:type="dxa"/>
                  <w:vAlign w:val="center"/>
                </w:tcPr>
                <w:p w14:paraId="33355DF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1"/>
                      <w:szCs w:val="21"/>
                    </w:rPr>
                  </w:pPr>
                  <w:r>
                    <w:rPr>
                      <w:rFonts w:hint="eastAsia" w:cs="Times New Roman"/>
                      <w:sz w:val="21"/>
                      <w:szCs w:val="21"/>
                      <w:lang w:val="en-US" w:eastAsia="zh-CN"/>
                    </w:rPr>
                    <w:t>m</w:t>
                  </w:r>
                  <w:r>
                    <w:rPr>
                      <w:rFonts w:hint="eastAsia" w:cs="Times New Roman"/>
                      <w:sz w:val="21"/>
                      <w:szCs w:val="21"/>
                      <w:vertAlign w:val="superscript"/>
                      <w:lang w:val="en-US" w:eastAsia="zh-CN"/>
                    </w:rPr>
                    <w:t>3</w:t>
                  </w:r>
                </w:p>
              </w:tc>
              <w:tc>
                <w:tcPr>
                  <w:tcW w:w="1119" w:type="dxa"/>
                  <w:vAlign w:val="center"/>
                </w:tcPr>
                <w:p w14:paraId="76F81C3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1172</w:t>
                  </w:r>
                </w:p>
              </w:tc>
            </w:tr>
            <w:tr w14:paraId="1D523B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8" w:hRule="atLeast"/>
              </w:trPr>
              <w:tc>
                <w:tcPr>
                  <w:tcW w:w="1623" w:type="dxa"/>
                  <w:vMerge w:val="continue"/>
                  <w:tcBorders>
                    <w:top w:val="nil"/>
                  </w:tcBorders>
                  <w:vAlign w:val="center"/>
                </w:tcPr>
                <w:p w14:paraId="3E2E18A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Arial"/>
                      <w:sz w:val="21"/>
                      <w:szCs w:val="21"/>
                    </w:rPr>
                  </w:pPr>
                </w:p>
              </w:tc>
              <w:tc>
                <w:tcPr>
                  <w:tcW w:w="1188" w:type="dxa"/>
                  <w:vMerge w:val="continue"/>
                  <w:tcBorders>
                    <w:top w:val="nil"/>
                  </w:tcBorders>
                  <w:vAlign w:val="center"/>
                </w:tcPr>
                <w:p w14:paraId="2EAA343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Arial"/>
                      <w:sz w:val="21"/>
                      <w:szCs w:val="21"/>
                    </w:rPr>
                  </w:pPr>
                </w:p>
              </w:tc>
              <w:tc>
                <w:tcPr>
                  <w:tcW w:w="3027" w:type="dxa"/>
                  <w:gridSpan w:val="2"/>
                  <w:vAlign w:val="center"/>
                </w:tcPr>
                <w:p w14:paraId="2794F08B">
                  <w:pPr>
                    <w:pStyle w:val="66"/>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sz w:val="21"/>
                      <w:szCs w:val="21"/>
                    </w:rPr>
                  </w:pPr>
                  <w:r>
                    <w:rPr>
                      <w:spacing w:val="7"/>
                      <w:sz w:val="21"/>
                      <w:szCs w:val="21"/>
                    </w:rPr>
                    <w:t>彩条布覆盖</w:t>
                  </w:r>
                </w:p>
              </w:tc>
              <w:tc>
                <w:tcPr>
                  <w:tcW w:w="821" w:type="dxa"/>
                  <w:vAlign w:val="center"/>
                </w:tcPr>
                <w:p w14:paraId="4CE5EF0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sz w:val="21"/>
                      <w:szCs w:val="21"/>
                      <w:lang w:val="en-US"/>
                    </w:rPr>
                  </w:pPr>
                  <w:r>
                    <w:rPr>
                      <w:rFonts w:hint="eastAsia" w:cs="Times New Roman"/>
                      <w:sz w:val="21"/>
                      <w:szCs w:val="21"/>
                      <w:lang w:val="en-US" w:eastAsia="zh-CN"/>
                    </w:rPr>
                    <w:t>m</w:t>
                  </w:r>
                  <w:r>
                    <w:rPr>
                      <w:rFonts w:hint="eastAsia" w:cs="Times New Roman"/>
                      <w:sz w:val="21"/>
                      <w:szCs w:val="21"/>
                      <w:vertAlign w:val="superscript"/>
                      <w:lang w:val="en-US" w:eastAsia="zh-CN"/>
                    </w:rPr>
                    <w:t>2</w:t>
                  </w:r>
                </w:p>
              </w:tc>
              <w:tc>
                <w:tcPr>
                  <w:tcW w:w="1119" w:type="dxa"/>
                  <w:vAlign w:val="center"/>
                </w:tcPr>
                <w:p w14:paraId="222556D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8200</w:t>
                  </w:r>
                </w:p>
              </w:tc>
            </w:tr>
          </w:tbl>
          <w:p w14:paraId="4EB11385">
            <w:pPr>
              <w:pStyle w:val="36"/>
              <w:bidi w:val="0"/>
              <w:rPr>
                <w:b/>
                <w:bCs/>
                <w:color w:val="auto"/>
              </w:rPr>
            </w:pPr>
            <w:r>
              <w:rPr>
                <w:b/>
                <w:bCs/>
                <w:color w:val="auto"/>
              </w:rPr>
              <w:t>三、环境管理与监测计划</w:t>
            </w:r>
          </w:p>
          <w:p w14:paraId="306DF1C7">
            <w:pPr>
              <w:pStyle w:val="36"/>
              <w:bidi w:val="0"/>
              <w:rPr>
                <w:rFonts w:hint="eastAsia"/>
                <w:b/>
                <w:bCs/>
                <w:color w:val="auto"/>
                <w:lang w:val="en-US" w:eastAsia="zh-CN"/>
              </w:rPr>
            </w:pPr>
            <w:r>
              <w:rPr>
                <w:rFonts w:hint="eastAsia"/>
                <w:b/>
                <w:bCs/>
                <w:color w:val="auto"/>
                <w:lang w:val="en-US" w:eastAsia="zh-CN"/>
              </w:rPr>
              <w:t>1、环境监理</w:t>
            </w:r>
          </w:p>
          <w:p w14:paraId="33D11E86">
            <w:pPr>
              <w:pStyle w:val="36"/>
              <w:bidi w:val="0"/>
              <w:rPr>
                <w:b/>
                <w:bCs/>
                <w:color w:val="auto"/>
              </w:rPr>
            </w:pPr>
            <w:r>
              <w:rPr>
                <w:rFonts w:hint="eastAsia"/>
                <w:b/>
                <w:bCs/>
                <w:color w:val="auto"/>
                <w:lang w:val="en-US" w:eastAsia="zh-CN"/>
              </w:rPr>
              <w:t>（1）</w:t>
            </w:r>
            <w:r>
              <w:rPr>
                <w:b/>
                <w:bCs/>
                <w:color w:val="auto"/>
              </w:rPr>
              <w:t>监理目的</w:t>
            </w:r>
          </w:p>
          <w:p w14:paraId="62B7A1E2">
            <w:pPr>
              <w:pStyle w:val="36"/>
              <w:bidi w:val="0"/>
              <w:rPr>
                <w:color w:val="auto"/>
              </w:rPr>
            </w:pPr>
            <w:r>
              <w:rPr>
                <w:color w:val="auto"/>
              </w:rPr>
              <w:t>在工程施工期间，应根据工程环境保护设计要求，开展施工期环境监理，受业主委托，在业主授权范围内，代业主进行工程环境管理。全面监督和检查各施工单位环境保护措施的实施和效果，及时处理和解决临时出现的环境污染事件。</w:t>
            </w:r>
          </w:p>
          <w:p w14:paraId="4041BC2A">
            <w:pPr>
              <w:pStyle w:val="36"/>
              <w:bidi w:val="0"/>
              <w:rPr>
                <w:b/>
                <w:bCs/>
                <w:color w:val="auto"/>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b/>
                <w:bCs/>
                <w:color w:val="auto"/>
              </w:rPr>
              <w:t>监理范围</w:t>
            </w:r>
          </w:p>
          <w:p w14:paraId="0008E764">
            <w:pPr>
              <w:pStyle w:val="36"/>
              <w:bidi w:val="0"/>
              <w:rPr>
                <w:color w:val="auto"/>
              </w:rPr>
            </w:pPr>
            <w:r>
              <w:rPr>
                <w:color w:val="auto"/>
              </w:rPr>
              <w:t>本工程建设区的环境监理工作范围包括各标段承包商及其分包商施工现场、生产区、生活营地、施工区道路等所有可能造成环境污染和生态破坏的区域。</w:t>
            </w:r>
          </w:p>
          <w:p w14:paraId="35215A8B">
            <w:pPr>
              <w:pStyle w:val="36"/>
              <w:bidi w:val="0"/>
              <w:rPr>
                <w:b/>
                <w:bCs/>
                <w:color w:val="auto"/>
              </w:rPr>
            </w:pPr>
            <w:r>
              <w:rPr>
                <w:rFonts w:hint="eastAsia"/>
                <w:b/>
                <w:bCs/>
                <w:color w:val="auto"/>
                <w:lang w:eastAsia="zh-CN"/>
              </w:rPr>
              <w:t>（</w:t>
            </w:r>
            <w:r>
              <w:rPr>
                <w:rFonts w:hint="eastAsia"/>
                <w:b/>
                <w:bCs/>
                <w:color w:val="auto"/>
                <w:lang w:val="en-US" w:eastAsia="zh-CN"/>
              </w:rPr>
              <w:t>3</w:t>
            </w:r>
            <w:r>
              <w:rPr>
                <w:rFonts w:hint="eastAsia"/>
                <w:b/>
                <w:bCs/>
                <w:color w:val="auto"/>
                <w:lang w:eastAsia="zh-CN"/>
              </w:rPr>
              <w:t>）</w:t>
            </w:r>
            <w:r>
              <w:rPr>
                <w:b/>
                <w:bCs/>
                <w:color w:val="auto"/>
              </w:rPr>
              <w:t>监理内容</w:t>
            </w:r>
          </w:p>
          <w:p w14:paraId="577335A6">
            <w:pPr>
              <w:pStyle w:val="36"/>
              <w:bidi w:val="0"/>
              <w:rPr>
                <w:color w:val="auto"/>
              </w:rPr>
            </w:pPr>
            <w:r>
              <w:rPr>
                <w:color w:val="auto"/>
              </w:rPr>
              <w:t>遵循国家及当地政府关于环境保护的方针、政策、法令、法规，监督承包商落实工程承包合同中有关环境保护条款。环评文件及设计文件中提出的各项环境保护措施。</w:t>
            </w:r>
          </w:p>
          <w:p w14:paraId="059F288D">
            <w:pPr>
              <w:pStyle w:val="36"/>
              <w:bidi w:val="0"/>
              <w:rPr>
                <w:b/>
                <w:bCs/>
                <w:color w:val="auto"/>
              </w:rPr>
            </w:pPr>
            <w:r>
              <w:rPr>
                <w:rFonts w:hint="eastAsia"/>
                <w:b/>
                <w:bCs/>
                <w:color w:val="auto"/>
                <w:lang w:eastAsia="zh-CN"/>
              </w:rPr>
              <w:t>（</w:t>
            </w:r>
            <w:r>
              <w:rPr>
                <w:rFonts w:hint="eastAsia"/>
                <w:b/>
                <w:bCs/>
                <w:color w:val="auto"/>
                <w:lang w:val="en-US" w:eastAsia="zh-CN"/>
              </w:rPr>
              <w:t>4</w:t>
            </w:r>
            <w:r>
              <w:rPr>
                <w:rFonts w:hint="eastAsia"/>
                <w:b/>
                <w:bCs/>
                <w:color w:val="auto"/>
                <w:lang w:eastAsia="zh-CN"/>
              </w:rPr>
              <w:t>）施工单位</w:t>
            </w:r>
            <w:r>
              <w:rPr>
                <w:b/>
                <w:bCs/>
                <w:color w:val="auto"/>
              </w:rPr>
              <w:t>环境管理</w:t>
            </w:r>
          </w:p>
          <w:p w14:paraId="7A80D6A5">
            <w:pPr>
              <w:pStyle w:val="36"/>
              <w:bidi w:val="0"/>
              <w:rPr>
                <w:color w:val="auto"/>
              </w:rPr>
            </w:pPr>
            <w:r>
              <w:rPr>
                <w:color w:val="auto"/>
              </w:rPr>
              <w:t>工程施工单位内部设立“环境办公室”，具体负责实施招标文件中规定的环境保护对策措施，接受工程建设单位“环境管理办公室”的监督和管理。它的主要工作内容包括：</w:t>
            </w:r>
          </w:p>
          <w:p w14:paraId="783F545E">
            <w:pPr>
              <w:pStyle w:val="36"/>
              <w:bidi w:val="0"/>
              <w:rPr>
                <w:color w:val="auto"/>
              </w:rPr>
            </w:pPr>
            <w:r>
              <w:rPr>
                <w:color w:val="auto"/>
              </w:rPr>
              <w:t>a</w:t>
            </w:r>
            <w:r>
              <w:rPr>
                <w:rFonts w:hint="eastAsia"/>
                <w:color w:val="auto"/>
                <w:lang w:eastAsia="zh-CN"/>
              </w:rPr>
              <w:t>.</w:t>
            </w:r>
            <w:r>
              <w:rPr>
                <w:color w:val="auto"/>
              </w:rPr>
              <w:t>制定年度环境保护工作计划；</w:t>
            </w:r>
          </w:p>
          <w:p w14:paraId="7000CEAB">
            <w:pPr>
              <w:pStyle w:val="36"/>
              <w:bidi w:val="0"/>
              <w:rPr>
                <w:color w:val="auto"/>
              </w:rPr>
            </w:pPr>
            <w:r>
              <w:rPr>
                <w:color w:val="auto"/>
              </w:rPr>
              <w:t>b</w:t>
            </w:r>
            <w:r>
              <w:rPr>
                <w:rFonts w:hint="eastAsia"/>
                <w:color w:val="auto"/>
                <w:lang w:eastAsia="zh-CN"/>
              </w:rPr>
              <w:t>.</w:t>
            </w:r>
            <w:r>
              <w:rPr>
                <w:color w:val="auto"/>
              </w:rPr>
              <w:t>实施工程环境保护的措施，处理实施过程中的有关问题；</w:t>
            </w:r>
          </w:p>
          <w:p w14:paraId="72701267">
            <w:pPr>
              <w:pStyle w:val="36"/>
              <w:bidi w:val="0"/>
              <w:rPr>
                <w:color w:val="auto"/>
              </w:rPr>
            </w:pPr>
            <w:r>
              <w:rPr>
                <w:color w:val="auto"/>
              </w:rPr>
              <w:t>c</w:t>
            </w:r>
            <w:r>
              <w:rPr>
                <w:rFonts w:hint="eastAsia"/>
                <w:color w:val="auto"/>
                <w:lang w:eastAsia="zh-CN"/>
              </w:rPr>
              <w:t>.</w:t>
            </w:r>
            <w:r>
              <w:rPr>
                <w:color w:val="auto"/>
              </w:rPr>
              <w:t>核算年度环境保护费用使用情况；</w:t>
            </w:r>
          </w:p>
          <w:p w14:paraId="3F180644">
            <w:pPr>
              <w:pStyle w:val="36"/>
              <w:bidi w:val="0"/>
              <w:rPr>
                <w:color w:val="auto"/>
              </w:rPr>
            </w:pPr>
            <w:r>
              <w:rPr>
                <w:color w:val="auto"/>
              </w:rPr>
              <w:t>d</w:t>
            </w:r>
            <w:r>
              <w:rPr>
                <w:rFonts w:hint="eastAsia"/>
                <w:color w:val="auto"/>
                <w:lang w:eastAsia="zh-CN"/>
              </w:rPr>
              <w:t>.</w:t>
            </w:r>
            <w:r>
              <w:rPr>
                <w:color w:val="auto"/>
              </w:rPr>
              <w:t>检查环境保护设施的建设进度、质量、运行状况；</w:t>
            </w:r>
          </w:p>
          <w:p w14:paraId="4968A173">
            <w:pPr>
              <w:pStyle w:val="36"/>
              <w:bidi w:val="0"/>
              <w:rPr>
                <w:rFonts w:hint="eastAsia"/>
                <w:color w:val="auto"/>
                <w:lang w:eastAsia="zh-CN"/>
              </w:rPr>
            </w:pPr>
            <w:r>
              <w:rPr>
                <w:color w:val="auto"/>
              </w:rPr>
              <w:t>e</w:t>
            </w:r>
            <w:r>
              <w:rPr>
                <w:rFonts w:hint="eastAsia"/>
                <w:color w:val="auto"/>
                <w:lang w:eastAsia="zh-CN"/>
              </w:rPr>
              <w:t>.</w:t>
            </w:r>
            <w:r>
              <w:rPr>
                <w:color w:val="auto"/>
              </w:rPr>
              <w:t>处理日常事务</w:t>
            </w:r>
            <w:r>
              <w:rPr>
                <w:rFonts w:hint="eastAsia"/>
                <w:color w:val="auto"/>
                <w:lang w:eastAsia="zh-CN"/>
              </w:rPr>
              <w:t>。</w:t>
            </w:r>
          </w:p>
          <w:p w14:paraId="236BE917">
            <w:pPr>
              <w:pStyle w:val="36"/>
              <w:bidi w:val="0"/>
              <w:rPr>
                <w:rFonts w:hint="eastAsia"/>
                <w:b/>
                <w:bCs/>
                <w:color w:val="auto"/>
                <w:lang w:eastAsia="zh-CN"/>
              </w:rPr>
            </w:pPr>
            <w:r>
              <w:rPr>
                <w:rFonts w:hint="eastAsia"/>
                <w:b/>
                <w:bCs/>
                <w:color w:val="auto"/>
                <w:lang w:val="en-US" w:eastAsia="zh-CN"/>
              </w:rPr>
              <w:t>2、</w:t>
            </w:r>
            <w:r>
              <w:rPr>
                <w:rFonts w:hint="eastAsia"/>
                <w:b/>
                <w:bCs/>
                <w:color w:val="auto"/>
                <w:lang w:eastAsia="zh-CN"/>
              </w:rPr>
              <w:t>环境管理制度</w:t>
            </w:r>
          </w:p>
          <w:p w14:paraId="46944C27">
            <w:pPr>
              <w:pStyle w:val="36"/>
              <w:bidi w:val="0"/>
              <w:rPr>
                <w:rFonts w:hint="eastAsia"/>
                <w:b/>
                <w:bCs/>
                <w:color w:val="auto"/>
                <w:lang w:eastAsia="zh-CN"/>
              </w:rPr>
            </w:pPr>
            <w:r>
              <w:rPr>
                <w:rFonts w:hint="eastAsia"/>
                <w:b/>
                <w:bCs/>
                <w:color w:val="auto"/>
                <w:lang w:eastAsia="zh-CN"/>
              </w:rPr>
              <w:t>（1）环境保护责任制</w:t>
            </w:r>
          </w:p>
          <w:p w14:paraId="624866E1">
            <w:pPr>
              <w:pStyle w:val="36"/>
              <w:bidi w:val="0"/>
              <w:rPr>
                <w:rFonts w:hint="eastAsia"/>
                <w:color w:val="auto"/>
                <w:lang w:eastAsia="zh-CN"/>
              </w:rPr>
            </w:pPr>
            <w:r>
              <w:rPr>
                <w:rFonts w:hint="eastAsia"/>
                <w:color w:val="auto"/>
                <w:lang w:eastAsia="zh-CN"/>
              </w:rPr>
              <w:t>在环境保护管理体系中，建立环境保护责任制，明确各环境管理机构的环境保护责任。</w:t>
            </w:r>
          </w:p>
          <w:p w14:paraId="1312E671">
            <w:pPr>
              <w:pStyle w:val="36"/>
              <w:bidi w:val="0"/>
              <w:rPr>
                <w:rFonts w:hint="eastAsia"/>
                <w:b/>
                <w:bCs/>
                <w:color w:val="auto"/>
                <w:lang w:eastAsia="zh-CN"/>
              </w:rPr>
            </w:pPr>
            <w:r>
              <w:rPr>
                <w:rFonts w:hint="eastAsia"/>
                <w:b/>
                <w:bCs/>
                <w:color w:val="auto"/>
                <w:lang w:eastAsia="zh-CN"/>
              </w:rPr>
              <w:t>（2）分级管理制度</w:t>
            </w:r>
          </w:p>
          <w:p w14:paraId="70A28C5A">
            <w:pPr>
              <w:pStyle w:val="36"/>
              <w:bidi w:val="0"/>
              <w:rPr>
                <w:rFonts w:hint="eastAsia"/>
                <w:color w:val="auto"/>
                <w:lang w:eastAsia="zh-CN"/>
              </w:rPr>
            </w:pPr>
            <w:r>
              <w:rPr>
                <w:rFonts w:hint="eastAsia"/>
                <w:color w:val="auto"/>
                <w:lang w:eastAsia="zh-CN"/>
              </w:rPr>
              <w:t>工程建设环保办公室负责定期检查，并将检查结果上报。环境监理单位受业主委托，在授权范围内实施环境管理，监督施工承包单位的各项环境保护工作。</w:t>
            </w:r>
          </w:p>
          <w:p w14:paraId="5838C82B">
            <w:pPr>
              <w:pStyle w:val="36"/>
              <w:bidi w:val="0"/>
              <w:rPr>
                <w:rFonts w:hint="eastAsia"/>
                <w:b/>
                <w:bCs/>
                <w:color w:val="auto"/>
                <w:lang w:eastAsia="zh-CN"/>
              </w:rPr>
            </w:pPr>
            <w:r>
              <w:rPr>
                <w:rFonts w:hint="eastAsia"/>
                <w:b/>
                <w:bCs/>
                <w:color w:val="auto"/>
                <w:lang w:eastAsia="zh-CN"/>
              </w:rPr>
              <w:t>（3）“三同时”验收制度</w:t>
            </w:r>
          </w:p>
          <w:p w14:paraId="4C0807E4">
            <w:pPr>
              <w:pStyle w:val="36"/>
              <w:bidi w:val="0"/>
              <w:rPr>
                <w:rFonts w:hint="eastAsia"/>
                <w:color w:val="auto"/>
                <w:lang w:eastAsia="zh-CN"/>
              </w:rPr>
            </w:pPr>
            <w:r>
              <w:rPr>
                <w:rFonts w:hint="eastAsia"/>
                <w:color w:val="auto"/>
                <w:lang w:eastAsia="zh-CN"/>
              </w:rPr>
              <w:t>根据《建设项目环境保护“三同时”管理办法》，工程建设过程中的污染防治设施必须与建设项目同时设计、同时施工、同时投入运行。有关“三同时”项目必须按合同规定有关部门验收合格后才能正式投入运行。防治污染的设施不得擅自拆除或闲置。</w:t>
            </w:r>
          </w:p>
          <w:p w14:paraId="6D487720">
            <w:pPr>
              <w:pStyle w:val="36"/>
              <w:bidi w:val="0"/>
              <w:rPr>
                <w:rFonts w:hint="eastAsia"/>
                <w:b/>
                <w:bCs/>
                <w:color w:val="auto"/>
                <w:lang w:eastAsia="zh-CN"/>
              </w:rPr>
            </w:pPr>
            <w:r>
              <w:rPr>
                <w:rFonts w:hint="eastAsia"/>
                <w:b/>
                <w:bCs/>
                <w:color w:val="auto"/>
                <w:lang w:eastAsia="zh-CN"/>
              </w:rPr>
              <w:t>（4）书面制度</w:t>
            </w:r>
          </w:p>
          <w:p w14:paraId="377231C0">
            <w:pPr>
              <w:pStyle w:val="36"/>
              <w:bidi w:val="0"/>
              <w:rPr>
                <w:rFonts w:hint="eastAsia"/>
                <w:color w:val="auto"/>
                <w:lang w:eastAsia="zh-CN"/>
              </w:rPr>
            </w:pPr>
            <w:r>
              <w:rPr>
                <w:rFonts w:hint="eastAsia"/>
                <w:color w:val="auto"/>
                <w:lang w:eastAsia="zh-CN"/>
              </w:rPr>
              <w:t>日常环境管理中所有要求、通报、整改通知及评议等，均采取书面文件或函件形式来往。</w:t>
            </w:r>
          </w:p>
          <w:p w14:paraId="42E30B96">
            <w:pPr>
              <w:pStyle w:val="36"/>
              <w:bidi w:val="0"/>
              <w:rPr>
                <w:rFonts w:hint="eastAsia"/>
                <w:b/>
                <w:bCs/>
                <w:color w:val="auto"/>
                <w:lang w:eastAsia="zh-CN"/>
              </w:rPr>
            </w:pPr>
            <w:r>
              <w:rPr>
                <w:rFonts w:hint="eastAsia"/>
                <w:b/>
                <w:bCs/>
                <w:color w:val="auto"/>
                <w:lang w:eastAsia="zh-CN"/>
              </w:rPr>
              <w:t>（5）报告制度</w:t>
            </w:r>
          </w:p>
          <w:p w14:paraId="6DD1272E">
            <w:pPr>
              <w:pStyle w:val="36"/>
              <w:bidi w:val="0"/>
              <w:rPr>
                <w:rFonts w:hint="eastAsia"/>
                <w:color w:val="auto"/>
                <w:lang w:eastAsia="zh-CN"/>
              </w:rPr>
            </w:pPr>
            <w:r>
              <w:rPr>
                <w:rFonts w:hint="eastAsia"/>
                <w:color w:val="auto"/>
                <w:lang w:eastAsia="zh-CN"/>
              </w:rPr>
              <w:t>施工单位定期向工程建设环保管理办公室和环境监理部提交环境月、半年及年报，设计环境保护各项内容的实施执行情况及所发生问题的整改方案和处理结果，阶段性总结。环境监理部定期向工程建设环保管理办公室报告施工区环境保护状况和监理工作进展，提交监理月、半年及年报。环境监理单位定期向工程建设环保管理办公室提交环境监测报告，环保管理办公室应委托有关技术单位对工程施工期进行环境评估，提出评估季报和年报。</w:t>
            </w:r>
          </w:p>
          <w:p w14:paraId="5259BF41">
            <w:pPr>
              <w:pStyle w:val="36"/>
              <w:bidi w:val="0"/>
              <w:rPr>
                <w:b/>
                <w:bCs/>
                <w:color w:val="auto"/>
              </w:rPr>
            </w:pPr>
            <w:r>
              <w:rPr>
                <w:rFonts w:hint="eastAsia"/>
                <w:b/>
                <w:bCs/>
                <w:color w:val="auto"/>
                <w:lang w:val="en-US" w:eastAsia="zh-CN"/>
              </w:rPr>
              <w:t>3、</w:t>
            </w:r>
            <w:r>
              <w:rPr>
                <w:rFonts w:hint="eastAsia"/>
                <w:b/>
                <w:bCs/>
                <w:color w:val="auto"/>
              </w:rPr>
              <w:t>环境</w:t>
            </w:r>
            <w:r>
              <w:rPr>
                <w:b/>
                <w:bCs/>
                <w:color w:val="auto"/>
              </w:rPr>
              <w:t>监测设计</w:t>
            </w:r>
          </w:p>
          <w:p w14:paraId="79AF8315">
            <w:pPr>
              <w:pStyle w:val="36"/>
              <w:bidi w:val="0"/>
              <w:rPr>
                <w:color w:val="auto"/>
              </w:rPr>
            </w:pPr>
            <w:r>
              <w:rPr>
                <w:rFonts w:hint="eastAsia"/>
                <w:color w:val="auto"/>
              </w:rPr>
              <w:t>为监督和检查施工期生产废水和生活污水达标排放情况，分析评价施工生产废水和污水对河流地表水质的影响，以便工程建设单位及时掌握水环境质量变化情况，合理利用水资源，需</w:t>
            </w:r>
            <w:r>
              <w:rPr>
                <w:rFonts w:hint="eastAsia"/>
                <w:color w:val="auto"/>
                <w:lang w:eastAsia="zh-CN"/>
              </w:rPr>
              <w:t>对</w:t>
            </w:r>
            <w:r>
              <w:rPr>
                <w:rFonts w:hint="eastAsia"/>
                <w:color w:val="auto"/>
              </w:rPr>
              <w:t>地表水质进行监测。</w:t>
            </w:r>
          </w:p>
          <w:p w14:paraId="311B361C">
            <w:pPr>
              <w:pStyle w:val="36"/>
              <w:bidi w:val="0"/>
              <w:rPr>
                <w:color w:val="auto"/>
              </w:rPr>
            </w:pPr>
            <w:r>
              <w:rPr>
                <w:rFonts w:hint="eastAsia"/>
                <w:color w:val="auto"/>
              </w:rPr>
              <w:t>本工程地表水水质监测为常规水质监测，执行国家技术规范要求。水质监测项目的采样分析方法按照《水环境监测技术规范》（SL219-98）和《地表水环境质量标准》（GB3838-2002）的要求和指定方法进行。监测资料报环保部门备案。地表水水质监测断面、监测项目、监测时间、频次等技术要求见</w:t>
            </w:r>
            <w:r>
              <w:rPr>
                <w:rFonts w:hint="eastAsia"/>
                <w:color w:val="auto"/>
                <w:lang w:eastAsia="zh-CN"/>
              </w:rPr>
              <w:t>下</w:t>
            </w:r>
            <w:r>
              <w:rPr>
                <w:rFonts w:hint="eastAsia"/>
                <w:color w:val="auto"/>
              </w:rPr>
              <w:t>表。</w:t>
            </w:r>
          </w:p>
          <w:p w14:paraId="76E31E34">
            <w:pPr>
              <w:pStyle w:val="31"/>
              <w:bidi w:val="0"/>
              <w:rPr>
                <w:color w:val="auto"/>
              </w:rPr>
            </w:pPr>
            <w:r>
              <w:rPr>
                <w:color w:val="auto"/>
              </w:rPr>
              <w:t>表</w:t>
            </w:r>
            <w:r>
              <w:rPr>
                <w:rFonts w:hint="eastAsia"/>
                <w:color w:val="auto"/>
                <w:lang w:val="en-US" w:eastAsia="zh-CN"/>
              </w:rPr>
              <w:t xml:space="preserve">5-3  </w:t>
            </w:r>
            <w:r>
              <w:rPr>
                <w:rFonts w:hint="eastAsia"/>
                <w:color w:val="auto"/>
              </w:rPr>
              <w:t>环境监测内容及技术要求</w:t>
            </w:r>
          </w:p>
          <w:tbl>
            <w:tblPr>
              <w:tblStyle w:val="22"/>
              <w:tblW w:w="775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83"/>
              <w:gridCol w:w="1660"/>
              <w:gridCol w:w="3006"/>
              <w:gridCol w:w="1094"/>
              <w:gridCol w:w="1314"/>
            </w:tblGrid>
            <w:tr w14:paraId="09F095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683" w:type="dxa"/>
                  <w:shd w:val="clear" w:color="auto" w:fill="auto"/>
                  <w:vAlign w:val="center"/>
                </w:tcPr>
                <w:p w14:paraId="663BA891">
                  <w:pPr>
                    <w:pStyle w:val="34"/>
                    <w:keepNext w:val="0"/>
                    <w:keepLines w:val="0"/>
                    <w:pageBreakBefore w:val="0"/>
                    <w:widowControl w:val="0"/>
                    <w:kinsoku/>
                    <w:wordWrap/>
                    <w:overflowPunct/>
                    <w:topLinePunct w:val="0"/>
                    <w:autoSpaceDE/>
                    <w:autoSpaceDN/>
                    <w:bidi w:val="0"/>
                    <w:adjustRightInd/>
                    <w:snapToGrid/>
                    <w:jc w:val="center"/>
                    <w:textAlignment w:val="auto"/>
                    <w:rPr>
                      <w:b/>
                      <w:bCs/>
                      <w:color w:val="auto"/>
                      <w:sz w:val="21"/>
                      <w:szCs w:val="21"/>
                    </w:rPr>
                  </w:pPr>
                  <w:r>
                    <w:rPr>
                      <w:b/>
                      <w:bCs/>
                      <w:color w:val="auto"/>
                      <w:sz w:val="21"/>
                      <w:szCs w:val="21"/>
                    </w:rPr>
                    <w:t>分类</w:t>
                  </w:r>
                </w:p>
              </w:tc>
              <w:tc>
                <w:tcPr>
                  <w:tcW w:w="1660" w:type="dxa"/>
                  <w:shd w:val="clear" w:color="auto" w:fill="auto"/>
                  <w:vAlign w:val="center"/>
                </w:tcPr>
                <w:p w14:paraId="57A1220A">
                  <w:pPr>
                    <w:pStyle w:val="34"/>
                    <w:keepNext w:val="0"/>
                    <w:keepLines w:val="0"/>
                    <w:pageBreakBefore w:val="0"/>
                    <w:widowControl w:val="0"/>
                    <w:kinsoku/>
                    <w:wordWrap/>
                    <w:overflowPunct/>
                    <w:topLinePunct w:val="0"/>
                    <w:autoSpaceDE/>
                    <w:autoSpaceDN/>
                    <w:bidi w:val="0"/>
                    <w:adjustRightInd/>
                    <w:snapToGrid/>
                    <w:jc w:val="center"/>
                    <w:textAlignment w:val="auto"/>
                    <w:rPr>
                      <w:b/>
                      <w:bCs/>
                      <w:color w:val="auto"/>
                      <w:sz w:val="21"/>
                      <w:szCs w:val="21"/>
                    </w:rPr>
                  </w:pPr>
                  <w:r>
                    <w:rPr>
                      <w:b/>
                      <w:bCs/>
                      <w:color w:val="auto"/>
                      <w:sz w:val="21"/>
                      <w:szCs w:val="21"/>
                    </w:rPr>
                    <w:t>监测断面</w:t>
                  </w:r>
                </w:p>
              </w:tc>
              <w:tc>
                <w:tcPr>
                  <w:tcW w:w="3006" w:type="dxa"/>
                  <w:shd w:val="clear" w:color="auto" w:fill="auto"/>
                  <w:vAlign w:val="center"/>
                </w:tcPr>
                <w:p w14:paraId="6F7C065C">
                  <w:pPr>
                    <w:pStyle w:val="34"/>
                    <w:keepNext w:val="0"/>
                    <w:keepLines w:val="0"/>
                    <w:pageBreakBefore w:val="0"/>
                    <w:widowControl w:val="0"/>
                    <w:kinsoku/>
                    <w:wordWrap/>
                    <w:overflowPunct/>
                    <w:topLinePunct w:val="0"/>
                    <w:autoSpaceDE/>
                    <w:autoSpaceDN/>
                    <w:bidi w:val="0"/>
                    <w:adjustRightInd/>
                    <w:snapToGrid/>
                    <w:jc w:val="center"/>
                    <w:textAlignment w:val="auto"/>
                    <w:rPr>
                      <w:b/>
                      <w:bCs/>
                      <w:color w:val="auto"/>
                      <w:sz w:val="21"/>
                      <w:szCs w:val="21"/>
                    </w:rPr>
                  </w:pPr>
                  <w:r>
                    <w:rPr>
                      <w:b/>
                      <w:bCs/>
                      <w:color w:val="auto"/>
                      <w:sz w:val="21"/>
                      <w:szCs w:val="21"/>
                    </w:rPr>
                    <w:t>监测项目</w:t>
                  </w:r>
                </w:p>
              </w:tc>
              <w:tc>
                <w:tcPr>
                  <w:tcW w:w="1094" w:type="dxa"/>
                  <w:shd w:val="clear" w:color="auto" w:fill="auto"/>
                  <w:vAlign w:val="center"/>
                </w:tcPr>
                <w:p w14:paraId="6710C8F1">
                  <w:pPr>
                    <w:pStyle w:val="34"/>
                    <w:keepNext w:val="0"/>
                    <w:keepLines w:val="0"/>
                    <w:pageBreakBefore w:val="0"/>
                    <w:widowControl w:val="0"/>
                    <w:kinsoku/>
                    <w:wordWrap/>
                    <w:overflowPunct/>
                    <w:topLinePunct w:val="0"/>
                    <w:autoSpaceDE/>
                    <w:autoSpaceDN/>
                    <w:bidi w:val="0"/>
                    <w:adjustRightInd/>
                    <w:snapToGrid/>
                    <w:jc w:val="center"/>
                    <w:textAlignment w:val="auto"/>
                    <w:rPr>
                      <w:b/>
                      <w:bCs/>
                      <w:color w:val="auto"/>
                      <w:sz w:val="21"/>
                      <w:szCs w:val="21"/>
                    </w:rPr>
                  </w:pPr>
                  <w:r>
                    <w:rPr>
                      <w:b/>
                      <w:bCs/>
                      <w:color w:val="auto"/>
                      <w:sz w:val="21"/>
                      <w:szCs w:val="21"/>
                    </w:rPr>
                    <w:t>监测时段</w:t>
                  </w:r>
                </w:p>
              </w:tc>
              <w:tc>
                <w:tcPr>
                  <w:tcW w:w="1314" w:type="dxa"/>
                  <w:shd w:val="clear" w:color="auto" w:fill="auto"/>
                  <w:vAlign w:val="center"/>
                </w:tcPr>
                <w:p w14:paraId="7DCC1D87">
                  <w:pPr>
                    <w:pStyle w:val="34"/>
                    <w:keepNext w:val="0"/>
                    <w:keepLines w:val="0"/>
                    <w:pageBreakBefore w:val="0"/>
                    <w:widowControl w:val="0"/>
                    <w:kinsoku/>
                    <w:wordWrap/>
                    <w:overflowPunct/>
                    <w:topLinePunct w:val="0"/>
                    <w:autoSpaceDE/>
                    <w:autoSpaceDN/>
                    <w:bidi w:val="0"/>
                    <w:adjustRightInd/>
                    <w:snapToGrid/>
                    <w:jc w:val="center"/>
                    <w:textAlignment w:val="auto"/>
                    <w:rPr>
                      <w:b/>
                      <w:bCs/>
                      <w:color w:val="auto"/>
                      <w:sz w:val="21"/>
                      <w:szCs w:val="21"/>
                    </w:rPr>
                  </w:pPr>
                  <w:r>
                    <w:rPr>
                      <w:b/>
                      <w:bCs/>
                      <w:color w:val="auto"/>
                      <w:sz w:val="21"/>
                      <w:szCs w:val="21"/>
                    </w:rPr>
                    <w:t>监测频次</w:t>
                  </w:r>
                </w:p>
              </w:tc>
            </w:tr>
            <w:tr w14:paraId="004968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683" w:type="dxa"/>
                  <w:vMerge w:val="restart"/>
                  <w:shd w:val="clear" w:color="auto" w:fill="auto"/>
                  <w:vAlign w:val="center"/>
                </w:tcPr>
                <w:p w14:paraId="34B0AAAA">
                  <w:pPr>
                    <w:pStyle w:val="34"/>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r>
                    <w:rPr>
                      <w:color w:val="auto"/>
                      <w:sz w:val="21"/>
                      <w:szCs w:val="21"/>
                    </w:rPr>
                    <w:t>地表水水质监测</w:t>
                  </w:r>
                </w:p>
              </w:tc>
              <w:tc>
                <w:tcPr>
                  <w:tcW w:w="1660" w:type="dxa"/>
                  <w:vMerge w:val="restart"/>
                  <w:shd w:val="clear" w:color="auto" w:fill="auto"/>
                  <w:vAlign w:val="center"/>
                </w:tcPr>
                <w:p w14:paraId="7DA4576D">
                  <w:pPr>
                    <w:pStyle w:val="34"/>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r>
                    <w:rPr>
                      <w:rFonts w:hint="eastAsia"/>
                      <w:color w:val="auto"/>
                      <w:sz w:val="21"/>
                      <w:szCs w:val="21"/>
                    </w:rPr>
                    <w:t>在勐嘎村委会段上下游、勐稳村委会段上下游各设1个监测断面，芒里村委会段上下游各设1个监测断面，共计6个采样断面。</w:t>
                  </w:r>
                </w:p>
              </w:tc>
              <w:tc>
                <w:tcPr>
                  <w:tcW w:w="3006" w:type="dxa"/>
                  <w:vMerge w:val="restart"/>
                  <w:shd w:val="clear" w:color="auto" w:fill="auto"/>
                  <w:vAlign w:val="center"/>
                </w:tcPr>
                <w:p w14:paraId="3E05BE53">
                  <w:pPr>
                    <w:pStyle w:val="34"/>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r>
                    <w:rPr>
                      <w:color w:val="auto"/>
                      <w:sz w:val="21"/>
                      <w:szCs w:val="21"/>
                    </w:rPr>
                    <w:t>水温、pH、溶解氧、悬浮物、高锰酸盐指数、化学需氧量、BOD5、氨氮、总磷、总氮、石油类、粪大肠菌群</w:t>
                  </w:r>
                </w:p>
              </w:tc>
              <w:tc>
                <w:tcPr>
                  <w:tcW w:w="1094" w:type="dxa"/>
                  <w:vMerge w:val="restart"/>
                  <w:shd w:val="clear" w:color="auto" w:fill="auto"/>
                  <w:vAlign w:val="center"/>
                </w:tcPr>
                <w:p w14:paraId="58B615F7">
                  <w:pPr>
                    <w:pStyle w:val="34"/>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r>
                    <w:rPr>
                      <w:color w:val="auto"/>
                      <w:sz w:val="21"/>
                      <w:szCs w:val="21"/>
                    </w:rPr>
                    <w:t>施工高峰期</w:t>
                  </w:r>
                </w:p>
              </w:tc>
              <w:tc>
                <w:tcPr>
                  <w:tcW w:w="1314" w:type="dxa"/>
                  <w:vMerge w:val="restart"/>
                  <w:shd w:val="clear" w:color="auto" w:fill="auto"/>
                  <w:vAlign w:val="center"/>
                </w:tcPr>
                <w:p w14:paraId="00C4496C">
                  <w:pPr>
                    <w:pStyle w:val="34"/>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r>
                    <w:rPr>
                      <w:color w:val="auto"/>
                      <w:sz w:val="21"/>
                      <w:szCs w:val="21"/>
                    </w:rPr>
                    <w:t>各1次，每次连续2天，每天采样两次</w:t>
                  </w:r>
                </w:p>
              </w:tc>
            </w:tr>
            <w:tr w14:paraId="334459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683" w:type="dxa"/>
                  <w:vMerge w:val="continue"/>
                  <w:vAlign w:val="center"/>
                </w:tcPr>
                <w:p w14:paraId="2D041184">
                  <w:pPr>
                    <w:pStyle w:val="34"/>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p>
              </w:tc>
              <w:tc>
                <w:tcPr>
                  <w:tcW w:w="1660" w:type="dxa"/>
                  <w:vMerge w:val="continue"/>
                  <w:vAlign w:val="center"/>
                </w:tcPr>
                <w:p w14:paraId="12E9A24E">
                  <w:pPr>
                    <w:pStyle w:val="34"/>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p>
              </w:tc>
              <w:tc>
                <w:tcPr>
                  <w:tcW w:w="3006" w:type="dxa"/>
                  <w:vMerge w:val="continue"/>
                  <w:vAlign w:val="center"/>
                </w:tcPr>
                <w:p w14:paraId="5086673A">
                  <w:pPr>
                    <w:pStyle w:val="34"/>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p>
              </w:tc>
              <w:tc>
                <w:tcPr>
                  <w:tcW w:w="1094" w:type="dxa"/>
                  <w:vMerge w:val="continue"/>
                  <w:vAlign w:val="center"/>
                </w:tcPr>
                <w:p w14:paraId="135F04BC">
                  <w:pPr>
                    <w:pStyle w:val="34"/>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p>
              </w:tc>
              <w:tc>
                <w:tcPr>
                  <w:tcW w:w="1314" w:type="dxa"/>
                  <w:vMerge w:val="continue"/>
                  <w:vAlign w:val="center"/>
                </w:tcPr>
                <w:p w14:paraId="70AABCE1">
                  <w:pPr>
                    <w:pStyle w:val="34"/>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p>
              </w:tc>
            </w:tr>
            <w:tr w14:paraId="0EECCE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83" w:hRule="atLeast"/>
                <w:jc w:val="center"/>
              </w:trPr>
              <w:tc>
                <w:tcPr>
                  <w:tcW w:w="683" w:type="dxa"/>
                  <w:shd w:val="clear" w:color="auto" w:fill="auto"/>
                  <w:vAlign w:val="center"/>
                </w:tcPr>
                <w:p w14:paraId="238B7F7B">
                  <w:pPr>
                    <w:pStyle w:val="34"/>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r>
                    <w:rPr>
                      <w:color w:val="auto"/>
                      <w:sz w:val="21"/>
                      <w:szCs w:val="21"/>
                    </w:rPr>
                    <w:t>大气环境监测</w:t>
                  </w:r>
                </w:p>
              </w:tc>
              <w:tc>
                <w:tcPr>
                  <w:tcW w:w="1660" w:type="dxa"/>
                  <w:vMerge w:val="restart"/>
                  <w:shd w:val="clear" w:color="auto" w:fill="auto"/>
                  <w:vAlign w:val="center"/>
                </w:tcPr>
                <w:p w14:paraId="6EE85892">
                  <w:pPr>
                    <w:pStyle w:val="34"/>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r>
                    <w:rPr>
                      <w:rFonts w:hint="eastAsia"/>
                      <w:color w:val="auto"/>
                      <w:sz w:val="21"/>
                      <w:szCs w:val="21"/>
                    </w:rPr>
                    <w:t>在勐嘎村委会、勐稳村委会、芒里村委会</w:t>
                  </w:r>
                </w:p>
              </w:tc>
              <w:tc>
                <w:tcPr>
                  <w:tcW w:w="3006" w:type="dxa"/>
                  <w:shd w:val="clear" w:color="auto" w:fill="auto"/>
                  <w:vAlign w:val="center"/>
                </w:tcPr>
                <w:p w14:paraId="5840D8AB">
                  <w:pPr>
                    <w:pStyle w:val="34"/>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sz w:val="21"/>
                      <w:szCs w:val="21"/>
                      <w:lang w:val="en-US" w:eastAsia="zh-CN"/>
                    </w:rPr>
                  </w:pPr>
                  <w:r>
                    <w:rPr>
                      <w:rFonts w:hint="eastAsia"/>
                      <w:color w:val="auto"/>
                      <w:sz w:val="21"/>
                      <w:szCs w:val="21"/>
                      <w:lang w:val="en-US" w:eastAsia="zh-CN"/>
                    </w:rPr>
                    <w:t>TSP</w:t>
                  </w:r>
                </w:p>
              </w:tc>
              <w:tc>
                <w:tcPr>
                  <w:tcW w:w="1094" w:type="dxa"/>
                  <w:vMerge w:val="continue"/>
                  <w:vAlign w:val="center"/>
                </w:tcPr>
                <w:p w14:paraId="7862845E">
                  <w:pPr>
                    <w:pStyle w:val="34"/>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p>
              </w:tc>
              <w:tc>
                <w:tcPr>
                  <w:tcW w:w="1314" w:type="dxa"/>
                  <w:shd w:val="clear" w:color="auto" w:fill="auto"/>
                  <w:vAlign w:val="center"/>
                </w:tcPr>
                <w:p w14:paraId="7CC6F007">
                  <w:pPr>
                    <w:pStyle w:val="34"/>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auto"/>
                      <w:sz w:val="21"/>
                      <w:szCs w:val="21"/>
                      <w:lang w:val="en-US" w:eastAsia="zh-CN"/>
                    </w:rPr>
                  </w:pPr>
                  <w:r>
                    <w:rPr>
                      <w:color w:val="auto"/>
                      <w:sz w:val="21"/>
                      <w:szCs w:val="21"/>
                    </w:rPr>
                    <w:t>各1次</w:t>
                  </w:r>
                  <w:r>
                    <w:rPr>
                      <w:rFonts w:hint="eastAsia"/>
                      <w:color w:val="auto"/>
                      <w:sz w:val="21"/>
                      <w:szCs w:val="21"/>
                      <w:lang w:val="en-US" w:eastAsia="zh-CN"/>
                    </w:rPr>
                    <w:t>,</w:t>
                  </w:r>
                  <w:r>
                    <w:rPr>
                      <w:rFonts w:hint="eastAsia"/>
                      <w:color w:val="auto"/>
                      <w:sz w:val="21"/>
                      <w:szCs w:val="21"/>
                    </w:rPr>
                    <w:t>连续监测2</w:t>
                  </w:r>
                  <w:r>
                    <w:rPr>
                      <w:rFonts w:hint="eastAsia"/>
                      <w:color w:val="auto"/>
                      <w:sz w:val="21"/>
                      <w:szCs w:val="21"/>
                      <w:lang w:eastAsia="zh-CN"/>
                    </w:rPr>
                    <w:t>天</w:t>
                  </w:r>
                </w:p>
              </w:tc>
            </w:tr>
            <w:tr w14:paraId="019581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11" w:hRule="atLeast"/>
                <w:jc w:val="center"/>
              </w:trPr>
              <w:tc>
                <w:tcPr>
                  <w:tcW w:w="683" w:type="dxa"/>
                  <w:shd w:val="clear" w:color="auto" w:fill="auto"/>
                  <w:vAlign w:val="center"/>
                </w:tcPr>
                <w:p w14:paraId="136C3422">
                  <w:pPr>
                    <w:pStyle w:val="34"/>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r>
                    <w:rPr>
                      <w:color w:val="auto"/>
                      <w:sz w:val="21"/>
                      <w:szCs w:val="21"/>
                    </w:rPr>
                    <w:t>声环境监测</w:t>
                  </w:r>
                </w:p>
              </w:tc>
              <w:tc>
                <w:tcPr>
                  <w:tcW w:w="1660" w:type="dxa"/>
                  <w:vMerge w:val="continue"/>
                  <w:vAlign w:val="center"/>
                </w:tcPr>
                <w:p w14:paraId="676C4D73">
                  <w:pPr>
                    <w:pStyle w:val="34"/>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p>
              </w:tc>
              <w:tc>
                <w:tcPr>
                  <w:tcW w:w="3006" w:type="dxa"/>
                  <w:shd w:val="clear" w:color="auto" w:fill="auto"/>
                  <w:vAlign w:val="center"/>
                </w:tcPr>
                <w:p w14:paraId="7B1E3F2D">
                  <w:pPr>
                    <w:pStyle w:val="34"/>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r>
                    <w:rPr>
                      <w:color w:val="auto"/>
                      <w:sz w:val="21"/>
                      <w:szCs w:val="21"/>
                    </w:rPr>
                    <w:t>噪声</w:t>
                  </w:r>
                </w:p>
              </w:tc>
              <w:tc>
                <w:tcPr>
                  <w:tcW w:w="1094" w:type="dxa"/>
                  <w:vMerge w:val="continue"/>
                  <w:vAlign w:val="center"/>
                </w:tcPr>
                <w:p w14:paraId="3721BA5A">
                  <w:pPr>
                    <w:pStyle w:val="34"/>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p>
              </w:tc>
              <w:tc>
                <w:tcPr>
                  <w:tcW w:w="1314" w:type="dxa"/>
                  <w:shd w:val="clear" w:color="auto" w:fill="auto"/>
                  <w:vAlign w:val="center"/>
                </w:tcPr>
                <w:p w14:paraId="7D411C6C">
                  <w:pPr>
                    <w:pStyle w:val="34"/>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r>
                    <w:rPr>
                      <w:color w:val="auto"/>
                      <w:sz w:val="21"/>
                      <w:szCs w:val="21"/>
                    </w:rPr>
                    <w:t>各1次</w:t>
                  </w:r>
                  <w:r>
                    <w:rPr>
                      <w:rFonts w:hint="eastAsia"/>
                      <w:color w:val="auto"/>
                      <w:sz w:val="21"/>
                      <w:szCs w:val="21"/>
                      <w:lang w:eastAsia="zh-CN"/>
                    </w:rPr>
                    <w:t>，</w:t>
                  </w:r>
                  <w:r>
                    <w:rPr>
                      <w:rFonts w:hint="eastAsia"/>
                      <w:color w:val="auto"/>
                      <w:sz w:val="21"/>
                      <w:szCs w:val="21"/>
                    </w:rPr>
                    <w:t>连续监测2天，每天昼夜各1次</w:t>
                  </w:r>
                </w:p>
              </w:tc>
            </w:tr>
            <w:tr w14:paraId="2757D2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11" w:hRule="atLeast"/>
                <w:jc w:val="center"/>
              </w:trPr>
              <w:tc>
                <w:tcPr>
                  <w:tcW w:w="683" w:type="dxa"/>
                  <w:vMerge w:val="restart"/>
                  <w:shd w:val="clear" w:color="auto" w:fill="auto"/>
                  <w:vAlign w:val="center"/>
                </w:tcPr>
                <w:p w14:paraId="6CF0DE5A">
                  <w:pPr>
                    <w:pStyle w:val="34"/>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auto"/>
                      <w:sz w:val="21"/>
                      <w:szCs w:val="21"/>
                      <w:lang w:eastAsia="zh-CN"/>
                    </w:rPr>
                  </w:pPr>
                  <w:r>
                    <w:rPr>
                      <w:rFonts w:hint="eastAsia"/>
                      <w:color w:val="auto"/>
                      <w:sz w:val="21"/>
                      <w:szCs w:val="21"/>
                      <w:lang w:eastAsia="zh-CN"/>
                    </w:rPr>
                    <w:t>生态调查与观测</w:t>
                  </w:r>
                </w:p>
              </w:tc>
              <w:tc>
                <w:tcPr>
                  <w:tcW w:w="1660" w:type="dxa"/>
                  <w:vAlign w:val="center"/>
                </w:tcPr>
                <w:p w14:paraId="3780B937">
                  <w:pPr>
                    <w:pStyle w:val="34"/>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auto"/>
                      <w:sz w:val="21"/>
                      <w:szCs w:val="21"/>
                      <w:lang w:eastAsia="zh-CN"/>
                    </w:rPr>
                  </w:pPr>
                  <w:r>
                    <w:rPr>
                      <w:rFonts w:hint="eastAsia"/>
                      <w:color w:val="auto"/>
                      <w:sz w:val="21"/>
                      <w:szCs w:val="21"/>
                      <w:lang w:eastAsia="zh-CN"/>
                    </w:rPr>
                    <w:t>水生生态</w:t>
                  </w:r>
                </w:p>
              </w:tc>
              <w:tc>
                <w:tcPr>
                  <w:tcW w:w="3006" w:type="dxa"/>
                  <w:shd w:val="clear" w:color="auto" w:fill="auto"/>
                  <w:vAlign w:val="center"/>
                </w:tcPr>
                <w:p w14:paraId="2A42250D">
                  <w:pPr>
                    <w:pStyle w:val="34"/>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auto"/>
                      <w:sz w:val="21"/>
                      <w:szCs w:val="21"/>
                      <w:lang w:eastAsia="zh-CN"/>
                    </w:rPr>
                  </w:pPr>
                  <w:r>
                    <w:rPr>
                      <w:rFonts w:hint="eastAsia"/>
                      <w:color w:val="auto"/>
                      <w:sz w:val="21"/>
                      <w:szCs w:val="21"/>
                      <w:lang w:eastAsia="zh-CN"/>
                    </w:rPr>
                    <w:t>调查内容：</w:t>
                  </w:r>
                  <w:r>
                    <w:rPr>
                      <w:rFonts w:hint="eastAsia"/>
                      <w:color w:val="auto"/>
                      <w:sz w:val="21"/>
                      <w:szCs w:val="21"/>
                    </w:rPr>
                    <w:t>陆生动植物区系组成、分布及其特点、种群数量、生物多样性（含物种多样性、生境多样性）的变化，植被恢复措施执行情况等</w:t>
                  </w:r>
                  <w:r>
                    <w:rPr>
                      <w:rFonts w:hint="eastAsia"/>
                      <w:color w:val="auto"/>
                      <w:sz w:val="21"/>
                      <w:szCs w:val="21"/>
                      <w:lang w:eastAsia="zh-CN"/>
                    </w:rPr>
                    <w:t>。</w:t>
                  </w:r>
                </w:p>
              </w:tc>
              <w:tc>
                <w:tcPr>
                  <w:tcW w:w="1094" w:type="dxa"/>
                  <w:vAlign w:val="center"/>
                </w:tcPr>
                <w:p w14:paraId="2152C8C9">
                  <w:pPr>
                    <w:pStyle w:val="34"/>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auto"/>
                      <w:sz w:val="21"/>
                      <w:szCs w:val="21"/>
                      <w:lang w:eastAsia="zh-CN"/>
                    </w:rPr>
                  </w:pPr>
                  <w:r>
                    <w:rPr>
                      <w:rFonts w:hint="eastAsia"/>
                      <w:color w:val="auto"/>
                      <w:sz w:val="21"/>
                      <w:szCs w:val="21"/>
                      <w:lang w:eastAsia="zh-CN"/>
                    </w:rPr>
                    <w:t>调查范围：河道治理工程沿线200m范围内。</w:t>
                  </w:r>
                </w:p>
              </w:tc>
              <w:tc>
                <w:tcPr>
                  <w:tcW w:w="1314" w:type="dxa"/>
                  <w:shd w:val="clear" w:color="auto" w:fill="auto"/>
                  <w:vAlign w:val="center"/>
                </w:tcPr>
                <w:p w14:paraId="05C23054">
                  <w:pPr>
                    <w:pStyle w:val="34"/>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r>
                    <w:rPr>
                      <w:rFonts w:hint="eastAsia"/>
                      <w:color w:val="auto"/>
                      <w:sz w:val="21"/>
                      <w:szCs w:val="21"/>
                      <w:lang w:eastAsia="zh-CN"/>
                    </w:rPr>
                    <w:t>工程施工前、完工后各调查1次。</w:t>
                  </w:r>
                </w:p>
              </w:tc>
            </w:tr>
            <w:tr w14:paraId="6C4F89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11" w:hRule="atLeast"/>
                <w:jc w:val="center"/>
              </w:trPr>
              <w:tc>
                <w:tcPr>
                  <w:tcW w:w="683" w:type="dxa"/>
                  <w:vMerge w:val="continue"/>
                  <w:shd w:val="clear" w:color="auto" w:fill="auto"/>
                  <w:vAlign w:val="center"/>
                </w:tcPr>
                <w:p w14:paraId="4ACCEF49">
                  <w:pPr>
                    <w:pStyle w:val="34"/>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sz w:val="21"/>
                      <w:szCs w:val="21"/>
                      <w:lang w:eastAsia="zh-CN"/>
                    </w:rPr>
                  </w:pPr>
                </w:p>
              </w:tc>
              <w:tc>
                <w:tcPr>
                  <w:tcW w:w="1660" w:type="dxa"/>
                  <w:vAlign w:val="center"/>
                </w:tcPr>
                <w:p w14:paraId="596E79AF">
                  <w:pPr>
                    <w:pStyle w:val="34"/>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auto"/>
                      <w:sz w:val="21"/>
                      <w:szCs w:val="21"/>
                      <w:lang w:eastAsia="zh-CN"/>
                    </w:rPr>
                  </w:pPr>
                  <w:r>
                    <w:rPr>
                      <w:rFonts w:hint="eastAsia"/>
                      <w:color w:val="auto"/>
                      <w:sz w:val="21"/>
                      <w:szCs w:val="21"/>
                      <w:lang w:eastAsia="zh-CN"/>
                    </w:rPr>
                    <w:t>陆生生态</w:t>
                  </w:r>
                </w:p>
              </w:tc>
              <w:tc>
                <w:tcPr>
                  <w:tcW w:w="3006" w:type="dxa"/>
                  <w:shd w:val="clear" w:color="auto" w:fill="auto"/>
                  <w:vAlign w:val="center"/>
                </w:tcPr>
                <w:p w14:paraId="1F40A411">
                  <w:pPr>
                    <w:pStyle w:val="34"/>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r>
                    <w:rPr>
                      <w:rFonts w:hint="eastAsia"/>
                      <w:color w:val="auto"/>
                      <w:sz w:val="21"/>
                      <w:szCs w:val="21"/>
                    </w:rPr>
                    <w:t>调查内容：包括浮游植物、浮游动物、底栖动物等水生生物的种群结构、生物量及分布情况；鱼类的种类组成、种群结构、资源量等。</w:t>
                  </w:r>
                </w:p>
              </w:tc>
              <w:tc>
                <w:tcPr>
                  <w:tcW w:w="1094" w:type="dxa"/>
                  <w:vAlign w:val="center"/>
                </w:tcPr>
                <w:p w14:paraId="56C85C0A">
                  <w:pPr>
                    <w:pStyle w:val="34"/>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r>
                    <w:rPr>
                      <w:rFonts w:hint="eastAsia"/>
                      <w:color w:val="auto"/>
                      <w:sz w:val="21"/>
                      <w:szCs w:val="21"/>
                    </w:rPr>
                    <w:t>调查范围：河道治理工程沿线，涉及果朗河河道。</w:t>
                  </w:r>
                </w:p>
              </w:tc>
              <w:tc>
                <w:tcPr>
                  <w:tcW w:w="1314" w:type="dxa"/>
                  <w:shd w:val="clear" w:color="auto" w:fill="auto"/>
                  <w:vAlign w:val="center"/>
                </w:tcPr>
                <w:p w14:paraId="00203B8A">
                  <w:pPr>
                    <w:pStyle w:val="34"/>
                    <w:keepNext w:val="0"/>
                    <w:keepLines w:val="0"/>
                    <w:pageBreakBefore w:val="0"/>
                    <w:widowControl w:val="0"/>
                    <w:kinsoku/>
                    <w:wordWrap/>
                    <w:overflowPunct/>
                    <w:topLinePunct w:val="0"/>
                    <w:autoSpaceDE/>
                    <w:autoSpaceDN/>
                    <w:bidi w:val="0"/>
                    <w:adjustRightInd/>
                    <w:snapToGrid/>
                    <w:jc w:val="center"/>
                    <w:textAlignment w:val="auto"/>
                    <w:rPr>
                      <w:color w:val="auto"/>
                      <w:sz w:val="21"/>
                      <w:szCs w:val="21"/>
                    </w:rPr>
                  </w:pPr>
                  <w:r>
                    <w:rPr>
                      <w:rFonts w:hint="eastAsia"/>
                      <w:color w:val="auto"/>
                      <w:sz w:val="21"/>
                      <w:szCs w:val="21"/>
                    </w:rPr>
                    <w:t>工程施工前、完工后各调查1次。</w:t>
                  </w:r>
                </w:p>
              </w:tc>
            </w:tr>
          </w:tbl>
          <w:p w14:paraId="7FBF3A16">
            <w:pPr>
              <w:pStyle w:val="36"/>
              <w:bidi w:val="0"/>
              <w:ind w:left="0" w:leftChars="0" w:firstLine="0" w:firstLineChars="0"/>
              <w:rPr>
                <w:rFonts w:hint="default"/>
                <w:color w:val="auto"/>
                <w:lang w:val="en-US" w:eastAsia="zh-CN"/>
              </w:rPr>
            </w:pPr>
          </w:p>
        </w:tc>
      </w:tr>
      <w:tr w14:paraId="091471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3" w:hRule="atLeast"/>
          <w:jc w:val="center"/>
        </w:trPr>
        <w:tc>
          <w:tcPr>
            <w:tcW w:w="266" w:type="pct"/>
            <w:tcMar>
              <w:left w:w="28" w:type="dxa"/>
              <w:right w:w="28" w:type="dxa"/>
            </w:tcMar>
            <w:vAlign w:val="center"/>
          </w:tcPr>
          <w:p w14:paraId="4E653D87">
            <w:pPr>
              <w:adjustRightInd w:val="0"/>
              <w:snapToGrid w:val="0"/>
              <w:ind w:left="0" w:leftChars="0" w:firstLine="0" w:firstLineChars="0"/>
              <w:jc w:val="center"/>
              <w:rPr>
                <w:rFonts w:hint="default" w:ascii="Times New Roman" w:hAnsi="Times New Roman" w:cs="Times New Roman"/>
                <w:bCs/>
                <w:color w:val="auto"/>
                <w:spacing w:val="10"/>
                <w:sz w:val="24"/>
              </w:rPr>
            </w:pPr>
            <w:r>
              <w:rPr>
                <w:rFonts w:hint="default" w:ascii="Times New Roman" w:hAnsi="Times New Roman" w:cs="Times New Roman"/>
                <w:bCs/>
                <w:color w:val="auto"/>
                <w:spacing w:val="10"/>
                <w:sz w:val="24"/>
              </w:rPr>
              <w:t>运营期生态环境保护措施</w:t>
            </w:r>
          </w:p>
        </w:tc>
        <w:tc>
          <w:tcPr>
            <w:tcW w:w="4733" w:type="pct"/>
            <w:vAlign w:val="center"/>
          </w:tcPr>
          <w:p w14:paraId="46663DDF">
            <w:pPr>
              <w:pStyle w:val="36"/>
              <w:bidi w:val="0"/>
              <w:rPr>
                <w:rFonts w:hint="default" w:eastAsia="宋体"/>
                <w:color w:val="auto"/>
                <w:lang w:val="en-US" w:eastAsia="zh-CN"/>
              </w:rPr>
            </w:pPr>
            <w:r>
              <w:rPr>
                <w:color w:val="auto"/>
              </w:rPr>
              <w:t>该项目属于河道治理工程，项目建设完成后，将不</w:t>
            </w:r>
            <w:r>
              <w:rPr>
                <w:rFonts w:hint="eastAsia"/>
                <w:color w:val="auto"/>
                <w:lang w:eastAsia="zh-CN"/>
              </w:rPr>
              <w:t>再</w:t>
            </w:r>
            <w:r>
              <w:rPr>
                <w:color w:val="auto"/>
              </w:rPr>
              <w:t>产生废水、废气、噪声、固体废物等污染物，对周围环境的影响主要表现为对生态环境的有利影响。</w:t>
            </w:r>
          </w:p>
        </w:tc>
      </w:tr>
      <w:tr w14:paraId="007107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03" w:hRule="atLeast"/>
          <w:jc w:val="center"/>
        </w:trPr>
        <w:tc>
          <w:tcPr>
            <w:tcW w:w="266" w:type="pct"/>
            <w:vAlign w:val="center"/>
          </w:tcPr>
          <w:p w14:paraId="7AF33BEB">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cs="Times New Roman"/>
                <w:bCs/>
                <w:color w:val="auto"/>
                <w:sz w:val="24"/>
              </w:rPr>
            </w:pPr>
            <w:r>
              <w:rPr>
                <w:rFonts w:hint="default" w:ascii="Times New Roman" w:hAnsi="Times New Roman" w:cs="Times New Roman"/>
                <w:bCs/>
                <w:color w:val="auto"/>
                <w:sz w:val="24"/>
              </w:rPr>
              <w:t>其</w:t>
            </w:r>
          </w:p>
          <w:p w14:paraId="6CBD97F0">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cs="Times New Roman"/>
                <w:bCs/>
                <w:color w:val="auto"/>
                <w:spacing w:val="10"/>
                <w:sz w:val="24"/>
              </w:rPr>
            </w:pPr>
            <w:r>
              <w:rPr>
                <w:rFonts w:hint="default" w:ascii="Times New Roman" w:hAnsi="Times New Roman" w:cs="Times New Roman"/>
                <w:bCs/>
                <w:color w:val="auto"/>
                <w:sz w:val="24"/>
              </w:rPr>
              <w:t>他</w:t>
            </w:r>
          </w:p>
        </w:tc>
        <w:tc>
          <w:tcPr>
            <w:tcW w:w="4733" w:type="pct"/>
            <w:vAlign w:val="center"/>
          </w:tcPr>
          <w:p w14:paraId="613C95D7">
            <w:pPr>
              <w:adjustRightInd w:val="0"/>
              <w:snapToGrid w:val="0"/>
              <w:spacing w:line="360" w:lineRule="auto"/>
              <w:jc w:val="center"/>
              <w:rPr>
                <w:rFonts w:hint="eastAsia" w:ascii="Times New Roman" w:hAnsi="Times New Roman" w:eastAsia="宋体" w:cs="Times New Roman"/>
                <w:bCs/>
                <w:color w:val="auto"/>
                <w:spacing w:val="10"/>
                <w:sz w:val="24"/>
                <w:lang w:eastAsia="zh-CN"/>
              </w:rPr>
            </w:pPr>
            <w:r>
              <w:rPr>
                <w:rFonts w:hint="eastAsia" w:cs="Times New Roman"/>
                <w:bCs/>
                <w:color w:val="auto"/>
                <w:spacing w:val="10"/>
                <w:sz w:val="24"/>
                <w:lang w:eastAsia="zh-CN"/>
              </w:rPr>
              <w:t>无</w:t>
            </w:r>
          </w:p>
        </w:tc>
      </w:tr>
      <w:tr w14:paraId="5A5A7B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90" w:hRule="atLeast"/>
          <w:jc w:val="center"/>
        </w:trPr>
        <w:tc>
          <w:tcPr>
            <w:tcW w:w="266" w:type="pct"/>
            <w:vAlign w:val="center"/>
          </w:tcPr>
          <w:p w14:paraId="3DEA4558">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bCs/>
                <w:color w:val="auto"/>
                <w:spacing w:val="10"/>
              </w:rPr>
            </w:pPr>
            <w:r>
              <w:rPr>
                <w:rFonts w:hint="default"/>
                <w:color w:val="auto"/>
              </w:rPr>
              <w:t>环保投资</w:t>
            </w:r>
          </w:p>
        </w:tc>
        <w:tc>
          <w:tcPr>
            <w:tcW w:w="4733" w:type="pct"/>
          </w:tcPr>
          <w:p w14:paraId="44FF35AF">
            <w:pPr>
              <w:autoSpaceDE w:val="0"/>
              <w:autoSpaceDN w:val="0"/>
              <w:spacing w:line="360" w:lineRule="auto"/>
              <w:ind w:firstLine="480" w:firstLineChars="200"/>
              <w:rPr>
                <w:rFonts w:ascii="Times New Roman" w:hAnsi="Times New Roman" w:eastAsia="宋体"/>
                <w:b/>
                <w:color w:val="FF0000"/>
                <w:sz w:val="28"/>
                <w:szCs w:val="28"/>
              </w:rPr>
            </w:pPr>
            <w:r>
              <w:rPr>
                <w:rFonts w:hint="eastAsia"/>
                <w:color w:val="auto"/>
              </w:rPr>
              <w:t>环境保护投资内容包括：施工期生产生活废水净化处理措施费，用于购买化学净水剂和建沉淀池；施工期间粉尘、噪声防治费，主要用于购买</w:t>
            </w:r>
            <w:r>
              <w:rPr>
                <w:rFonts w:hint="eastAsia"/>
                <w:color w:val="auto"/>
                <w:lang w:eastAsia="zh-CN"/>
              </w:rPr>
              <w:t>佩戴</w:t>
            </w:r>
            <w:r>
              <w:rPr>
                <w:rFonts w:hint="eastAsia"/>
                <w:color w:val="auto"/>
              </w:rPr>
              <w:t>的防尘罩、耳塞和防声头盔等。</w:t>
            </w:r>
            <w:r>
              <w:rPr>
                <w:rFonts w:ascii="Times New Roman" w:hAnsi="Times New Roman" w:eastAsia="宋体"/>
                <w:color w:val="auto"/>
                <w:sz w:val="24"/>
                <w:szCs w:val="24"/>
              </w:rPr>
              <w:t>项目总投资</w:t>
            </w:r>
            <w:r>
              <w:rPr>
                <w:rFonts w:hint="eastAsia" w:ascii="Times New Roman" w:hAnsi="Times New Roman" w:eastAsia="宋体"/>
                <w:color w:val="auto"/>
                <w:sz w:val="24"/>
                <w:szCs w:val="24"/>
                <w:lang w:val="en-US" w:eastAsia="zh-CN"/>
              </w:rPr>
              <w:t>5925.75</w:t>
            </w:r>
            <w:r>
              <w:rPr>
                <w:rFonts w:ascii="Times New Roman" w:hAnsi="Times New Roman" w:eastAsia="宋体"/>
                <w:color w:val="auto"/>
                <w:sz w:val="24"/>
                <w:szCs w:val="24"/>
              </w:rPr>
              <w:t>万元，其中环保投资</w:t>
            </w:r>
            <w:r>
              <w:rPr>
                <w:rFonts w:hint="eastAsia"/>
                <w:color w:val="auto"/>
                <w:sz w:val="24"/>
                <w:szCs w:val="24"/>
                <w:lang w:val="en-US" w:eastAsia="zh-CN"/>
              </w:rPr>
              <w:t>46.34</w:t>
            </w:r>
            <w:r>
              <w:rPr>
                <w:rFonts w:ascii="Times New Roman" w:hAnsi="Times New Roman" w:eastAsia="宋体"/>
                <w:color w:val="auto"/>
                <w:sz w:val="24"/>
                <w:szCs w:val="24"/>
              </w:rPr>
              <w:t>万元，</w:t>
            </w:r>
            <w:r>
              <w:rPr>
                <w:rFonts w:hint="eastAsia" w:ascii="Times New Roman" w:hAnsi="Times New Roman" w:eastAsia="宋体"/>
                <w:color w:val="auto"/>
                <w:sz w:val="24"/>
                <w:szCs w:val="24"/>
              </w:rPr>
              <w:t>环保投资</w:t>
            </w:r>
            <w:r>
              <w:rPr>
                <w:rFonts w:ascii="Times New Roman" w:hAnsi="Times New Roman" w:eastAsia="宋体"/>
                <w:color w:val="auto"/>
                <w:sz w:val="24"/>
                <w:szCs w:val="24"/>
              </w:rPr>
              <w:t>占总投资</w:t>
            </w:r>
            <w:r>
              <w:rPr>
                <w:rFonts w:hint="eastAsia" w:ascii="Times New Roman" w:hAnsi="Times New Roman" w:eastAsia="宋体"/>
                <w:color w:val="auto"/>
                <w:sz w:val="24"/>
                <w:szCs w:val="24"/>
              </w:rPr>
              <w:t>的</w:t>
            </w:r>
            <w:r>
              <w:rPr>
                <w:rFonts w:hint="eastAsia"/>
                <w:color w:val="auto"/>
                <w:sz w:val="24"/>
                <w:szCs w:val="24"/>
                <w:lang w:val="en-US" w:eastAsia="zh-CN"/>
              </w:rPr>
              <w:t>0.78</w:t>
            </w:r>
            <w:r>
              <w:rPr>
                <w:rFonts w:ascii="Times New Roman" w:hAnsi="Times New Roman" w:eastAsia="宋体"/>
                <w:color w:val="auto"/>
                <w:sz w:val="24"/>
                <w:szCs w:val="24"/>
              </w:rPr>
              <w:t>%。环保投资分项估算见表</w:t>
            </w:r>
            <w:r>
              <w:rPr>
                <w:rFonts w:hint="eastAsia" w:ascii="Times New Roman" w:hAnsi="Times New Roman" w:eastAsia="宋体"/>
                <w:color w:val="auto"/>
                <w:sz w:val="24"/>
                <w:szCs w:val="24"/>
                <w:lang w:val="en-US" w:eastAsia="zh-CN"/>
              </w:rPr>
              <w:t>5-</w:t>
            </w:r>
            <w:r>
              <w:rPr>
                <w:rFonts w:hint="eastAsia"/>
                <w:color w:val="auto"/>
                <w:sz w:val="24"/>
                <w:szCs w:val="24"/>
                <w:lang w:val="en-US" w:eastAsia="zh-CN"/>
              </w:rPr>
              <w:t>4</w:t>
            </w:r>
            <w:r>
              <w:rPr>
                <w:rFonts w:ascii="Times New Roman" w:hAnsi="Times New Roman" w:eastAsia="宋体"/>
                <w:color w:val="auto"/>
                <w:sz w:val="28"/>
                <w:szCs w:val="28"/>
              </w:rPr>
              <w:t>。</w:t>
            </w:r>
          </w:p>
          <w:p w14:paraId="05D7EC5B">
            <w:pPr>
              <w:pStyle w:val="31"/>
              <w:bidi w:val="0"/>
              <w:rPr>
                <w:rFonts w:hint="default"/>
                <w:color w:val="auto"/>
                <w:lang w:val="en-US" w:eastAsia="zh-CN"/>
              </w:rPr>
            </w:pPr>
            <w:r>
              <w:rPr>
                <w:rFonts w:hint="eastAsia"/>
                <w:color w:val="auto"/>
                <w:lang w:eastAsia="zh-CN"/>
              </w:rPr>
              <w:t>表</w:t>
            </w:r>
            <w:r>
              <w:rPr>
                <w:rFonts w:hint="eastAsia"/>
                <w:color w:val="auto"/>
                <w:lang w:val="en-US" w:eastAsia="zh-CN"/>
              </w:rPr>
              <w:t>5-4  环保投资一览表（单位：万元）</w:t>
            </w:r>
          </w:p>
          <w:tbl>
            <w:tblPr>
              <w:tblStyle w:val="23"/>
              <w:tblW w:w="78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1"/>
              <w:gridCol w:w="1636"/>
              <w:gridCol w:w="3399"/>
              <w:gridCol w:w="1243"/>
              <w:gridCol w:w="1042"/>
            </w:tblGrid>
            <w:tr w14:paraId="54B5A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1" w:type="dxa"/>
                  <w:vAlign w:val="center"/>
                </w:tcPr>
                <w:p w14:paraId="6136CAE7">
                  <w:pPr>
                    <w:pStyle w:val="34"/>
                    <w:bidi w:val="0"/>
                    <w:rPr>
                      <w:rFonts w:hint="eastAsia"/>
                      <w:b/>
                      <w:bCs/>
                      <w:color w:val="auto"/>
                      <w:sz w:val="21"/>
                      <w:szCs w:val="21"/>
                      <w:lang w:eastAsia="zh-CN"/>
                    </w:rPr>
                  </w:pPr>
                  <w:r>
                    <w:rPr>
                      <w:rFonts w:hint="eastAsia"/>
                      <w:b/>
                      <w:bCs/>
                      <w:color w:val="auto"/>
                      <w:sz w:val="21"/>
                      <w:szCs w:val="21"/>
                      <w:lang w:eastAsia="zh-CN"/>
                    </w:rPr>
                    <w:t>时段</w:t>
                  </w:r>
                </w:p>
              </w:tc>
              <w:tc>
                <w:tcPr>
                  <w:tcW w:w="1636" w:type="dxa"/>
                  <w:vAlign w:val="center"/>
                </w:tcPr>
                <w:p w14:paraId="58F4491A">
                  <w:pPr>
                    <w:pStyle w:val="34"/>
                    <w:bidi w:val="0"/>
                    <w:rPr>
                      <w:rFonts w:hint="eastAsia"/>
                      <w:b/>
                      <w:bCs/>
                      <w:color w:val="auto"/>
                      <w:sz w:val="21"/>
                      <w:szCs w:val="21"/>
                      <w:lang w:eastAsia="zh-CN"/>
                    </w:rPr>
                  </w:pPr>
                  <w:r>
                    <w:rPr>
                      <w:rFonts w:hint="eastAsia"/>
                      <w:b/>
                      <w:bCs/>
                      <w:color w:val="auto"/>
                      <w:sz w:val="21"/>
                      <w:szCs w:val="21"/>
                      <w:lang w:eastAsia="zh-CN"/>
                    </w:rPr>
                    <w:t>污染因素</w:t>
                  </w:r>
                </w:p>
              </w:tc>
              <w:tc>
                <w:tcPr>
                  <w:tcW w:w="3399" w:type="dxa"/>
                  <w:vAlign w:val="center"/>
                </w:tcPr>
                <w:p w14:paraId="191B1AF1">
                  <w:pPr>
                    <w:pStyle w:val="34"/>
                    <w:bidi w:val="0"/>
                    <w:rPr>
                      <w:rFonts w:hint="eastAsia"/>
                      <w:b/>
                      <w:bCs/>
                      <w:color w:val="auto"/>
                      <w:sz w:val="21"/>
                      <w:szCs w:val="21"/>
                      <w:lang w:eastAsia="zh-CN"/>
                    </w:rPr>
                  </w:pPr>
                  <w:r>
                    <w:rPr>
                      <w:rFonts w:hint="eastAsia"/>
                      <w:b/>
                      <w:bCs/>
                      <w:color w:val="auto"/>
                      <w:sz w:val="21"/>
                      <w:szCs w:val="21"/>
                      <w:lang w:eastAsia="zh-CN"/>
                    </w:rPr>
                    <w:t>治理措施</w:t>
                  </w:r>
                </w:p>
              </w:tc>
              <w:tc>
                <w:tcPr>
                  <w:tcW w:w="1243" w:type="dxa"/>
                  <w:vAlign w:val="center"/>
                </w:tcPr>
                <w:p w14:paraId="7F73B3B7">
                  <w:pPr>
                    <w:pStyle w:val="34"/>
                    <w:bidi w:val="0"/>
                    <w:rPr>
                      <w:rFonts w:hint="eastAsia"/>
                      <w:b/>
                      <w:bCs/>
                      <w:color w:val="auto"/>
                      <w:sz w:val="21"/>
                      <w:szCs w:val="21"/>
                      <w:lang w:eastAsia="zh-CN"/>
                    </w:rPr>
                  </w:pPr>
                  <w:r>
                    <w:rPr>
                      <w:rFonts w:hint="eastAsia"/>
                      <w:b/>
                      <w:bCs/>
                      <w:color w:val="auto"/>
                      <w:sz w:val="21"/>
                      <w:szCs w:val="21"/>
                      <w:lang w:eastAsia="zh-CN"/>
                    </w:rPr>
                    <w:t>投资估算</w:t>
                  </w:r>
                </w:p>
              </w:tc>
              <w:tc>
                <w:tcPr>
                  <w:tcW w:w="1042" w:type="dxa"/>
                  <w:vAlign w:val="center"/>
                </w:tcPr>
                <w:p w14:paraId="6771E63A">
                  <w:pPr>
                    <w:pStyle w:val="34"/>
                    <w:bidi w:val="0"/>
                    <w:rPr>
                      <w:rFonts w:hint="eastAsia"/>
                      <w:b/>
                      <w:bCs/>
                      <w:color w:val="auto"/>
                      <w:sz w:val="21"/>
                      <w:szCs w:val="21"/>
                      <w:lang w:eastAsia="zh-CN"/>
                    </w:rPr>
                  </w:pPr>
                  <w:r>
                    <w:rPr>
                      <w:rFonts w:hint="eastAsia"/>
                      <w:b/>
                      <w:bCs/>
                      <w:color w:val="auto"/>
                      <w:sz w:val="21"/>
                      <w:szCs w:val="21"/>
                      <w:lang w:eastAsia="zh-CN"/>
                    </w:rPr>
                    <w:t>备注</w:t>
                  </w:r>
                </w:p>
              </w:tc>
            </w:tr>
            <w:tr w14:paraId="64B3B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531" w:type="dxa"/>
                  <w:vMerge w:val="restart"/>
                  <w:vAlign w:val="center"/>
                </w:tcPr>
                <w:p w14:paraId="698514BB">
                  <w:pPr>
                    <w:pStyle w:val="34"/>
                    <w:bidi w:val="0"/>
                    <w:rPr>
                      <w:rFonts w:hint="eastAsia"/>
                      <w:color w:val="auto"/>
                      <w:sz w:val="21"/>
                      <w:szCs w:val="21"/>
                      <w:lang w:eastAsia="zh-CN"/>
                    </w:rPr>
                  </w:pPr>
                  <w:r>
                    <w:rPr>
                      <w:rFonts w:hint="eastAsia"/>
                      <w:color w:val="auto"/>
                      <w:sz w:val="21"/>
                      <w:szCs w:val="21"/>
                      <w:lang w:eastAsia="zh-CN"/>
                    </w:rPr>
                    <w:t>施工期</w:t>
                  </w:r>
                </w:p>
              </w:tc>
              <w:tc>
                <w:tcPr>
                  <w:tcW w:w="1636" w:type="dxa"/>
                  <w:vMerge w:val="restart"/>
                  <w:vAlign w:val="center"/>
                </w:tcPr>
                <w:p w14:paraId="72E29168">
                  <w:pPr>
                    <w:pStyle w:val="34"/>
                    <w:bidi w:val="0"/>
                    <w:rPr>
                      <w:rFonts w:hint="eastAsia"/>
                      <w:color w:val="auto"/>
                      <w:sz w:val="21"/>
                      <w:szCs w:val="21"/>
                      <w:lang w:eastAsia="zh-CN"/>
                    </w:rPr>
                  </w:pPr>
                  <w:r>
                    <w:rPr>
                      <w:rFonts w:hint="eastAsia"/>
                      <w:color w:val="auto"/>
                      <w:sz w:val="21"/>
                      <w:szCs w:val="21"/>
                      <w:lang w:eastAsia="zh-CN"/>
                    </w:rPr>
                    <w:t>废气</w:t>
                  </w:r>
                </w:p>
              </w:tc>
              <w:tc>
                <w:tcPr>
                  <w:tcW w:w="3399" w:type="dxa"/>
                  <w:vAlign w:val="center"/>
                </w:tcPr>
                <w:p w14:paraId="78E89CF6">
                  <w:pPr>
                    <w:pStyle w:val="34"/>
                    <w:bidi w:val="0"/>
                    <w:rPr>
                      <w:rFonts w:hint="default"/>
                      <w:color w:val="auto"/>
                      <w:sz w:val="21"/>
                      <w:szCs w:val="21"/>
                    </w:rPr>
                  </w:pPr>
                  <w:r>
                    <w:rPr>
                      <w:color w:val="auto"/>
                      <w:sz w:val="21"/>
                      <w:szCs w:val="21"/>
                    </w:rPr>
                    <w:t>运输过程中采用防尘布遮盖</w:t>
                  </w:r>
                </w:p>
              </w:tc>
              <w:tc>
                <w:tcPr>
                  <w:tcW w:w="1243" w:type="dxa"/>
                  <w:vAlign w:val="center"/>
                </w:tcPr>
                <w:p w14:paraId="0FCEE1A0">
                  <w:pPr>
                    <w:pStyle w:val="34"/>
                    <w:bidi w:val="0"/>
                    <w:rPr>
                      <w:rFonts w:hint="default"/>
                      <w:color w:val="auto"/>
                      <w:sz w:val="21"/>
                      <w:szCs w:val="21"/>
                      <w:lang w:val="en-US" w:eastAsia="zh-CN"/>
                    </w:rPr>
                  </w:pPr>
                  <w:r>
                    <w:rPr>
                      <w:rFonts w:hint="eastAsia"/>
                      <w:color w:val="auto"/>
                      <w:sz w:val="21"/>
                      <w:szCs w:val="21"/>
                      <w:lang w:val="en-US" w:eastAsia="zh-CN"/>
                    </w:rPr>
                    <w:t>1</w:t>
                  </w:r>
                </w:p>
              </w:tc>
              <w:tc>
                <w:tcPr>
                  <w:tcW w:w="1042" w:type="dxa"/>
                  <w:vAlign w:val="center"/>
                </w:tcPr>
                <w:p w14:paraId="77C21FC9">
                  <w:pPr>
                    <w:pStyle w:val="34"/>
                    <w:bidi w:val="0"/>
                    <w:rPr>
                      <w:rFonts w:hint="default"/>
                      <w:color w:val="auto"/>
                      <w:sz w:val="21"/>
                      <w:szCs w:val="21"/>
                    </w:rPr>
                  </w:pPr>
                </w:p>
              </w:tc>
            </w:tr>
            <w:tr w14:paraId="63BAF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1" w:type="dxa"/>
                  <w:vMerge w:val="continue"/>
                  <w:vAlign w:val="center"/>
                </w:tcPr>
                <w:p w14:paraId="2D4E1351">
                  <w:pPr>
                    <w:pStyle w:val="34"/>
                    <w:bidi w:val="0"/>
                    <w:rPr>
                      <w:rFonts w:hint="default"/>
                      <w:color w:val="auto"/>
                      <w:sz w:val="21"/>
                      <w:szCs w:val="21"/>
                    </w:rPr>
                  </w:pPr>
                </w:p>
              </w:tc>
              <w:tc>
                <w:tcPr>
                  <w:tcW w:w="1636" w:type="dxa"/>
                  <w:vMerge w:val="continue"/>
                  <w:vAlign w:val="center"/>
                </w:tcPr>
                <w:p w14:paraId="0589C8C7">
                  <w:pPr>
                    <w:pStyle w:val="34"/>
                    <w:bidi w:val="0"/>
                    <w:rPr>
                      <w:rFonts w:hint="eastAsia"/>
                      <w:color w:val="auto"/>
                      <w:sz w:val="21"/>
                      <w:szCs w:val="21"/>
                      <w:lang w:eastAsia="zh-CN"/>
                    </w:rPr>
                  </w:pPr>
                </w:p>
              </w:tc>
              <w:tc>
                <w:tcPr>
                  <w:tcW w:w="3399" w:type="dxa"/>
                  <w:vAlign w:val="center"/>
                </w:tcPr>
                <w:p w14:paraId="38D016CF">
                  <w:pPr>
                    <w:pStyle w:val="34"/>
                    <w:bidi w:val="0"/>
                    <w:rPr>
                      <w:rFonts w:hint="default"/>
                      <w:color w:val="auto"/>
                      <w:sz w:val="21"/>
                      <w:szCs w:val="21"/>
                    </w:rPr>
                  </w:pPr>
                  <w:r>
                    <w:rPr>
                      <w:color w:val="auto"/>
                      <w:sz w:val="21"/>
                      <w:szCs w:val="21"/>
                    </w:rPr>
                    <w:t>施工营地砂石料采用防尘布遮盖、并采取洒水降尘</w:t>
                  </w:r>
                </w:p>
              </w:tc>
              <w:tc>
                <w:tcPr>
                  <w:tcW w:w="1243" w:type="dxa"/>
                  <w:vAlign w:val="center"/>
                </w:tcPr>
                <w:p w14:paraId="25270992">
                  <w:pPr>
                    <w:pStyle w:val="34"/>
                    <w:bidi w:val="0"/>
                    <w:rPr>
                      <w:rFonts w:hint="default"/>
                      <w:color w:val="auto"/>
                      <w:sz w:val="21"/>
                      <w:szCs w:val="21"/>
                      <w:lang w:val="en-US" w:eastAsia="zh-CN"/>
                    </w:rPr>
                  </w:pPr>
                  <w:r>
                    <w:rPr>
                      <w:rFonts w:hint="eastAsia"/>
                      <w:color w:val="auto"/>
                      <w:sz w:val="21"/>
                      <w:szCs w:val="21"/>
                      <w:lang w:val="en-US" w:eastAsia="zh-CN"/>
                    </w:rPr>
                    <w:t>2</w:t>
                  </w:r>
                </w:p>
              </w:tc>
              <w:tc>
                <w:tcPr>
                  <w:tcW w:w="1042" w:type="dxa"/>
                  <w:vAlign w:val="center"/>
                </w:tcPr>
                <w:p w14:paraId="5E4E5C0F">
                  <w:pPr>
                    <w:pStyle w:val="34"/>
                    <w:bidi w:val="0"/>
                    <w:rPr>
                      <w:rFonts w:hint="default"/>
                      <w:color w:val="auto"/>
                      <w:sz w:val="21"/>
                      <w:szCs w:val="21"/>
                    </w:rPr>
                  </w:pPr>
                </w:p>
              </w:tc>
            </w:tr>
            <w:tr w14:paraId="7286D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31" w:type="dxa"/>
                  <w:vMerge w:val="continue"/>
                  <w:vAlign w:val="center"/>
                </w:tcPr>
                <w:p w14:paraId="62773198">
                  <w:pPr>
                    <w:pStyle w:val="34"/>
                    <w:bidi w:val="0"/>
                    <w:rPr>
                      <w:rFonts w:hint="default"/>
                      <w:color w:val="auto"/>
                      <w:sz w:val="21"/>
                      <w:szCs w:val="21"/>
                    </w:rPr>
                  </w:pPr>
                </w:p>
              </w:tc>
              <w:tc>
                <w:tcPr>
                  <w:tcW w:w="1636" w:type="dxa"/>
                  <w:vMerge w:val="continue"/>
                  <w:vAlign w:val="center"/>
                </w:tcPr>
                <w:p w14:paraId="006EDC5A">
                  <w:pPr>
                    <w:pStyle w:val="34"/>
                    <w:bidi w:val="0"/>
                    <w:rPr>
                      <w:rFonts w:hint="eastAsia"/>
                      <w:color w:val="auto"/>
                      <w:sz w:val="21"/>
                      <w:szCs w:val="21"/>
                      <w:lang w:eastAsia="zh-CN"/>
                    </w:rPr>
                  </w:pPr>
                </w:p>
              </w:tc>
              <w:tc>
                <w:tcPr>
                  <w:tcW w:w="3399" w:type="dxa"/>
                  <w:vAlign w:val="center"/>
                </w:tcPr>
                <w:p w14:paraId="580B40A2">
                  <w:pPr>
                    <w:pStyle w:val="34"/>
                    <w:bidi w:val="0"/>
                    <w:rPr>
                      <w:rFonts w:hint="default"/>
                      <w:color w:val="auto"/>
                      <w:sz w:val="21"/>
                      <w:szCs w:val="21"/>
                    </w:rPr>
                  </w:pPr>
                  <w:r>
                    <w:rPr>
                      <w:color w:val="auto"/>
                      <w:sz w:val="21"/>
                      <w:szCs w:val="21"/>
                    </w:rPr>
                    <w:t>临时堆土场采用土工布覆盖</w:t>
                  </w:r>
                </w:p>
              </w:tc>
              <w:tc>
                <w:tcPr>
                  <w:tcW w:w="1243" w:type="dxa"/>
                  <w:vAlign w:val="center"/>
                </w:tcPr>
                <w:p w14:paraId="3BA33F8E">
                  <w:pPr>
                    <w:pStyle w:val="34"/>
                    <w:bidi w:val="0"/>
                    <w:rPr>
                      <w:rFonts w:hint="default"/>
                      <w:color w:val="auto"/>
                      <w:sz w:val="21"/>
                      <w:szCs w:val="21"/>
                      <w:lang w:val="en-US" w:eastAsia="zh-CN"/>
                    </w:rPr>
                  </w:pPr>
                  <w:r>
                    <w:rPr>
                      <w:rFonts w:hint="eastAsia"/>
                      <w:color w:val="auto"/>
                      <w:sz w:val="21"/>
                      <w:szCs w:val="21"/>
                      <w:lang w:val="en-US" w:eastAsia="zh-CN"/>
                    </w:rPr>
                    <w:t>3.5</w:t>
                  </w:r>
                </w:p>
              </w:tc>
              <w:tc>
                <w:tcPr>
                  <w:tcW w:w="1042" w:type="dxa"/>
                  <w:vAlign w:val="center"/>
                </w:tcPr>
                <w:p w14:paraId="1DA607BC">
                  <w:pPr>
                    <w:pStyle w:val="34"/>
                    <w:bidi w:val="0"/>
                    <w:rPr>
                      <w:rFonts w:hint="default"/>
                      <w:color w:val="auto"/>
                      <w:sz w:val="21"/>
                      <w:szCs w:val="21"/>
                    </w:rPr>
                  </w:pPr>
                </w:p>
              </w:tc>
            </w:tr>
            <w:tr w14:paraId="11944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1" w:type="dxa"/>
                  <w:vMerge w:val="continue"/>
                  <w:vAlign w:val="center"/>
                </w:tcPr>
                <w:p w14:paraId="070C051C">
                  <w:pPr>
                    <w:pStyle w:val="34"/>
                    <w:bidi w:val="0"/>
                    <w:rPr>
                      <w:rFonts w:hint="default"/>
                      <w:color w:val="auto"/>
                      <w:sz w:val="21"/>
                      <w:szCs w:val="21"/>
                    </w:rPr>
                  </w:pPr>
                </w:p>
              </w:tc>
              <w:tc>
                <w:tcPr>
                  <w:tcW w:w="1636" w:type="dxa"/>
                  <w:vMerge w:val="restart"/>
                  <w:vAlign w:val="center"/>
                </w:tcPr>
                <w:p w14:paraId="75D143A7">
                  <w:pPr>
                    <w:pStyle w:val="34"/>
                    <w:bidi w:val="0"/>
                    <w:rPr>
                      <w:rFonts w:hint="default"/>
                      <w:color w:val="auto"/>
                      <w:sz w:val="21"/>
                      <w:szCs w:val="21"/>
                      <w:lang w:val="en-US" w:eastAsia="zh-CN"/>
                    </w:rPr>
                  </w:pPr>
                  <w:r>
                    <w:rPr>
                      <w:rFonts w:hint="eastAsia"/>
                      <w:color w:val="auto"/>
                      <w:sz w:val="21"/>
                      <w:szCs w:val="21"/>
                      <w:lang w:eastAsia="zh-CN"/>
                    </w:rPr>
                    <w:t>废水</w:t>
                  </w:r>
                </w:p>
              </w:tc>
              <w:tc>
                <w:tcPr>
                  <w:tcW w:w="3399" w:type="dxa"/>
                  <w:vAlign w:val="center"/>
                </w:tcPr>
                <w:p w14:paraId="55238ECD">
                  <w:pPr>
                    <w:pStyle w:val="34"/>
                    <w:bidi w:val="0"/>
                    <w:rPr>
                      <w:rFonts w:hint="eastAsia"/>
                      <w:color w:val="auto"/>
                      <w:sz w:val="21"/>
                      <w:szCs w:val="21"/>
                      <w:lang w:eastAsia="zh-CN"/>
                    </w:rPr>
                  </w:pPr>
                  <w:r>
                    <w:rPr>
                      <w:rFonts w:hint="eastAsia"/>
                      <w:color w:val="auto"/>
                      <w:sz w:val="21"/>
                      <w:szCs w:val="21"/>
                      <w:lang w:eastAsia="zh-CN"/>
                    </w:rPr>
                    <w:t>混凝土搅拌站沉淀桶</w:t>
                  </w:r>
                </w:p>
              </w:tc>
              <w:tc>
                <w:tcPr>
                  <w:tcW w:w="1243" w:type="dxa"/>
                  <w:vAlign w:val="center"/>
                </w:tcPr>
                <w:p w14:paraId="6DBC79AE">
                  <w:pPr>
                    <w:pStyle w:val="34"/>
                    <w:bidi w:val="0"/>
                    <w:rPr>
                      <w:rFonts w:hint="default"/>
                      <w:color w:val="auto"/>
                      <w:sz w:val="21"/>
                      <w:szCs w:val="21"/>
                      <w:lang w:val="en-US" w:eastAsia="zh-CN"/>
                    </w:rPr>
                  </w:pPr>
                  <w:r>
                    <w:rPr>
                      <w:rFonts w:hint="eastAsia"/>
                      <w:color w:val="auto"/>
                      <w:sz w:val="21"/>
                      <w:szCs w:val="21"/>
                      <w:lang w:val="en-US" w:eastAsia="zh-CN"/>
                    </w:rPr>
                    <w:t>2.7</w:t>
                  </w:r>
                </w:p>
              </w:tc>
              <w:tc>
                <w:tcPr>
                  <w:tcW w:w="1042" w:type="dxa"/>
                  <w:vAlign w:val="center"/>
                </w:tcPr>
                <w:p w14:paraId="45AA708F">
                  <w:pPr>
                    <w:pStyle w:val="34"/>
                    <w:bidi w:val="0"/>
                    <w:rPr>
                      <w:rFonts w:hint="default"/>
                      <w:color w:val="auto"/>
                      <w:sz w:val="21"/>
                      <w:szCs w:val="21"/>
                    </w:rPr>
                  </w:pPr>
                </w:p>
              </w:tc>
            </w:tr>
            <w:tr w14:paraId="4EF16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1" w:type="dxa"/>
                  <w:vMerge w:val="continue"/>
                  <w:vAlign w:val="center"/>
                </w:tcPr>
                <w:p w14:paraId="7D56426B">
                  <w:pPr>
                    <w:pStyle w:val="34"/>
                    <w:bidi w:val="0"/>
                    <w:rPr>
                      <w:rFonts w:hint="default"/>
                      <w:color w:val="auto"/>
                      <w:sz w:val="21"/>
                      <w:szCs w:val="21"/>
                    </w:rPr>
                  </w:pPr>
                </w:p>
              </w:tc>
              <w:tc>
                <w:tcPr>
                  <w:tcW w:w="1636" w:type="dxa"/>
                  <w:vMerge w:val="continue"/>
                  <w:vAlign w:val="center"/>
                </w:tcPr>
                <w:p w14:paraId="051F10AF">
                  <w:pPr>
                    <w:pStyle w:val="34"/>
                    <w:bidi w:val="0"/>
                    <w:rPr>
                      <w:rFonts w:hint="default"/>
                      <w:color w:val="auto"/>
                      <w:sz w:val="21"/>
                      <w:szCs w:val="21"/>
                    </w:rPr>
                  </w:pPr>
                </w:p>
              </w:tc>
              <w:tc>
                <w:tcPr>
                  <w:tcW w:w="3399" w:type="dxa"/>
                  <w:vAlign w:val="center"/>
                </w:tcPr>
                <w:p w14:paraId="298587E6">
                  <w:pPr>
                    <w:pStyle w:val="34"/>
                    <w:bidi w:val="0"/>
                    <w:rPr>
                      <w:rFonts w:hint="eastAsia"/>
                      <w:color w:val="auto"/>
                      <w:sz w:val="21"/>
                      <w:szCs w:val="21"/>
                      <w:lang w:eastAsia="zh-CN"/>
                    </w:rPr>
                  </w:pPr>
                  <w:r>
                    <w:rPr>
                      <w:rFonts w:hint="eastAsia"/>
                      <w:color w:val="auto"/>
                      <w:sz w:val="21"/>
                      <w:szCs w:val="21"/>
                      <w:lang w:eastAsia="zh-CN"/>
                    </w:rPr>
                    <w:t>旱厕</w:t>
                  </w:r>
                </w:p>
              </w:tc>
              <w:tc>
                <w:tcPr>
                  <w:tcW w:w="1243" w:type="dxa"/>
                  <w:vAlign w:val="center"/>
                </w:tcPr>
                <w:p w14:paraId="59B05504">
                  <w:pPr>
                    <w:pStyle w:val="34"/>
                    <w:bidi w:val="0"/>
                    <w:rPr>
                      <w:rFonts w:hint="default"/>
                      <w:color w:val="auto"/>
                      <w:sz w:val="21"/>
                      <w:szCs w:val="21"/>
                      <w:lang w:val="en-US" w:eastAsia="zh-CN"/>
                    </w:rPr>
                  </w:pPr>
                  <w:r>
                    <w:rPr>
                      <w:rFonts w:hint="eastAsia"/>
                      <w:color w:val="auto"/>
                      <w:sz w:val="21"/>
                      <w:szCs w:val="21"/>
                      <w:lang w:val="en-US" w:eastAsia="zh-CN"/>
                    </w:rPr>
                    <w:t>0.8</w:t>
                  </w:r>
                </w:p>
              </w:tc>
              <w:tc>
                <w:tcPr>
                  <w:tcW w:w="1042" w:type="dxa"/>
                  <w:vAlign w:val="center"/>
                </w:tcPr>
                <w:p w14:paraId="49B5575C">
                  <w:pPr>
                    <w:pStyle w:val="34"/>
                    <w:bidi w:val="0"/>
                    <w:rPr>
                      <w:rFonts w:hint="default"/>
                      <w:color w:val="auto"/>
                      <w:sz w:val="21"/>
                      <w:szCs w:val="21"/>
                    </w:rPr>
                  </w:pPr>
                </w:p>
              </w:tc>
            </w:tr>
            <w:tr w14:paraId="5901C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1" w:type="dxa"/>
                  <w:vMerge w:val="continue"/>
                  <w:vAlign w:val="center"/>
                </w:tcPr>
                <w:p w14:paraId="5B532F52">
                  <w:pPr>
                    <w:pStyle w:val="34"/>
                    <w:bidi w:val="0"/>
                    <w:rPr>
                      <w:rFonts w:hint="default"/>
                      <w:color w:val="auto"/>
                      <w:sz w:val="21"/>
                      <w:szCs w:val="21"/>
                    </w:rPr>
                  </w:pPr>
                </w:p>
              </w:tc>
              <w:tc>
                <w:tcPr>
                  <w:tcW w:w="1636" w:type="dxa"/>
                  <w:vMerge w:val="continue"/>
                  <w:vAlign w:val="center"/>
                </w:tcPr>
                <w:p w14:paraId="6FB17352">
                  <w:pPr>
                    <w:pStyle w:val="34"/>
                    <w:bidi w:val="0"/>
                    <w:rPr>
                      <w:rFonts w:hint="default"/>
                      <w:color w:val="auto"/>
                      <w:sz w:val="21"/>
                      <w:szCs w:val="21"/>
                    </w:rPr>
                  </w:pPr>
                </w:p>
              </w:tc>
              <w:tc>
                <w:tcPr>
                  <w:tcW w:w="3399" w:type="dxa"/>
                  <w:vAlign w:val="center"/>
                </w:tcPr>
                <w:p w14:paraId="33D8A011">
                  <w:pPr>
                    <w:pStyle w:val="34"/>
                    <w:bidi w:val="0"/>
                    <w:rPr>
                      <w:rFonts w:hint="eastAsia"/>
                      <w:color w:val="auto"/>
                      <w:sz w:val="21"/>
                      <w:szCs w:val="21"/>
                      <w:lang w:eastAsia="zh-CN"/>
                    </w:rPr>
                  </w:pPr>
                  <w:r>
                    <w:rPr>
                      <w:rFonts w:hint="eastAsia"/>
                      <w:color w:val="auto"/>
                      <w:sz w:val="21"/>
                      <w:szCs w:val="21"/>
                      <w:lang w:eastAsia="zh-CN"/>
                    </w:rPr>
                    <w:t>生活污水排水沟</w:t>
                  </w:r>
                </w:p>
              </w:tc>
              <w:tc>
                <w:tcPr>
                  <w:tcW w:w="1243" w:type="dxa"/>
                  <w:vAlign w:val="center"/>
                </w:tcPr>
                <w:p w14:paraId="0011434F">
                  <w:pPr>
                    <w:pStyle w:val="34"/>
                    <w:bidi w:val="0"/>
                    <w:rPr>
                      <w:rFonts w:hint="default"/>
                      <w:color w:val="auto"/>
                      <w:sz w:val="21"/>
                      <w:szCs w:val="21"/>
                      <w:lang w:val="en-US" w:eastAsia="zh-CN"/>
                    </w:rPr>
                  </w:pPr>
                  <w:r>
                    <w:rPr>
                      <w:rFonts w:hint="eastAsia"/>
                      <w:color w:val="auto"/>
                      <w:sz w:val="21"/>
                      <w:szCs w:val="21"/>
                      <w:lang w:val="en-US" w:eastAsia="zh-CN"/>
                    </w:rPr>
                    <w:t>1.6</w:t>
                  </w:r>
                </w:p>
              </w:tc>
              <w:tc>
                <w:tcPr>
                  <w:tcW w:w="1042" w:type="dxa"/>
                  <w:vAlign w:val="center"/>
                </w:tcPr>
                <w:p w14:paraId="00BF47F7">
                  <w:pPr>
                    <w:pStyle w:val="34"/>
                    <w:bidi w:val="0"/>
                    <w:rPr>
                      <w:rFonts w:hint="default"/>
                      <w:color w:val="auto"/>
                      <w:sz w:val="21"/>
                      <w:szCs w:val="21"/>
                    </w:rPr>
                  </w:pPr>
                </w:p>
              </w:tc>
            </w:tr>
            <w:tr w14:paraId="6B2A0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1" w:type="dxa"/>
                  <w:vMerge w:val="continue"/>
                  <w:vAlign w:val="center"/>
                </w:tcPr>
                <w:p w14:paraId="4720AF64">
                  <w:pPr>
                    <w:pStyle w:val="34"/>
                    <w:bidi w:val="0"/>
                    <w:rPr>
                      <w:rFonts w:hint="default"/>
                      <w:color w:val="auto"/>
                      <w:sz w:val="21"/>
                      <w:szCs w:val="21"/>
                    </w:rPr>
                  </w:pPr>
                </w:p>
              </w:tc>
              <w:tc>
                <w:tcPr>
                  <w:tcW w:w="1636" w:type="dxa"/>
                  <w:vMerge w:val="restart"/>
                  <w:vAlign w:val="center"/>
                </w:tcPr>
                <w:p w14:paraId="39D9D1D5">
                  <w:pPr>
                    <w:pStyle w:val="34"/>
                    <w:bidi w:val="0"/>
                    <w:rPr>
                      <w:rFonts w:hint="default"/>
                      <w:color w:val="auto"/>
                      <w:sz w:val="21"/>
                      <w:szCs w:val="21"/>
                    </w:rPr>
                  </w:pPr>
                  <w:r>
                    <w:rPr>
                      <w:rFonts w:hint="eastAsia"/>
                      <w:color w:val="auto"/>
                      <w:sz w:val="21"/>
                      <w:szCs w:val="21"/>
                      <w:lang w:eastAsia="zh-CN"/>
                    </w:rPr>
                    <w:t>噪声</w:t>
                  </w:r>
                </w:p>
              </w:tc>
              <w:tc>
                <w:tcPr>
                  <w:tcW w:w="3399" w:type="dxa"/>
                  <w:vAlign w:val="center"/>
                </w:tcPr>
                <w:p w14:paraId="4FDCD95D">
                  <w:pPr>
                    <w:pStyle w:val="34"/>
                    <w:bidi w:val="0"/>
                    <w:rPr>
                      <w:rFonts w:hint="eastAsia"/>
                      <w:color w:val="auto"/>
                      <w:sz w:val="21"/>
                      <w:szCs w:val="21"/>
                      <w:lang w:eastAsia="zh-CN"/>
                    </w:rPr>
                  </w:pPr>
                  <w:r>
                    <w:rPr>
                      <w:rFonts w:hint="eastAsia"/>
                      <w:color w:val="auto"/>
                      <w:sz w:val="21"/>
                      <w:szCs w:val="21"/>
                      <w:lang w:eastAsia="zh-CN"/>
                    </w:rPr>
                    <w:t>耳塞</w:t>
                  </w:r>
                </w:p>
              </w:tc>
              <w:tc>
                <w:tcPr>
                  <w:tcW w:w="1243" w:type="dxa"/>
                  <w:vAlign w:val="center"/>
                </w:tcPr>
                <w:p w14:paraId="169660C5">
                  <w:pPr>
                    <w:pStyle w:val="34"/>
                    <w:bidi w:val="0"/>
                    <w:rPr>
                      <w:rFonts w:hint="default"/>
                      <w:color w:val="auto"/>
                      <w:sz w:val="21"/>
                      <w:szCs w:val="21"/>
                      <w:lang w:val="en-US" w:eastAsia="zh-CN"/>
                    </w:rPr>
                  </w:pPr>
                  <w:r>
                    <w:rPr>
                      <w:rFonts w:hint="eastAsia"/>
                      <w:color w:val="auto"/>
                      <w:sz w:val="21"/>
                      <w:szCs w:val="21"/>
                      <w:lang w:val="en-US" w:eastAsia="zh-CN"/>
                    </w:rPr>
                    <w:t>0.06</w:t>
                  </w:r>
                </w:p>
              </w:tc>
              <w:tc>
                <w:tcPr>
                  <w:tcW w:w="1042" w:type="dxa"/>
                  <w:vAlign w:val="center"/>
                </w:tcPr>
                <w:p w14:paraId="42CF375B">
                  <w:pPr>
                    <w:pStyle w:val="34"/>
                    <w:bidi w:val="0"/>
                    <w:rPr>
                      <w:rFonts w:hint="default"/>
                      <w:color w:val="auto"/>
                      <w:sz w:val="21"/>
                      <w:szCs w:val="21"/>
                    </w:rPr>
                  </w:pPr>
                </w:p>
              </w:tc>
            </w:tr>
            <w:tr w14:paraId="62BCF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1" w:type="dxa"/>
                  <w:vMerge w:val="continue"/>
                  <w:vAlign w:val="center"/>
                </w:tcPr>
                <w:p w14:paraId="7E1E93A2">
                  <w:pPr>
                    <w:pStyle w:val="34"/>
                    <w:bidi w:val="0"/>
                    <w:rPr>
                      <w:rFonts w:hint="default"/>
                      <w:color w:val="auto"/>
                      <w:sz w:val="21"/>
                      <w:szCs w:val="21"/>
                    </w:rPr>
                  </w:pPr>
                </w:p>
              </w:tc>
              <w:tc>
                <w:tcPr>
                  <w:tcW w:w="1636" w:type="dxa"/>
                  <w:vMerge w:val="continue"/>
                  <w:vAlign w:val="center"/>
                </w:tcPr>
                <w:p w14:paraId="60EA1E62">
                  <w:pPr>
                    <w:pStyle w:val="34"/>
                    <w:bidi w:val="0"/>
                    <w:rPr>
                      <w:rFonts w:hint="eastAsia"/>
                      <w:color w:val="auto"/>
                      <w:sz w:val="21"/>
                      <w:szCs w:val="21"/>
                      <w:lang w:eastAsia="zh-CN"/>
                    </w:rPr>
                  </w:pPr>
                </w:p>
              </w:tc>
              <w:tc>
                <w:tcPr>
                  <w:tcW w:w="3399" w:type="dxa"/>
                  <w:vAlign w:val="center"/>
                </w:tcPr>
                <w:p w14:paraId="6456629F">
                  <w:pPr>
                    <w:pStyle w:val="34"/>
                    <w:bidi w:val="0"/>
                    <w:rPr>
                      <w:rFonts w:hint="eastAsia"/>
                      <w:color w:val="auto"/>
                      <w:sz w:val="21"/>
                      <w:szCs w:val="21"/>
                      <w:lang w:eastAsia="zh-CN"/>
                    </w:rPr>
                  </w:pPr>
                  <w:r>
                    <w:rPr>
                      <w:rFonts w:hint="eastAsia"/>
                      <w:color w:val="auto"/>
                      <w:sz w:val="21"/>
                      <w:szCs w:val="21"/>
                      <w:lang w:eastAsia="zh-CN"/>
                    </w:rPr>
                    <w:t>防声头盔</w:t>
                  </w:r>
                </w:p>
              </w:tc>
              <w:tc>
                <w:tcPr>
                  <w:tcW w:w="1243" w:type="dxa"/>
                  <w:vAlign w:val="center"/>
                </w:tcPr>
                <w:p w14:paraId="25442BAC">
                  <w:pPr>
                    <w:pStyle w:val="34"/>
                    <w:bidi w:val="0"/>
                    <w:rPr>
                      <w:rFonts w:hint="default"/>
                      <w:color w:val="auto"/>
                      <w:sz w:val="21"/>
                      <w:szCs w:val="21"/>
                      <w:lang w:val="en-US" w:eastAsia="zh-CN"/>
                    </w:rPr>
                  </w:pPr>
                  <w:r>
                    <w:rPr>
                      <w:rFonts w:hint="eastAsia"/>
                      <w:color w:val="auto"/>
                      <w:sz w:val="21"/>
                      <w:szCs w:val="21"/>
                      <w:lang w:val="en-US" w:eastAsia="zh-CN"/>
                    </w:rPr>
                    <w:t>0.68</w:t>
                  </w:r>
                </w:p>
              </w:tc>
              <w:tc>
                <w:tcPr>
                  <w:tcW w:w="1042" w:type="dxa"/>
                  <w:vAlign w:val="center"/>
                </w:tcPr>
                <w:p w14:paraId="22130193">
                  <w:pPr>
                    <w:pStyle w:val="34"/>
                    <w:bidi w:val="0"/>
                    <w:rPr>
                      <w:rFonts w:hint="default"/>
                      <w:color w:val="auto"/>
                      <w:sz w:val="21"/>
                      <w:szCs w:val="21"/>
                    </w:rPr>
                  </w:pPr>
                </w:p>
              </w:tc>
            </w:tr>
            <w:tr w14:paraId="46221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1" w:type="dxa"/>
                  <w:vMerge w:val="continue"/>
                  <w:vAlign w:val="center"/>
                </w:tcPr>
                <w:p w14:paraId="7DC1DD35">
                  <w:pPr>
                    <w:pStyle w:val="34"/>
                    <w:bidi w:val="0"/>
                    <w:rPr>
                      <w:rFonts w:hint="default"/>
                      <w:color w:val="auto"/>
                      <w:sz w:val="21"/>
                      <w:szCs w:val="21"/>
                    </w:rPr>
                  </w:pPr>
                </w:p>
              </w:tc>
              <w:tc>
                <w:tcPr>
                  <w:tcW w:w="1636" w:type="dxa"/>
                  <w:vMerge w:val="restart"/>
                  <w:vAlign w:val="center"/>
                </w:tcPr>
                <w:p w14:paraId="03FFEC32">
                  <w:pPr>
                    <w:pStyle w:val="34"/>
                    <w:bidi w:val="0"/>
                    <w:rPr>
                      <w:rFonts w:hint="eastAsia"/>
                      <w:color w:val="auto"/>
                      <w:sz w:val="21"/>
                      <w:szCs w:val="21"/>
                      <w:lang w:eastAsia="zh-CN"/>
                    </w:rPr>
                  </w:pPr>
                  <w:r>
                    <w:rPr>
                      <w:rFonts w:hint="eastAsia"/>
                      <w:color w:val="auto"/>
                      <w:sz w:val="21"/>
                      <w:szCs w:val="21"/>
                      <w:lang w:eastAsia="zh-CN"/>
                    </w:rPr>
                    <w:t>固体废弃物</w:t>
                  </w:r>
                </w:p>
              </w:tc>
              <w:tc>
                <w:tcPr>
                  <w:tcW w:w="3399" w:type="dxa"/>
                  <w:vAlign w:val="center"/>
                </w:tcPr>
                <w:p w14:paraId="4D6EA120">
                  <w:pPr>
                    <w:pStyle w:val="34"/>
                    <w:bidi w:val="0"/>
                    <w:rPr>
                      <w:rFonts w:hint="eastAsia"/>
                      <w:color w:val="auto"/>
                      <w:sz w:val="21"/>
                      <w:szCs w:val="21"/>
                      <w:lang w:eastAsia="zh-CN"/>
                    </w:rPr>
                  </w:pPr>
                  <w:r>
                    <w:rPr>
                      <w:color w:val="auto"/>
                      <w:sz w:val="21"/>
                      <w:szCs w:val="21"/>
                    </w:rPr>
                    <w:t>各个施工区设置垃圾收集桶，生活垃圾集中收集后清运至乡镇垃圾收集点，由环卫部门处置，严禁随意丢弃、焚烧和向河道内倾倒</w:t>
                  </w:r>
                  <w:r>
                    <w:rPr>
                      <w:rFonts w:hint="eastAsia"/>
                      <w:color w:val="auto"/>
                      <w:sz w:val="21"/>
                      <w:szCs w:val="21"/>
                      <w:lang w:eastAsia="zh-CN"/>
                    </w:rPr>
                    <w:t>。</w:t>
                  </w:r>
                </w:p>
              </w:tc>
              <w:tc>
                <w:tcPr>
                  <w:tcW w:w="1243" w:type="dxa"/>
                  <w:vAlign w:val="center"/>
                </w:tcPr>
                <w:p w14:paraId="70F9796B">
                  <w:pPr>
                    <w:pStyle w:val="34"/>
                    <w:bidi w:val="0"/>
                    <w:rPr>
                      <w:rFonts w:hint="default"/>
                      <w:color w:val="auto"/>
                      <w:sz w:val="21"/>
                      <w:szCs w:val="21"/>
                      <w:lang w:val="en-US" w:eastAsia="zh-CN"/>
                    </w:rPr>
                  </w:pPr>
                  <w:r>
                    <w:rPr>
                      <w:rFonts w:hint="eastAsia"/>
                      <w:color w:val="auto"/>
                      <w:sz w:val="21"/>
                      <w:szCs w:val="21"/>
                      <w:lang w:val="en-US" w:eastAsia="zh-CN"/>
                    </w:rPr>
                    <w:t>4</w:t>
                  </w:r>
                </w:p>
              </w:tc>
              <w:tc>
                <w:tcPr>
                  <w:tcW w:w="1042" w:type="dxa"/>
                  <w:vAlign w:val="center"/>
                </w:tcPr>
                <w:p w14:paraId="353B9AAE">
                  <w:pPr>
                    <w:pStyle w:val="34"/>
                    <w:bidi w:val="0"/>
                    <w:rPr>
                      <w:rFonts w:hint="default"/>
                      <w:color w:val="auto"/>
                      <w:sz w:val="21"/>
                      <w:szCs w:val="21"/>
                    </w:rPr>
                  </w:pPr>
                </w:p>
              </w:tc>
            </w:tr>
            <w:tr w14:paraId="595CE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1" w:type="dxa"/>
                  <w:vMerge w:val="continue"/>
                  <w:vAlign w:val="center"/>
                </w:tcPr>
                <w:p w14:paraId="33DE3037">
                  <w:pPr>
                    <w:pStyle w:val="34"/>
                    <w:bidi w:val="0"/>
                    <w:rPr>
                      <w:rFonts w:hint="default"/>
                      <w:color w:val="auto"/>
                      <w:sz w:val="21"/>
                      <w:szCs w:val="21"/>
                    </w:rPr>
                  </w:pPr>
                </w:p>
              </w:tc>
              <w:tc>
                <w:tcPr>
                  <w:tcW w:w="1636" w:type="dxa"/>
                  <w:vMerge w:val="continue"/>
                  <w:vAlign w:val="center"/>
                </w:tcPr>
                <w:p w14:paraId="7A666F41">
                  <w:pPr>
                    <w:pStyle w:val="34"/>
                    <w:bidi w:val="0"/>
                    <w:rPr>
                      <w:rFonts w:hint="eastAsia"/>
                      <w:color w:val="auto"/>
                      <w:sz w:val="21"/>
                      <w:szCs w:val="21"/>
                      <w:lang w:eastAsia="zh-CN"/>
                    </w:rPr>
                  </w:pPr>
                </w:p>
              </w:tc>
              <w:tc>
                <w:tcPr>
                  <w:tcW w:w="3399" w:type="dxa"/>
                  <w:vAlign w:val="center"/>
                </w:tcPr>
                <w:p w14:paraId="33FC28AF">
                  <w:pPr>
                    <w:pStyle w:val="34"/>
                    <w:bidi w:val="0"/>
                    <w:rPr>
                      <w:rFonts w:hint="default"/>
                      <w:color w:val="auto"/>
                      <w:sz w:val="21"/>
                      <w:szCs w:val="21"/>
                    </w:rPr>
                  </w:pPr>
                  <w:r>
                    <w:rPr>
                      <w:rFonts w:hint="default"/>
                      <w:color w:val="auto"/>
                      <w:sz w:val="21"/>
                      <w:szCs w:val="21"/>
                    </w:rPr>
                    <w:t>废弃水泥袋等</w:t>
                  </w:r>
                  <w:r>
                    <w:rPr>
                      <w:rFonts w:hint="eastAsia"/>
                      <w:color w:val="auto"/>
                      <w:sz w:val="21"/>
                      <w:szCs w:val="21"/>
                      <w:lang w:eastAsia="zh-CN"/>
                    </w:rPr>
                    <w:t>可回收利用的垃圾</w:t>
                  </w:r>
                </w:p>
              </w:tc>
              <w:tc>
                <w:tcPr>
                  <w:tcW w:w="1243" w:type="dxa"/>
                  <w:vAlign w:val="center"/>
                </w:tcPr>
                <w:p w14:paraId="1FFC6CFA">
                  <w:pPr>
                    <w:pStyle w:val="34"/>
                    <w:bidi w:val="0"/>
                    <w:rPr>
                      <w:rFonts w:hint="eastAsia"/>
                      <w:color w:val="auto"/>
                      <w:sz w:val="21"/>
                      <w:szCs w:val="21"/>
                      <w:lang w:val="en-US" w:eastAsia="zh-CN"/>
                    </w:rPr>
                  </w:pPr>
                  <w:r>
                    <w:rPr>
                      <w:rFonts w:hint="eastAsia"/>
                      <w:color w:val="auto"/>
                      <w:sz w:val="21"/>
                      <w:szCs w:val="21"/>
                      <w:lang w:val="en-US" w:eastAsia="zh-CN"/>
                    </w:rPr>
                    <w:t>/</w:t>
                  </w:r>
                </w:p>
              </w:tc>
              <w:tc>
                <w:tcPr>
                  <w:tcW w:w="1042" w:type="dxa"/>
                  <w:vAlign w:val="center"/>
                </w:tcPr>
                <w:p w14:paraId="2FF45BD2">
                  <w:pPr>
                    <w:pStyle w:val="34"/>
                    <w:bidi w:val="0"/>
                    <w:rPr>
                      <w:rFonts w:hint="default"/>
                      <w:color w:val="auto"/>
                      <w:sz w:val="21"/>
                      <w:szCs w:val="21"/>
                    </w:rPr>
                  </w:pPr>
                </w:p>
              </w:tc>
            </w:tr>
            <w:tr w14:paraId="534D4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1" w:type="dxa"/>
                  <w:vMerge w:val="continue"/>
                  <w:vAlign w:val="center"/>
                </w:tcPr>
                <w:p w14:paraId="1D3926D8">
                  <w:pPr>
                    <w:pStyle w:val="34"/>
                    <w:bidi w:val="0"/>
                    <w:rPr>
                      <w:rFonts w:hint="default"/>
                      <w:color w:val="auto"/>
                      <w:sz w:val="21"/>
                      <w:szCs w:val="21"/>
                    </w:rPr>
                  </w:pPr>
                </w:p>
              </w:tc>
              <w:tc>
                <w:tcPr>
                  <w:tcW w:w="1636" w:type="dxa"/>
                  <w:vMerge w:val="restart"/>
                  <w:vAlign w:val="center"/>
                </w:tcPr>
                <w:p w14:paraId="4A4290BF">
                  <w:pPr>
                    <w:pStyle w:val="34"/>
                    <w:bidi w:val="0"/>
                    <w:rPr>
                      <w:rFonts w:hint="eastAsia"/>
                      <w:color w:val="auto"/>
                      <w:sz w:val="21"/>
                      <w:szCs w:val="21"/>
                      <w:lang w:eastAsia="zh-CN"/>
                    </w:rPr>
                  </w:pPr>
                  <w:r>
                    <w:rPr>
                      <w:rFonts w:hint="eastAsia"/>
                      <w:color w:val="auto"/>
                      <w:sz w:val="21"/>
                      <w:szCs w:val="21"/>
                      <w:lang w:eastAsia="zh-CN"/>
                    </w:rPr>
                    <w:t>其他</w:t>
                  </w:r>
                </w:p>
              </w:tc>
              <w:tc>
                <w:tcPr>
                  <w:tcW w:w="3399" w:type="dxa"/>
                  <w:vAlign w:val="center"/>
                </w:tcPr>
                <w:p w14:paraId="616DE3CA">
                  <w:pPr>
                    <w:pStyle w:val="34"/>
                    <w:bidi w:val="0"/>
                    <w:rPr>
                      <w:rFonts w:hint="eastAsia"/>
                      <w:color w:val="auto"/>
                      <w:sz w:val="21"/>
                      <w:szCs w:val="21"/>
                      <w:lang w:eastAsia="zh-CN"/>
                    </w:rPr>
                  </w:pPr>
                  <w:r>
                    <w:rPr>
                      <w:rFonts w:hint="eastAsia"/>
                      <w:color w:val="auto"/>
                      <w:sz w:val="21"/>
                      <w:szCs w:val="21"/>
                      <w:lang w:eastAsia="zh-CN"/>
                    </w:rPr>
                    <w:t>临时用地恢复</w:t>
                  </w:r>
                </w:p>
              </w:tc>
              <w:tc>
                <w:tcPr>
                  <w:tcW w:w="1243" w:type="dxa"/>
                  <w:vAlign w:val="center"/>
                </w:tcPr>
                <w:p w14:paraId="1739ADE1">
                  <w:pPr>
                    <w:pStyle w:val="34"/>
                    <w:bidi w:val="0"/>
                    <w:rPr>
                      <w:rFonts w:hint="eastAsia"/>
                      <w:color w:val="auto"/>
                      <w:sz w:val="21"/>
                      <w:szCs w:val="21"/>
                      <w:lang w:val="en-US" w:eastAsia="zh-CN"/>
                    </w:rPr>
                  </w:pPr>
                  <w:r>
                    <w:rPr>
                      <w:rFonts w:hint="eastAsia"/>
                      <w:color w:val="auto"/>
                      <w:sz w:val="21"/>
                      <w:szCs w:val="21"/>
                      <w:lang w:val="en-US" w:eastAsia="zh-CN"/>
                    </w:rPr>
                    <w:t>/</w:t>
                  </w:r>
                </w:p>
              </w:tc>
              <w:tc>
                <w:tcPr>
                  <w:tcW w:w="1042" w:type="dxa"/>
                  <w:vAlign w:val="center"/>
                </w:tcPr>
                <w:p w14:paraId="333FC5A4">
                  <w:pPr>
                    <w:pStyle w:val="34"/>
                    <w:bidi w:val="0"/>
                    <w:rPr>
                      <w:rFonts w:hint="eastAsia"/>
                      <w:color w:val="auto"/>
                      <w:sz w:val="21"/>
                      <w:szCs w:val="21"/>
                      <w:lang w:eastAsia="zh-CN"/>
                    </w:rPr>
                  </w:pPr>
                  <w:r>
                    <w:rPr>
                      <w:rFonts w:hint="eastAsia"/>
                      <w:color w:val="auto"/>
                      <w:sz w:val="21"/>
                      <w:szCs w:val="21"/>
                      <w:lang w:eastAsia="zh-CN"/>
                    </w:rPr>
                    <w:t>包含在水土保持中，此处不单独计费</w:t>
                  </w:r>
                </w:p>
              </w:tc>
            </w:tr>
            <w:tr w14:paraId="65C45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1" w:type="dxa"/>
                  <w:vMerge w:val="continue"/>
                  <w:vAlign w:val="center"/>
                </w:tcPr>
                <w:p w14:paraId="45B00987">
                  <w:pPr>
                    <w:pStyle w:val="34"/>
                    <w:bidi w:val="0"/>
                    <w:rPr>
                      <w:rFonts w:hint="default"/>
                      <w:color w:val="auto"/>
                      <w:sz w:val="21"/>
                      <w:szCs w:val="21"/>
                    </w:rPr>
                  </w:pPr>
                </w:p>
              </w:tc>
              <w:tc>
                <w:tcPr>
                  <w:tcW w:w="1636" w:type="dxa"/>
                  <w:vMerge w:val="continue"/>
                  <w:vAlign w:val="center"/>
                </w:tcPr>
                <w:p w14:paraId="6805B5F0">
                  <w:pPr>
                    <w:pStyle w:val="34"/>
                    <w:bidi w:val="0"/>
                    <w:rPr>
                      <w:rFonts w:hint="eastAsia"/>
                      <w:color w:val="auto"/>
                      <w:sz w:val="21"/>
                      <w:szCs w:val="21"/>
                      <w:lang w:eastAsia="zh-CN"/>
                    </w:rPr>
                  </w:pPr>
                </w:p>
              </w:tc>
              <w:tc>
                <w:tcPr>
                  <w:tcW w:w="3399" w:type="dxa"/>
                  <w:vAlign w:val="center"/>
                </w:tcPr>
                <w:p w14:paraId="5D60BEE7">
                  <w:pPr>
                    <w:pStyle w:val="34"/>
                    <w:bidi w:val="0"/>
                    <w:rPr>
                      <w:rFonts w:hint="default"/>
                      <w:color w:val="auto"/>
                      <w:sz w:val="21"/>
                      <w:szCs w:val="21"/>
                    </w:rPr>
                  </w:pPr>
                  <w:r>
                    <w:rPr>
                      <w:color w:val="auto"/>
                      <w:sz w:val="21"/>
                      <w:szCs w:val="21"/>
                    </w:rPr>
                    <w:t>监测</w:t>
                  </w:r>
                </w:p>
              </w:tc>
              <w:tc>
                <w:tcPr>
                  <w:tcW w:w="1243" w:type="dxa"/>
                  <w:vAlign w:val="center"/>
                </w:tcPr>
                <w:p w14:paraId="66360210">
                  <w:pPr>
                    <w:pStyle w:val="34"/>
                    <w:bidi w:val="0"/>
                    <w:rPr>
                      <w:rFonts w:hint="default"/>
                      <w:color w:val="auto"/>
                      <w:sz w:val="21"/>
                      <w:szCs w:val="21"/>
                      <w:lang w:val="en-US" w:eastAsia="zh-CN"/>
                    </w:rPr>
                  </w:pPr>
                  <w:r>
                    <w:rPr>
                      <w:rFonts w:hint="eastAsia"/>
                      <w:color w:val="auto"/>
                      <w:sz w:val="21"/>
                      <w:szCs w:val="21"/>
                      <w:lang w:val="en-US" w:eastAsia="zh-CN"/>
                    </w:rPr>
                    <w:t>15</w:t>
                  </w:r>
                </w:p>
              </w:tc>
              <w:tc>
                <w:tcPr>
                  <w:tcW w:w="1042" w:type="dxa"/>
                  <w:vAlign w:val="center"/>
                </w:tcPr>
                <w:p w14:paraId="4AFB09CF">
                  <w:pPr>
                    <w:pStyle w:val="34"/>
                    <w:bidi w:val="0"/>
                    <w:rPr>
                      <w:rFonts w:hint="eastAsia"/>
                      <w:color w:val="auto"/>
                      <w:sz w:val="21"/>
                      <w:szCs w:val="21"/>
                      <w:lang w:eastAsia="zh-CN"/>
                    </w:rPr>
                  </w:pPr>
                  <w:r>
                    <w:rPr>
                      <w:rFonts w:hint="eastAsia"/>
                      <w:color w:val="auto"/>
                      <w:sz w:val="21"/>
                      <w:szCs w:val="21"/>
                      <w:lang w:eastAsia="zh-CN"/>
                    </w:rPr>
                    <w:t>环评提出</w:t>
                  </w:r>
                </w:p>
              </w:tc>
            </w:tr>
            <w:tr w14:paraId="1E0AA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1" w:type="dxa"/>
                  <w:vMerge w:val="continue"/>
                  <w:vAlign w:val="center"/>
                </w:tcPr>
                <w:p w14:paraId="4A7CB0C6">
                  <w:pPr>
                    <w:pStyle w:val="34"/>
                    <w:bidi w:val="0"/>
                    <w:rPr>
                      <w:rFonts w:hint="default"/>
                      <w:color w:val="auto"/>
                      <w:sz w:val="21"/>
                      <w:szCs w:val="21"/>
                    </w:rPr>
                  </w:pPr>
                </w:p>
              </w:tc>
              <w:tc>
                <w:tcPr>
                  <w:tcW w:w="1636" w:type="dxa"/>
                  <w:vMerge w:val="continue"/>
                  <w:vAlign w:val="center"/>
                </w:tcPr>
                <w:p w14:paraId="2653E92C">
                  <w:pPr>
                    <w:pStyle w:val="34"/>
                    <w:bidi w:val="0"/>
                    <w:rPr>
                      <w:rFonts w:hint="eastAsia"/>
                      <w:color w:val="auto"/>
                      <w:sz w:val="21"/>
                      <w:szCs w:val="21"/>
                      <w:lang w:eastAsia="zh-CN"/>
                    </w:rPr>
                  </w:pPr>
                </w:p>
              </w:tc>
              <w:tc>
                <w:tcPr>
                  <w:tcW w:w="3399" w:type="dxa"/>
                  <w:vAlign w:val="center"/>
                </w:tcPr>
                <w:p w14:paraId="7C56A127">
                  <w:pPr>
                    <w:pStyle w:val="34"/>
                    <w:bidi w:val="0"/>
                    <w:rPr>
                      <w:rFonts w:hint="default"/>
                      <w:color w:val="auto"/>
                      <w:sz w:val="21"/>
                      <w:szCs w:val="21"/>
                    </w:rPr>
                  </w:pPr>
                  <w:r>
                    <w:rPr>
                      <w:color w:val="auto"/>
                      <w:sz w:val="21"/>
                      <w:szCs w:val="21"/>
                    </w:rPr>
                    <w:t>竣工验收预留</w:t>
                  </w:r>
                </w:p>
              </w:tc>
              <w:tc>
                <w:tcPr>
                  <w:tcW w:w="1243" w:type="dxa"/>
                  <w:vAlign w:val="center"/>
                </w:tcPr>
                <w:p w14:paraId="65F270C2">
                  <w:pPr>
                    <w:pStyle w:val="34"/>
                    <w:bidi w:val="0"/>
                    <w:rPr>
                      <w:rFonts w:hint="default"/>
                      <w:color w:val="auto"/>
                      <w:sz w:val="21"/>
                      <w:szCs w:val="21"/>
                      <w:lang w:val="en-US" w:eastAsia="zh-CN"/>
                    </w:rPr>
                  </w:pPr>
                  <w:r>
                    <w:rPr>
                      <w:rFonts w:hint="eastAsia"/>
                      <w:color w:val="auto"/>
                      <w:sz w:val="21"/>
                      <w:szCs w:val="21"/>
                      <w:lang w:val="en-US" w:eastAsia="zh-CN"/>
                    </w:rPr>
                    <w:t>15</w:t>
                  </w:r>
                </w:p>
              </w:tc>
              <w:tc>
                <w:tcPr>
                  <w:tcW w:w="1042" w:type="dxa"/>
                  <w:vAlign w:val="center"/>
                </w:tcPr>
                <w:p w14:paraId="4E815518">
                  <w:pPr>
                    <w:pStyle w:val="34"/>
                    <w:bidi w:val="0"/>
                    <w:rPr>
                      <w:rFonts w:hint="eastAsia"/>
                      <w:color w:val="auto"/>
                      <w:sz w:val="21"/>
                      <w:szCs w:val="21"/>
                      <w:lang w:eastAsia="zh-CN"/>
                    </w:rPr>
                  </w:pPr>
                  <w:r>
                    <w:rPr>
                      <w:rFonts w:hint="eastAsia"/>
                      <w:color w:val="auto"/>
                      <w:sz w:val="21"/>
                      <w:szCs w:val="21"/>
                      <w:lang w:eastAsia="zh-CN"/>
                    </w:rPr>
                    <w:t>环评提出</w:t>
                  </w:r>
                </w:p>
              </w:tc>
            </w:tr>
            <w:tr w14:paraId="5EC88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66" w:type="dxa"/>
                  <w:gridSpan w:val="3"/>
                  <w:vAlign w:val="center"/>
                </w:tcPr>
                <w:p w14:paraId="6EB6FF94">
                  <w:pPr>
                    <w:pStyle w:val="34"/>
                    <w:bidi w:val="0"/>
                    <w:rPr>
                      <w:rFonts w:hint="eastAsia"/>
                      <w:color w:val="auto"/>
                      <w:sz w:val="21"/>
                      <w:szCs w:val="21"/>
                      <w:lang w:eastAsia="zh-CN"/>
                    </w:rPr>
                  </w:pPr>
                  <w:r>
                    <w:rPr>
                      <w:rFonts w:hint="eastAsia"/>
                      <w:color w:val="auto"/>
                      <w:sz w:val="21"/>
                      <w:szCs w:val="21"/>
                      <w:lang w:eastAsia="zh-CN"/>
                    </w:rPr>
                    <w:t>合计</w:t>
                  </w:r>
                </w:p>
              </w:tc>
              <w:tc>
                <w:tcPr>
                  <w:tcW w:w="1243" w:type="dxa"/>
                  <w:vAlign w:val="center"/>
                </w:tcPr>
                <w:p w14:paraId="259BFD23">
                  <w:pPr>
                    <w:pStyle w:val="34"/>
                    <w:bidi w:val="0"/>
                    <w:rPr>
                      <w:rFonts w:hint="default"/>
                      <w:color w:val="auto"/>
                      <w:sz w:val="21"/>
                      <w:szCs w:val="21"/>
                      <w:lang w:val="en-US" w:eastAsia="zh-CN"/>
                    </w:rPr>
                  </w:pPr>
                  <w:r>
                    <w:rPr>
                      <w:rFonts w:hint="eastAsia"/>
                      <w:color w:val="auto"/>
                      <w:sz w:val="21"/>
                      <w:szCs w:val="21"/>
                      <w:lang w:val="en-US" w:eastAsia="zh-CN"/>
                    </w:rPr>
                    <w:t>46.34</w:t>
                  </w:r>
                </w:p>
              </w:tc>
              <w:tc>
                <w:tcPr>
                  <w:tcW w:w="1042" w:type="dxa"/>
                  <w:vAlign w:val="center"/>
                </w:tcPr>
                <w:p w14:paraId="14A2B489">
                  <w:pPr>
                    <w:pStyle w:val="34"/>
                    <w:bidi w:val="0"/>
                    <w:rPr>
                      <w:rFonts w:hint="eastAsia"/>
                      <w:color w:val="auto"/>
                      <w:sz w:val="21"/>
                      <w:szCs w:val="21"/>
                      <w:lang w:eastAsia="zh-CN"/>
                    </w:rPr>
                  </w:pPr>
                </w:p>
              </w:tc>
            </w:tr>
          </w:tbl>
          <w:p w14:paraId="3B23A3C2">
            <w:pPr>
              <w:pStyle w:val="42"/>
              <w:ind w:left="0" w:leftChars="0" w:firstLine="0" w:firstLineChars="0"/>
              <w:rPr>
                <w:rFonts w:hint="default" w:ascii="Times New Roman" w:hAnsi="Times New Roman" w:cs="Times New Roman"/>
                <w:bCs/>
                <w:color w:val="auto"/>
                <w:spacing w:val="10"/>
                <w:sz w:val="24"/>
              </w:rPr>
            </w:pPr>
          </w:p>
        </w:tc>
      </w:tr>
    </w:tbl>
    <w:p w14:paraId="24D87617">
      <w:pPr>
        <w:pStyle w:val="4"/>
        <w:keepNext w:val="0"/>
        <w:keepLines w:val="0"/>
        <w:pageBreakBefore/>
        <w:widowControl w:val="0"/>
        <w:kinsoku/>
        <w:wordWrap/>
        <w:overflowPunct/>
        <w:topLinePunct w:val="0"/>
        <w:autoSpaceDE/>
        <w:autoSpaceDN/>
        <w:bidi w:val="0"/>
        <w:adjustRightInd/>
        <w:snapToGrid w:val="0"/>
        <w:ind w:firstLine="0" w:firstLineChars="0"/>
        <w:textAlignment w:val="auto"/>
        <w:rPr>
          <w:rFonts w:hint="default"/>
          <w:color w:val="auto"/>
        </w:rPr>
      </w:pPr>
      <w:bookmarkStart w:id="41" w:name="_Toc22802"/>
      <w:r>
        <w:rPr>
          <w:rFonts w:hint="default"/>
          <w:color w:val="auto"/>
        </w:rPr>
        <w:t>六、生态环境保护措施监督检查清单</w:t>
      </w:r>
      <w:bookmarkEnd w:id="41"/>
    </w:p>
    <w:tbl>
      <w:tblPr>
        <w:tblStyle w:val="22"/>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07"/>
        <w:gridCol w:w="2406"/>
        <w:gridCol w:w="1613"/>
        <w:gridCol w:w="1871"/>
        <w:gridCol w:w="1522"/>
      </w:tblGrid>
      <w:tr w14:paraId="5A67F0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Merge w:val="restart"/>
            <w:tcBorders>
              <w:tl2br w:val="single" w:color="auto" w:sz="4" w:space="0"/>
            </w:tcBorders>
            <w:noWrap w:val="0"/>
            <w:vAlign w:val="center"/>
          </w:tcPr>
          <w:p w14:paraId="756AA8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color w:val="auto"/>
                <w:lang w:val="en-US" w:eastAsia="zh-CN"/>
              </w:rPr>
            </w:pPr>
            <w:r>
              <w:rPr>
                <w:rFonts w:hint="default"/>
                <w:b/>
                <w:bCs/>
                <w:color w:val="auto"/>
                <w:lang w:val="en-US" w:eastAsia="zh-CN"/>
              </w:rPr>
              <w:t>内容</w:t>
            </w:r>
          </w:p>
          <w:p w14:paraId="396320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color w:val="auto"/>
                <w:lang w:val="en-US" w:eastAsia="zh-CN"/>
              </w:rPr>
            </w:pPr>
          </w:p>
          <w:p w14:paraId="54711E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color w:val="auto"/>
                <w:lang w:val="en-US" w:eastAsia="zh-CN"/>
              </w:rPr>
            </w:pPr>
          </w:p>
          <w:p w14:paraId="0471AF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color w:val="auto"/>
                <w:lang w:val="en-US" w:eastAsia="zh-CN"/>
              </w:rPr>
            </w:pPr>
            <w:r>
              <w:rPr>
                <w:rFonts w:hint="default"/>
                <w:b/>
                <w:bCs/>
                <w:color w:val="auto"/>
                <w:lang w:val="en-US" w:eastAsia="zh-CN"/>
              </w:rPr>
              <w:t>要素</w:t>
            </w:r>
          </w:p>
        </w:tc>
        <w:tc>
          <w:tcPr>
            <w:tcW w:w="2358" w:type="pct"/>
            <w:gridSpan w:val="2"/>
            <w:noWrap w:val="0"/>
            <w:vAlign w:val="center"/>
          </w:tcPr>
          <w:p w14:paraId="0335C7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color w:val="auto"/>
                <w:lang w:val="en-US" w:eastAsia="zh-CN"/>
              </w:rPr>
            </w:pPr>
            <w:r>
              <w:rPr>
                <w:rFonts w:hint="default"/>
                <w:b/>
                <w:bCs/>
                <w:color w:val="auto"/>
                <w:lang w:val="en-US" w:eastAsia="zh-CN"/>
              </w:rPr>
              <w:t>施工期</w:t>
            </w:r>
          </w:p>
        </w:tc>
        <w:tc>
          <w:tcPr>
            <w:tcW w:w="1991" w:type="pct"/>
            <w:gridSpan w:val="2"/>
            <w:noWrap w:val="0"/>
            <w:vAlign w:val="center"/>
          </w:tcPr>
          <w:p w14:paraId="38A085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color w:val="auto"/>
                <w:lang w:val="en-US" w:eastAsia="zh-CN"/>
              </w:rPr>
            </w:pPr>
            <w:r>
              <w:rPr>
                <w:rFonts w:hint="default"/>
                <w:b/>
                <w:bCs/>
                <w:color w:val="auto"/>
                <w:lang w:val="en-US" w:eastAsia="zh-CN"/>
              </w:rPr>
              <w:t>运行期</w:t>
            </w:r>
          </w:p>
        </w:tc>
      </w:tr>
      <w:tr w14:paraId="72013F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Merge w:val="continue"/>
            <w:noWrap w:val="0"/>
            <w:vAlign w:val="center"/>
          </w:tcPr>
          <w:p w14:paraId="4B5E51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color w:val="auto"/>
                <w:lang w:val="en-US" w:eastAsia="zh-CN"/>
              </w:rPr>
            </w:pPr>
          </w:p>
        </w:tc>
        <w:tc>
          <w:tcPr>
            <w:tcW w:w="1412" w:type="pct"/>
            <w:noWrap w:val="0"/>
            <w:vAlign w:val="center"/>
          </w:tcPr>
          <w:p w14:paraId="2FD2A6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color w:val="auto"/>
                <w:lang w:val="en-US" w:eastAsia="zh-CN"/>
              </w:rPr>
            </w:pPr>
            <w:r>
              <w:rPr>
                <w:rFonts w:hint="default"/>
                <w:b/>
                <w:bCs/>
                <w:color w:val="auto"/>
                <w:lang w:val="en-US" w:eastAsia="zh-CN"/>
              </w:rPr>
              <w:t>环境保护措施</w:t>
            </w:r>
          </w:p>
        </w:tc>
        <w:tc>
          <w:tcPr>
            <w:tcW w:w="946" w:type="pct"/>
            <w:noWrap w:val="0"/>
            <w:vAlign w:val="center"/>
          </w:tcPr>
          <w:p w14:paraId="21F029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color w:val="auto"/>
                <w:lang w:val="en-US" w:eastAsia="zh-CN"/>
              </w:rPr>
            </w:pPr>
            <w:r>
              <w:rPr>
                <w:rFonts w:hint="default"/>
                <w:b/>
                <w:bCs/>
                <w:color w:val="auto"/>
                <w:lang w:val="en-US" w:eastAsia="zh-CN"/>
              </w:rPr>
              <w:t>验收要求</w:t>
            </w:r>
          </w:p>
        </w:tc>
        <w:tc>
          <w:tcPr>
            <w:tcW w:w="1098" w:type="pct"/>
            <w:noWrap w:val="0"/>
            <w:vAlign w:val="center"/>
          </w:tcPr>
          <w:p w14:paraId="2AF16A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color w:val="auto"/>
                <w:lang w:val="en-US" w:eastAsia="zh-CN"/>
              </w:rPr>
            </w:pPr>
            <w:r>
              <w:rPr>
                <w:rFonts w:hint="default"/>
                <w:b/>
                <w:bCs/>
                <w:color w:val="auto"/>
                <w:lang w:val="en-US" w:eastAsia="zh-CN"/>
              </w:rPr>
              <w:t>环境保护措施</w:t>
            </w:r>
          </w:p>
        </w:tc>
        <w:tc>
          <w:tcPr>
            <w:tcW w:w="893" w:type="pct"/>
            <w:noWrap w:val="0"/>
            <w:vAlign w:val="center"/>
          </w:tcPr>
          <w:p w14:paraId="3B9061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color w:val="auto"/>
                <w:lang w:val="en-US" w:eastAsia="zh-CN"/>
              </w:rPr>
            </w:pPr>
            <w:r>
              <w:rPr>
                <w:rFonts w:hint="default"/>
                <w:b/>
                <w:bCs/>
                <w:color w:val="auto"/>
                <w:lang w:val="en-US" w:eastAsia="zh-CN"/>
              </w:rPr>
              <w:t>验收要求</w:t>
            </w:r>
          </w:p>
        </w:tc>
      </w:tr>
      <w:tr w14:paraId="0BA3E0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noWrap w:val="0"/>
            <w:vAlign w:val="center"/>
          </w:tcPr>
          <w:p w14:paraId="5BA7B8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陆生生态</w:t>
            </w:r>
          </w:p>
        </w:tc>
        <w:tc>
          <w:tcPr>
            <w:tcW w:w="1412" w:type="pct"/>
            <w:noWrap w:val="0"/>
            <w:vAlign w:val="center"/>
          </w:tcPr>
          <w:p w14:paraId="2756F47D">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both"/>
              <w:textAlignment w:val="baseline"/>
              <w:rPr>
                <w:color w:val="auto"/>
              </w:rPr>
            </w:pPr>
            <w:r>
              <w:rPr>
                <w:color w:val="auto"/>
              </w:rPr>
              <w:t>（1）生态避让措施；</w:t>
            </w:r>
          </w:p>
          <w:p w14:paraId="169DED69">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both"/>
              <w:textAlignment w:val="baseline"/>
              <w:rPr>
                <w:color w:val="auto"/>
              </w:rPr>
            </w:pPr>
            <w:r>
              <w:rPr>
                <w:color w:val="auto"/>
              </w:rPr>
              <w:t>（2）生态减缓措施；</w:t>
            </w:r>
          </w:p>
          <w:p w14:paraId="1D16146B">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both"/>
              <w:textAlignment w:val="baseline"/>
              <w:rPr>
                <w:color w:val="auto"/>
              </w:rPr>
            </w:pPr>
            <w:r>
              <w:rPr>
                <w:color w:val="auto"/>
              </w:rPr>
              <w:t>（3）生态补偿措施；</w:t>
            </w:r>
          </w:p>
          <w:p w14:paraId="7E532674">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both"/>
              <w:textAlignment w:val="baseline"/>
              <w:rPr>
                <w:color w:val="auto"/>
              </w:rPr>
            </w:pPr>
            <w:r>
              <w:rPr>
                <w:color w:val="auto"/>
              </w:rPr>
              <w:t>（4）生态重建措施；</w:t>
            </w:r>
          </w:p>
          <w:p w14:paraId="08FEF5E1">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both"/>
              <w:textAlignment w:val="baseline"/>
              <w:rPr>
                <w:color w:val="auto"/>
              </w:rPr>
            </w:pPr>
            <w:r>
              <w:rPr>
                <w:color w:val="auto"/>
              </w:rPr>
              <w:t>（5）植物保护措施；</w:t>
            </w:r>
          </w:p>
          <w:p w14:paraId="650E56BA">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both"/>
              <w:textAlignment w:val="baseline"/>
              <w:rPr>
                <w:color w:val="auto"/>
              </w:rPr>
            </w:pPr>
            <w:r>
              <w:rPr>
                <w:color w:val="auto"/>
              </w:rPr>
              <w:t>（6）陆生脊椎动物保护措施。</w:t>
            </w:r>
          </w:p>
          <w:p w14:paraId="25A5D5CA">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both"/>
              <w:textAlignment w:val="baseline"/>
              <w:rPr>
                <w:rFonts w:hint="default"/>
                <w:color w:val="auto"/>
              </w:rPr>
            </w:pPr>
            <w:r>
              <w:rPr>
                <w:color w:val="auto"/>
              </w:rPr>
              <w:t>详见表5</w:t>
            </w:r>
          </w:p>
        </w:tc>
        <w:tc>
          <w:tcPr>
            <w:tcW w:w="946" w:type="pct"/>
            <w:noWrap w:val="0"/>
            <w:vAlign w:val="center"/>
          </w:tcPr>
          <w:p w14:paraId="2ED4A973">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both"/>
              <w:textAlignment w:val="baseline"/>
              <w:rPr>
                <w:rFonts w:hint="eastAsia" w:eastAsia="宋体"/>
                <w:color w:val="auto"/>
                <w:lang w:eastAsia="zh-CN"/>
              </w:rPr>
            </w:pPr>
            <w:r>
              <w:rPr>
                <w:rFonts w:hint="eastAsia"/>
                <w:color w:val="auto"/>
                <w:lang w:val="en-US" w:eastAsia="zh-CN"/>
              </w:rPr>
              <w:t>不造成生态环境质量下降</w:t>
            </w:r>
          </w:p>
        </w:tc>
        <w:tc>
          <w:tcPr>
            <w:tcW w:w="1098" w:type="pct"/>
            <w:noWrap w:val="0"/>
            <w:vAlign w:val="center"/>
          </w:tcPr>
          <w:p w14:paraId="03C8467A">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color w:val="auto"/>
              </w:rPr>
            </w:pPr>
            <w:r>
              <w:rPr>
                <w:rFonts w:hint="default"/>
                <w:color w:val="auto"/>
              </w:rPr>
              <w:t>——</w:t>
            </w:r>
          </w:p>
        </w:tc>
        <w:tc>
          <w:tcPr>
            <w:tcW w:w="893" w:type="pct"/>
            <w:noWrap w:val="0"/>
            <w:vAlign w:val="center"/>
          </w:tcPr>
          <w:p w14:paraId="44E38980">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both"/>
              <w:textAlignment w:val="baseline"/>
              <w:rPr>
                <w:rFonts w:hint="default"/>
                <w:color w:val="auto"/>
              </w:rPr>
            </w:pPr>
            <w:r>
              <w:rPr>
                <w:color w:val="auto"/>
              </w:rPr>
              <w:t>调查</w:t>
            </w:r>
            <w:r>
              <w:rPr>
                <w:rFonts w:hint="eastAsia"/>
                <w:color w:val="auto"/>
                <w:lang w:eastAsia="zh-CN"/>
              </w:rPr>
              <w:t>“</w:t>
            </w:r>
            <w:r>
              <w:rPr>
                <w:color w:val="auto"/>
              </w:rPr>
              <w:t>三场</w:t>
            </w:r>
            <w:r>
              <w:rPr>
                <w:rFonts w:hint="eastAsia"/>
                <w:color w:val="auto"/>
                <w:lang w:eastAsia="zh-CN"/>
              </w:rPr>
              <w:t>”</w:t>
            </w:r>
            <w:r>
              <w:rPr>
                <w:color w:val="auto"/>
              </w:rPr>
              <w:t>水保工程措施及植被恢复情况，是否已经开展水土保持验收。</w:t>
            </w:r>
          </w:p>
        </w:tc>
      </w:tr>
      <w:tr w14:paraId="48F15E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noWrap w:val="0"/>
            <w:vAlign w:val="center"/>
          </w:tcPr>
          <w:p w14:paraId="6F0677CA">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rPr>
            </w:pPr>
            <w:r>
              <w:rPr>
                <w:rFonts w:hint="default"/>
                <w:color w:val="auto"/>
              </w:rPr>
              <w:t>水生生态</w:t>
            </w:r>
          </w:p>
        </w:tc>
        <w:tc>
          <w:tcPr>
            <w:tcW w:w="1412" w:type="pct"/>
            <w:noWrap w:val="0"/>
            <w:vAlign w:val="center"/>
          </w:tcPr>
          <w:p w14:paraId="40233DA0">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color w:val="auto"/>
              </w:rPr>
            </w:pPr>
            <w:r>
              <w:rPr>
                <w:color w:val="auto"/>
              </w:rPr>
              <w:t>（1）施工导流</w:t>
            </w:r>
          </w:p>
          <w:p w14:paraId="66C282F6">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color w:val="auto"/>
              </w:rPr>
            </w:pPr>
            <w:r>
              <w:rPr>
                <w:color w:val="auto"/>
              </w:rPr>
              <w:t>（2）鱼类保护措施</w:t>
            </w:r>
          </w:p>
          <w:p w14:paraId="46777558">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default"/>
                <w:color w:val="auto"/>
              </w:rPr>
            </w:pPr>
            <w:r>
              <w:rPr>
                <w:color w:val="auto"/>
              </w:rPr>
              <w:t>（3）施工期间，严禁毒鱼、炸鱼、电鱼等。</w:t>
            </w:r>
          </w:p>
        </w:tc>
        <w:tc>
          <w:tcPr>
            <w:tcW w:w="946" w:type="pct"/>
            <w:noWrap w:val="0"/>
            <w:vAlign w:val="center"/>
          </w:tcPr>
          <w:p w14:paraId="72E7DBE9">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default"/>
                <w:color w:val="auto"/>
              </w:rPr>
            </w:pPr>
            <w:r>
              <w:rPr>
                <w:color w:val="auto"/>
              </w:rPr>
              <w:t>调查施工期间是否按要求执行</w:t>
            </w:r>
          </w:p>
        </w:tc>
        <w:tc>
          <w:tcPr>
            <w:tcW w:w="1871" w:type="dxa"/>
            <w:noWrap w:val="0"/>
            <w:vAlign w:val="center"/>
          </w:tcPr>
          <w:p w14:paraId="61C4BC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c>
          <w:tcPr>
            <w:tcW w:w="1522" w:type="dxa"/>
            <w:noWrap w:val="0"/>
            <w:vAlign w:val="center"/>
          </w:tcPr>
          <w:p w14:paraId="026DED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r>
      <w:tr w14:paraId="6168DF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noWrap w:val="0"/>
            <w:vAlign w:val="center"/>
          </w:tcPr>
          <w:p w14:paraId="2CC026D0">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rPr>
            </w:pPr>
            <w:r>
              <w:rPr>
                <w:rFonts w:hint="default"/>
                <w:color w:val="auto"/>
              </w:rPr>
              <w:t>地表水环境</w:t>
            </w:r>
          </w:p>
        </w:tc>
        <w:tc>
          <w:tcPr>
            <w:tcW w:w="1412" w:type="pct"/>
            <w:noWrap w:val="0"/>
            <w:vAlign w:val="center"/>
          </w:tcPr>
          <w:p w14:paraId="59DF15EA">
            <w:pPr>
              <w:keepNext w:val="0"/>
              <w:keepLines w:val="0"/>
              <w:pageBreakBefore w:val="0"/>
              <w:widowControl/>
              <w:suppressLineNumbers w:val="0"/>
              <w:kinsoku/>
              <w:wordWrap/>
              <w:overflowPunct/>
              <w:topLinePunct w:val="0"/>
              <w:autoSpaceDE/>
              <w:autoSpaceDN/>
              <w:bidi w:val="0"/>
              <w:snapToGrid/>
              <w:spacing w:line="240" w:lineRule="auto"/>
              <w:ind w:firstLine="0" w:firstLineChars="0"/>
              <w:jc w:val="left"/>
              <w:rPr>
                <w:rFonts w:hint="eastAsia"/>
                <w:color w:val="auto"/>
              </w:rPr>
            </w:pPr>
            <w:r>
              <w:rPr>
                <w:rFonts w:hint="eastAsia"/>
                <w:color w:val="auto"/>
                <w:lang w:eastAsia="zh-CN"/>
              </w:rPr>
              <w:t>①</w:t>
            </w:r>
            <w:r>
              <w:rPr>
                <w:rFonts w:hint="eastAsia"/>
                <w:color w:val="auto"/>
              </w:rPr>
              <w:t>严格按照施工工序进行施工；</w:t>
            </w:r>
          </w:p>
          <w:p w14:paraId="31A415AB">
            <w:pPr>
              <w:keepNext w:val="0"/>
              <w:keepLines w:val="0"/>
              <w:pageBreakBefore w:val="0"/>
              <w:widowControl/>
              <w:suppressLineNumbers w:val="0"/>
              <w:kinsoku/>
              <w:wordWrap/>
              <w:overflowPunct/>
              <w:topLinePunct w:val="0"/>
              <w:autoSpaceDE/>
              <w:autoSpaceDN/>
              <w:bidi w:val="0"/>
              <w:snapToGrid/>
              <w:spacing w:line="240" w:lineRule="auto"/>
              <w:ind w:firstLine="0" w:firstLineChars="0"/>
              <w:jc w:val="left"/>
              <w:rPr>
                <w:rFonts w:hint="eastAsia"/>
                <w:color w:val="auto"/>
              </w:rPr>
            </w:pPr>
            <w:r>
              <w:rPr>
                <w:rFonts w:hint="eastAsia"/>
                <w:color w:val="auto"/>
              </w:rPr>
              <w:t>②每个施工场地混凝土拌和系统处设置沉淀池，混凝土生产过程产生的冲洗废水经沉淀后用于洒水降尘，禁止外排。</w:t>
            </w:r>
          </w:p>
          <w:p w14:paraId="7F877456">
            <w:pPr>
              <w:keepNext w:val="0"/>
              <w:keepLines w:val="0"/>
              <w:pageBreakBefore w:val="0"/>
              <w:widowControl/>
              <w:suppressLineNumbers w:val="0"/>
              <w:kinsoku/>
              <w:wordWrap/>
              <w:overflowPunct/>
              <w:topLinePunct w:val="0"/>
              <w:autoSpaceDE/>
              <w:autoSpaceDN/>
              <w:bidi w:val="0"/>
              <w:snapToGrid/>
              <w:spacing w:line="240" w:lineRule="auto"/>
              <w:ind w:firstLine="0" w:firstLineChars="0"/>
              <w:jc w:val="left"/>
              <w:rPr>
                <w:rFonts w:hint="eastAsia"/>
                <w:color w:val="auto"/>
              </w:rPr>
            </w:pPr>
            <w:r>
              <w:rPr>
                <w:rFonts w:hint="eastAsia"/>
                <w:color w:val="auto"/>
              </w:rPr>
              <w:t>③每个机械停放场配套设置收集池，对机械含油废水进行收集，含油废水经砂滤桶过滤后用于施工，不外排。</w:t>
            </w:r>
          </w:p>
          <w:p w14:paraId="0FCADA12">
            <w:pPr>
              <w:keepNext w:val="0"/>
              <w:keepLines w:val="0"/>
              <w:pageBreakBefore w:val="0"/>
              <w:widowControl/>
              <w:suppressLineNumbers w:val="0"/>
              <w:kinsoku/>
              <w:wordWrap/>
              <w:overflowPunct/>
              <w:topLinePunct w:val="0"/>
              <w:autoSpaceDE/>
              <w:autoSpaceDN/>
              <w:bidi w:val="0"/>
              <w:snapToGrid/>
              <w:spacing w:line="240" w:lineRule="auto"/>
              <w:ind w:firstLine="0" w:firstLineChars="0"/>
              <w:jc w:val="left"/>
              <w:rPr>
                <w:rFonts w:hint="eastAsia"/>
                <w:color w:val="auto"/>
              </w:rPr>
            </w:pPr>
            <w:r>
              <w:rPr>
                <w:rFonts w:hint="eastAsia"/>
                <w:color w:val="auto"/>
              </w:rPr>
              <w:t>④项目在每个生产生活区附近分别设置1座旱厕，同时在各生活区的供水区、洗漱区以及厨房排水区域挖设简易排水渠道。生活污水通过简易排水渠道进行汇集后进入旱厕进行处理。旱厕委托当地农户定期清理用作农肥。</w:t>
            </w:r>
          </w:p>
          <w:p w14:paraId="5AF74FBA">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Style w:val="68"/>
                <w:rFonts w:hint="default"/>
                <w:color w:val="auto"/>
              </w:rPr>
            </w:pPr>
          </w:p>
        </w:tc>
        <w:tc>
          <w:tcPr>
            <w:tcW w:w="946" w:type="pct"/>
            <w:noWrap w:val="0"/>
            <w:vAlign w:val="center"/>
          </w:tcPr>
          <w:p w14:paraId="3CAE4E3E">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color w:val="auto"/>
              </w:rPr>
            </w:pPr>
            <w:r>
              <w:rPr>
                <w:color w:val="auto"/>
              </w:rPr>
              <w:t>调查是否按环评和环保设计的要求设置水环境保护措施，施工废水不外排。</w:t>
            </w:r>
          </w:p>
        </w:tc>
        <w:tc>
          <w:tcPr>
            <w:tcW w:w="1871" w:type="dxa"/>
            <w:noWrap w:val="0"/>
            <w:vAlign w:val="center"/>
          </w:tcPr>
          <w:p w14:paraId="2B862B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c>
          <w:tcPr>
            <w:tcW w:w="1522" w:type="dxa"/>
            <w:noWrap w:val="0"/>
            <w:vAlign w:val="center"/>
          </w:tcPr>
          <w:p w14:paraId="208FF0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lang w:val="en-US" w:eastAsia="zh-CN"/>
              </w:rPr>
            </w:pPr>
            <w:r>
              <w:rPr>
                <w:rFonts w:hint="default"/>
                <w:color w:val="auto"/>
              </w:rPr>
              <w:t>——</w:t>
            </w:r>
          </w:p>
        </w:tc>
      </w:tr>
      <w:tr w14:paraId="16AA4E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noWrap w:val="0"/>
            <w:vAlign w:val="center"/>
          </w:tcPr>
          <w:p w14:paraId="3411C461">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rPr>
            </w:pPr>
            <w:r>
              <w:rPr>
                <w:rFonts w:hint="default"/>
                <w:color w:val="auto"/>
              </w:rPr>
              <w:t>地下水及土壤环境</w:t>
            </w:r>
          </w:p>
        </w:tc>
        <w:tc>
          <w:tcPr>
            <w:tcW w:w="1412" w:type="pct"/>
            <w:noWrap w:val="0"/>
            <w:vAlign w:val="center"/>
          </w:tcPr>
          <w:p w14:paraId="463C3B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c>
          <w:tcPr>
            <w:tcW w:w="946" w:type="pct"/>
            <w:noWrap w:val="0"/>
            <w:vAlign w:val="center"/>
          </w:tcPr>
          <w:p w14:paraId="1F685F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c>
          <w:tcPr>
            <w:tcW w:w="1098" w:type="pct"/>
            <w:noWrap w:val="0"/>
            <w:vAlign w:val="center"/>
          </w:tcPr>
          <w:p w14:paraId="1F19D9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c>
          <w:tcPr>
            <w:tcW w:w="893" w:type="pct"/>
            <w:noWrap w:val="0"/>
            <w:vAlign w:val="center"/>
          </w:tcPr>
          <w:p w14:paraId="5A0860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r>
      <w:tr w14:paraId="4A95A1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noWrap w:val="0"/>
            <w:vAlign w:val="center"/>
          </w:tcPr>
          <w:p w14:paraId="05A8AC7A">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rPr>
            </w:pPr>
            <w:r>
              <w:rPr>
                <w:rFonts w:hint="default"/>
                <w:color w:val="auto"/>
              </w:rPr>
              <w:t>声环境</w:t>
            </w:r>
          </w:p>
        </w:tc>
        <w:tc>
          <w:tcPr>
            <w:tcW w:w="1412" w:type="pct"/>
            <w:noWrap w:val="0"/>
            <w:vAlign w:val="center"/>
          </w:tcPr>
          <w:p w14:paraId="6B96D66B">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auto"/>
              </w:rPr>
            </w:pPr>
            <w:r>
              <w:rPr>
                <w:color w:val="auto"/>
              </w:rPr>
              <w:t>①采用的主要机械设备为低噪声机械设备，同时在施工过程中施工单位应设专人对设备进行定期保养和维护，并负责对现场工作人员进行培训</w:t>
            </w:r>
            <w:r>
              <w:rPr>
                <w:rFonts w:hint="eastAsia"/>
                <w:color w:val="auto"/>
                <w:lang w:eastAsia="zh-CN"/>
              </w:rPr>
              <w:t>，</w:t>
            </w:r>
            <w:r>
              <w:rPr>
                <w:color w:val="auto"/>
              </w:rPr>
              <w:t>严格按操作规范；</w:t>
            </w:r>
          </w:p>
          <w:p w14:paraId="1CBBE5AC">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auto"/>
              </w:rPr>
            </w:pPr>
            <w:r>
              <w:rPr>
                <w:color w:val="auto"/>
              </w:rPr>
              <w:t>②优化施工方案，合理安排施工时</w:t>
            </w:r>
            <w:r>
              <w:rPr>
                <w:rFonts w:hint="eastAsia"/>
                <w:color w:val="auto"/>
                <w:lang w:eastAsia="zh-CN"/>
              </w:rPr>
              <w:t>间</w:t>
            </w:r>
            <w:r>
              <w:rPr>
                <w:color w:val="auto"/>
              </w:rPr>
              <w:t>，在夜间22:00至次日凌晨6:00禁止作业；</w:t>
            </w:r>
          </w:p>
          <w:p w14:paraId="4B915BD2">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auto"/>
              </w:rPr>
            </w:pPr>
            <w:r>
              <w:rPr>
                <w:color w:val="auto"/>
              </w:rPr>
              <w:t>③</w:t>
            </w:r>
            <w:r>
              <w:rPr>
                <w:rFonts w:hint="eastAsia"/>
                <w:color w:val="auto"/>
                <w:lang w:eastAsia="zh-CN"/>
              </w:rPr>
              <w:t>合理布设高噪设备，将高噪声设备布设在远离敏感点的一侧；</w:t>
            </w:r>
          </w:p>
          <w:p w14:paraId="3C40DBE0">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color w:val="auto"/>
                <w:lang w:eastAsia="zh-CN"/>
              </w:rPr>
            </w:pPr>
            <w:r>
              <w:rPr>
                <w:rFonts w:hint="eastAsia"/>
                <w:color w:val="auto"/>
                <w:lang w:eastAsia="zh-CN"/>
              </w:rPr>
              <w:t>④</w:t>
            </w:r>
            <w:r>
              <w:rPr>
                <w:color w:val="auto"/>
              </w:rPr>
              <w:t>项目在进行物料运输时，应合理安排运输时间，避免在夜间及交通拥挤时段进行，减缓交通噪声对居民的影响</w:t>
            </w:r>
            <w:r>
              <w:rPr>
                <w:rFonts w:hint="eastAsia"/>
                <w:color w:val="auto"/>
                <w:lang w:eastAsia="zh-CN"/>
              </w:rPr>
              <w:t>。</w:t>
            </w:r>
          </w:p>
        </w:tc>
        <w:tc>
          <w:tcPr>
            <w:tcW w:w="946" w:type="pct"/>
            <w:noWrap w:val="0"/>
            <w:vAlign w:val="center"/>
          </w:tcPr>
          <w:p w14:paraId="50E81E9C">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eastAsia="宋体"/>
                <w:color w:val="auto"/>
                <w:lang w:eastAsia="zh-CN"/>
              </w:rPr>
            </w:pPr>
            <w:r>
              <w:rPr>
                <w:rFonts w:hint="eastAsia"/>
                <w:color w:val="auto"/>
                <w:lang w:eastAsia="zh-CN"/>
              </w:rPr>
              <w:t>施工厂界噪声满足《建筑施工场界环境噪声排放标准》（GB12523-2011）要求。</w:t>
            </w:r>
          </w:p>
        </w:tc>
        <w:tc>
          <w:tcPr>
            <w:tcW w:w="1098" w:type="pct"/>
            <w:noWrap w:val="0"/>
            <w:vAlign w:val="center"/>
          </w:tcPr>
          <w:p w14:paraId="5A0994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c>
          <w:tcPr>
            <w:tcW w:w="893" w:type="pct"/>
            <w:noWrap w:val="0"/>
            <w:vAlign w:val="center"/>
          </w:tcPr>
          <w:p w14:paraId="3753E7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r>
      <w:tr w14:paraId="154792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noWrap w:val="0"/>
            <w:vAlign w:val="center"/>
          </w:tcPr>
          <w:p w14:paraId="5AA744D2">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rPr>
            </w:pPr>
            <w:r>
              <w:rPr>
                <w:rFonts w:hint="default"/>
                <w:color w:val="auto"/>
              </w:rPr>
              <w:t>振动</w:t>
            </w:r>
          </w:p>
        </w:tc>
        <w:tc>
          <w:tcPr>
            <w:tcW w:w="1412" w:type="pct"/>
            <w:noWrap w:val="0"/>
            <w:vAlign w:val="center"/>
          </w:tcPr>
          <w:p w14:paraId="75E3DF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c>
          <w:tcPr>
            <w:tcW w:w="946" w:type="pct"/>
            <w:noWrap w:val="0"/>
            <w:vAlign w:val="center"/>
          </w:tcPr>
          <w:p w14:paraId="6C2F52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c>
          <w:tcPr>
            <w:tcW w:w="1098" w:type="pct"/>
            <w:noWrap w:val="0"/>
            <w:vAlign w:val="center"/>
          </w:tcPr>
          <w:p w14:paraId="1E8225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c>
          <w:tcPr>
            <w:tcW w:w="893" w:type="pct"/>
            <w:noWrap w:val="0"/>
            <w:vAlign w:val="center"/>
          </w:tcPr>
          <w:p w14:paraId="248E12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r>
      <w:tr w14:paraId="625144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noWrap w:val="0"/>
            <w:vAlign w:val="center"/>
          </w:tcPr>
          <w:p w14:paraId="2DFC4FED">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rPr>
            </w:pPr>
            <w:r>
              <w:rPr>
                <w:rFonts w:hint="default"/>
                <w:color w:val="auto"/>
              </w:rPr>
              <w:t>大气环境</w:t>
            </w:r>
          </w:p>
        </w:tc>
        <w:tc>
          <w:tcPr>
            <w:tcW w:w="1412" w:type="pct"/>
            <w:noWrap w:val="0"/>
            <w:vAlign w:val="center"/>
          </w:tcPr>
          <w:p w14:paraId="2C6F1872">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rPr>
            </w:pPr>
            <w:r>
              <w:rPr>
                <w:rFonts w:hint="default"/>
                <w:color w:val="auto"/>
              </w:rPr>
              <w:t>①施工过程产生的粉尘，采取洒水降尘措施；</w:t>
            </w:r>
          </w:p>
          <w:p w14:paraId="556BDAFE">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rPr>
            </w:pPr>
            <w:r>
              <w:rPr>
                <w:rFonts w:hint="default"/>
                <w:color w:val="auto"/>
              </w:rPr>
              <w:t>②项目建筑砂石料在运输过程中，应采用防尘布遮盖，防止运输过程中施工材料的洒落。</w:t>
            </w:r>
          </w:p>
          <w:p w14:paraId="6EBB613C">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rPr>
            </w:pPr>
            <w:r>
              <w:rPr>
                <w:rFonts w:hint="default"/>
                <w:color w:val="auto"/>
              </w:rPr>
              <w:t>③项目施工营地临时堆存的砂石料、水泥等建筑材料会产生一定的粉尘，水泥应采用防尘布遮盖，砂石料采用防尘网覆盖并采取洒水降尘措施；</w:t>
            </w:r>
          </w:p>
          <w:p w14:paraId="324CD401">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rPr>
            </w:pPr>
            <w:r>
              <w:rPr>
                <w:rFonts w:hint="default"/>
                <w:color w:val="auto"/>
              </w:rPr>
              <w:t>④临时堆存表土堆放的四周采用编织袋挡墙，采用土工布覆盖。</w:t>
            </w:r>
          </w:p>
          <w:p w14:paraId="1C63C700">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rPr>
            </w:pPr>
            <w:r>
              <w:rPr>
                <w:rFonts w:hint="default"/>
                <w:color w:val="auto"/>
              </w:rPr>
              <w:t>⑤工程施工机械应加强设备养护，施工机械产生的废气经大气稀释扩散后影响较小。</w:t>
            </w:r>
          </w:p>
          <w:p w14:paraId="454B4101">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rPr>
            </w:pPr>
            <w:r>
              <w:rPr>
                <w:rFonts w:hint="default"/>
                <w:color w:val="auto"/>
              </w:rPr>
              <w:t>⑥加强施工临时道路洒水降尘工作，降低运输扬尘产生量。</w:t>
            </w:r>
          </w:p>
        </w:tc>
        <w:tc>
          <w:tcPr>
            <w:tcW w:w="946" w:type="pct"/>
            <w:noWrap w:val="0"/>
            <w:vAlign w:val="center"/>
          </w:tcPr>
          <w:p w14:paraId="48D5FD56">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auto"/>
                <w:lang w:eastAsia="zh-CN"/>
              </w:rPr>
            </w:pPr>
            <w:r>
              <w:rPr>
                <w:rFonts w:hint="default"/>
                <w:color w:val="auto"/>
              </w:rPr>
              <w:t>施工扬尘满足《大气污染物综合排放标准》（GB16297-1996）表2无组织排放监测浓度限值</w:t>
            </w:r>
            <w:r>
              <w:rPr>
                <w:rFonts w:hint="eastAsia"/>
                <w:color w:val="auto"/>
                <w:lang w:eastAsia="zh-CN"/>
              </w:rPr>
              <w:t>。</w:t>
            </w:r>
          </w:p>
        </w:tc>
        <w:tc>
          <w:tcPr>
            <w:tcW w:w="1098" w:type="pct"/>
            <w:noWrap w:val="0"/>
            <w:vAlign w:val="center"/>
          </w:tcPr>
          <w:p w14:paraId="575A4F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c>
          <w:tcPr>
            <w:tcW w:w="893" w:type="pct"/>
            <w:noWrap w:val="0"/>
            <w:vAlign w:val="center"/>
          </w:tcPr>
          <w:p w14:paraId="759704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r>
      <w:tr w14:paraId="783CE5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noWrap w:val="0"/>
            <w:vAlign w:val="center"/>
          </w:tcPr>
          <w:p w14:paraId="15219BA4">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rPr>
            </w:pPr>
            <w:r>
              <w:rPr>
                <w:rFonts w:hint="default"/>
                <w:color w:val="auto"/>
              </w:rPr>
              <w:t>固体废物</w:t>
            </w:r>
          </w:p>
        </w:tc>
        <w:tc>
          <w:tcPr>
            <w:tcW w:w="1412" w:type="pct"/>
            <w:noWrap w:val="0"/>
            <w:vAlign w:val="center"/>
          </w:tcPr>
          <w:p w14:paraId="30254FFF">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rPr>
            </w:pPr>
            <w:r>
              <w:rPr>
                <w:rFonts w:hint="default"/>
                <w:color w:val="auto"/>
              </w:rPr>
              <w:t>①工程建设过程中产生的废弃土石临时堆存用于回填，无永久弃渣产生，项目不设置弃渣场。施工期间临时表土堆存过程中，堆放的四周采用编织袋挡墙，采用土工布覆盖，定期洒水抑尘；</w:t>
            </w:r>
          </w:p>
          <w:p w14:paraId="3F6EB961">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rPr>
            </w:pPr>
            <w:r>
              <w:rPr>
                <w:rFonts w:hint="default"/>
                <w:color w:val="auto"/>
              </w:rPr>
              <w:t>②施工人员生活垃圾集中收集后清运至最近的垃圾收集点，由环卫部门清运处置；</w:t>
            </w:r>
          </w:p>
          <w:p w14:paraId="2646850A">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rPr>
            </w:pPr>
            <w:r>
              <w:rPr>
                <w:rFonts w:hint="default"/>
                <w:color w:val="auto"/>
              </w:rPr>
              <w:t>③废弃水泥袋等</w:t>
            </w:r>
            <w:r>
              <w:rPr>
                <w:rFonts w:hint="eastAsia"/>
                <w:color w:val="auto"/>
                <w:lang w:eastAsia="zh-CN"/>
              </w:rPr>
              <w:t>可回收利用的垃圾，分类</w:t>
            </w:r>
            <w:r>
              <w:rPr>
                <w:rFonts w:hint="default"/>
                <w:color w:val="auto"/>
              </w:rPr>
              <w:t>收集后清运</w:t>
            </w:r>
            <w:r>
              <w:rPr>
                <w:rFonts w:hint="eastAsia"/>
                <w:color w:val="auto"/>
                <w:lang w:eastAsia="zh-CN"/>
              </w:rPr>
              <w:t>由废旧品回收单位回收</w:t>
            </w:r>
            <w:r>
              <w:rPr>
                <w:rFonts w:hint="default"/>
                <w:color w:val="auto"/>
              </w:rPr>
              <w:t>；</w:t>
            </w:r>
          </w:p>
          <w:p w14:paraId="51D35C5B">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宋体"/>
                <w:color w:val="auto"/>
                <w:lang w:eastAsia="zh-CN"/>
              </w:rPr>
            </w:pPr>
            <w:r>
              <w:rPr>
                <w:rFonts w:hint="default"/>
                <w:color w:val="auto"/>
              </w:rPr>
              <w:t>④施工机械不在施工场地维修，车辆维修，施工机械设备开往附近修理厂维修，维修过程产生的废矿物油处置责任由修理厂承担，施工场地不涉及废矿物油的产生及储存</w:t>
            </w:r>
            <w:r>
              <w:rPr>
                <w:rFonts w:hint="eastAsia"/>
                <w:color w:val="auto"/>
                <w:lang w:eastAsia="zh-CN"/>
              </w:rPr>
              <w:t>。</w:t>
            </w:r>
          </w:p>
        </w:tc>
        <w:tc>
          <w:tcPr>
            <w:tcW w:w="946" w:type="pct"/>
            <w:noWrap w:val="0"/>
            <w:vAlign w:val="center"/>
          </w:tcPr>
          <w:p w14:paraId="57D3AD24">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eastAsia="宋体"/>
                <w:color w:val="auto"/>
                <w:lang w:eastAsia="zh-CN"/>
              </w:rPr>
            </w:pPr>
            <w:r>
              <w:rPr>
                <w:color w:val="auto"/>
              </w:rPr>
              <w:t>无弃渣产生，生活垃圾及废弃水泥袋等合理处置，无随意丢弃、焚烧及向河道内倾倒，固废处置率达100%</w:t>
            </w:r>
            <w:r>
              <w:rPr>
                <w:rFonts w:hint="eastAsia"/>
                <w:color w:val="auto"/>
                <w:lang w:eastAsia="zh-CN"/>
              </w:rPr>
              <w:t>。</w:t>
            </w:r>
          </w:p>
        </w:tc>
        <w:tc>
          <w:tcPr>
            <w:tcW w:w="1098" w:type="pct"/>
            <w:noWrap w:val="0"/>
            <w:vAlign w:val="center"/>
          </w:tcPr>
          <w:p w14:paraId="5856BA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c>
          <w:tcPr>
            <w:tcW w:w="893" w:type="pct"/>
            <w:noWrap w:val="0"/>
            <w:vAlign w:val="center"/>
          </w:tcPr>
          <w:p w14:paraId="695DC7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r>
      <w:tr w14:paraId="20F30A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noWrap w:val="0"/>
            <w:vAlign w:val="center"/>
          </w:tcPr>
          <w:p w14:paraId="2D717412">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rPr>
            </w:pPr>
            <w:r>
              <w:rPr>
                <w:rFonts w:hint="default"/>
                <w:color w:val="auto"/>
              </w:rPr>
              <w:t>电磁环境</w:t>
            </w:r>
          </w:p>
        </w:tc>
        <w:tc>
          <w:tcPr>
            <w:tcW w:w="1412" w:type="pct"/>
            <w:noWrap w:val="0"/>
            <w:vAlign w:val="center"/>
          </w:tcPr>
          <w:p w14:paraId="1115C0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c>
          <w:tcPr>
            <w:tcW w:w="946" w:type="pct"/>
            <w:noWrap w:val="0"/>
            <w:vAlign w:val="center"/>
          </w:tcPr>
          <w:p w14:paraId="2F07FE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c>
          <w:tcPr>
            <w:tcW w:w="1098" w:type="pct"/>
            <w:noWrap w:val="0"/>
            <w:vAlign w:val="center"/>
          </w:tcPr>
          <w:p w14:paraId="573867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c>
          <w:tcPr>
            <w:tcW w:w="893" w:type="pct"/>
            <w:noWrap w:val="0"/>
            <w:vAlign w:val="center"/>
          </w:tcPr>
          <w:p w14:paraId="097608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r>
      <w:tr w14:paraId="46A391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noWrap w:val="0"/>
            <w:vAlign w:val="center"/>
          </w:tcPr>
          <w:p w14:paraId="51447011">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rPr>
            </w:pPr>
            <w:r>
              <w:rPr>
                <w:rFonts w:hint="default"/>
                <w:color w:val="auto"/>
              </w:rPr>
              <w:t>环境风险</w:t>
            </w:r>
          </w:p>
        </w:tc>
        <w:tc>
          <w:tcPr>
            <w:tcW w:w="1412" w:type="pct"/>
            <w:noWrap w:val="0"/>
            <w:vAlign w:val="center"/>
          </w:tcPr>
          <w:p w14:paraId="379780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c>
          <w:tcPr>
            <w:tcW w:w="946" w:type="pct"/>
            <w:noWrap w:val="0"/>
            <w:vAlign w:val="center"/>
          </w:tcPr>
          <w:p w14:paraId="7D7CD5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c>
          <w:tcPr>
            <w:tcW w:w="1098" w:type="pct"/>
            <w:noWrap w:val="0"/>
            <w:vAlign w:val="center"/>
          </w:tcPr>
          <w:p w14:paraId="760BE5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c>
          <w:tcPr>
            <w:tcW w:w="893" w:type="pct"/>
            <w:noWrap w:val="0"/>
            <w:vAlign w:val="center"/>
          </w:tcPr>
          <w:p w14:paraId="24695C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r>
      <w:tr w14:paraId="35D4D4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noWrap w:val="0"/>
            <w:vAlign w:val="center"/>
          </w:tcPr>
          <w:p w14:paraId="641252CD">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rPr>
            </w:pPr>
            <w:r>
              <w:rPr>
                <w:rFonts w:hint="default"/>
                <w:color w:val="auto"/>
              </w:rPr>
              <w:t>环境监测</w:t>
            </w:r>
          </w:p>
        </w:tc>
        <w:tc>
          <w:tcPr>
            <w:tcW w:w="1412" w:type="pct"/>
            <w:noWrap w:val="0"/>
            <w:vAlign w:val="center"/>
          </w:tcPr>
          <w:p w14:paraId="2CEEB863">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color w:val="auto"/>
                <w:lang w:val="en-US" w:eastAsia="zh-CN"/>
              </w:rPr>
            </w:pPr>
            <w:r>
              <w:rPr>
                <w:rFonts w:hint="eastAsia"/>
                <w:color w:val="auto"/>
                <w:lang w:val="en-US" w:eastAsia="zh-CN"/>
              </w:rPr>
              <w:t>（1）大气环境监测因子：TSP；</w:t>
            </w:r>
          </w:p>
          <w:p w14:paraId="74C10787">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color w:val="auto"/>
                <w:lang w:val="en-US" w:eastAsia="zh-CN"/>
              </w:rPr>
            </w:pPr>
            <w:r>
              <w:rPr>
                <w:rFonts w:hint="eastAsia"/>
                <w:color w:val="auto"/>
                <w:lang w:val="en-US" w:eastAsia="zh-CN"/>
              </w:rPr>
              <w:t>（2）声环境监测：监测因子为等效连续声级；</w:t>
            </w:r>
          </w:p>
          <w:p w14:paraId="0583928B">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color w:val="auto"/>
                <w:lang w:val="en-US" w:eastAsia="zh-CN"/>
              </w:rPr>
            </w:pPr>
            <w:r>
              <w:rPr>
                <w:rFonts w:hint="eastAsia"/>
                <w:color w:val="auto"/>
                <w:lang w:val="en-US" w:eastAsia="zh-CN"/>
              </w:rPr>
              <w:t>（3）水环境：《地表水环境质量标准》中表1全部项目</w:t>
            </w:r>
          </w:p>
        </w:tc>
        <w:tc>
          <w:tcPr>
            <w:tcW w:w="946" w:type="pct"/>
            <w:noWrap w:val="0"/>
            <w:vAlign w:val="center"/>
          </w:tcPr>
          <w:p w14:paraId="47C8D5A6">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color w:val="auto"/>
              </w:rPr>
            </w:pPr>
            <w:r>
              <w:rPr>
                <w:color w:val="auto"/>
              </w:rPr>
              <w:t>调查施工期是否开展环境监测，施工期污染物是否达标排放。</w:t>
            </w:r>
          </w:p>
        </w:tc>
        <w:tc>
          <w:tcPr>
            <w:tcW w:w="1098" w:type="pct"/>
            <w:noWrap w:val="0"/>
            <w:vAlign w:val="center"/>
          </w:tcPr>
          <w:p w14:paraId="1399BE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c>
          <w:tcPr>
            <w:tcW w:w="893" w:type="pct"/>
            <w:noWrap w:val="0"/>
            <w:vAlign w:val="center"/>
          </w:tcPr>
          <w:p w14:paraId="30178D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r>
      <w:tr w14:paraId="29CAEB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49" w:type="pct"/>
            <w:noWrap w:val="0"/>
            <w:vAlign w:val="center"/>
          </w:tcPr>
          <w:p w14:paraId="5A6B7872">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rPr>
            </w:pPr>
            <w:r>
              <w:rPr>
                <w:rFonts w:hint="default"/>
                <w:color w:val="auto"/>
              </w:rPr>
              <w:t>其他</w:t>
            </w:r>
          </w:p>
        </w:tc>
        <w:tc>
          <w:tcPr>
            <w:tcW w:w="1412" w:type="pct"/>
            <w:noWrap w:val="0"/>
            <w:vAlign w:val="center"/>
          </w:tcPr>
          <w:p w14:paraId="26D89E82">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auto"/>
              </w:rPr>
            </w:pPr>
            <w:r>
              <w:rPr>
                <w:color w:val="auto"/>
              </w:rPr>
              <w:t>1）在施工人员进驻前，统一对施工人员进行体检，对施工区域进行一次综合卫生清理，消灭传染源，铲除施工生活区周围的杂草等。</w:t>
            </w:r>
          </w:p>
          <w:p w14:paraId="7C9BA18E">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auto"/>
              </w:rPr>
            </w:pPr>
            <w:r>
              <w:rPr>
                <w:color w:val="auto"/>
              </w:rPr>
              <w:t>2）生活用水应采用集中式消毒处理供水设施，保障为施工人员提供符合国家生活饮用水卫生标准的饮用水。</w:t>
            </w:r>
          </w:p>
          <w:p w14:paraId="07C56839">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color w:val="auto"/>
              </w:rPr>
            </w:pPr>
            <w:r>
              <w:rPr>
                <w:color w:val="auto"/>
              </w:rPr>
              <w:t>3）加强工地食堂的卫生管理，餐具经常进行煮沸消毒。严格执行《</w:t>
            </w:r>
            <w:bookmarkStart w:id="43" w:name="_GoBack"/>
            <w:bookmarkEnd w:id="43"/>
            <w:r>
              <w:rPr>
                <w:rFonts w:hint="eastAsia"/>
                <w:color w:val="auto"/>
                <w:lang w:eastAsia="zh-CN"/>
              </w:rPr>
              <w:t>中华人民共和国食品安全法</w:t>
            </w:r>
            <w:r>
              <w:rPr>
                <w:rFonts w:hint="eastAsia"/>
                <w:color w:val="auto"/>
              </w:rPr>
              <w:t>》相应条款，要求饮食从业人员持证上岗</w:t>
            </w:r>
            <w:r>
              <w:rPr>
                <w:rFonts w:hint="eastAsia"/>
                <w:color w:val="auto"/>
                <w:lang w:eastAsia="zh-CN"/>
              </w:rPr>
              <w:t>，</w:t>
            </w:r>
            <w:r>
              <w:rPr>
                <w:rFonts w:hint="eastAsia"/>
                <w:color w:val="auto"/>
              </w:rPr>
              <w:t>定期进行体检</w:t>
            </w:r>
            <w:r>
              <w:rPr>
                <w:rFonts w:hint="eastAsia"/>
                <w:color w:val="auto"/>
                <w:lang w:eastAsia="zh-CN"/>
              </w:rPr>
              <w:t>，</w:t>
            </w:r>
            <w:r>
              <w:rPr>
                <w:rFonts w:hint="eastAsia"/>
                <w:color w:val="auto"/>
              </w:rPr>
              <w:t>所有传染病病人、病原携带者和疑似病人不得从事易于使该病传播的职业。</w:t>
            </w:r>
          </w:p>
          <w:p w14:paraId="24D8978F">
            <w:pPr>
              <w:pStyle w:val="36"/>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color w:val="auto"/>
              </w:rPr>
            </w:pPr>
            <w:r>
              <w:rPr>
                <w:rFonts w:hint="eastAsia"/>
                <w:color w:val="auto"/>
              </w:rPr>
              <w:t>4）在肺结核易感人群中接种卡介苗，对已知感染人群采取药物预防，减少发病；尽可能早期发现病人，早期登记，及时隔离治疗。</w:t>
            </w:r>
          </w:p>
        </w:tc>
        <w:tc>
          <w:tcPr>
            <w:tcW w:w="946" w:type="pct"/>
            <w:noWrap w:val="0"/>
            <w:vAlign w:val="center"/>
          </w:tcPr>
          <w:p w14:paraId="59BEECE6">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olor w:val="auto"/>
              </w:rPr>
            </w:pPr>
            <w:r>
              <w:rPr>
                <w:rFonts w:hint="default"/>
                <w:color w:val="auto"/>
              </w:rPr>
              <w:t>调查施工期间是否采取消毒措施</w:t>
            </w:r>
            <w:r>
              <w:rPr>
                <w:rFonts w:hint="eastAsia"/>
                <w:color w:val="auto"/>
                <w:lang w:eastAsia="zh-CN"/>
              </w:rPr>
              <w:t>，</w:t>
            </w:r>
            <w:r>
              <w:rPr>
                <w:rFonts w:hint="default"/>
                <w:color w:val="auto"/>
              </w:rPr>
              <w:t>是否采取人群健康防治措施。</w:t>
            </w:r>
          </w:p>
        </w:tc>
        <w:tc>
          <w:tcPr>
            <w:tcW w:w="1098" w:type="pct"/>
            <w:noWrap w:val="0"/>
            <w:vAlign w:val="center"/>
          </w:tcPr>
          <w:p w14:paraId="28C2AB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c>
          <w:tcPr>
            <w:tcW w:w="893" w:type="pct"/>
            <w:noWrap w:val="0"/>
            <w:vAlign w:val="center"/>
          </w:tcPr>
          <w:p w14:paraId="794B49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rPr>
            </w:pPr>
            <w:r>
              <w:rPr>
                <w:rFonts w:hint="default"/>
                <w:color w:val="auto"/>
              </w:rPr>
              <w:t>——</w:t>
            </w:r>
          </w:p>
        </w:tc>
      </w:tr>
    </w:tbl>
    <w:p w14:paraId="198C33BE">
      <w:pPr>
        <w:pStyle w:val="18"/>
        <w:jc w:val="both"/>
        <w:rPr>
          <w:rFonts w:hint="default" w:ascii="Times New Roman" w:hAnsi="Times New Roman" w:eastAsia="黑体" w:cs="Times New Roman"/>
          <w:snapToGrid w:val="0"/>
          <w:color w:val="auto"/>
          <w:sz w:val="30"/>
          <w:szCs w:val="30"/>
        </w:rPr>
      </w:pPr>
    </w:p>
    <w:p w14:paraId="20B7A584">
      <w:pPr>
        <w:pStyle w:val="12"/>
        <w:rPr>
          <w:rFonts w:hint="default" w:ascii="Times New Roman" w:hAnsi="Times New Roman"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3AB4EB51">
      <w:pPr>
        <w:pStyle w:val="4"/>
        <w:keepNext w:val="0"/>
        <w:keepLines w:val="0"/>
        <w:pageBreakBefore/>
        <w:widowControl w:val="0"/>
        <w:kinsoku/>
        <w:wordWrap/>
        <w:overflowPunct/>
        <w:topLinePunct w:val="0"/>
        <w:autoSpaceDE/>
        <w:autoSpaceDN/>
        <w:bidi w:val="0"/>
        <w:adjustRightInd/>
        <w:snapToGrid w:val="0"/>
        <w:ind w:left="0" w:leftChars="0" w:firstLine="0" w:firstLineChars="0"/>
        <w:jc w:val="center"/>
        <w:textAlignment w:val="auto"/>
        <w:rPr>
          <w:rFonts w:hint="default"/>
          <w:color w:val="auto"/>
        </w:rPr>
      </w:pPr>
      <w:bookmarkStart w:id="42" w:name="_Toc14968"/>
      <w:r>
        <w:rPr>
          <w:rFonts w:hint="default"/>
          <w:color w:val="auto"/>
        </w:rPr>
        <w:t>七、结论</w:t>
      </w:r>
      <w:bookmarkEnd w:id="42"/>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0"/>
      </w:tblGrid>
      <w:tr w14:paraId="53989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20" w:hRule="atLeast"/>
        </w:trPr>
        <w:tc>
          <w:tcPr>
            <w:tcW w:w="8520" w:type="dxa"/>
          </w:tcPr>
          <w:p w14:paraId="27232A3E">
            <w:pPr>
              <w:pStyle w:val="36"/>
              <w:bidi w:val="0"/>
              <w:rPr>
                <w:color w:val="auto"/>
              </w:rPr>
            </w:pPr>
            <w:r>
              <w:rPr>
                <w:color w:val="auto"/>
              </w:rPr>
              <w:t>项目符合国家产业政策，符合国家的环保政策和相关</w:t>
            </w:r>
            <w:r>
              <w:rPr>
                <w:rFonts w:hint="eastAsia"/>
                <w:color w:val="auto"/>
                <w:lang w:eastAsia="zh-CN"/>
              </w:rPr>
              <w:t>法律法规</w:t>
            </w:r>
            <w:r>
              <w:rPr>
                <w:color w:val="auto"/>
              </w:rPr>
              <w:t>。经过分析，项目施工期不可避免地对治理河道周围的生态环境、水环境、声环境、环境空气等产生一定的负面影响，但在严格落实设计及本环评提出的各项污染防治措施和生态恢复措施后，可有效减缓施工期对生态、地表水和大气等环境的影响，并做到污染物达标排放。</w:t>
            </w:r>
          </w:p>
          <w:p w14:paraId="225EEFFD">
            <w:pPr>
              <w:pStyle w:val="36"/>
              <w:bidi w:val="0"/>
              <w:rPr>
                <w:rFonts w:hint="default" w:ascii="Times New Roman" w:hAnsi="Times New Roman" w:cs="Times New Roman"/>
                <w:color w:val="auto"/>
              </w:rPr>
            </w:pPr>
            <w:r>
              <w:rPr>
                <w:color w:val="auto"/>
              </w:rPr>
              <w:t>该项目的建设提高防洪能力，保障人民财产及耕地，体现了经济、社会和环境三方面效益的统一，得到了当地政府的支持。总体而言，建设单位只要认真贯彻执行国家的环保</w:t>
            </w:r>
            <w:r>
              <w:rPr>
                <w:rFonts w:hint="eastAsia"/>
                <w:color w:val="auto"/>
                <w:lang w:eastAsia="zh-CN"/>
              </w:rPr>
              <w:t>法律法规</w:t>
            </w:r>
            <w:r>
              <w:rPr>
                <w:color w:val="auto"/>
              </w:rPr>
              <w:t>，认真落实本环评提出的污染防治及生态恢复对策，可以使项目的负面影响减小到最低。所以，从环境保护的角度分析，本项目的建设是可行的</w:t>
            </w:r>
            <w:r>
              <w:rPr>
                <w:rFonts w:hint="default"/>
                <w:color w:val="auto"/>
              </w:rPr>
              <w:t>。</w:t>
            </w:r>
          </w:p>
        </w:tc>
      </w:tr>
    </w:tbl>
    <w:p w14:paraId="7C71DFA4">
      <w:pPr>
        <w:pStyle w:val="12"/>
        <w:rPr>
          <w:rFonts w:hint="default" w:ascii="Times New Roman" w:hAnsi="Times New Roman" w:cs="Times New Roman"/>
          <w:color w:val="auto"/>
        </w:rPr>
      </w:pP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B612CD2C-4180-495C-A754-0E878866481E}"/>
  </w:font>
  <w:font w:name="黑体">
    <w:panose1 w:val="02010609060101010101"/>
    <w:charset w:val="86"/>
    <w:family w:val="auto"/>
    <w:pitch w:val="default"/>
    <w:sig w:usb0="800002BF" w:usb1="38CF7CFA" w:usb2="00000016" w:usb3="00000000" w:csb0="00040001" w:csb1="00000000"/>
    <w:embedRegular r:id="rId2" w:fontKey="{D49A42F6-6E5E-4287-93A0-54EB68C80803}"/>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仿宋_GB2312">
    <w:panose1 w:val="02010609030101010101"/>
    <w:charset w:val="86"/>
    <w:family w:val="modern"/>
    <w:pitch w:val="default"/>
    <w:sig w:usb0="00000001" w:usb1="080E0000" w:usb2="00000000" w:usb3="00000000" w:csb0="00040000" w:csb1="00000000"/>
    <w:embedRegular r:id="rId3" w:fontKey="{D449EED3-A730-4531-BAA1-922D476991FB}"/>
  </w:font>
  <w:font w:name="方正小标宋_GBK">
    <w:panose1 w:val="03000509000000000000"/>
    <w:charset w:val="86"/>
    <w:family w:val="script"/>
    <w:pitch w:val="default"/>
    <w:sig w:usb0="00000001" w:usb1="080E0000" w:usb2="00000000" w:usb3="00000000" w:csb0="00040000" w:csb1="00000000"/>
    <w:embedRegular r:id="rId4" w:fontKey="{278B5E9D-026B-4FC4-ABC0-6DD95EACC7DB}"/>
  </w:font>
  <w:font w:name="楷体_GB2312">
    <w:panose1 w:val="02010609030101010101"/>
    <w:charset w:val="86"/>
    <w:family w:val="auto"/>
    <w:pitch w:val="default"/>
    <w:sig w:usb0="00000001" w:usb1="080E0000" w:usb2="00000000" w:usb3="00000000" w:csb0="00040000" w:csb1="00000000"/>
    <w:embedRegular r:id="rId5" w:fontKey="{1E150C6A-B41E-4DBB-B43A-401C01C5890C}"/>
  </w:font>
  <w:font w:name="华文仿宋">
    <w:panose1 w:val="02010600040101010101"/>
    <w:charset w:val="86"/>
    <w:family w:val="auto"/>
    <w:pitch w:val="default"/>
    <w:sig w:usb0="00000287" w:usb1="080F0000" w:usb2="00000000" w:usb3="00000000" w:csb0="0004009F" w:csb1="DFD70000"/>
    <w:embedRegular r:id="rId6" w:fontKey="{A75FC03D-3FEF-4C52-A2E5-69BA1533FD4A}"/>
  </w:font>
  <w:font w:name="仿宋">
    <w:panose1 w:val="02010609060101010101"/>
    <w:charset w:val="86"/>
    <w:family w:val="modern"/>
    <w:pitch w:val="default"/>
    <w:sig w:usb0="800002BF" w:usb1="38CF7CFA" w:usb2="00000016" w:usb3="00000000" w:csb0="00040001" w:csb1="00000000"/>
    <w:embedRegular r:id="rId7" w:fontKey="{BC11CA74-6907-44D1-A53D-B09F639A62DF}"/>
  </w:font>
  <w:font w:name="Wingdings 2">
    <w:panose1 w:val="05020102010507070707"/>
    <w:charset w:val="02"/>
    <w:family w:val="roman"/>
    <w:pitch w:val="default"/>
    <w:sig w:usb0="00000000" w:usb1="00000000" w:usb2="00000000" w:usb3="00000000" w:csb0="80000000" w:csb1="00000000"/>
    <w:embedRegular r:id="rId8" w:fontKey="{D77BC95A-A72C-4C79-B361-2A2110B4D44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A5D383">
    <w:pPr>
      <w:pStyle w:val="14"/>
      <w:tabs>
        <w:tab w:val="center" w:pos="4422"/>
        <w:tab w:val="clear" w:pos="4153"/>
      </w:tabs>
      <w:ind w:right="360" w:firstLine="360"/>
    </w:pPr>
    <w:r>
      <w:rPr>
        <w:rFonts w:hint="eastAsia"/>
        <w:lang w:eastAsia="zh-CN"/>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2C8EE2">
    <w:pPr>
      <w:pStyle w:val="14"/>
      <w:framePr w:wrap="around" w:vAnchor="text" w:hAnchor="margin" w:xAlign="outside" w:y="1"/>
      <w:rPr>
        <w:rStyle w:val="25"/>
      </w:rPr>
    </w:pPr>
    <w:r>
      <w:rPr>
        <w:rStyle w:val="25"/>
      </w:rPr>
      <w:fldChar w:fldCharType="begin"/>
    </w:r>
    <w:r>
      <w:rPr>
        <w:rStyle w:val="25"/>
      </w:rPr>
      <w:instrText xml:space="preserve">PAGE  </w:instrText>
    </w:r>
    <w:r>
      <w:rPr>
        <w:rStyle w:val="25"/>
      </w:rPr>
      <w:fldChar w:fldCharType="end"/>
    </w:r>
  </w:p>
  <w:p w14:paraId="54CD18C7">
    <w:pPr>
      <w:pStyle w:val="14"/>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1A76B1">
    <w:pPr>
      <w:pStyle w:val="14"/>
      <w:tabs>
        <w:tab w:val="center" w:pos="4422"/>
        <w:tab w:val="clear" w:pos="4153"/>
      </w:tabs>
      <w:ind w:right="360" w:firstLine="360"/>
    </w:pPr>
    <w:r>
      <w:rPr>
        <w:rFonts w:hint="eastAsia"/>
        <w:lang w:eastAsia="zh-CN"/>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E315EE">
    <w:pPr>
      <w:pStyle w:val="14"/>
      <w:tabs>
        <w:tab w:val="center" w:pos="4422"/>
        <w:tab w:val="clear" w:pos="4153"/>
      </w:tabs>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842097">
                          <w:pPr>
                            <w:pStyle w:val="14"/>
                          </w:pPr>
                          <w:r>
                            <w:fldChar w:fldCharType="begin"/>
                          </w:r>
                          <w:r>
                            <w:instrText xml:space="preserve"> PAGE  \* MERGEFORMAT </w:instrText>
                          </w:r>
                          <w:r>
                            <w:fldChar w:fldCharType="separate"/>
                          </w:r>
                          <w:r>
                            <w:t>21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sAOHox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IFJmFBimEbHL9+/XX78&#10;uvz8SnAGgWoX5ojbOUTG5q1tEDycBxwm3k3pdfqCEYEf8p6v8oomEp4uzaaz2RguDt+wAX72eN35&#10;EN8Jq0kycurRv1ZWdtqG2IUOISmbsRupVNtDZUid05vXb8bthasH4MogRyLRFZus2OybntneFmcQ&#10;87abjeD4RiL5loX4wDyGAQXjucR7LKWySGJ7i5LK+i//Ok/x6BG8lNQYrpwavCVK1HuD3gEwDoYf&#10;jP1gmKO+s5hWtAO1tCYu+KgGs/RWf8YbWqUccDHDkSmncTDvYjfgeINcrFZt0NF5eai6C5g8x+LW&#10;7BxPaZKQwa2OEWK2GieBOlV63TB7bZf6d5KG+899G/X4b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rADh6MQIAAGMEAAAOAAAAAAAAAAEAIAAAAB8BAABkcnMvZTJvRG9jLnhtbFBLBQYA&#10;AAAABgAGAFkBAADCBQAAAAA=&#10;">
              <v:fill on="f" focussize="0,0"/>
              <v:stroke on="f" weight="0.5pt"/>
              <v:imagedata o:title=""/>
              <o:lock v:ext="edit" aspectratio="f"/>
              <v:textbox inset="0mm,0mm,0mm,0mm" style="mso-fit-shape-to-text:t;">
                <w:txbxContent>
                  <w:p w14:paraId="0C842097">
                    <w:pPr>
                      <w:pStyle w:val="14"/>
                    </w:pPr>
                    <w:r>
                      <w:fldChar w:fldCharType="begin"/>
                    </w:r>
                    <w:r>
                      <w:instrText xml:space="preserve"> PAGE  \* MERGEFORMAT </w:instrText>
                    </w:r>
                    <w:r>
                      <w:fldChar w:fldCharType="separate"/>
                    </w:r>
                    <w:r>
                      <w:t>21</w:t>
                    </w:r>
                    <w:r>
                      <w:fldChar w:fldCharType="end"/>
                    </w:r>
                  </w:p>
                </w:txbxContent>
              </v:textbox>
            </v:shape>
          </w:pict>
        </mc:Fallback>
      </mc:AlternateContent>
    </w:r>
    <w:r>
      <w:rPr>
        <w:rFonts w:hint="eastAsia"/>
        <w:lang w:eastAsia="zh-CN"/>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631E77">
    <w:pPr>
      <w:pStyle w:val="14"/>
      <w:tabs>
        <w:tab w:val="center" w:pos="4422"/>
        <w:tab w:val="clear" w:pos="4153"/>
      </w:tabs>
      <w:ind w:right="360" w:firstLine="36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6AED33">
                          <w:pPr>
                            <w:pStyle w:val="14"/>
                          </w:pPr>
                          <w:r>
                            <w:fldChar w:fldCharType="begin"/>
                          </w:r>
                          <w:r>
                            <w:instrText xml:space="preserve"> PAGE  \* MERGEFORMAT </w:instrText>
                          </w:r>
                          <w:r>
                            <w:fldChar w:fldCharType="separate"/>
                          </w:r>
                          <w:r>
                            <w:t>21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or5U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iQxTKPil+/fLj9+&#10;XX5+JTiDQLULc8TtHCJj89Y2CB7OAw4T76b0On3BiMAPrPNVXtFEwtOl2XQ2G8PF4Rs2wM8erzsf&#10;4jthNUlGTj3q18rKTtsQu9AhJGUzdiOVamuoDKlzevP6zbi9cPUAXBnkSCS6xyYrNvumZ7a3xRnE&#10;vO16Izi+kUi+ZSE+MI9mwIMxLvEeS6ksktjeoqSy/su/zlM8agQvJTWaK6cGs0SJem9QOwDGwfCD&#10;sR8Mc9R3Ft06wRg63pq44KMazNJb/RkztEo54GKGI1NO42Dexa7BMYNcrFZt0NF5eai6C+g8x+LW&#10;7BxPaZKQwa2OEWK2GieBOlV63dB7bZX6OUnN/ee+jXr8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pqK+VMQIAAGMEAAAOAAAAAAAAAAEAIAAAAB8BAABkcnMvZTJvRG9jLnhtbFBLBQYA&#10;AAAABgAGAFkBAADCBQAAAAA=&#10;">
              <v:fill on="f" focussize="0,0"/>
              <v:stroke on="f" weight="0.5pt"/>
              <v:imagedata o:title=""/>
              <o:lock v:ext="edit" aspectratio="f"/>
              <v:textbox inset="0mm,0mm,0mm,0mm" style="mso-fit-shape-to-text:t;">
                <w:txbxContent>
                  <w:p w14:paraId="546AED33">
                    <w:pPr>
                      <w:pStyle w:val="14"/>
                    </w:pPr>
                    <w:r>
                      <w:fldChar w:fldCharType="begin"/>
                    </w:r>
                    <w:r>
                      <w:instrText xml:space="preserve"> PAGE  \* MERGEFORMAT </w:instrText>
                    </w:r>
                    <w:r>
                      <w:fldChar w:fldCharType="separate"/>
                    </w:r>
                    <w:r>
                      <w:t>21</w:t>
                    </w:r>
                    <w:r>
                      <w:fldChar w:fldCharType="end"/>
                    </w:r>
                  </w:p>
                </w:txbxContent>
              </v:textbox>
            </v:shape>
          </w:pict>
        </mc:Fallback>
      </mc:AlternateContent>
    </w:r>
    <w:r>
      <w:rPr>
        <w:rFonts w:hint="eastAsia"/>
        <w:lang w:eastAsia="zh-CN"/>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76AE9D"/>
    <w:multiLevelType w:val="singleLevel"/>
    <w:tmpl w:val="8776AE9D"/>
    <w:lvl w:ilvl="0" w:tentative="0">
      <w:start w:val="2"/>
      <w:numFmt w:val="decimal"/>
      <w:suff w:val="nothing"/>
      <w:lvlText w:val="（%1）"/>
      <w:lvlJc w:val="left"/>
    </w:lvl>
  </w:abstractNum>
  <w:abstractNum w:abstractNumId="1">
    <w:nsid w:val="8A11BFE7"/>
    <w:multiLevelType w:val="singleLevel"/>
    <w:tmpl w:val="8A11BFE7"/>
    <w:lvl w:ilvl="0" w:tentative="0">
      <w:start w:val="4"/>
      <w:numFmt w:val="decimal"/>
      <w:suff w:val="nothing"/>
      <w:lvlText w:val="%1、"/>
      <w:lvlJc w:val="left"/>
      <w:pPr>
        <w:ind w:left="-15"/>
      </w:pPr>
    </w:lvl>
  </w:abstractNum>
  <w:abstractNum w:abstractNumId="2">
    <w:nsid w:val="90961752"/>
    <w:multiLevelType w:val="singleLevel"/>
    <w:tmpl w:val="90961752"/>
    <w:lvl w:ilvl="0" w:tentative="0">
      <w:start w:val="1"/>
      <w:numFmt w:val="decimal"/>
      <w:suff w:val="nothing"/>
      <w:lvlText w:val="%1、"/>
      <w:lvlJc w:val="left"/>
    </w:lvl>
  </w:abstractNum>
  <w:abstractNum w:abstractNumId="3">
    <w:nsid w:val="9D015262"/>
    <w:multiLevelType w:val="singleLevel"/>
    <w:tmpl w:val="9D015262"/>
    <w:lvl w:ilvl="0" w:tentative="0">
      <w:start w:val="8"/>
      <w:numFmt w:val="chineseCounting"/>
      <w:suff w:val="nothing"/>
      <w:lvlText w:val="%1、"/>
      <w:lvlJc w:val="left"/>
      <w:rPr>
        <w:rFonts w:hint="eastAsia"/>
      </w:rPr>
    </w:lvl>
  </w:abstractNum>
  <w:abstractNum w:abstractNumId="4">
    <w:nsid w:val="AF4688B0"/>
    <w:multiLevelType w:val="singleLevel"/>
    <w:tmpl w:val="AF4688B0"/>
    <w:lvl w:ilvl="0" w:tentative="0">
      <w:start w:val="1"/>
      <w:numFmt w:val="decimal"/>
      <w:suff w:val="nothing"/>
      <w:lvlText w:val="%1）"/>
      <w:lvlJc w:val="left"/>
    </w:lvl>
  </w:abstractNum>
  <w:abstractNum w:abstractNumId="5">
    <w:nsid w:val="69C0283A"/>
    <w:multiLevelType w:val="multilevel"/>
    <w:tmpl w:val="69C0283A"/>
    <w:lvl w:ilvl="0" w:tentative="0">
      <w:start w:val="19"/>
      <w:numFmt w:val="chineseCounting"/>
      <w:suff w:val="space"/>
      <w:lvlText w:val="第%1条"/>
      <w:lvlJc w:val="left"/>
      <w:pPr>
        <w:ind w:left="0" w:firstLine="0"/>
      </w:pPr>
      <w:rPr>
        <w:rFonts w:hint="eastAsia" w:ascii="宋体" w:hAnsi="宋体" w:eastAsia="宋体" w:cs="宋体"/>
        <w:b/>
        <w:bCs/>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num w:numId="1">
    <w:abstractNumId w:val="5"/>
  </w:num>
  <w:num w:numId="2">
    <w:abstractNumId w:val="1"/>
  </w:num>
  <w:num w:numId="3">
    <w:abstractNumId w:val="3"/>
  </w:num>
  <w:num w:numId="4">
    <w:abstractNumId w:val="0"/>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displayBackgroundShape w:val="1"/>
  <w:embedTrueTypeFonts/>
  <w:saveSubsetFonts/>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U5YTk2NWU3OTRhNTU0YjZlNWE0ODExMjY4YzM0MTgifQ=="/>
    <w:docVar w:name="KSO_WPS_MARK_KEY" w:val="5bad2eb2-9eb9-4e90-ae08-e2bde408e748"/>
  </w:docVars>
  <w:rsids>
    <w:rsidRoot w:val="215804DF"/>
    <w:rsid w:val="00063366"/>
    <w:rsid w:val="00170DC4"/>
    <w:rsid w:val="002144B0"/>
    <w:rsid w:val="00254F56"/>
    <w:rsid w:val="00382F93"/>
    <w:rsid w:val="004172B7"/>
    <w:rsid w:val="00456BBB"/>
    <w:rsid w:val="004D5FA5"/>
    <w:rsid w:val="004F7077"/>
    <w:rsid w:val="00550200"/>
    <w:rsid w:val="0059473E"/>
    <w:rsid w:val="0065761A"/>
    <w:rsid w:val="006C22D2"/>
    <w:rsid w:val="00733759"/>
    <w:rsid w:val="007D004D"/>
    <w:rsid w:val="007F6B74"/>
    <w:rsid w:val="00846B6B"/>
    <w:rsid w:val="00867BD1"/>
    <w:rsid w:val="008734C3"/>
    <w:rsid w:val="008E367B"/>
    <w:rsid w:val="00944838"/>
    <w:rsid w:val="00B13B81"/>
    <w:rsid w:val="00CD79DA"/>
    <w:rsid w:val="00D22875"/>
    <w:rsid w:val="00D2407B"/>
    <w:rsid w:val="00D504CF"/>
    <w:rsid w:val="00E00B7A"/>
    <w:rsid w:val="00E16617"/>
    <w:rsid w:val="00E775BF"/>
    <w:rsid w:val="00F10947"/>
    <w:rsid w:val="00FC206D"/>
    <w:rsid w:val="00FD79FC"/>
    <w:rsid w:val="00FE042D"/>
    <w:rsid w:val="013B178C"/>
    <w:rsid w:val="019D05B4"/>
    <w:rsid w:val="01A20F1D"/>
    <w:rsid w:val="01B42948"/>
    <w:rsid w:val="028C5218"/>
    <w:rsid w:val="02D037B2"/>
    <w:rsid w:val="04581FC7"/>
    <w:rsid w:val="0497137E"/>
    <w:rsid w:val="04E11CA6"/>
    <w:rsid w:val="056247BA"/>
    <w:rsid w:val="06454B0A"/>
    <w:rsid w:val="064E5119"/>
    <w:rsid w:val="06943E1A"/>
    <w:rsid w:val="07854B6B"/>
    <w:rsid w:val="08A54AB0"/>
    <w:rsid w:val="08C73411"/>
    <w:rsid w:val="09053DD2"/>
    <w:rsid w:val="0A045CD9"/>
    <w:rsid w:val="0A457A16"/>
    <w:rsid w:val="0A4E393A"/>
    <w:rsid w:val="0A652A31"/>
    <w:rsid w:val="0AA03BA5"/>
    <w:rsid w:val="0AAD68AE"/>
    <w:rsid w:val="0AD179C0"/>
    <w:rsid w:val="0B6158EF"/>
    <w:rsid w:val="0BA00F9C"/>
    <w:rsid w:val="0BA055C6"/>
    <w:rsid w:val="0D4D7F24"/>
    <w:rsid w:val="0D562E8E"/>
    <w:rsid w:val="0DCE0606"/>
    <w:rsid w:val="0E060772"/>
    <w:rsid w:val="0E3015A8"/>
    <w:rsid w:val="0E533A98"/>
    <w:rsid w:val="0EA77EE8"/>
    <w:rsid w:val="0FF42F3A"/>
    <w:rsid w:val="10DC0BE9"/>
    <w:rsid w:val="11380D15"/>
    <w:rsid w:val="117B2B3A"/>
    <w:rsid w:val="11990339"/>
    <w:rsid w:val="120647E8"/>
    <w:rsid w:val="12247AE0"/>
    <w:rsid w:val="12541D09"/>
    <w:rsid w:val="12647A72"/>
    <w:rsid w:val="126B2C33"/>
    <w:rsid w:val="13152F61"/>
    <w:rsid w:val="13222CAF"/>
    <w:rsid w:val="136321F3"/>
    <w:rsid w:val="1397715E"/>
    <w:rsid w:val="13A44D5C"/>
    <w:rsid w:val="14A8633C"/>
    <w:rsid w:val="15E402B8"/>
    <w:rsid w:val="163E7C76"/>
    <w:rsid w:val="174A5489"/>
    <w:rsid w:val="178F643A"/>
    <w:rsid w:val="179705F3"/>
    <w:rsid w:val="18055854"/>
    <w:rsid w:val="186047BB"/>
    <w:rsid w:val="186E33F9"/>
    <w:rsid w:val="18980476"/>
    <w:rsid w:val="18DC3CFD"/>
    <w:rsid w:val="198253AE"/>
    <w:rsid w:val="19A76BC3"/>
    <w:rsid w:val="19AC242B"/>
    <w:rsid w:val="19CC7B30"/>
    <w:rsid w:val="19E8225C"/>
    <w:rsid w:val="1AC217DA"/>
    <w:rsid w:val="1B5F527B"/>
    <w:rsid w:val="1CB755B1"/>
    <w:rsid w:val="1CC21947"/>
    <w:rsid w:val="1CD05027"/>
    <w:rsid w:val="1CD7123F"/>
    <w:rsid w:val="1D27172A"/>
    <w:rsid w:val="1DC13FCB"/>
    <w:rsid w:val="1DCD0BC2"/>
    <w:rsid w:val="1DFE6FCD"/>
    <w:rsid w:val="1E4379D6"/>
    <w:rsid w:val="202251F5"/>
    <w:rsid w:val="20F76D6F"/>
    <w:rsid w:val="214178FD"/>
    <w:rsid w:val="215804DF"/>
    <w:rsid w:val="21BB19AC"/>
    <w:rsid w:val="21D64866"/>
    <w:rsid w:val="22535802"/>
    <w:rsid w:val="22D1035A"/>
    <w:rsid w:val="233A4603"/>
    <w:rsid w:val="23663005"/>
    <w:rsid w:val="239006C7"/>
    <w:rsid w:val="23C51854"/>
    <w:rsid w:val="23F66EEF"/>
    <w:rsid w:val="242B422F"/>
    <w:rsid w:val="247F0D59"/>
    <w:rsid w:val="25185725"/>
    <w:rsid w:val="255E0351"/>
    <w:rsid w:val="2569405C"/>
    <w:rsid w:val="25FB6D63"/>
    <w:rsid w:val="25FF38E2"/>
    <w:rsid w:val="26357C60"/>
    <w:rsid w:val="26EC030B"/>
    <w:rsid w:val="26FD33DF"/>
    <w:rsid w:val="26FE4471"/>
    <w:rsid w:val="271318D2"/>
    <w:rsid w:val="27781B9E"/>
    <w:rsid w:val="27F82CDF"/>
    <w:rsid w:val="28FE58C7"/>
    <w:rsid w:val="29453D02"/>
    <w:rsid w:val="2ADF01E8"/>
    <w:rsid w:val="2B0A6449"/>
    <w:rsid w:val="2B294066"/>
    <w:rsid w:val="2C012128"/>
    <w:rsid w:val="2C3144DE"/>
    <w:rsid w:val="2D0A6FD4"/>
    <w:rsid w:val="2D5B2FBC"/>
    <w:rsid w:val="2E0028ED"/>
    <w:rsid w:val="2E246F0E"/>
    <w:rsid w:val="2EE91749"/>
    <w:rsid w:val="2F80363B"/>
    <w:rsid w:val="30766E97"/>
    <w:rsid w:val="309B6762"/>
    <w:rsid w:val="30D4049E"/>
    <w:rsid w:val="31045344"/>
    <w:rsid w:val="313B4368"/>
    <w:rsid w:val="31702BF4"/>
    <w:rsid w:val="31B42C4D"/>
    <w:rsid w:val="31DB02FA"/>
    <w:rsid w:val="31EA3521"/>
    <w:rsid w:val="32D87995"/>
    <w:rsid w:val="348A4319"/>
    <w:rsid w:val="352E5399"/>
    <w:rsid w:val="35341FA7"/>
    <w:rsid w:val="353A1FBE"/>
    <w:rsid w:val="35536526"/>
    <w:rsid w:val="35DC305C"/>
    <w:rsid w:val="366E189A"/>
    <w:rsid w:val="36B93475"/>
    <w:rsid w:val="37B023A0"/>
    <w:rsid w:val="37D50947"/>
    <w:rsid w:val="37F8477D"/>
    <w:rsid w:val="38107D84"/>
    <w:rsid w:val="381C47C8"/>
    <w:rsid w:val="38720F65"/>
    <w:rsid w:val="392076F7"/>
    <w:rsid w:val="396106E4"/>
    <w:rsid w:val="39EB67B1"/>
    <w:rsid w:val="39EE2749"/>
    <w:rsid w:val="3A9B45AD"/>
    <w:rsid w:val="3ABD39BD"/>
    <w:rsid w:val="3C1A7270"/>
    <w:rsid w:val="3C375D3C"/>
    <w:rsid w:val="3C930EEB"/>
    <w:rsid w:val="3D0A2E41"/>
    <w:rsid w:val="3D69400B"/>
    <w:rsid w:val="3D770612"/>
    <w:rsid w:val="3DB02F1C"/>
    <w:rsid w:val="3E500B93"/>
    <w:rsid w:val="3E9673DF"/>
    <w:rsid w:val="3EC4259D"/>
    <w:rsid w:val="3ECA2888"/>
    <w:rsid w:val="3FBB2062"/>
    <w:rsid w:val="3FE80886"/>
    <w:rsid w:val="3FF27CBD"/>
    <w:rsid w:val="40044CA3"/>
    <w:rsid w:val="400E2C48"/>
    <w:rsid w:val="401D796E"/>
    <w:rsid w:val="406F5255"/>
    <w:rsid w:val="40905D53"/>
    <w:rsid w:val="40C15F0C"/>
    <w:rsid w:val="40F57E33"/>
    <w:rsid w:val="41F94352"/>
    <w:rsid w:val="42753572"/>
    <w:rsid w:val="428216CB"/>
    <w:rsid w:val="42F425C9"/>
    <w:rsid w:val="435C6356"/>
    <w:rsid w:val="43CA5C28"/>
    <w:rsid w:val="443E61B6"/>
    <w:rsid w:val="44B32010"/>
    <w:rsid w:val="44F05D6C"/>
    <w:rsid w:val="45276DB4"/>
    <w:rsid w:val="45665971"/>
    <w:rsid w:val="46DC1E07"/>
    <w:rsid w:val="47411B55"/>
    <w:rsid w:val="47D01011"/>
    <w:rsid w:val="485F778A"/>
    <w:rsid w:val="48EC4B77"/>
    <w:rsid w:val="497F4527"/>
    <w:rsid w:val="498E6BA8"/>
    <w:rsid w:val="49B43CD0"/>
    <w:rsid w:val="4A151CD1"/>
    <w:rsid w:val="4A245339"/>
    <w:rsid w:val="4ADD4F0C"/>
    <w:rsid w:val="4AE635F7"/>
    <w:rsid w:val="4B045373"/>
    <w:rsid w:val="4B1E532A"/>
    <w:rsid w:val="4B8244EA"/>
    <w:rsid w:val="4BC75123"/>
    <w:rsid w:val="4C1B0BC7"/>
    <w:rsid w:val="4C2F01CE"/>
    <w:rsid w:val="4C2F308F"/>
    <w:rsid w:val="4C8E27AE"/>
    <w:rsid w:val="4CFD6159"/>
    <w:rsid w:val="4D5F42D7"/>
    <w:rsid w:val="4DA11160"/>
    <w:rsid w:val="4E702BD3"/>
    <w:rsid w:val="4E923DA2"/>
    <w:rsid w:val="4F5148FF"/>
    <w:rsid w:val="51051A07"/>
    <w:rsid w:val="512C7519"/>
    <w:rsid w:val="516E6415"/>
    <w:rsid w:val="51BE22CC"/>
    <w:rsid w:val="51C12E6A"/>
    <w:rsid w:val="51E219C3"/>
    <w:rsid w:val="523222FB"/>
    <w:rsid w:val="52656645"/>
    <w:rsid w:val="52901F11"/>
    <w:rsid w:val="52A70212"/>
    <w:rsid w:val="531D37E6"/>
    <w:rsid w:val="53FB7D71"/>
    <w:rsid w:val="5411133B"/>
    <w:rsid w:val="545804DE"/>
    <w:rsid w:val="548918E5"/>
    <w:rsid w:val="54FB0E05"/>
    <w:rsid w:val="55935C72"/>
    <w:rsid w:val="55BF0815"/>
    <w:rsid w:val="55DF4A13"/>
    <w:rsid w:val="56E44560"/>
    <w:rsid w:val="57615F38"/>
    <w:rsid w:val="57BE10F1"/>
    <w:rsid w:val="58322032"/>
    <w:rsid w:val="585A4825"/>
    <w:rsid w:val="5873328E"/>
    <w:rsid w:val="58C840FB"/>
    <w:rsid w:val="592117E6"/>
    <w:rsid w:val="599C5861"/>
    <w:rsid w:val="59D46859"/>
    <w:rsid w:val="59EB490C"/>
    <w:rsid w:val="5A181436"/>
    <w:rsid w:val="5A273960"/>
    <w:rsid w:val="5A455061"/>
    <w:rsid w:val="5A6000EC"/>
    <w:rsid w:val="5A7D706D"/>
    <w:rsid w:val="5ABC17C7"/>
    <w:rsid w:val="5AC0212D"/>
    <w:rsid w:val="5B0F0FDA"/>
    <w:rsid w:val="5B1213E7"/>
    <w:rsid w:val="5B6B13CC"/>
    <w:rsid w:val="5C3622CD"/>
    <w:rsid w:val="5C8F6252"/>
    <w:rsid w:val="5CC805D4"/>
    <w:rsid w:val="5D0C501A"/>
    <w:rsid w:val="5D907827"/>
    <w:rsid w:val="5DA0717E"/>
    <w:rsid w:val="5E3457DF"/>
    <w:rsid w:val="5E9F02B6"/>
    <w:rsid w:val="5F9B22A6"/>
    <w:rsid w:val="5FAB1E0A"/>
    <w:rsid w:val="5FD44EBD"/>
    <w:rsid w:val="604F1F89"/>
    <w:rsid w:val="611F03B9"/>
    <w:rsid w:val="6161602B"/>
    <w:rsid w:val="62EF64B1"/>
    <w:rsid w:val="63120666"/>
    <w:rsid w:val="632F68AE"/>
    <w:rsid w:val="63DD16C2"/>
    <w:rsid w:val="645E709B"/>
    <w:rsid w:val="6463683A"/>
    <w:rsid w:val="65251DBF"/>
    <w:rsid w:val="65B45D84"/>
    <w:rsid w:val="65B6655E"/>
    <w:rsid w:val="66E849DA"/>
    <w:rsid w:val="67870AC6"/>
    <w:rsid w:val="68684D3C"/>
    <w:rsid w:val="68A13DAA"/>
    <w:rsid w:val="68A44B27"/>
    <w:rsid w:val="68A65C34"/>
    <w:rsid w:val="69824510"/>
    <w:rsid w:val="69FC398E"/>
    <w:rsid w:val="6A2E78BF"/>
    <w:rsid w:val="6A443CD4"/>
    <w:rsid w:val="6A64183E"/>
    <w:rsid w:val="6AAC50C9"/>
    <w:rsid w:val="6B45307E"/>
    <w:rsid w:val="6BBD539F"/>
    <w:rsid w:val="6C2947E2"/>
    <w:rsid w:val="6C9D1DAE"/>
    <w:rsid w:val="6D2F4002"/>
    <w:rsid w:val="6DB225B5"/>
    <w:rsid w:val="6E2A4841"/>
    <w:rsid w:val="6E531920"/>
    <w:rsid w:val="6E6A0F5A"/>
    <w:rsid w:val="6EE13A1C"/>
    <w:rsid w:val="6F6A3147"/>
    <w:rsid w:val="705A2438"/>
    <w:rsid w:val="71233EF6"/>
    <w:rsid w:val="7214383E"/>
    <w:rsid w:val="72566757"/>
    <w:rsid w:val="72FA0C86"/>
    <w:rsid w:val="730E3E44"/>
    <w:rsid w:val="73701DF5"/>
    <w:rsid w:val="73816CB2"/>
    <w:rsid w:val="73AC6367"/>
    <w:rsid w:val="74487C30"/>
    <w:rsid w:val="744A5C16"/>
    <w:rsid w:val="744B11DE"/>
    <w:rsid w:val="749649DF"/>
    <w:rsid w:val="74BC031A"/>
    <w:rsid w:val="7570180C"/>
    <w:rsid w:val="75B275F6"/>
    <w:rsid w:val="75F340BE"/>
    <w:rsid w:val="771F6F0D"/>
    <w:rsid w:val="77357BD2"/>
    <w:rsid w:val="77EC6AFF"/>
    <w:rsid w:val="78100E2E"/>
    <w:rsid w:val="786345DB"/>
    <w:rsid w:val="78901CC5"/>
    <w:rsid w:val="7923755B"/>
    <w:rsid w:val="797572B9"/>
    <w:rsid w:val="7A232871"/>
    <w:rsid w:val="7A3E58FC"/>
    <w:rsid w:val="7A484FAF"/>
    <w:rsid w:val="7A5B64AE"/>
    <w:rsid w:val="7A7E155B"/>
    <w:rsid w:val="7B085777"/>
    <w:rsid w:val="7BB7602E"/>
    <w:rsid w:val="7BBC0FD0"/>
    <w:rsid w:val="7C021A07"/>
    <w:rsid w:val="7C331F27"/>
    <w:rsid w:val="7C943EFA"/>
    <w:rsid w:val="7CDF3761"/>
    <w:rsid w:val="7D0F17D2"/>
    <w:rsid w:val="7D332F39"/>
    <w:rsid w:val="7DA0633A"/>
    <w:rsid w:val="7DCB56F9"/>
    <w:rsid w:val="7E355BCC"/>
    <w:rsid w:val="7E527BC8"/>
    <w:rsid w:val="7EE76641"/>
    <w:rsid w:val="7EFF269E"/>
    <w:rsid w:val="7F2A6108"/>
    <w:rsid w:val="7F4E65E2"/>
    <w:rsid w:val="7F5560F0"/>
    <w:rsid w:val="7F5F7291"/>
    <w:rsid w:val="7FC22B2C"/>
    <w:rsid w:val="AFE37509"/>
    <w:rsid w:val="B7DF49CB"/>
    <w:rsid w:val="BFEB8D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99"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qFormat="1" w:unhideWhenUsed="0"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720" w:firstLineChars="200"/>
      <w:jc w:val="both"/>
    </w:pPr>
    <w:rPr>
      <w:rFonts w:ascii="Times New Roman" w:hAnsi="Times New Roman" w:eastAsia="宋体" w:cs="Times New Roman"/>
      <w:color w:val="000000" w:themeColor="text1"/>
      <w:kern w:val="2"/>
      <w:sz w:val="24"/>
      <w:szCs w:val="24"/>
      <w:lang w:val="en-US" w:eastAsia="zh-CN" w:bidi="ar-SA"/>
      <w14:textFill>
        <w14:solidFill>
          <w14:schemeClr w14:val="tx1"/>
        </w14:solidFill>
      </w14:textFill>
    </w:rPr>
  </w:style>
  <w:style w:type="paragraph" w:styleId="4">
    <w:name w:val="heading 1"/>
    <w:basedOn w:val="1"/>
    <w:next w:val="1"/>
    <w:qFormat/>
    <w:uiPriority w:val="0"/>
    <w:pPr>
      <w:pageBreakBefore/>
      <w:snapToGrid w:val="0"/>
      <w:spacing w:beforeAutospacing="1" w:after="0" w:afterAutospacing="1" w:line="240" w:lineRule="atLeast"/>
      <w:jc w:val="center"/>
      <w:outlineLvl w:val="0"/>
    </w:pPr>
    <w:rPr>
      <w:rFonts w:ascii="Times New Roman" w:hAnsi="Times New Roman" w:eastAsia="宋体" w:cs="宋体"/>
      <w:b/>
      <w:bCs/>
      <w:kern w:val="44"/>
      <w:sz w:val="32"/>
      <w:szCs w:val="48"/>
      <w:lang w:bidi="ar"/>
    </w:rPr>
  </w:style>
  <w:style w:type="paragraph" w:styleId="5">
    <w:name w:val="heading 2"/>
    <w:basedOn w:val="1"/>
    <w:next w:val="1"/>
    <w:qFormat/>
    <w:uiPriority w:val="0"/>
    <w:pPr>
      <w:keepNext/>
      <w:keepLines/>
      <w:spacing w:before="260" w:after="260" w:line="413" w:lineRule="auto"/>
      <w:outlineLvl w:val="1"/>
    </w:pPr>
    <w:rPr>
      <w:rFonts w:ascii="Arial" w:hAnsi="Arial" w:eastAsia="黑体"/>
      <w:b/>
      <w:bCs/>
      <w:sz w:val="32"/>
      <w:szCs w:val="32"/>
    </w:rPr>
  </w:style>
  <w:style w:type="paragraph" w:styleId="6">
    <w:name w:val="heading 3"/>
    <w:basedOn w:val="1"/>
    <w:next w:val="1"/>
    <w:unhideWhenUsed/>
    <w:qFormat/>
    <w:uiPriority w:val="0"/>
    <w:pPr>
      <w:keepNext/>
      <w:keepLines/>
      <w:spacing w:before="260" w:after="260" w:line="413" w:lineRule="auto"/>
      <w:outlineLvl w:val="2"/>
    </w:pPr>
    <w:rPr>
      <w:b/>
      <w:sz w:val="32"/>
    </w:rPr>
  </w:style>
  <w:style w:type="paragraph" w:styleId="7">
    <w:name w:val="heading 4"/>
    <w:basedOn w:val="1"/>
    <w:next w:val="1"/>
    <w:unhideWhenUsed/>
    <w:qFormat/>
    <w:uiPriority w:val="0"/>
    <w:pPr>
      <w:keepNext/>
      <w:keepLines/>
      <w:spacing w:before="280" w:after="290" w:line="376" w:lineRule="auto"/>
      <w:outlineLvl w:val="3"/>
    </w:pPr>
    <w:rPr>
      <w:rFonts w:ascii="等线 Light" w:hAnsi="等线 Light" w:eastAsia="等线 Light" w:cs="Times New Roman"/>
      <w:b/>
      <w:bCs/>
      <w:sz w:val="28"/>
      <w:szCs w:val="28"/>
    </w:rPr>
  </w:style>
  <w:style w:type="character" w:default="1" w:styleId="24">
    <w:name w:val="Default Paragraph Font"/>
    <w:unhideWhenUsed/>
    <w:qFormat/>
    <w:uiPriority w:val="1"/>
  </w:style>
  <w:style w:type="table" w:default="1" w:styleId="22">
    <w:name w:val="Normal Table"/>
    <w:semiHidden/>
    <w:unhideWhenUsed/>
    <w:qFormat/>
    <w:uiPriority w:val="99"/>
    <w:tblPr>
      <w:tblCellMar>
        <w:top w:w="0" w:type="dxa"/>
        <w:left w:w="108" w:type="dxa"/>
        <w:bottom w:w="0" w:type="dxa"/>
        <w:right w:w="108" w:type="dxa"/>
      </w:tblCellMar>
    </w:tblPr>
  </w:style>
  <w:style w:type="paragraph" w:styleId="2">
    <w:name w:val="header"/>
    <w:basedOn w:val="1"/>
    <w:next w:val="3"/>
    <w:qFormat/>
    <w:uiPriority w:val="0"/>
    <w:pPr>
      <w:pBdr>
        <w:bottom w:val="single" w:color="auto" w:sz="6" w:space="1"/>
      </w:pBdr>
      <w:tabs>
        <w:tab w:val="center" w:pos="4153"/>
        <w:tab w:val="right" w:pos="8306"/>
      </w:tabs>
      <w:snapToGrid w:val="0"/>
      <w:jc w:val="center"/>
    </w:pPr>
    <w:rPr>
      <w:sz w:val="18"/>
      <w:szCs w:val="18"/>
    </w:rPr>
  </w:style>
  <w:style w:type="paragraph" w:styleId="3">
    <w:name w:val="Body Text"/>
    <w:basedOn w:val="1"/>
    <w:next w:val="1"/>
    <w:link w:val="30"/>
    <w:qFormat/>
    <w:uiPriority w:val="99"/>
    <w:pPr>
      <w:adjustRightInd w:val="0"/>
      <w:spacing w:line="240" w:lineRule="auto"/>
      <w:ind w:firstLine="0" w:firstLineChars="0"/>
      <w:textAlignment w:val="baseline"/>
    </w:pPr>
    <w:rPr>
      <w:kern w:val="0"/>
      <w:sz w:val="21"/>
    </w:rPr>
  </w:style>
  <w:style w:type="paragraph" w:styleId="8">
    <w:name w:val="Normal Indent"/>
    <w:basedOn w:val="1"/>
    <w:next w:val="1"/>
    <w:qFormat/>
    <w:uiPriority w:val="0"/>
    <w:pPr>
      <w:spacing w:line="560" w:lineRule="exact"/>
      <w:ind w:firstLine="200" w:firstLineChars="200"/>
    </w:pPr>
    <w:rPr>
      <w:kern w:val="0"/>
    </w:rPr>
  </w:style>
  <w:style w:type="paragraph" w:styleId="9">
    <w:name w:val="caption"/>
    <w:basedOn w:val="1"/>
    <w:next w:val="1"/>
    <w:unhideWhenUsed/>
    <w:qFormat/>
    <w:uiPriority w:val="0"/>
    <w:pPr>
      <w:ind w:firstLine="0" w:firstLineChars="0"/>
      <w:contextualSpacing/>
      <w:jc w:val="center"/>
    </w:pPr>
    <w:rPr>
      <w:rFonts w:eastAsiaTheme="minorEastAsia"/>
      <w:b/>
      <w:sz w:val="21"/>
      <w:szCs w:val="20"/>
    </w:rPr>
  </w:style>
  <w:style w:type="paragraph" w:styleId="10">
    <w:name w:val="annotation text"/>
    <w:basedOn w:val="1"/>
    <w:link w:val="53"/>
    <w:qFormat/>
    <w:uiPriority w:val="0"/>
    <w:pPr>
      <w:jc w:val="left"/>
    </w:pPr>
  </w:style>
  <w:style w:type="paragraph" w:styleId="11">
    <w:name w:val="Body Text Indent"/>
    <w:basedOn w:val="1"/>
    <w:qFormat/>
    <w:uiPriority w:val="99"/>
    <w:pPr>
      <w:spacing w:line="420" w:lineRule="exact"/>
      <w:ind w:firstLine="528"/>
    </w:pPr>
    <w:rPr>
      <w:color w:val="000000"/>
      <w:kern w:val="0"/>
    </w:rPr>
  </w:style>
  <w:style w:type="paragraph" w:styleId="12">
    <w:name w:val="Plain Text"/>
    <w:basedOn w:val="1"/>
    <w:qFormat/>
    <w:uiPriority w:val="0"/>
    <w:rPr>
      <w:rFonts w:hAnsi="Courier New"/>
    </w:rPr>
  </w:style>
  <w:style w:type="paragraph" w:styleId="13">
    <w:name w:val="Balloon Text"/>
    <w:basedOn w:val="1"/>
    <w:link w:val="55"/>
    <w:qFormat/>
    <w:uiPriority w:val="0"/>
    <w:rPr>
      <w:sz w:val="18"/>
      <w:szCs w:val="18"/>
    </w:rPr>
  </w:style>
  <w:style w:type="paragraph" w:styleId="14">
    <w:name w:val="footer"/>
    <w:basedOn w:val="1"/>
    <w:qFormat/>
    <w:uiPriority w:val="0"/>
    <w:pPr>
      <w:tabs>
        <w:tab w:val="center" w:pos="4153"/>
        <w:tab w:val="right" w:pos="8306"/>
      </w:tabs>
      <w:snapToGrid w:val="0"/>
      <w:jc w:val="left"/>
    </w:pPr>
    <w:rPr>
      <w:sz w:val="18"/>
      <w:szCs w:val="18"/>
    </w:rPr>
  </w:style>
  <w:style w:type="paragraph" w:styleId="15">
    <w:name w:val="toc 1"/>
    <w:basedOn w:val="1"/>
    <w:next w:val="1"/>
    <w:qFormat/>
    <w:uiPriority w:val="0"/>
  </w:style>
  <w:style w:type="paragraph" w:styleId="16">
    <w:name w:val="List"/>
    <w:basedOn w:val="1"/>
    <w:qFormat/>
    <w:uiPriority w:val="0"/>
    <w:pPr>
      <w:tabs>
        <w:tab w:val="center" w:pos="0"/>
      </w:tabs>
      <w:ind w:left="200" w:hanging="200" w:hangingChars="200"/>
    </w:pPr>
  </w:style>
  <w:style w:type="paragraph" w:styleId="17">
    <w:name w:val="toc 2"/>
    <w:basedOn w:val="1"/>
    <w:next w:val="1"/>
    <w:qFormat/>
    <w:uiPriority w:val="39"/>
    <w:pPr>
      <w:tabs>
        <w:tab w:val="right" w:leader="dot" w:pos="8398"/>
      </w:tabs>
      <w:spacing w:beforeLines="50"/>
      <w:ind w:right="210"/>
      <w:jc w:val="center"/>
    </w:pPr>
    <w:rPr>
      <w:b/>
      <w:sz w:val="44"/>
      <w:szCs w:val="44"/>
    </w:rPr>
  </w:style>
  <w:style w:type="paragraph" w:styleId="18">
    <w:name w:val="Normal (Web)"/>
    <w:basedOn w:val="1"/>
    <w:qFormat/>
    <w:uiPriority w:val="0"/>
    <w:pPr>
      <w:widowControl/>
      <w:spacing w:before="100" w:beforeAutospacing="1" w:after="100" w:afterAutospacing="1"/>
      <w:jc w:val="left"/>
    </w:pPr>
    <w:rPr>
      <w:rFonts w:ascii="宋体" w:hAnsi="宋体"/>
      <w:kern w:val="0"/>
      <w:sz w:val="24"/>
    </w:rPr>
  </w:style>
  <w:style w:type="paragraph" w:styleId="19">
    <w:name w:val="annotation subject"/>
    <w:basedOn w:val="10"/>
    <w:next w:val="10"/>
    <w:link w:val="54"/>
    <w:qFormat/>
    <w:uiPriority w:val="0"/>
    <w:rPr>
      <w:b/>
      <w:bCs/>
    </w:rPr>
  </w:style>
  <w:style w:type="paragraph" w:styleId="20">
    <w:name w:val="Body Text First Indent"/>
    <w:basedOn w:val="3"/>
    <w:next w:val="1"/>
    <w:unhideWhenUsed/>
    <w:qFormat/>
    <w:uiPriority w:val="99"/>
    <w:pPr>
      <w:tabs>
        <w:tab w:val="center" w:pos="0"/>
      </w:tabs>
      <w:ind w:firstLine="420" w:firstLineChars="100"/>
    </w:pPr>
  </w:style>
  <w:style w:type="paragraph" w:styleId="21">
    <w:name w:val="Body Text First Indent 2"/>
    <w:basedOn w:val="11"/>
    <w:next w:val="20"/>
    <w:qFormat/>
    <w:uiPriority w:val="99"/>
    <w:pPr>
      <w:adjustRightInd w:val="0"/>
      <w:snapToGrid w:val="0"/>
      <w:spacing w:line="360" w:lineRule="auto"/>
      <w:ind w:firstLine="200" w:firstLineChars="200"/>
    </w:pPr>
  </w:style>
  <w:style w:type="table" w:styleId="23">
    <w:name w:val="Table Grid"/>
    <w:basedOn w:val="2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page number"/>
    <w:basedOn w:val="24"/>
    <w:qFormat/>
    <w:uiPriority w:val="0"/>
  </w:style>
  <w:style w:type="character" w:styleId="26">
    <w:name w:val="Hyperlink"/>
    <w:basedOn w:val="24"/>
    <w:qFormat/>
    <w:uiPriority w:val="0"/>
    <w:rPr>
      <w:color w:val="0000FF"/>
      <w:u w:val="single"/>
    </w:rPr>
  </w:style>
  <w:style w:type="character" w:styleId="27">
    <w:name w:val="annotation reference"/>
    <w:basedOn w:val="24"/>
    <w:qFormat/>
    <w:uiPriority w:val="0"/>
    <w:rPr>
      <w:sz w:val="21"/>
      <w:szCs w:val="21"/>
    </w:rPr>
  </w:style>
  <w:style w:type="paragraph" w:customStyle="1" w:styleId="28">
    <w:name w:val="报告书正文"/>
    <w:basedOn w:val="1"/>
    <w:link w:val="80"/>
    <w:qFormat/>
    <w:uiPriority w:val="0"/>
    <w:pPr>
      <w:spacing w:line="360" w:lineRule="auto"/>
      <w:ind w:firstLine="480" w:firstLineChars="200"/>
    </w:pPr>
    <w:rPr>
      <w:rFonts w:ascii="Times New Roman" w:hAnsi="Times New Roman" w:eastAsia="宋体" w:cs="Times New Roman"/>
      <w:sz w:val="24"/>
    </w:rPr>
  </w:style>
  <w:style w:type="paragraph" w:customStyle="1" w:styleId="29">
    <w:name w:val="表内容"/>
    <w:basedOn w:val="1"/>
    <w:qFormat/>
    <w:uiPriority w:val="0"/>
    <w:pPr>
      <w:adjustRightInd w:val="0"/>
      <w:snapToGrid w:val="0"/>
      <w:spacing w:line="240" w:lineRule="auto"/>
      <w:ind w:firstLine="0" w:firstLineChars="0"/>
      <w:jc w:val="center"/>
      <w:textAlignment w:val="center"/>
    </w:pPr>
    <w:rPr>
      <w:sz w:val="21"/>
      <w:szCs w:val="21"/>
    </w:rPr>
  </w:style>
  <w:style w:type="character" w:customStyle="1" w:styleId="30">
    <w:name w:val="正文文本 Char"/>
    <w:basedOn w:val="24"/>
    <w:link w:val="3"/>
    <w:qFormat/>
    <w:uiPriority w:val="99"/>
    <w:rPr>
      <w:rFonts w:eastAsia="宋体"/>
      <w:sz w:val="21"/>
      <w:szCs w:val="24"/>
    </w:rPr>
  </w:style>
  <w:style w:type="paragraph" w:customStyle="1" w:styleId="31">
    <w:name w:val="表头"/>
    <w:basedOn w:val="1"/>
    <w:link w:val="37"/>
    <w:qFormat/>
    <w:uiPriority w:val="0"/>
    <w:pPr>
      <w:adjustRightInd w:val="0"/>
      <w:snapToGrid w:val="0"/>
      <w:spacing w:before="25" w:beforeLines="25"/>
      <w:jc w:val="center"/>
      <w:textAlignment w:val="baseline"/>
    </w:pPr>
    <w:rPr>
      <w:b/>
      <w:kern w:val="0"/>
      <w:sz w:val="21"/>
      <w:szCs w:val="28"/>
    </w:rPr>
  </w:style>
  <w:style w:type="paragraph" w:customStyle="1" w:styleId="32">
    <w:name w:val="表格"/>
    <w:basedOn w:val="33"/>
    <w:next w:val="1"/>
    <w:qFormat/>
    <w:uiPriority w:val="0"/>
  </w:style>
  <w:style w:type="paragraph" w:customStyle="1" w:styleId="33">
    <w:name w:val="表格字体"/>
    <w:next w:val="1"/>
    <w:qFormat/>
    <w:uiPriority w:val="0"/>
    <w:pPr>
      <w:keepNext/>
      <w:keepLines/>
      <w:jc w:val="center"/>
    </w:pPr>
    <w:rPr>
      <w:rFonts w:ascii="Calibri" w:hAnsi="Calibri" w:eastAsia="Calibri" w:cs="Times New Roman"/>
      <w:kern w:val="2"/>
      <w:sz w:val="21"/>
      <w:szCs w:val="24"/>
      <w:lang w:val="en-US" w:eastAsia="zh-CN" w:bidi="ar-SA"/>
    </w:rPr>
  </w:style>
  <w:style w:type="paragraph" w:customStyle="1" w:styleId="34">
    <w:name w:val="环评表格"/>
    <w:basedOn w:val="1"/>
    <w:next w:val="1"/>
    <w:link w:val="35"/>
    <w:qFormat/>
    <w:uiPriority w:val="0"/>
    <w:pPr>
      <w:spacing w:line="240" w:lineRule="auto"/>
      <w:ind w:firstLine="0" w:firstLineChars="0"/>
      <w:jc w:val="center"/>
    </w:pPr>
    <w:rPr>
      <w:rFonts w:ascii="Times New Roman" w:hAnsi="Times New Roman" w:eastAsia="宋体"/>
      <w:color w:val="000000"/>
      <w:sz w:val="21"/>
      <w:szCs w:val="22"/>
    </w:rPr>
  </w:style>
  <w:style w:type="character" w:customStyle="1" w:styleId="35">
    <w:name w:val="表格 Char"/>
    <w:link w:val="34"/>
    <w:qFormat/>
    <w:uiPriority w:val="0"/>
    <w:rPr>
      <w:rFonts w:ascii="Times New Roman" w:hAnsi="Times New Roman" w:eastAsia="宋体"/>
      <w:color w:val="000000"/>
      <w:sz w:val="21"/>
      <w:szCs w:val="22"/>
    </w:rPr>
  </w:style>
  <w:style w:type="paragraph" w:customStyle="1" w:styleId="36">
    <w:name w:val="环评报告表正文"/>
    <w:basedOn w:val="1"/>
    <w:link w:val="68"/>
    <w:qFormat/>
    <w:uiPriority w:val="0"/>
    <w:pPr>
      <w:adjustRightInd w:val="0"/>
      <w:spacing w:line="360" w:lineRule="auto"/>
      <w:ind w:left="0" w:right="0" w:firstLine="482"/>
      <w:jc w:val="both"/>
      <w:textAlignment w:val="baseline"/>
    </w:pPr>
    <w:rPr>
      <w:rFonts w:ascii="Times New Roman" w:hAnsi="Times New Roman" w:eastAsia="宋体"/>
      <w:kern w:val="0"/>
    </w:rPr>
  </w:style>
  <w:style w:type="character" w:customStyle="1" w:styleId="37">
    <w:name w:val="表头 Char"/>
    <w:link w:val="31"/>
    <w:qFormat/>
    <w:uiPriority w:val="0"/>
    <w:rPr>
      <w:rFonts w:ascii="Times New Roman" w:hAnsi="Times New Roman" w:eastAsia="宋体"/>
      <w:b/>
      <w:kern w:val="0"/>
      <w:sz w:val="21"/>
      <w:szCs w:val="28"/>
    </w:rPr>
  </w:style>
  <w:style w:type="paragraph" w:customStyle="1" w:styleId="38">
    <w:name w:val="样式5"/>
    <w:basedOn w:val="39"/>
    <w:qFormat/>
    <w:uiPriority w:val="0"/>
    <w:pPr>
      <w:tabs>
        <w:tab w:val="left" w:pos="420"/>
        <w:tab w:val="left" w:pos="1589"/>
      </w:tabs>
      <w:adjustRightInd w:val="0"/>
      <w:snapToGrid w:val="0"/>
      <w:spacing w:before="0" w:after="0" w:line="480" w:lineRule="exact"/>
      <w:ind w:firstLine="480" w:firstLineChars="200"/>
      <w:jc w:val="left"/>
      <w:outlineLvl w:val="9"/>
    </w:pPr>
    <w:rPr>
      <w:rFonts w:ascii="宋体" w:hAnsi="宋体"/>
      <w:b/>
      <w:snapToGrid w:val="0"/>
      <w:sz w:val="24"/>
      <w:szCs w:val="24"/>
    </w:rPr>
  </w:style>
  <w:style w:type="paragraph" w:customStyle="1" w:styleId="39">
    <w:name w:val="正文1"/>
    <w:basedOn w:val="1"/>
    <w:qFormat/>
    <w:uiPriority w:val="0"/>
    <w:pPr>
      <w:adjustRightInd w:val="0"/>
      <w:snapToGrid w:val="0"/>
      <w:spacing w:line="480" w:lineRule="exact"/>
      <w:ind w:firstLine="200" w:firstLineChars="200"/>
    </w:pPr>
    <w:rPr>
      <w:sz w:val="24"/>
    </w:rPr>
  </w:style>
  <w:style w:type="paragraph" w:customStyle="1" w:styleId="40">
    <w:name w:val="样式 标题 1 + 四号 段前: 0 磅 段后: 0 磅 行距: 1.5 倍行距"/>
    <w:basedOn w:val="41"/>
    <w:next w:val="1"/>
    <w:qFormat/>
    <w:uiPriority w:val="0"/>
    <w:pPr>
      <w:snapToGrid w:val="0"/>
      <w:spacing w:line="360" w:lineRule="auto"/>
      <w:ind w:firstLine="200" w:firstLineChars="200"/>
      <w:jc w:val="center"/>
    </w:pPr>
    <w:rPr>
      <w:sz w:val="28"/>
    </w:rPr>
  </w:style>
  <w:style w:type="paragraph" w:customStyle="1" w:styleId="41">
    <w:name w:val="报告表正文"/>
    <w:basedOn w:val="1"/>
    <w:qFormat/>
    <w:uiPriority w:val="0"/>
    <w:pPr>
      <w:adjustRightInd w:val="0"/>
      <w:spacing w:line="312" w:lineRule="auto"/>
      <w:ind w:left="113" w:right="113" w:firstLine="482"/>
      <w:jc w:val="left"/>
      <w:textAlignment w:val="baseline"/>
    </w:pPr>
    <w:rPr>
      <w:kern w:val="0"/>
      <w:sz w:val="24"/>
    </w:rPr>
  </w:style>
  <w:style w:type="paragraph" w:customStyle="1" w:styleId="42">
    <w:name w:val="文本正文"/>
    <w:basedOn w:val="1"/>
    <w:qFormat/>
    <w:uiPriority w:val="0"/>
    <w:pPr>
      <w:snapToGrid w:val="0"/>
      <w:spacing w:line="360" w:lineRule="auto"/>
      <w:ind w:firstLine="510"/>
      <w:jc w:val="left"/>
    </w:pPr>
    <w:rPr>
      <w:spacing w:val="4"/>
      <w:kern w:val="24"/>
      <w:szCs w:val="24"/>
      <w:lang w:val="zh-CN"/>
    </w:rPr>
  </w:style>
  <w:style w:type="paragraph" w:customStyle="1" w:styleId="43">
    <w:name w:val="明显引用1"/>
    <w:next w:val="1"/>
    <w:qFormat/>
    <w:uiPriority w:val="0"/>
    <w:pPr>
      <w:wordWrap w:val="0"/>
      <w:spacing w:before="360" w:after="360"/>
      <w:ind w:left="950" w:right="950"/>
      <w:jc w:val="center"/>
    </w:pPr>
    <w:rPr>
      <w:rFonts w:ascii="Times New Roman" w:hAnsi="Times New Roman" w:eastAsia="宋体" w:cs="Times New Roman"/>
      <w:i/>
      <w:sz w:val="21"/>
      <w:szCs w:val="22"/>
      <w:lang w:val="en-US" w:eastAsia="zh-CN" w:bidi="ar-SA"/>
    </w:rPr>
  </w:style>
  <w:style w:type="paragraph" w:customStyle="1" w:styleId="44">
    <w:name w:val="报告正文"/>
    <w:basedOn w:val="1"/>
    <w:link w:val="63"/>
    <w:qFormat/>
    <w:uiPriority w:val="0"/>
    <w:pPr>
      <w:keepLines/>
      <w:spacing w:line="360" w:lineRule="auto"/>
      <w:ind w:firstLine="420" w:firstLineChars="200"/>
      <w:jc w:val="both"/>
    </w:pPr>
    <w:rPr>
      <w:rFonts w:ascii="Times New Roman" w:hAnsi="Times New Roman" w:eastAsia="宋体"/>
      <w:sz w:val="24"/>
    </w:rPr>
  </w:style>
  <w:style w:type="paragraph" w:customStyle="1" w:styleId="45">
    <w:name w:val="表格内文字"/>
    <w:basedOn w:val="1"/>
    <w:qFormat/>
    <w:uiPriority w:val="0"/>
    <w:pPr>
      <w:ind w:firstLine="720" w:firstLineChars="200"/>
      <w:jc w:val="left"/>
    </w:pPr>
    <w:rPr>
      <w:rFonts w:ascii="Times New Roman" w:hAnsi="Times New Roman" w:eastAsia="宋体"/>
      <w:color w:val="000000"/>
      <w:szCs w:val="22"/>
    </w:rPr>
  </w:style>
  <w:style w:type="table" w:customStyle="1" w:styleId="46">
    <w:name w:val="Table Normal"/>
    <w:semiHidden/>
    <w:unhideWhenUsed/>
    <w:qFormat/>
    <w:uiPriority w:val="0"/>
    <w:tblPr>
      <w:tblCellMar>
        <w:top w:w="0" w:type="dxa"/>
        <w:left w:w="0" w:type="dxa"/>
        <w:bottom w:w="0" w:type="dxa"/>
        <w:right w:w="0" w:type="dxa"/>
      </w:tblCellMar>
    </w:tblPr>
  </w:style>
  <w:style w:type="paragraph" w:customStyle="1" w:styleId="47">
    <w:name w:val="书表格"/>
    <w:basedOn w:val="48"/>
    <w:next w:val="48"/>
    <w:qFormat/>
    <w:uiPriority w:val="0"/>
    <w:pPr>
      <w:wordWrap/>
      <w:spacing w:line="240" w:lineRule="auto"/>
      <w:ind w:firstLine="0" w:firstLineChars="0"/>
      <w:jc w:val="center"/>
    </w:pPr>
    <w:rPr>
      <w:sz w:val="21"/>
    </w:rPr>
  </w:style>
  <w:style w:type="paragraph" w:customStyle="1" w:styleId="48">
    <w:name w:val="书正文"/>
    <w:basedOn w:val="1"/>
    <w:qFormat/>
    <w:uiPriority w:val="0"/>
    <w:pPr>
      <w:keepNext/>
      <w:wordWrap w:val="0"/>
      <w:topLinePunct/>
      <w:spacing w:line="360" w:lineRule="auto"/>
      <w:ind w:firstLine="420" w:firstLineChars="200"/>
    </w:pPr>
    <w:rPr>
      <w:sz w:val="24"/>
    </w:rPr>
  </w:style>
  <w:style w:type="table" w:customStyle="1" w:styleId="49">
    <w:name w:val="Table Normal1"/>
    <w:unhideWhenUsed/>
    <w:qFormat/>
    <w:uiPriority w:val="0"/>
    <w:tblPr>
      <w:tblCellMar>
        <w:top w:w="0" w:type="dxa"/>
        <w:left w:w="0" w:type="dxa"/>
        <w:bottom w:w="0" w:type="dxa"/>
        <w:right w:w="0" w:type="dxa"/>
      </w:tblCellMar>
    </w:tblPr>
  </w:style>
  <w:style w:type="paragraph" w:customStyle="1" w:styleId="50">
    <w:name w:val="报告书表格"/>
    <w:basedOn w:val="1"/>
    <w:qFormat/>
    <w:uiPriority w:val="0"/>
    <w:pPr>
      <w:adjustRightInd w:val="0"/>
      <w:spacing w:before="60" w:after="60"/>
      <w:jc w:val="center"/>
      <w:textAlignment w:val="baseline"/>
    </w:pPr>
    <w:rPr>
      <w:kern w:val="0"/>
      <w:szCs w:val="20"/>
    </w:rPr>
  </w:style>
  <w:style w:type="paragraph" w:customStyle="1" w:styleId="51">
    <w:name w:val="表格样式1"/>
    <w:basedOn w:val="16"/>
    <w:qFormat/>
    <w:uiPriority w:val="0"/>
    <w:pPr>
      <w:ind w:firstLine="0" w:firstLineChars="0"/>
      <w:jc w:val="center"/>
    </w:pPr>
    <w:rPr>
      <w:b/>
    </w:rPr>
  </w:style>
  <w:style w:type="character" w:customStyle="1" w:styleId="52">
    <w:name w:val="font11"/>
    <w:basedOn w:val="24"/>
    <w:qFormat/>
    <w:uiPriority w:val="0"/>
    <w:rPr>
      <w:rFonts w:hint="eastAsia" w:ascii="仿宋_GB2312" w:eastAsia="仿宋_GB2312" w:cs="仿宋_GB2312"/>
      <w:b/>
      <w:bCs/>
      <w:color w:val="FF0000"/>
      <w:sz w:val="21"/>
      <w:szCs w:val="21"/>
      <w:u w:val="none"/>
    </w:rPr>
  </w:style>
  <w:style w:type="character" w:customStyle="1" w:styleId="53">
    <w:name w:val="批注文字 Char"/>
    <w:basedOn w:val="24"/>
    <w:link w:val="10"/>
    <w:qFormat/>
    <w:uiPriority w:val="0"/>
    <w:rPr>
      <w:kern w:val="2"/>
      <w:sz w:val="21"/>
      <w:szCs w:val="24"/>
    </w:rPr>
  </w:style>
  <w:style w:type="character" w:customStyle="1" w:styleId="54">
    <w:name w:val="批注主题 Char"/>
    <w:basedOn w:val="53"/>
    <w:link w:val="19"/>
    <w:qFormat/>
    <w:uiPriority w:val="0"/>
    <w:rPr>
      <w:b/>
      <w:bCs/>
      <w:kern w:val="2"/>
      <w:sz w:val="21"/>
      <w:szCs w:val="24"/>
    </w:rPr>
  </w:style>
  <w:style w:type="character" w:customStyle="1" w:styleId="55">
    <w:name w:val="批注框文本 Char"/>
    <w:basedOn w:val="24"/>
    <w:link w:val="13"/>
    <w:qFormat/>
    <w:uiPriority w:val="0"/>
    <w:rPr>
      <w:kern w:val="2"/>
      <w:sz w:val="18"/>
      <w:szCs w:val="18"/>
    </w:rPr>
  </w:style>
  <w:style w:type="paragraph" w:customStyle="1" w:styleId="56">
    <w:name w:val="Char Char Char Char"/>
    <w:basedOn w:val="1"/>
    <w:qFormat/>
    <w:uiPriority w:val="0"/>
  </w:style>
  <w:style w:type="paragraph" w:customStyle="1" w:styleId="57">
    <w:name w:val="擎能一般表格"/>
    <w:basedOn w:val="1"/>
    <w:next w:val="1"/>
    <w:qFormat/>
    <w:uiPriority w:val="0"/>
    <w:pPr>
      <w:snapToGrid w:val="0"/>
      <w:jc w:val="center"/>
    </w:pPr>
    <w:rPr>
      <w:kern w:val="0"/>
      <w:szCs w:val="20"/>
    </w:rPr>
  </w:style>
  <w:style w:type="paragraph" w:customStyle="1" w:styleId="58">
    <w:name w:val="WPSOffice手动目录 1"/>
    <w:qFormat/>
    <w:uiPriority w:val="0"/>
    <w:pPr>
      <w:ind w:leftChars="0"/>
    </w:pPr>
    <w:rPr>
      <w:rFonts w:ascii="Times New Roman" w:hAnsi="Times New Roman" w:eastAsia="宋体" w:cs="Times New Roman"/>
      <w:sz w:val="20"/>
      <w:szCs w:val="20"/>
    </w:rPr>
  </w:style>
  <w:style w:type="paragraph" w:customStyle="1" w:styleId="59">
    <w:name w:val="标题二"/>
    <w:basedOn w:val="15"/>
    <w:next w:val="5"/>
    <w:qFormat/>
    <w:uiPriority w:val="0"/>
    <w:pPr>
      <w:adjustRightInd w:val="0"/>
      <w:snapToGrid w:val="0"/>
      <w:spacing w:line="360" w:lineRule="auto"/>
    </w:pPr>
    <w:rPr>
      <w:rFonts w:hAnsi="宋体"/>
      <w:sz w:val="28"/>
      <w:szCs w:val="30"/>
    </w:rPr>
  </w:style>
  <w:style w:type="character" w:customStyle="1" w:styleId="60">
    <w:name w:val="font51"/>
    <w:basedOn w:val="24"/>
    <w:qFormat/>
    <w:uiPriority w:val="0"/>
    <w:rPr>
      <w:rFonts w:hint="default" w:ascii="Times New Roman" w:hAnsi="Times New Roman" w:cs="Times New Roman"/>
      <w:b/>
      <w:bCs/>
      <w:color w:val="000000"/>
      <w:sz w:val="21"/>
      <w:szCs w:val="21"/>
      <w:u w:val="none"/>
      <w:vertAlign w:val="superscript"/>
    </w:rPr>
  </w:style>
  <w:style w:type="character" w:customStyle="1" w:styleId="61">
    <w:name w:val="font31"/>
    <w:basedOn w:val="24"/>
    <w:qFormat/>
    <w:uiPriority w:val="0"/>
    <w:rPr>
      <w:rFonts w:hint="eastAsia" w:ascii="宋体" w:hAnsi="宋体" w:eastAsia="宋体" w:cs="宋体"/>
      <w:b/>
      <w:bCs/>
      <w:color w:val="000000"/>
      <w:sz w:val="21"/>
      <w:szCs w:val="21"/>
      <w:u w:val="none"/>
    </w:rPr>
  </w:style>
  <w:style w:type="character" w:customStyle="1" w:styleId="62">
    <w:name w:val="font21"/>
    <w:basedOn w:val="24"/>
    <w:qFormat/>
    <w:uiPriority w:val="0"/>
    <w:rPr>
      <w:rFonts w:hint="eastAsia" w:ascii="宋体" w:hAnsi="宋体" w:eastAsia="宋体" w:cs="宋体"/>
      <w:color w:val="000000"/>
      <w:sz w:val="21"/>
      <w:szCs w:val="21"/>
      <w:u w:val="none"/>
    </w:rPr>
  </w:style>
  <w:style w:type="character" w:customStyle="1" w:styleId="63">
    <w:name w:val="报告正文 Char1"/>
    <w:link w:val="44"/>
    <w:qFormat/>
    <w:uiPriority w:val="0"/>
    <w:rPr>
      <w:rFonts w:ascii="Times New Roman" w:hAnsi="Times New Roman" w:eastAsia="宋体"/>
      <w:sz w:val="24"/>
    </w:rPr>
  </w:style>
  <w:style w:type="paragraph" w:customStyle="1" w:styleId="64">
    <w:name w:val="正文2"/>
    <w:qFormat/>
    <w:uiPriority w:val="0"/>
    <w:pPr>
      <w:jc w:val="both"/>
    </w:pPr>
    <w:rPr>
      <w:rFonts w:ascii="Calibri" w:hAnsi="Calibri" w:eastAsia="宋体" w:cs="宋体"/>
      <w:kern w:val="2"/>
      <w:sz w:val="21"/>
      <w:szCs w:val="21"/>
      <w:lang w:val="en-US" w:eastAsia="zh-CN" w:bidi="ar-SA"/>
    </w:rPr>
  </w:style>
  <w:style w:type="paragraph" w:customStyle="1" w:styleId="65">
    <w:name w:val="Table Paragraph"/>
    <w:basedOn w:val="1"/>
    <w:qFormat/>
    <w:uiPriority w:val="1"/>
    <w:pPr>
      <w:spacing w:before="100" w:beforeAutospacing="1"/>
    </w:pPr>
    <w:rPr>
      <w:rFonts w:ascii="Calibri" w:hAnsi="Calibri"/>
      <w:kern w:val="0"/>
      <w:sz w:val="22"/>
      <w:szCs w:val="22"/>
    </w:rPr>
  </w:style>
  <w:style w:type="paragraph" w:customStyle="1" w:styleId="66">
    <w:name w:val="Table Text"/>
    <w:basedOn w:val="1"/>
    <w:semiHidden/>
    <w:qFormat/>
    <w:uiPriority w:val="0"/>
    <w:rPr>
      <w:rFonts w:ascii="宋体" w:hAnsi="宋体" w:eastAsia="宋体" w:cs="宋体"/>
      <w:sz w:val="14"/>
      <w:szCs w:val="14"/>
      <w:lang w:val="en-US" w:eastAsia="en-US" w:bidi="ar-SA"/>
    </w:rPr>
  </w:style>
  <w:style w:type="paragraph" w:customStyle="1" w:styleId="67">
    <w:name w:val="翔一正文"/>
    <w:basedOn w:val="1"/>
    <w:next w:val="1"/>
    <w:semiHidden/>
    <w:qFormat/>
    <w:uiPriority w:val="0"/>
    <w:pPr>
      <w:spacing w:line="360" w:lineRule="auto"/>
      <w:ind w:firstLine="1446" w:firstLineChars="200"/>
    </w:pPr>
    <w:rPr>
      <w:sz w:val="24"/>
    </w:rPr>
  </w:style>
  <w:style w:type="character" w:customStyle="1" w:styleId="68">
    <w:name w:val="环评报告表正文 Char1"/>
    <w:link w:val="36"/>
    <w:qFormat/>
    <w:uiPriority w:val="0"/>
    <w:rPr>
      <w:rFonts w:ascii="Times New Roman" w:hAnsi="Times New Roman" w:eastAsia="宋体"/>
      <w:kern w:val="0"/>
    </w:rPr>
  </w:style>
  <w:style w:type="paragraph" w:customStyle="1" w:styleId="69">
    <w:name w:val="正艾"/>
    <w:basedOn w:val="1"/>
    <w:qFormat/>
    <w:uiPriority w:val="0"/>
    <w:rPr>
      <w:color w:val="000000"/>
      <w:kern w:val="24"/>
      <w:szCs w:val="20"/>
    </w:rPr>
  </w:style>
  <w:style w:type="paragraph" w:customStyle="1" w:styleId="70">
    <w:name w:val="标题表格"/>
    <w:qFormat/>
    <w:uiPriority w:val="0"/>
    <w:pPr>
      <w:spacing w:before="50" w:beforeLines="50"/>
      <w:ind w:firstLine="500" w:firstLineChars="500"/>
      <w:jc w:val="center"/>
    </w:pPr>
    <w:rPr>
      <w:rFonts w:ascii="Times New Roman" w:hAnsi="Times New Roman" w:eastAsia="黑体" w:cs="Times New Roman"/>
      <w:kern w:val="2"/>
      <w:sz w:val="24"/>
      <w:szCs w:val="24"/>
      <w:lang w:val="en-US" w:eastAsia="zh-CN" w:bidi="ar-SA"/>
    </w:rPr>
  </w:style>
  <w:style w:type="paragraph" w:customStyle="1" w:styleId="71">
    <w:name w:val="四级"/>
    <w:qFormat/>
    <w:uiPriority w:val="0"/>
    <w:pPr>
      <w:spacing w:line="360" w:lineRule="auto"/>
      <w:outlineLvl w:val="3"/>
    </w:pPr>
    <w:rPr>
      <w:rFonts w:ascii="Times New Roman" w:hAnsi="Times New Roman" w:eastAsia="宋体" w:cs="Times New Roman"/>
      <w:b/>
      <w:snapToGrid w:val="0"/>
      <w:kern w:val="2"/>
      <w:sz w:val="24"/>
      <w:szCs w:val="24"/>
      <w:lang w:val="en-US" w:eastAsia="zh-CN" w:bidi="ar-SA"/>
    </w:rPr>
  </w:style>
  <w:style w:type="paragraph" w:customStyle="1" w:styleId="72">
    <w:name w:val="三级"/>
    <w:qFormat/>
    <w:uiPriority w:val="0"/>
    <w:pPr>
      <w:spacing w:line="360" w:lineRule="auto"/>
      <w:outlineLvl w:val="2"/>
    </w:pPr>
    <w:rPr>
      <w:rFonts w:ascii="Arial" w:hAnsi="Arial" w:eastAsia="黑体" w:cs="Times New Roman"/>
      <w:kern w:val="2"/>
      <w:sz w:val="28"/>
      <w:szCs w:val="24"/>
      <w:lang w:val="en-US" w:eastAsia="zh-CN" w:bidi="ar-SA"/>
    </w:rPr>
  </w:style>
  <w:style w:type="paragraph" w:customStyle="1" w:styleId="73">
    <w:name w:val="5正文"/>
    <w:basedOn w:val="1"/>
    <w:qFormat/>
    <w:uiPriority w:val="0"/>
    <w:pPr>
      <w:autoSpaceDE w:val="0"/>
      <w:autoSpaceDN w:val="0"/>
      <w:adjustRightInd w:val="0"/>
      <w:snapToGrid w:val="0"/>
      <w:spacing w:line="500" w:lineRule="exact"/>
      <w:ind w:firstLine="536"/>
    </w:pPr>
    <w:rPr>
      <w:rFonts w:eastAsia="仿宋_GB2312"/>
      <w:spacing w:val="-6"/>
      <w:kern w:val="16"/>
      <w:sz w:val="28"/>
      <w:szCs w:val="28"/>
    </w:rPr>
  </w:style>
  <w:style w:type="paragraph" w:customStyle="1" w:styleId="74">
    <w:name w:val="二级"/>
    <w:qFormat/>
    <w:uiPriority w:val="0"/>
    <w:pPr>
      <w:outlineLvl w:val="1"/>
    </w:pPr>
    <w:rPr>
      <w:rFonts w:ascii="Arial" w:hAnsi="Arial" w:eastAsia="黑体" w:cs="Times New Roman"/>
      <w:kern w:val="2"/>
      <w:sz w:val="30"/>
      <w:szCs w:val="24"/>
      <w:lang w:val="en-US" w:eastAsia="zh-CN" w:bidi="ar-SA"/>
    </w:rPr>
  </w:style>
  <w:style w:type="paragraph" w:customStyle="1" w:styleId="75">
    <w:name w:val="内容表格"/>
    <w:qFormat/>
    <w:uiPriority w:val="0"/>
    <w:pPr>
      <w:spacing w:line="240" w:lineRule="atLeast"/>
      <w:jc w:val="center"/>
    </w:pPr>
    <w:rPr>
      <w:rFonts w:ascii="Times New Roman" w:hAnsi="Times New Roman" w:eastAsia="宋体" w:cs="Times New Roman"/>
      <w:color w:val="000000"/>
      <w:kern w:val="0"/>
      <w:sz w:val="21"/>
      <w:szCs w:val="21"/>
      <w:lang w:val="en-US" w:eastAsia="zh-CN" w:bidi="ar-SA"/>
    </w:rPr>
  </w:style>
  <w:style w:type="paragraph" w:customStyle="1" w:styleId="76">
    <w:name w:val="表标题"/>
    <w:basedOn w:val="77"/>
    <w:qFormat/>
    <w:uiPriority w:val="0"/>
    <w:pPr>
      <w:spacing w:before="160" w:after="120"/>
      <w:ind w:firstLine="0" w:firstLineChars="0"/>
      <w:jc w:val="center"/>
    </w:pPr>
  </w:style>
  <w:style w:type="paragraph" w:customStyle="1" w:styleId="77">
    <w:name w:val="SB正文"/>
    <w:basedOn w:val="1"/>
    <w:qFormat/>
    <w:uiPriority w:val="0"/>
    <w:pPr>
      <w:spacing w:before="62" w:after="62"/>
      <w:ind w:firstLine="480"/>
    </w:pPr>
    <w:rPr>
      <w:rFonts w:cs="宋体"/>
      <w:szCs w:val="20"/>
    </w:rPr>
  </w:style>
  <w:style w:type="paragraph" w:customStyle="1" w:styleId="78">
    <w:name w:val="标题三"/>
    <w:next w:val="11"/>
    <w:qFormat/>
    <w:uiPriority w:val="0"/>
    <w:pPr>
      <w:spacing w:before="120" w:after="120" w:line="360" w:lineRule="auto"/>
      <w:ind w:left="720" w:hanging="720"/>
      <w:outlineLvl w:val="2"/>
    </w:pPr>
    <w:rPr>
      <w:rFonts w:ascii="Arial" w:hAnsi="Arial" w:eastAsia="黑体" w:cs="Times New Roman"/>
      <w:snapToGrid w:val="0"/>
      <w:kern w:val="2"/>
      <w:sz w:val="28"/>
      <w:szCs w:val="24"/>
      <w:lang w:val="en-US" w:eastAsia="zh-CN" w:bidi="ar-SA"/>
    </w:rPr>
  </w:style>
  <w:style w:type="paragraph" w:customStyle="1" w:styleId="79">
    <w:name w:val="H正文"/>
    <w:basedOn w:val="1"/>
    <w:qFormat/>
    <w:uiPriority w:val="0"/>
    <w:pPr>
      <w:adjustRightInd w:val="0"/>
      <w:spacing w:line="400" w:lineRule="exact"/>
      <w:ind w:firstLine="200" w:firstLineChars="200"/>
      <w:jc w:val="both"/>
      <w:textAlignment w:val="baseline"/>
    </w:pPr>
    <w:rPr>
      <w:rFonts w:ascii="Times New Roman"/>
      <w:snapToGrid w:val="0"/>
      <w:spacing w:val="6"/>
    </w:rPr>
  </w:style>
  <w:style w:type="character" w:customStyle="1" w:styleId="80">
    <w:name w:val="报告书正文 Char"/>
    <w:link w:val="28"/>
    <w:qFormat/>
    <w:uiPriority w:val="0"/>
    <w:rPr>
      <w:rFonts w:ascii="Times New Roman" w:hAnsi="Times New Roman" w:eastAsia="宋体" w:cs="Times New Roman"/>
      <w:sz w:val="24"/>
    </w:rPr>
  </w:style>
  <w:style w:type="paragraph" w:customStyle="1" w:styleId="81">
    <w:name w:val="表文"/>
    <w:basedOn w:val="1"/>
    <w:qFormat/>
    <w:uiPriority w:val="0"/>
    <w:pPr>
      <w:keepNext w:val="0"/>
      <w:keepLines w:val="0"/>
      <w:widowControl w:val="0"/>
      <w:suppressLineNumbers w:val="0"/>
      <w:adjustRightInd/>
      <w:snapToGrid/>
      <w:spacing w:before="0" w:beforeAutospacing="0" w:after="0" w:afterAutospacing="0" w:line="240" w:lineRule="auto"/>
      <w:ind w:left="0" w:right="0"/>
      <w:jc w:val="center"/>
    </w:pPr>
    <w:rPr>
      <w:rFonts w:hint="default" w:ascii="Times New Roman" w:hAnsi="Times New Roman" w:eastAsia="Times New Roman" w:cs="Times New Roman"/>
      <w:snapToGrid/>
      <w:kern w:val="2"/>
      <w:sz w:val="21"/>
      <w:szCs w:val="20"/>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5" Type="http://schemas.openxmlformats.org/officeDocument/2006/relationships/fontTable" Target="fontTable.xml"/><Relationship Id="rId54" Type="http://schemas.openxmlformats.org/officeDocument/2006/relationships/numbering" Target="numbering.xml"/><Relationship Id="rId53" Type="http://schemas.openxmlformats.org/officeDocument/2006/relationships/customXml" Target="../customXml/item1.xml"/><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footer" Target="footer1.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endnotes" Target="endnotes.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notes" Target="footnotes.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119</Pages>
  <Words>2042</Words>
  <Characters>2556</Characters>
  <Lines>433</Lines>
  <Paragraphs>122</Paragraphs>
  <TotalTime>17</TotalTime>
  <ScaleCrop>false</ScaleCrop>
  <LinksUpToDate>false</LinksUpToDate>
  <CharactersWithSpaces>2697</CharactersWithSpaces>
  <Application>WPS Office_12.1.0.18912_F1E327BC-269C-435d-A152-05C5408002CA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2023-02-02T01:07:00Z</dcterms:created>
  <dc:creator>Yvonne7</dc:creator>
  <cp:lastModifiedBy>刘变香</cp:lastModifiedBy>
  <dcterms:modified xsi:type="dcterms:W3CDTF">2025-04-14T07:58:24Z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2052-12.1.0.18912</vt:lpwstr>
  </property>
  <property fmtid="{D5CDD505-2E9C-101B-9397-08002B2CF9AE}" pid="3" name="ICV">
    <vt:lpwstr>E9209160DD5D44B093A6F22092CB16F9_13</vt:lpwstr>
  </property>
</Properties>
</file>