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7623F1">
      <w:pPr>
        <w:keepNext w:val="0"/>
        <w:keepLines w:val="0"/>
        <w:pageBreakBefore w:val="0"/>
        <w:widowControl w:val="0"/>
        <w:spacing w:before="0" w:after="0" w:line="360" w:lineRule="auto"/>
        <w:ind w:left="0" w:right="0" w:firstLine="0"/>
        <w:jc w:val="center"/>
        <w:rPr>
          <w:rFonts w:ascii="Times New Roman" w:hAnsi="Times New Roman" w:eastAsia="宋体" w:cs="Times New Roman"/>
          <w:b/>
          <w:bCs/>
          <w:color w:val="000000"/>
          <w:sz w:val="32"/>
          <w:szCs w:val="32"/>
          <w:highlight w:val="none"/>
        </w:rPr>
      </w:pPr>
      <w:r>
        <w:rPr>
          <w:rFonts w:ascii="Times New Roman" w:hAnsi="Times New Roman" w:eastAsia="宋体" w:cs="Times New Roman"/>
          <w:b/>
          <w:bCs/>
          <w:color w:val="000000"/>
          <w:sz w:val="32"/>
          <w:szCs w:val="32"/>
          <w:highlight w:val="none"/>
        </w:rPr>
        <w:t>目</w:t>
      </w:r>
      <w:r>
        <w:rPr>
          <w:rFonts w:ascii="Times New Roman" w:hAnsi="Times New Roman" w:eastAsia="宋体" w:cs="Times New Roman"/>
          <w:b/>
          <w:bCs/>
          <w:color w:val="000000"/>
          <w:sz w:val="32"/>
          <w:szCs w:val="32"/>
          <w:highlight w:val="none"/>
          <w:lang w:val="en-US" w:eastAsia="zh-CN"/>
        </w:rPr>
        <w:t xml:space="preserve">  </w:t>
      </w:r>
      <w:r>
        <w:rPr>
          <w:rFonts w:ascii="Times New Roman" w:hAnsi="Times New Roman" w:eastAsia="宋体" w:cs="Times New Roman"/>
          <w:b/>
          <w:bCs/>
          <w:color w:val="000000"/>
          <w:sz w:val="32"/>
          <w:szCs w:val="32"/>
          <w:highlight w:val="none"/>
        </w:rPr>
        <w:t>录</w:t>
      </w:r>
    </w:p>
    <w:p w14:paraId="19F14759">
      <w:pPr>
        <w:pStyle w:val="209"/>
        <w:keepNext w:val="0"/>
        <w:keepLines w:val="0"/>
        <w:pageBreakBefore w:val="0"/>
        <w:widowControl w:val="0"/>
        <w:tabs>
          <w:tab w:val="right" w:leader="dot" w:pos="9638"/>
        </w:tabs>
        <w:spacing w:line="360" w:lineRule="auto"/>
        <w:jc w:val="center"/>
        <w:rPr>
          <w:rFonts w:ascii="Times New Roman" w:hAnsi="Times New Roman" w:eastAsia="宋体" w:cs="Times New Roman"/>
          <w:b w:val="0"/>
          <w:bCs w:val="0"/>
          <w:color w:val="000000"/>
          <w:sz w:val="24"/>
          <w:szCs w:val="24"/>
          <w:highlight w:val="none"/>
        </w:rPr>
      </w:pPr>
      <w:r>
        <w:rPr>
          <w:rFonts w:ascii="Times New Roman" w:hAnsi="Times New Roman" w:eastAsia="宋体" w:cs="Times New Roman"/>
          <w:color w:val="000000"/>
          <w:sz w:val="24"/>
          <w:szCs w:val="24"/>
          <w:highlight w:val="none"/>
        </w:rPr>
        <w:fldChar w:fldCharType="begin"/>
      </w:r>
      <w:r>
        <w:rPr>
          <w:rFonts w:ascii="Times New Roman" w:hAnsi="Times New Roman" w:eastAsia="宋体" w:cs="Times New Roman"/>
          <w:color w:val="000000"/>
          <w:sz w:val="24"/>
          <w:szCs w:val="24"/>
          <w:highlight w:val="none"/>
        </w:rPr>
        <w:instrText xml:space="preserve">TOC \o "1-1" \h \u </w:instrText>
      </w:r>
      <w:r>
        <w:rPr>
          <w:rFonts w:ascii="Times New Roman" w:hAnsi="Times New Roman" w:eastAsia="宋体" w:cs="Times New Roman"/>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HYPERLINK \l _Toc31698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一、建设项目基本情况</w:t>
      </w:r>
      <w:r>
        <w:rPr>
          <w:rFonts w:ascii="Times New Roman" w:hAnsi="Times New Roman" w:eastAsia="宋体" w:cs="Times New Roman"/>
          <w:b w:val="0"/>
          <w:bCs w:val="0"/>
          <w:color w:val="000000"/>
          <w:sz w:val="24"/>
          <w:szCs w:val="24"/>
          <w:highlight w:val="none"/>
        </w:rPr>
        <w:tab/>
      </w: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PAGEREF _Toc31698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1</w:t>
      </w:r>
      <w:r>
        <w:rPr>
          <w:rFonts w:ascii="Times New Roman" w:hAnsi="Times New Roman" w:eastAsia="宋体" w:cs="Times New Roman"/>
          <w:b w:val="0"/>
          <w:bCs w:val="0"/>
          <w:color w:val="000000"/>
          <w:sz w:val="24"/>
          <w:szCs w:val="24"/>
          <w:highlight w:val="none"/>
        </w:rPr>
        <w:fldChar w:fldCharType="end"/>
      </w:r>
      <w:r>
        <w:rPr>
          <w:rFonts w:ascii="Times New Roman" w:hAnsi="Times New Roman" w:eastAsia="宋体" w:cs="Times New Roman"/>
          <w:b w:val="0"/>
          <w:bCs w:val="0"/>
          <w:color w:val="000000"/>
          <w:sz w:val="24"/>
          <w:szCs w:val="24"/>
          <w:highlight w:val="none"/>
        </w:rPr>
        <w:fldChar w:fldCharType="end"/>
      </w:r>
    </w:p>
    <w:p w14:paraId="5961A286">
      <w:pPr>
        <w:pStyle w:val="209"/>
        <w:keepNext w:val="0"/>
        <w:keepLines w:val="0"/>
        <w:pageBreakBefore w:val="0"/>
        <w:widowControl w:val="0"/>
        <w:tabs>
          <w:tab w:val="right" w:leader="dot" w:pos="9638"/>
        </w:tabs>
        <w:spacing w:line="360" w:lineRule="auto"/>
        <w:jc w:val="center"/>
        <w:rPr>
          <w:rFonts w:ascii="Times New Roman" w:hAnsi="Times New Roman" w:eastAsia="宋体" w:cs="Times New Roman"/>
          <w:b w:val="0"/>
          <w:bCs w:val="0"/>
          <w:color w:val="000000"/>
          <w:sz w:val="24"/>
          <w:szCs w:val="24"/>
          <w:highlight w:val="none"/>
        </w:rPr>
      </w:pP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HYPERLINK \l _Toc6077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二、建设项目工程分析</w:t>
      </w:r>
      <w:r>
        <w:rPr>
          <w:rFonts w:ascii="Times New Roman" w:hAnsi="Times New Roman" w:eastAsia="宋体" w:cs="Times New Roman"/>
          <w:b w:val="0"/>
          <w:bCs w:val="0"/>
          <w:color w:val="000000"/>
          <w:sz w:val="24"/>
          <w:szCs w:val="24"/>
          <w:highlight w:val="none"/>
        </w:rPr>
        <w:tab/>
      </w: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PAGEREF _Toc6077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7</w:t>
      </w:r>
      <w:r>
        <w:rPr>
          <w:rFonts w:ascii="Times New Roman" w:hAnsi="Times New Roman" w:eastAsia="宋体" w:cs="Times New Roman"/>
          <w:b w:val="0"/>
          <w:bCs w:val="0"/>
          <w:color w:val="000000"/>
          <w:sz w:val="24"/>
          <w:szCs w:val="24"/>
          <w:highlight w:val="none"/>
        </w:rPr>
        <w:fldChar w:fldCharType="end"/>
      </w:r>
      <w:r>
        <w:rPr>
          <w:rFonts w:ascii="Times New Roman" w:hAnsi="Times New Roman" w:eastAsia="宋体" w:cs="Times New Roman"/>
          <w:b w:val="0"/>
          <w:bCs w:val="0"/>
          <w:color w:val="000000"/>
          <w:sz w:val="24"/>
          <w:szCs w:val="24"/>
          <w:highlight w:val="none"/>
        </w:rPr>
        <w:fldChar w:fldCharType="end"/>
      </w:r>
    </w:p>
    <w:p w14:paraId="118F3D8F">
      <w:pPr>
        <w:pStyle w:val="209"/>
        <w:keepNext w:val="0"/>
        <w:keepLines w:val="0"/>
        <w:pageBreakBefore w:val="0"/>
        <w:widowControl w:val="0"/>
        <w:tabs>
          <w:tab w:val="right" w:leader="dot" w:pos="9638"/>
        </w:tabs>
        <w:spacing w:line="360" w:lineRule="auto"/>
        <w:jc w:val="center"/>
        <w:rPr>
          <w:rFonts w:ascii="Times New Roman" w:hAnsi="Times New Roman" w:eastAsia="宋体" w:cs="Times New Roman"/>
          <w:b w:val="0"/>
          <w:bCs w:val="0"/>
          <w:color w:val="000000"/>
          <w:sz w:val="24"/>
          <w:szCs w:val="24"/>
          <w:highlight w:val="none"/>
        </w:rPr>
      </w:pP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HYPERLINK \l _Toc26230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三、区域环境质量现状、环境保护目标及评价标准</w:t>
      </w:r>
      <w:r>
        <w:rPr>
          <w:rFonts w:ascii="Times New Roman" w:hAnsi="Times New Roman" w:eastAsia="宋体" w:cs="Times New Roman"/>
          <w:b w:val="0"/>
          <w:bCs w:val="0"/>
          <w:color w:val="000000"/>
          <w:sz w:val="24"/>
          <w:szCs w:val="24"/>
          <w:highlight w:val="none"/>
        </w:rPr>
        <w:tab/>
      </w: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PAGEREF _Toc26230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7</w:t>
      </w:r>
      <w:r>
        <w:rPr>
          <w:rFonts w:ascii="Times New Roman" w:hAnsi="Times New Roman" w:eastAsia="宋体" w:cs="Times New Roman"/>
          <w:b w:val="0"/>
          <w:bCs w:val="0"/>
          <w:color w:val="000000"/>
          <w:sz w:val="24"/>
          <w:szCs w:val="24"/>
          <w:highlight w:val="none"/>
        </w:rPr>
        <w:fldChar w:fldCharType="end"/>
      </w:r>
      <w:r>
        <w:rPr>
          <w:rFonts w:ascii="Times New Roman" w:hAnsi="Times New Roman" w:eastAsia="宋体" w:cs="Times New Roman"/>
          <w:b w:val="0"/>
          <w:bCs w:val="0"/>
          <w:color w:val="000000"/>
          <w:sz w:val="24"/>
          <w:szCs w:val="24"/>
          <w:highlight w:val="none"/>
        </w:rPr>
        <w:fldChar w:fldCharType="end"/>
      </w:r>
    </w:p>
    <w:p w14:paraId="2265AD32">
      <w:pPr>
        <w:pStyle w:val="209"/>
        <w:keepNext w:val="0"/>
        <w:keepLines w:val="0"/>
        <w:pageBreakBefore w:val="0"/>
        <w:widowControl w:val="0"/>
        <w:tabs>
          <w:tab w:val="right" w:leader="dot" w:pos="9638"/>
        </w:tabs>
        <w:spacing w:line="360" w:lineRule="auto"/>
        <w:jc w:val="center"/>
        <w:rPr>
          <w:rFonts w:ascii="Times New Roman" w:hAnsi="Times New Roman" w:eastAsia="宋体" w:cs="Times New Roman"/>
          <w:b w:val="0"/>
          <w:bCs w:val="0"/>
          <w:color w:val="000000"/>
          <w:sz w:val="24"/>
          <w:szCs w:val="24"/>
          <w:highlight w:val="none"/>
        </w:rPr>
      </w:pP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HYPERLINK \l _Toc15376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四、主要环境影响和保护措施</w:t>
      </w:r>
      <w:r>
        <w:rPr>
          <w:rFonts w:ascii="Times New Roman" w:hAnsi="Times New Roman" w:eastAsia="宋体" w:cs="Times New Roman"/>
          <w:b w:val="0"/>
          <w:bCs w:val="0"/>
          <w:color w:val="000000"/>
          <w:sz w:val="24"/>
          <w:szCs w:val="24"/>
          <w:highlight w:val="none"/>
        </w:rPr>
        <w:tab/>
      </w: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PAGEREF _Toc15376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24</w:t>
      </w:r>
      <w:r>
        <w:rPr>
          <w:rFonts w:ascii="Times New Roman" w:hAnsi="Times New Roman" w:eastAsia="宋体" w:cs="Times New Roman"/>
          <w:b w:val="0"/>
          <w:bCs w:val="0"/>
          <w:color w:val="000000"/>
          <w:sz w:val="24"/>
          <w:szCs w:val="24"/>
          <w:highlight w:val="none"/>
        </w:rPr>
        <w:fldChar w:fldCharType="end"/>
      </w:r>
      <w:r>
        <w:rPr>
          <w:rFonts w:ascii="Times New Roman" w:hAnsi="Times New Roman" w:eastAsia="宋体" w:cs="Times New Roman"/>
          <w:b w:val="0"/>
          <w:bCs w:val="0"/>
          <w:color w:val="000000"/>
          <w:sz w:val="24"/>
          <w:szCs w:val="24"/>
          <w:highlight w:val="none"/>
        </w:rPr>
        <w:fldChar w:fldCharType="end"/>
      </w:r>
    </w:p>
    <w:p w14:paraId="13821C66">
      <w:pPr>
        <w:pStyle w:val="209"/>
        <w:keepNext w:val="0"/>
        <w:keepLines w:val="0"/>
        <w:pageBreakBefore w:val="0"/>
        <w:widowControl w:val="0"/>
        <w:tabs>
          <w:tab w:val="right" w:leader="dot" w:pos="9638"/>
        </w:tabs>
        <w:spacing w:line="360" w:lineRule="auto"/>
        <w:jc w:val="center"/>
        <w:rPr>
          <w:rFonts w:ascii="Times New Roman" w:hAnsi="Times New Roman" w:eastAsia="宋体" w:cs="Times New Roman"/>
          <w:b w:val="0"/>
          <w:bCs w:val="0"/>
          <w:color w:val="000000"/>
          <w:sz w:val="24"/>
          <w:szCs w:val="24"/>
          <w:highlight w:val="none"/>
        </w:rPr>
      </w:pP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HYPERLINK \l _Toc14944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五、环境保护措施监督检查清单</w:t>
      </w:r>
      <w:r>
        <w:rPr>
          <w:rFonts w:ascii="Times New Roman" w:hAnsi="Times New Roman" w:eastAsia="宋体" w:cs="Times New Roman"/>
          <w:b w:val="0"/>
          <w:bCs w:val="0"/>
          <w:color w:val="000000"/>
          <w:sz w:val="24"/>
          <w:szCs w:val="24"/>
          <w:highlight w:val="none"/>
        </w:rPr>
        <w:tab/>
      </w: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PAGEREF _Toc14944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49</w:t>
      </w:r>
      <w:r>
        <w:rPr>
          <w:rFonts w:ascii="Times New Roman" w:hAnsi="Times New Roman" w:eastAsia="宋体" w:cs="Times New Roman"/>
          <w:b w:val="0"/>
          <w:bCs w:val="0"/>
          <w:color w:val="000000"/>
          <w:sz w:val="24"/>
          <w:szCs w:val="24"/>
          <w:highlight w:val="none"/>
        </w:rPr>
        <w:fldChar w:fldCharType="end"/>
      </w:r>
      <w:r>
        <w:rPr>
          <w:rFonts w:ascii="Times New Roman" w:hAnsi="Times New Roman" w:eastAsia="宋体" w:cs="Times New Roman"/>
          <w:b w:val="0"/>
          <w:bCs w:val="0"/>
          <w:color w:val="000000"/>
          <w:sz w:val="24"/>
          <w:szCs w:val="24"/>
          <w:highlight w:val="none"/>
        </w:rPr>
        <w:fldChar w:fldCharType="end"/>
      </w:r>
    </w:p>
    <w:p w14:paraId="36301CE1">
      <w:pPr>
        <w:pStyle w:val="209"/>
        <w:keepNext w:val="0"/>
        <w:keepLines w:val="0"/>
        <w:pageBreakBefore w:val="0"/>
        <w:widowControl w:val="0"/>
        <w:tabs>
          <w:tab w:val="right" w:leader="dot" w:pos="9638"/>
        </w:tabs>
        <w:spacing w:line="360" w:lineRule="auto"/>
        <w:jc w:val="center"/>
        <w:rPr>
          <w:rFonts w:ascii="Times New Roman" w:hAnsi="Times New Roman" w:eastAsia="宋体" w:cs="Times New Roman"/>
          <w:b w:val="0"/>
          <w:bCs w:val="0"/>
          <w:color w:val="000000"/>
          <w:sz w:val="24"/>
          <w:szCs w:val="24"/>
          <w:highlight w:val="none"/>
        </w:rPr>
      </w:pP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HYPERLINK \l _Toc13512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六、结论</w:t>
      </w:r>
      <w:r>
        <w:rPr>
          <w:rFonts w:ascii="Times New Roman" w:hAnsi="Times New Roman" w:eastAsia="宋体" w:cs="Times New Roman"/>
          <w:b w:val="0"/>
          <w:bCs w:val="0"/>
          <w:color w:val="000000"/>
          <w:sz w:val="24"/>
          <w:szCs w:val="24"/>
          <w:highlight w:val="none"/>
        </w:rPr>
        <w:tab/>
      </w: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PAGEREF _Toc13512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51</w:t>
      </w:r>
      <w:r>
        <w:rPr>
          <w:rFonts w:ascii="Times New Roman" w:hAnsi="Times New Roman" w:eastAsia="宋体" w:cs="Times New Roman"/>
          <w:b w:val="0"/>
          <w:bCs w:val="0"/>
          <w:color w:val="000000"/>
          <w:sz w:val="24"/>
          <w:szCs w:val="24"/>
          <w:highlight w:val="none"/>
        </w:rPr>
        <w:fldChar w:fldCharType="end"/>
      </w:r>
      <w:r>
        <w:rPr>
          <w:rFonts w:ascii="Times New Roman" w:hAnsi="Times New Roman" w:eastAsia="宋体" w:cs="Times New Roman"/>
          <w:b w:val="0"/>
          <w:bCs w:val="0"/>
          <w:color w:val="000000"/>
          <w:sz w:val="24"/>
          <w:szCs w:val="24"/>
          <w:highlight w:val="none"/>
        </w:rPr>
        <w:fldChar w:fldCharType="end"/>
      </w:r>
    </w:p>
    <w:p w14:paraId="08500F01">
      <w:pPr>
        <w:pStyle w:val="209"/>
        <w:keepNext w:val="0"/>
        <w:keepLines w:val="0"/>
        <w:pageBreakBefore w:val="0"/>
        <w:widowControl w:val="0"/>
        <w:tabs>
          <w:tab w:val="right" w:leader="dot" w:pos="9638"/>
        </w:tabs>
        <w:spacing w:line="360" w:lineRule="auto"/>
        <w:jc w:val="center"/>
        <w:rPr>
          <w:rFonts w:ascii="Times New Roman" w:hAnsi="Times New Roman" w:eastAsia="宋体" w:cs="Times New Roman"/>
          <w:color w:val="000000"/>
          <w:sz w:val="24"/>
          <w:szCs w:val="24"/>
          <w:highlight w:val="none"/>
        </w:rPr>
      </w:pP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HYPERLINK \l _Toc19830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附表</w:t>
      </w:r>
      <w:r>
        <w:rPr>
          <w:rFonts w:ascii="Times New Roman" w:hAnsi="Times New Roman" w:eastAsia="宋体" w:cs="Times New Roman"/>
          <w:b w:val="0"/>
          <w:bCs w:val="0"/>
          <w:color w:val="000000"/>
          <w:sz w:val="24"/>
          <w:szCs w:val="24"/>
          <w:highlight w:val="none"/>
        </w:rPr>
        <w:tab/>
      </w:r>
      <w:r>
        <w:rPr>
          <w:rFonts w:ascii="Times New Roman" w:hAnsi="Times New Roman" w:eastAsia="宋体" w:cs="Times New Roman"/>
          <w:b w:val="0"/>
          <w:bCs w:val="0"/>
          <w:color w:val="000000"/>
          <w:sz w:val="24"/>
          <w:szCs w:val="24"/>
          <w:highlight w:val="none"/>
        </w:rPr>
        <w:fldChar w:fldCharType="begin"/>
      </w:r>
      <w:r>
        <w:rPr>
          <w:rFonts w:ascii="Times New Roman" w:hAnsi="Times New Roman" w:eastAsia="宋体" w:cs="Times New Roman"/>
          <w:b w:val="0"/>
          <w:bCs w:val="0"/>
          <w:color w:val="000000"/>
          <w:sz w:val="24"/>
          <w:szCs w:val="24"/>
          <w:highlight w:val="none"/>
        </w:rPr>
        <w:instrText xml:space="preserve"> PAGEREF _Toc19830 </w:instrText>
      </w:r>
      <w:r>
        <w:rPr>
          <w:rFonts w:ascii="Times New Roman" w:hAnsi="Times New Roman" w:eastAsia="宋体" w:cs="Times New Roman"/>
          <w:b w:val="0"/>
          <w:bCs w:val="0"/>
          <w:color w:val="000000"/>
          <w:sz w:val="24"/>
          <w:szCs w:val="24"/>
          <w:highlight w:val="none"/>
        </w:rPr>
        <w:fldChar w:fldCharType="separate"/>
      </w:r>
      <w:r>
        <w:rPr>
          <w:rFonts w:ascii="Times New Roman" w:hAnsi="Times New Roman" w:eastAsia="宋体" w:cs="Times New Roman"/>
          <w:b w:val="0"/>
          <w:bCs w:val="0"/>
          <w:color w:val="000000"/>
          <w:sz w:val="24"/>
          <w:szCs w:val="24"/>
          <w:highlight w:val="none"/>
        </w:rPr>
        <w:t>52</w:t>
      </w:r>
      <w:r>
        <w:rPr>
          <w:rFonts w:ascii="Times New Roman" w:hAnsi="Times New Roman" w:eastAsia="宋体" w:cs="Times New Roman"/>
          <w:b w:val="0"/>
          <w:bCs w:val="0"/>
          <w:color w:val="000000"/>
          <w:sz w:val="24"/>
          <w:szCs w:val="24"/>
          <w:highlight w:val="none"/>
        </w:rPr>
        <w:fldChar w:fldCharType="end"/>
      </w:r>
      <w:r>
        <w:rPr>
          <w:rFonts w:ascii="Times New Roman" w:hAnsi="Times New Roman" w:eastAsia="宋体" w:cs="Times New Roman"/>
          <w:b w:val="0"/>
          <w:bCs w:val="0"/>
          <w:color w:val="000000"/>
          <w:sz w:val="24"/>
          <w:szCs w:val="24"/>
          <w:highlight w:val="none"/>
        </w:rPr>
        <w:fldChar w:fldCharType="end"/>
      </w:r>
    </w:p>
    <w:p w14:paraId="4F67786A">
      <w:pPr>
        <w:keepNext w:val="0"/>
        <w:keepLines w:val="0"/>
        <w:pageBreakBefore w:val="0"/>
        <w:widowControl w:val="0"/>
        <w:spacing w:line="360" w:lineRule="auto"/>
        <w:jc w:val="center"/>
        <w:outlineLvl w:val="9"/>
        <w:rPr>
          <w:rFonts w:ascii="Times New Roman" w:hAnsi="Times New Roman" w:eastAsia="宋体" w:cs="Times New Roman"/>
          <w:color w:val="000000"/>
          <w:sz w:val="36"/>
          <w:szCs w:val="36"/>
          <w:highlight w:val="none"/>
        </w:rPr>
        <w:sectPr>
          <w:footerReference r:id="rId3" w:type="default"/>
          <w:pgSz w:w="11906" w:h="16838" w:orient="landscape"/>
          <w:pgMar w:top="1134" w:right="1134" w:bottom="1134" w:left="1134" w:header="851" w:footer="1077" w:gutter="0"/>
          <w:cols w:space="1701" w:num="1"/>
        </w:sectPr>
      </w:pPr>
      <w:r>
        <w:rPr>
          <w:rFonts w:ascii="Times New Roman" w:hAnsi="Times New Roman" w:eastAsia="宋体" w:cs="Times New Roman"/>
          <w:color w:val="000000"/>
          <w:sz w:val="24"/>
          <w:szCs w:val="24"/>
          <w:highlight w:val="none"/>
        </w:rPr>
        <w:fldChar w:fldCharType="end"/>
      </w:r>
    </w:p>
    <w:p w14:paraId="5F7B0F30">
      <w:pPr>
        <w:keepNext w:val="0"/>
        <w:keepLines w:val="0"/>
        <w:pageBreakBefore w:val="0"/>
        <w:widowControl w:val="0"/>
        <w:spacing w:line="312" w:lineRule="auto"/>
        <w:ind w:firstLine="482"/>
        <w:rPr>
          <w:rFonts w:ascii="Times New Roman" w:hAnsi="Times New Roman" w:eastAsia="宋体" w:cs="Times New Roman"/>
          <w:b/>
          <w:bCs/>
          <w:color w:val="000000"/>
          <w:sz w:val="24"/>
          <w:highlight w:val="none"/>
        </w:rPr>
      </w:pPr>
    </w:p>
    <w:p w14:paraId="7F242C60">
      <w:pPr>
        <w:keepNext w:val="0"/>
        <w:keepLines w:val="0"/>
        <w:pageBreakBefore w:val="0"/>
        <w:widowControl w:val="0"/>
        <w:spacing w:line="312" w:lineRule="auto"/>
        <w:ind w:firstLine="482"/>
        <w:rPr>
          <w:rFonts w:ascii="Times New Roman" w:hAnsi="Times New Roman" w:eastAsia="宋体" w:cs="Times New Roman"/>
          <w:b/>
          <w:bCs/>
          <w:color w:val="000000"/>
          <w:sz w:val="24"/>
          <w:highlight w:val="none"/>
        </w:rPr>
      </w:pPr>
      <w:r>
        <w:rPr>
          <w:rFonts w:ascii="Times New Roman" w:hAnsi="Times New Roman" w:eastAsia="宋体" w:cs="Times New Roman"/>
          <w:b/>
          <w:bCs/>
          <w:color w:val="000000"/>
          <w:sz w:val="24"/>
          <w:highlight w:val="none"/>
        </w:rPr>
        <w:t>附图</w:t>
      </w:r>
    </w:p>
    <w:p w14:paraId="110938A1">
      <w:pPr>
        <w:keepNext w:val="0"/>
        <w:keepLines w:val="0"/>
        <w:pageBreakBefore w:val="0"/>
        <w:widowControl w:val="0"/>
        <w:spacing w:line="312"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附图1  项目地理位置图</w:t>
      </w:r>
    </w:p>
    <w:p w14:paraId="17D66673">
      <w:pPr>
        <w:keepNext w:val="0"/>
        <w:keepLines w:val="0"/>
        <w:pageBreakBefore w:val="0"/>
        <w:widowControl w:val="0"/>
        <w:spacing w:line="312"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附图2  厂区平面布置图</w:t>
      </w:r>
    </w:p>
    <w:p w14:paraId="35AA8F10">
      <w:pPr>
        <w:keepNext w:val="0"/>
        <w:keepLines w:val="0"/>
        <w:pageBreakBefore w:val="0"/>
        <w:widowControl w:val="0"/>
        <w:spacing w:line="312"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附图3  环境保护目标分布图</w:t>
      </w:r>
    </w:p>
    <w:p w14:paraId="6184861B">
      <w:pPr>
        <w:keepNext w:val="0"/>
        <w:keepLines w:val="0"/>
        <w:pageBreakBefore w:val="0"/>
        <w:widowControl w:val="0"/>
        <w:spacing w:line="312"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附图4  项目水系图</w:t>
      </w:r>
    </w:p>
    <w:p w14:paraId="33668418">
      <w:pPr>
        <w:keepNext w:val="0"/>
        <w:keepLines w:val="0"/>
        <w:pageBreakBefore w:val="0"/>
        <w:widowControl w:val="0"/>
        <w:spacing w:line="312" w:lineRule="auto"/>
        <w:ind w:firstLine="480"/>
        <w:rPr>
          <w:rFonts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附图5  卫生防护距离示意图</w:t>
      </w:r>
      <w:r>
        <w:rPr>
          <w:rFonts w:ascii="Times New Roman" w:hAnsi="Times New Roman" w:eastAsia="宋体" w:cs="Times New Roman"/>
          <w:color w:val="000000"/>
          <w:sz w:val="24"/>
          <w:highlight w:val="none"/>
          <w:lang w:val="en-US" w:eastAsia="zh-CN"/>
        </w:rPr>
        <w:t xml:space="preserve"> </w:t>
      </w:r>
    </w:p>
    <w:p w14:paraId="3A38E9FE">
      <w:pPr>
        <w:keepNext w:val="0"/>
        <w:keepLines w:val="0"/>
        <w:pageBreakBefore w:val="0"/>
        <w:widowControl w:val="0"/>
        <w:spacing w:line="312" w:lineRule="auto"/>
        <w:ind w:firstLine="482"/>
        <w:rPr>
          <w:rFonts w:ascii="Times New Roman" w:hAnsi="Times New Roman" w:eastAsia="宋体" w:cs="Times New Roman"/>
          <w:b/>
          <w:bCs/>
          <w:color w:val="000000"/>
          <w:sz w:val="24"/>
          <w:highlight w:val="none"/>
        </w:rPr>
      </w:pPr>
    </w:p>
    <w:p w14:paraId="2E133E3C">
      <w:pPr>
        <w:keepNext w:val="0"/>
        <w:keepLines w:val="0"/>
        <w:pageBreakBefore w:val="0"/>
        <w:widowControl w:val="0"/>
        <w:spacing w:line="312" w:lineRule="auto"/>
        <w:ind w:firstLine="482"/>
        <w:rPr>
          <w:rFonts w:ascii="Times New Roman" w:hAnsi="Times New Roman" w:eastAsia="宋体" w:cs="Times New Roman"/>
          <w:b/>
          <w:bCs/>
          <w:color w:val="000000"/>
          <w:sz w:val="24"/>
          <w:highlight w:val="none"/>
        </w:rPr>
      </w:pPr>
      <w:r>
        <w:rPr>
          <w:rFonts w:ascii="Times New Roman" w:hAnsi="Times New Roman" w:eastAsia="宋体" w:cs="Times New Roman"/>
          <w:b/>
          <w:bCs/>
          <w:color w:val="000000"/>
          <w:sz w:val="24"/>
          <w:highlight w:val="none"/>
        </w:rPr>
        <w:t>附件</w:t>
      </w:r>
    </w:p>
    <w:p w14:paraId="39EE2E12">
      <w:pPr>
        <w:keepNext w:val="0"/>
        <w:keepLines w:val="0"/>
        <w:pageBreakBefore w:val="0"/>
        <w:widowControl w:val="0"/>
        <w:spacing w:line="312" w:lineRule="auto"/>
        <w:ind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附件1  委托书</w:t>
      </w:r>
    </w:p>
    <w:p w14:paraId="196D710F">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附件2  </w:t>
      </w:r>
      <w:r>
        <w:rPr>
          <w:rFonts w:hint="eastAsia" w:ascii="Times New Roman" w:hAnsi="Times New Roman" w:eastAsia="宋体" w:cs="Times New Roman"/>
          <w:color w:val="000000"/>
          <w:sz w:val="24"/>
          <w:szCs w:val="24"/>
          <w:highlight w:val="none"/>
          <w:lang w:val="en-US" w:eastAsia="zh-CN"/>
        </w:rPr>
        <w:t>营业执照</w:t>
      </w:r>
    </w:p>
    <w:p w14:paraId="0F882647">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附件3  </w:t>
      </w:r>
      <w:r>
        <w:rPr>
          <w:rFonts w:hint="eastAsia" w:ascii="Times New Roman" w:hAnsi="Times New Roman" w:eastAsia="宋体" w:cs="Times New Roman"/>
          <w:color w:val="000000"/>
          <w:sz w:val="24"/>
          <w:szCs w:val="24"/>
          <w:highlight w:val="none"/>
          <w:lang w:val="en-US" w:eastAsia="zh-CN"/>
        </w:rPr>
        <w:t>法人身份证</w:t>
      </w:r>
    </w:p>
    <w:p w14:paraId="1FDE9717">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附件4  </w:t>
      </w:r>
      <w:r>
        <w:rPr>
          <w:rFonts w:hint="eastAsia" w:ascii="Times New Roman" w:hAnsi="Times New Roman" w:eastAsia="宋体" w:cs="Times New Roman"/>
          <w:color w:val="000000"/>
          <w:sz w:val="24"/>
          <w:szCs w:val="24"/>
          <w:highlight w:val="none"/>
          <w:lang w:val="en-US" w:eastAsia="zh-CN"/>
        </w:rPr>
        <w:t>投资备案证</w:t>
      </w:r>
    </w:p>
    <w:p w14:paraId="095E46F5">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附件5  </w:t>
      </w:r>
      <w:r>
        <w:rPr>
          <w:rFonts w:hint="eastAsia" w:ascii="Times New Roman" w:hAnsi="Times New Roman" w:eastAsia="宋体" w:cs="Times New Roman"/>
          <w:color w:val="000000"/>
          <w:sz w:val="24"/>
          <w:szCs w:val="24"/>
          <w:highlight w:val="none"/>
          <w:lang w:val="en-US" w:eastAsia="zh-CN"/>
        </w:rPr>
        <w:t>租地合同</w:t>
      </w:r>
    </w:p>
    <w:p w14:paraId="569FBE1F">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附件6  土地证</w:t>
      </w:r>
    </w:p>
    <w:p w14:paraId="2B5FB02D">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附件7  </w:t>
      </w:r>
      <w:r>
        <w:rPr>
          <w:rFonts w:hint="eastAsia" w:ascii="Times New Roman" w:hAnsi="Times New Roman" w:eastAsia="宋体" w:cs="Times New Roman"/>
          <w:color w:val="000000"/>
          <w:sz w:val="24"/>
          <w:szCs w:val="24"/>
          <w:highlight w:val="none"/>
          <w:lang w:val="en-US" w:eastAsia="zh-CN"/>
        </w:rPr>
        <w:t>生态木材氨基胶游离甲醛检测报告</w:t>
      </w:r>
    </w:p>
    <w:p w14:paraId="49D4D773">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附件8  </w:t>
      </w:r>
      <w:r>
        <w:rPr>
          <w:rFonts w:hint="eastAsia" w:ascii="Times New Roman" w:hAnsi="Times New Roman" w:eastAsia="宋体" w:cs="Times New Roman"/>
          <w:color w:val="000000"/>
          <w:sz w:val="24"/>
          <w:szCs w:val="24"/>
          <w:highlight w:val="none"/>
          <w:lang w:val="en-US" w:eastAsia="zh-CN"/>
        </w:rPr>
        <w:t>生态木材氨基胶成分检测报告</w:t>
      </w:r>
    </w:p>
    <w:p w14:paraId="46D0CB14">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附件</w:t>
      </w:r>
      <w:r>
        <w:rPr>
          <w:rFonts w:hint="eastAsia" w:ascii="Times New Roman" w:hAnsi="Times New Roman" w:eastAsia="宋体" w:cs="Times New Roman"/>
          <w:color w:val="000000"/>
          <w:sz w:val="24"/>
          <w:szCs w:val="24"/>
          <w:highlight w:val="none"/>
          <w:lang w:val="en-US" w:eastAsia="zh-CN"/>
        </w:rPr>
        <w:t xml:space="preserve">9  </w:t>
      </w:r>
      <w:r>
        <w:rPr>
          <w:rFonts w:ascii="Times New Roman" w:hAnsi="Times New Roman" w:eastAsia="宋体" w:cs="Times New Roman"/>
          <w:color w:val="000000"/>
          <w:sz w:val="24"/>
        </w:rPr>
        <w:t>生物质成型燃料成分分析报告</w:t>
      </w:r>
    </w:p>
    <w:p w14:paraId="43ECE2F6">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附件</w:t>
      </w:r>
      <w:r>
        <w:rPr>
          <w:rFonts w:hint="eastAsia" w:ascii="Times New Roman" w:hAnsi="Times New Roman" w:eastAsia="宋体" w:cs="Times New Roman"/>
          <w:color w:val="000000"/>
          <w:sz w:val="24"/>
          <w:szCs w:val="24"/>
          <w:highlight w:val="none"/>
          <w:lang w:val="en-US" w:eastAsia="zh-CN"/>
        </w:rPr>
        <w:t>10</w:t>
      </w:r>
      <w:r>
        <w:rPr>
          <w:rFonts w:ascii="Times New Roman" w:hAnsi="Times New Roman" w:eastAsia="宋体" w:cs="Times New Roman"/>
          <w:color w:val="000000"/>
          <w:sz w:val="24"/>
          <w:szCs w:val="24"/>
          <w:highlight w:val="none"/>
          <w:lang w:val="en-US" w:eastAsia="zh-CN"/>
        </w:rPr>
        <w:t xml:space="preserve">  </w:t>
      </w:r>
      <w:r>
        <w:rPr>
          <w:rFonts w:hint="eastAsia" w:ascii="Times New Roman" w:hAnsi="Times New Roman" w:eastAsia="宋体" w:cs="Times New Roman"/>
          <w:color w:val="000000"/>
          <w:sz w:val="24"/>
          <w:szCs w:val="24"/>
          <w:highlight w:val="none"/>
          <w:lang w:val="en-US" w:eastAsia="zh-CN"/>
        </w:rPr>
        <w:t>环境现状检测报告</w:t>
      </w:r>
    </w:p>
    <w:p w14:paraId="15902ED6">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附件</w:t>
      </w:r>
      <w:r>
        <w:rPr>
          <w:rFonts w:hint="eastAsia" w:ascii="Times New Roman" w:hAnsi="Times New Roman" w:eastAsia="宋体" w:cs="Times New Roman"/>
          <w:color w:val="000000"/>
          <w:sz w:val="24"/>
          <w:szCs w:val="24"/>
          <w:highlight w:val="none"/>
          <w:lang w:val="en-US" w:eastAsia="zh-CN"/>
        </w:rPr>
        <w:t>11</w:t>
      </w:r>
      <w:r>
        <w:rPr>
          <w:rFonts w:ascii="Times New Roman" w:hAnsi="Times New Roman" w:eastAsia="宋体" w:cs="Times New Roman"/>
          <w:color w:val="000000"/>
          <w:sz w:val="24"/>
          <w:szCs w:val="24"/>
          <w:highlight w:val="none"/>
          <w:lang w:val="en-US" w:eastAsia="zh-CN"/>
        </w:rPr>
        <w:t xml:space="preserve">  环评合同</w:t>
      </w:r>
    </w:p>
    <w:p w14:paraId="43725626">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附件</w:t>
      </w:r>
      <w:r>
        <w:rPr>
          <w:rFonts w:hint="eastAsia" w:ascii="Times New Roman" w:hAnsi="Times New Roman" w:eastAsia="宋体" w:cs="Times New Roman"/>
          <w:color w:val="000000"/>
          <w:sz w:val="24"/>
          <w:szCs w:val="24"/>
          <w:highlight w:val="none"/>
          <w:lang w:val="en-US" w:eastAsia="zh-CN"/>
        </w:rPr>
        <w:t>12</w:t>
      </w:r>
      <w:r>
        <w:rPr>
          <w:rFonts w:ascii="Times New Roman" w:hAnsi="Times New Roman" w:eastAsia="宋体" w:cs="Times New Roman"/>
          <w:color w:val="000000"/>
          <w:sz w:val="24"/>
          <w:szCs w:val="24"/>
          <w:highlight w:val="none"/>
          <w:lang w:val="en-US" w:eastAsia="zh-CN"/>
        </w:rPr>
        <w:t xml:space="preserve">  </w:t>
      </w:r>
      <w:r>
        <w:rPr>
          <w:rFonts w:ascii="Times New Roman" w:hAnsi="Times New Roman" w:eastAsia="宋体" w:cs="Times New Roman"/>
          <w:color w:val="000000"/>
          <w:sz w:val="24"/>
          <w:highlight w:val="none"/>
        </w:rPr>
        <w:t>公司内部进度表、审核表</w:t>
      </w:r>
    </w:p>
    <w:p w14:paraId="01B607B5">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p>
    <w:p w14:paraId="0B9ACB21">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p>
    <w:p w14:paraId="1A71AC5C">
      <w:pPr>
        <w:keepNext w:val="0"/>
        <w:keepLines w:val="0"/>
        <w:pageBreakBefore w:val="0"/>
        <w:widowControl w:val="0"/>
        <w:spacing w:line="312"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 </w:t>
      </w:r>
    </w:p>
    <w:p w14:paraId="6BB224FB">
      <w:pPr>
        <w:pStyle w:val="210"/>
        <w:keepNext w:val="0"/>
        <w:keepLines w:val="0"/>
        <w:pageBreakBefore w:val="0"/>
        <w:widowControl/>
        <w:spacing w:before="0" w:beforeAutospacing="0" w:after="0" w:afterAutospacing="0"/>
        <w:jc w:val="center"/>
        <w:outlineLvl w:val="0"/>
        <w:rPr>
          <w:rFonts w:ascii="Times New Roman" w:hAnsi="Times New Roman" w:eastAsia="宋体" w:cs="Times New Roman"/>
          <w:b/>
          <w:bCs/>
          <w:color w:val="000000"/>
          <w:sz w:val="32"/>
          <w:szCs w:val="32"/>
          <w:highlight w:val="none"/>
        </w:rPr>
        <w:sectPr>
          <w:footerReference r:id="rId4" w:type="default"/>
          <w:pgSz w:w="11906" w:h="16838" w:orient="landscape"/>
          <w:pgMar w:top="1134" w:right="1134" w:bottom="1134" w:left="1134" w:header="851" w:footer="1077" w:gutter="0"/>
          <w:pgNumType w:start="1"/>
          <w:cols w:space="1701" w:num="1"/>
        </w:sectPr>
      </w:pPr>
      <w:bookmarkStart w:id="0" w:name="_Toc31698"/>
    </w:p>
    <w:p w14:paraId="4E5AA987">
      <w:pPr>
        <w:pStyle w:val="210"/>
        <w:keepNext w:val="0"/>
        <w:keepLines w:val="0"/>
        <w:pageBreakBefore w:val="0"/>
        <w:widowControl/>
        <w:spacing w:before="0" w:beforeAutospacing="0" w:after="0" w:afterAutospacing="0"/>
        <w:jc w:val="center"/>
        <w:outlineLvl w:val="0"/>
        <w:rPr>
          <w:rFonts w:ascii="Times New Roman" w:hAnsi="Times New Roman" w:eastAsia="宋体" w:cs="Times New Roman"/>
          <w:b/>
          <w:bCs/>
          <w:color w:val="000000"/>
          <w:sz w:val="32"/>
          <w:szCs w:val="32"/>
          <w:highlight w:val="none"/>
        </w:rPr>
      </w:pPr>
      <w:r>
        <w:rPr>
          <w:rFonts w:ascii="Times New Roman" w:hAnsi="Times New Roman" w:eastAsia="宋体" w:cs="Times New Roman"/>
          <w:b/>
          <w:bCs/>
          <w:color w:val="000000"/>
          <w:sz w:val="32"/>
          <w:szCs w:val="32"/>
          <w:highlight w:val="none"/>
        </w:rPr>
        <w:t>一、建设项目基本情况</w:t>
      </w:r>
      <w:bookmarkEnd w:id="0"/>
    </w:p>
    <w:tbl>
      <w:tblPr>
        <w:tblStyle w:val="29"/>
        <w:tblW w:w="977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16" w:type="dxa"/>
          <w:left w:w="16" w:type="dxa"/>
          <w:bottom w:w="0" w:type="dxa"/>
          <w:right w:w="16" w:type="dxa"/>
        </w:tblCellMar>
      </w:tblPr>
      <w:tblGrid>
        <w:gridCol w:w="1885"/>
        <w:gridCol w:w="2850"/>
        <w:gridCol w:w="1822"/>
        <w:gridCol w:w="3218"/>
      </w:tblGrid>
      <w:tr w14:paraId="1BE57C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226F8A1F">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建设项目名称</w:t>
            </w:r>
          </w:p>
        </w:tc>
        <w:tc>
          <w:tcPr>
            <w:tcW w:w="7890" w:type="dxa"/>
            <w:gridSpan w:val="3"/>
            <w:noWrap w:val="0"/>
            <w:vAlign w:val="center"/>
          </w:tcPr>
          <w:p w14:paraId="38B4518D">
            <w:pPr>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芒市杰顺木业有限公司木材厂建设项目</w:t>
            </w:r>
          </w:p>
        </w:tc>
      </w:tr>
      <w:tr w14:paraId="31186F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1B2738BA">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项目代码</w:t>
            </w:r>
          </w:p>
        </w:tc>
        <w:tc>
          <w:tcPr>
            <w:tcW w:w="7890" w:type="dxa"/>
            <w:gridSpan w:val="3"/>
            <w:noWrap w:val="0"/>
            <w:vAlign w:val="center"/>
          </w:tcPr>
          <w:p w14:paraId="7D551D2B">
            <w:pPr>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2302-533103-04-01-459499</w:t>
            </w:r>
          </w:p>
        </w:tc>
      </w:tr>
      <w:tr w14:paraId="00041A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36CFC9C0">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建设单位联系人</w:t>
            </w:r>
          </w:p>
        </w:tc>
        <w:tc>
          <w:tcPr>
            <w:tcW w:w="2850" w:type="dxa"/>
            <w:noWrap w:val="0"/>
            <w:vAlign w:val="center"/>
          </w:tcPr>
          <w:p w14:paraId="2428050A">
            <w:pPr>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田建英</w:t>
            </w:r>
          </w:p>
        </w:tc>
        <w:tc>
          <w:tcPr>
            <w:tcW w:w="1822" w:type="dxa"/>
            <w:noWrap w:val="0"/>
            <w:vAlign w:val="center"/>
          </w:tcPr>
          <w:p w14:paraId="3C157C83">
            <w:pPr>
              <w:jc w:val="center"/>
              <w:rPr>
                <w:rFonts w:ascii="Times New Roman" w:hAnsi="Times New Roman" w:eastAsia="宋体" w:cs="Times New Roman"/>
                <w:color w:val="000000"/>
                <w:sz w:val="24"/>
                <w:szCs w:val="24"/>
                <w:highlight w:val="none"/>
              </w:rPr>
            </w:pPr>
            <w:r>
              <w:rPr>
                <w:rFonts w:ascii="Times New Roman" w:hAnsi="Times New Roman" w:eastAsia="宋体" w:cs="Times New Roman"/>
                <w:b/>
                <w:bCs/>
                <w:color w:val="000000"/>
                <w:sz w:val="24"/>
                <w:szCs w:val="24"/>
                <w:highlight w:val="none"/>
              </w:rPr>
              <w:t>联系方式</w:t>
            </w:r>
          </w:p>
        </w:tc>
        <w:tc>
          <w:tcPr>
            <w:tcW w:w="3218" w:type="dxa"/>
            <w:noWrap w:val="0"/>
            <w:vAlign w:val="center"/>
          </w:tcPr>
          <w:p w14:paraId="4E293A62">
            <w:pPr>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153****0207</w:t>
            </w:r>
          </w:p>
        </w:tc>
      </w:tr>
      <w:tr w14:paraId="105158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235F0E42">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建设地点</w:t>
            </w:r>
          </w:p>
        </w:tc>
        <w:tc>
          <w:tcPr>
            <w:tcW w:w="7890" w:type="dxa"/>
            <w:gridSpan w:val="3"/>
            <w:noWrap w:val="0"/>
            <w:vAlign w:val="center"/>
          </w:tcPr>
          <w:p w14:paraId="24B66F35">
            <w:pPr>
              <w:keepNext w:val="0"/>
              <w:keepLines w:val="0"/>
              <w:pageBreakBefore w:val="0"/>
              <w:widowControl w:val="0"/>
              <w:ind w:firstLine="0"/>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云南省德宏州芒市风平镇帕底村芒市糖厂</w:t>
            </w:r>
          </w:p>
        </w:tc>
      </w:tr>
      <w:tr w14:paraId="040DD4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4C033AFC">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地理坐标</w:t>
            </w:r>
          </w:p>
        </w:tc>
        <w:tc>
          <w:tcPr>
            <w:tcW w:w="7890" w:type="dxa"/>
            <w:gridSpan w:val="3"/>
            <w:noWrap w:val="0"/>
            <w:vAlign w:val="center"/>
          </w:tcPr>
          <w:p w14:paraId="1214636E">
            <w:pPr>
              <w:jc w:val="center"/>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东经98°28′43.861″，北纬24°22′50.303″</w:t>
            </w:r>
          </w:p>
        </w:tc>
      </w:tr>
      <w:tr w14:paraId="29D7FB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6B9A68E8">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国民经济</w:t>
            </w:r>
          </w:p>
          <w:p w14:paraId="1BBA3A45">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行业类别</w:t>
            </w:r>
          </w:p>
        </w:tc>
        <w:tc>
          <w:tcPr>
            <w:tcW w:w="2850" w:type="dxa"/>
            <w:noWrap w:val="0"/>
            <w:vAlign w:val="center"/>
          </w:tcPr>
          <w:p w14:paraId="7E81B15B">
            <w:pPr>
              <w:jc w:val="center"/>
              <w:rPr>
                <w:rFonts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C2013 单板加工</w:t>
            </w:r>
          </w:p>
        </w:tc>
        <w:tc>
          <w:tcPr>
            <w:tcW w:w="1822" w:type="dxa"/>
            <w:noWrap w:val="0"/>
            <w:vAlign w:val="center"/>
          </w:tcPr>
          <w:p w14:paraId="26E7C77A">
            <w:pPr>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建设项目</w:t>
            </w:r>
          </w:p>
          <w:p w14:paraId="38DB5C9C">
            <w:pPr>
              <w:jc w:val="center"/>
              <w:rPr>
                <w:rFonts w:ascii="Times New Roman" w:hAnsi="Times New Roman" w:eastAsia="宋体" w:cs="Times New Roman"/>
                <w:b/>
                <w:bCs/>
                <w:color w:val="000000"/>
                <w:sz w:val="24"/>
                <w:szCs w:val="24"/>
                <w:lang w:val="en-US" w:eastAsia="zh-CN" w:bidi="ar-SA"/>
              </w:rPr>
            </w:pPr>
            <w:r>
              <w:rPr>
                <w:rFonts w:ascii="Times New Roman" w:hAnsi="Times New Roman" w:eastAsia="宋体" w:cs="Times New Roman"/>
                <w:b/>
                <w:bCs/>
                <w:color w:val="000000"/>
                <w:sz w:val="24"/>
                <w:szCs w:val="24"/>
              </w:rPr>
              <w:t>行业类别</w:t>
            </w:r>
          </w:p>
        </w:tc>
        <w:tc>
          <w:tcPr>
            <w:tcW w:w="3218" w:type="dxa"/>
            <w:noWrap w:val="0"/>
            <w:vAlign w:val="center"/>
          </w:tcPr>
          <w:p w14:paraId="40DC4629">
            <w:pPr>
              <w:jc w:val="center"/>
              <w:rPr>
                <w:rFonts w:ascii="Times New Roman" w:hAnsi="Times New Roman" w:eastAsia="宋体" w:cs="Times New Roman"/>
                <w:color w:val="000000"/>
                <w:sz w:val="24"/>
                <w:szCs w:val="24"/>
                <w:lang w:val="en-US" w:eastAsia="zh-CN" w:bidi="ar-SA"/>
              </w:rPr>
            </w:pPr>
            <w:r>
              <w:rPr>
                <w:rFonts w:ascii="Times New Roman" w:hAnsi="Times New Roman" w:eastAsia="宋体" w:cs="Times New Roman"/>
                <w:color w:val="000000"/>
                <w:sz w:val="24"/>
                <w:szCs w:val="24"/>
                <w:lang w:val="en-US" w:eastAsia="zh-CN" w:bidi="ar-SA"/>
              </w:rPr>
              <w:t>十七、木材加工和木、竹、藤、棕、草制品业 20</w:t>
            </w:r>
            <w:r>
              <w:rPr>
                <w:rFonts w:hint="eastAsia" w:ascii="Times New Roman" w:hAnsi="Times New Roman" w:eastAsia="宋体" w:cs="Times New Roman"/>
                <w:color w:val="000000"/>
                <w:sz w:val="24"/>
                <w:szCs w:val="24"/>
                <w:lang w:val="en-US" w:eastAsia="zh-CN" w:bidi="ar-SA"/>
              </w:rPr>
              <w:t>—33 木材加工 201 含木片烘干、水煮、染色等工艺的</w:t>
            </w:r>
          </w:p>
        </w:tc>
      </w:tr>
      <w:tr w14:paraId="4E9FA3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13C46176">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建设性质</w:t>
            </w:r>
          </w:p>
        </w:tc>
        <w:tc>
          <w:tcPr>
            <w:tcW w:w="2850" w:type="dxa"/>
            <w:noWrap w:val="0"/>
            <w:vAlign w:val="center"/>
          </w:tcPr>
          <w:p w14:paraId="6655FD7B">
            <w:pPr>
              <w:jc w:val="left"/>
              <w:rPr>
                <w:rFonts w:ascii="Times New Roman" w:hAnsi="Times New Roman" w:eastAsia="宋体" w:cs="Times New Roman"/>
                <w:color w:val="000000"/>
                <w:sz w:val="24"/>
                <w:szCs w:val="24"/>
                <w:highlight w:val="none"/>
                <w:lang w:val="en-US" w:eastAsia="zh-CN"/>
              </w:rPr>
            </w:pPr>
            <w:r>
              <w:rPr>
                <w:rFonts w:ascii="Wingdings 2" w:hAnsi="Wingdings 2" w:eastAsia="Wingdings 2" w:cs="Wingdings 2"/>
                <w:color w:val="000000"/>
                <w:sz w:val="24"/>
                <w:szCs w:val="24"/>
                <w:highlight w:val="none"/>
              </w:rPr>
              <w:t>R</w:t>
            </w:r>
            <w:r>
              <w:rPr>
                <w:rFonts w:ascii="Times New Roman" w:hAnsi="Times New Roman" w:eastAsia="宋体" w:cs="Times New Roman"/>
                <w:color w:val="000000"/>
                <w:sz w:val="24"/>
                <w:szCs w:val="24"/>
                <w:highlight w:val="none"/>
              </w:rPr>
              <w:t>新建（迁建）</w:t>
            </w:r>
          </w:p>
          <w:p w14:paraId="129EA23A">
            <w:pPr>
              <w:jc w:val="left"/>
              <w:rPr>
                <w:rFonts w:ascii="Times New Roman" w:hAnsi="Times New Roman" w:eastAsia="宋体" w:cs="Times New Roman"/>
                <w:color w:val="000000"/>
                <w:sz w:val="24"/>
                <w:szCs w:val="24"/>
                <w:highlight w:val="none"/>
              </w:rPr>
            </w:pPr>
            <w:r>
              <w:rPr>
                <w:rFonts w:ascii="Wingdings 2" w:hAnsi="Wingdings 2" w:eastAsia="Wingdings 2" w:cs="Wingdings 2"/>
                <w:color w:val="000000"/>
                <w:sz w:val="24"/>
                <w:szCs w:val="24"/>
                <w:highlight w:val="none"/>
              </w:rPr>
              <w:t>£</w:t>
            </w:r>
            <w:r>
              <w:rPr>
                <w:rFonts w:ascii="Times New Roman" w:hAnsi="Times New Roman" w:eastAsia="宋体" w:cs="Times New Roman"/>
                <w:color w:val="000000"/>
                <w:sz w:val="24"/>
                <w:szCs w:val="24"/>
                <w:highlight w:val="none"/>
              </w:rPr>
              <w:t>改建</w:t>
            </w:r>
          </w:p>
          <w:p w14:paraId="3F748BF6">
            <w:pPr>
              <w:jc w:val="left"/>
              <w:rPr>
                <w:rFonts w:ascii="Times New Roman" w:hAnsi="Times New Roman" w:eastAsia="宋体" w:cs="Times New Roman"/>
                <w:color w:val="000000"/>
                <w:sz w:val="24"/>
                <w:szCs w:val="24"/>
                <w:highlight w:val="none"/>
              </w:rPr>
            </w:pPr>
            <w:r>
              <w:rPr>
                <w:rFonts w:ascii="Wingdings 2" w:hAnsi="Wingdings 2" w:eastAsia="Wingdings 2" w:cs="Wingdings 2"/>
                <w:color w:val="000000"/>
                <w:sz w:val="24"/>
                <w:szCs w:val="24"/>
                <w:highlight w:val="none"/>
              </w:rPr>
              <w:t>£</w:t>
            </w:r>
            <w:r>
              <w:rPr>
                <w:rFonts w:ascii="Times New Roman" w:hAnsi="Times New Roman" w:eastAsia="宋体" w:cs="Times New Roman"/>
                <w:color w:val="000000"/>
                <w:sz w:val="24"/>
                <w:szCs w:val="24"/>
                <w:highlight w:val="none"/>
              </w:rPr>
              <w:t>扩建</w:t>
            </w:r>
          </w:p>
          <w:p w14:paraId="07A0CF6F">
            <w:pPr>
              <w:jc w:val="left"/>
              <w:rPr>
                <w:rFonts w:ascii="Times New Roman" w:hAnsi="Times New Roman" w:eastAsia="宋体" w:cs="Times New Roman"/>
                <w:color w:val="000000"/>
                <w:sz w:val="24"/>
                <w:szCs w:val="24"/>
                <w:highlight w:val="none"/>
              </w:rPr>
            </w:pPr>
            <w:r>
              <w:rPr>
                <w:rFonts w:ascii="Wingdings 2" w:hAnsi="Wingdings 2" w:eastAsia="Wingdings 2" w:cs="Wingdings 2"/>
                <w:color w:val="000000"/>
                <w:sz w:val="24"/>
                <w:szCs w:val="24"/>
                <w:highlight w:val="none"/>
              </w:rPr>
              <w:t>£</w:t>
            </w:r>
            <w:r>
              <w:rPr>
                <w:rFonts w:ascii="Times New Roman" w:hAnsi="Times New Roman" w:eastAsia="宋体" w:cs="Times New Roman"/>
                <w:color w:val="000000"/>
                <w:sz w:val="24"/>
                <w:szCs w:val="24"/>
                <w:highlight w:val="none"/>
              </w:rPr>
              <w:t>技术改造</w:t>
            </w:r>
          </w:p>
        </w:tc>
        <w:tc>
          <w:tcPr>
            <w:tcW w:w="1822" w:type="dxa"/>
            <w:noWrap w:val="0"/>
            <w:vAlign w:val="center"/>
          </w:tcPr>
          <w:p w14:paraId="26CCE17D">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建设项目</w:t>
            </w:r>
          </w:p>
          <w:p w14:paraId="18AA749C">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申报情形</w:t>
            </w:r>
          </w:p>
        </w:tc>
        <w:tc>
          <w:tcPr>
            <w:tcW w:w="3218" w:type="dxa"/>
            <w:noWrap w:val="0"/>
            <w:vAlign w:val="center"/>
          </w:tcPr>
          <w:p w14:paraId="74DB03D8">
            <w:pPr>
              <w:keepNext w:val="0"/>
              <w:keepLines w:val="0"/>
              <w:pageBreakBefore w:val="0"/>
              <w:widowControl w:val="0"/>
              <w:jc w:val="left"/>
              <w:rPr>
                <w:rFonts w:ascii="Times New Roman" w:hAnsi="Times New Roman" w:eastAsia="宋体" w:cs="Times New Roman"/>
                <w:color w:val="000000"/>
                <w:sz w:val="24"/>
                <w:szCs w:val="24"/>
                <w:highlight w:val="none"/>
              </w:rPr>
            </w:pPr>
            <w:r>
              <w:rPr>
                <w:rFonts w:ascii="Wingdings 2" w:hAnsi="Wingdings 2" w:eastAsia="Wingdings 2" w:cs="Wingdings 2"/>
                <w:color w:val="000000"/>
                <w:sz w:val="24"/>
                <w:szCs w:val="24"/>
                <w:highlight w:val="none"/>
              </w:rPr>
              <w:t>R</w:t>
            </w:r>
            <w:r>
              <w:rPr>
                <w:rFonts w:ascii="Times New Roman" w:hAnsi="Times New Roman" w:eastAsia="宋体" w:cs="Times New Roman"/>
                <w:color w:val="000000"/>
                <w:sz w:val="24"/>
                <w:szCs w:val="24"/>
                <w:highlight w:val="none"/>
              </w:rPr>
              <w:t>首次申报项目</w:t>
            </w:r>
          </w:p>
          <w:p w14:paraId="4ED4924D">
            <w:pPr>
              <w:keepNext w:val="0"/>
              <w:keepLines w:val="0"/>
              <w:pageBreakBefore w:val="0"/>
              <w:widowControl w:val="0"/>
              <w:jc w:val="left"/>
              <w:rPr>
                <w:rFonts w:ascii="Times New Roman" w:hAnsi="Times New Roman" w:eastAsia="宋体" w:cs="Times New Roman"/>
                <w:color w:val="000000"/>
                <w:sz w:val="24"/>
                <w:szCs w:val="24"/>
                <w:highlight w:val="none"/>
              </w:rPr>
            </w:pPr>
            <w:r>
              <w:rPr>
                <w:rFonts w:ascii="Wingdings 2" w:hAnsi="Wingdings 2" w:eastAsia="Wingdings 2" w:cs="Wingdings 2"/>
                <w:color w:val="000000"/>
                <w:sz w:val="24"/>
                <w:szCs w:val="24"/>
                <w:highlight w:val="none"/>
              </w:rPr>
              <w:t>£</w:t>
            </w:r>
            <w:r>
              <w:rPr>
                <w:rFonts w:ascii="Times New Roman" w:hAnsi="Times New Roman" w:eastAsia="宋体" w:cs="Times New Roman"/>
                <w:color w:val="000000"/>
                <w:sz w:val="24"/>
                <w:szCs w:val="24"/>
                <w:highlight w:val="none"/>
              </w:rPr>
              <w:t>不予批准后再次申报项目</w:t>
            </w:r>
          </w:p>
          <w:p w14:paraId="3B731E00">
            <w:pPr>
              <w:keepNext w:val="0"/>
              <w:keepLines w:val="0"/>
              <w:pageBreakBefore w:val="0"/>
              <w:widowControl w:val="0"/>
              <w:jc w:val="left"/>
              <w:rPr>
                <w:rFonts w:ascii="Times New Roman" w:hAnsi="Times New Roman" w:eastAsia="宋体" w:cs="Times New Roman"/>
                <w:color w:val="000000"/>
                <w:sz w:val="24"/>
                <w:szCs w:val="24"/>
                <w:highlight w:val="none"/>
              </w:rPr>
            </w:pPr>
            <w:r>
              <w:rPr>
                <w:rFonts w:ascii="Wingdings 2" w:hAnsi="Wingdings 2" w:eastAsia="Wingdings 2" w:cs="Wingdings 2"/>
                <w:color w:val="000000"/>
                <w:sz w:val="24"/>
                <w:szCs w:val="24"/>
                <w:highlight w:val="none"/>
              </w:rPr>
              <w:t>£</w:t>
            </w:r>
            <w:r>
              <w:rPr>
                <w:rFonts w:ascii="Times New Roman" w:hAnsi="Times New Roman" w:eastAsia="宋体" w:cs="Times New Roman"/>
                <w:color w:val="000000"/>
                <w:sz w:val="24"/>
                <w:szCs w:val="24"/>
                <w:highlight w:val="none"/>
              </w:rPr>
              <w:t>超五年重新审核项目</w:t>
            </w:r>
          </w:p>
          <w:p w14:paraId="5014B376">
            <w:pPr>
              <w:keepNext w:val="0"/>
              <w:keepLines w:val="0"/>
              <w:pageBreakBefore w:val="0"/>
              <w:widowControl w:val="0"/>
              <w:jc w:val="left"/>
              <w:rPr>
                <w:rFonts w:ascii="Times New Roman" w:hAnsi="Times New Roman" w:eastAsia="宋体" w:cs="Times New Roman"/>
                <w:color w:val="000000"/>
                <w:sz w:val="24"/>
                <w:szCs w:val="24"/>
                <w:highlight w:val="none"/>
              </w:rPr>
            </w:pPr>
            <w:r>
              <w:rPr>
                <w:rFonts w:ascii="Wingdings 2" w:hAnsi="Wingdings 2" w:eastAsia="Wingdings 2" w:cs="Wingdings 2"/>
                <w:color w:val="000000"/>
                <w:sz w:val="24"/>
                <w:szCs w:val="24"/>
                <w:highlight w:val="none"/>
              </w:rPr>
              <w:t>£</w:t>
            </w:r>
            <w:r>
              <w:rPr>
                <w:rFonts w:ascii="Times New Roman" w:hAnsi="Times New Roman" w:eastAsia="宋体" w:cs="Times New Roman"/>
                <w:color w:val="000000"/>
                <w:sz w:val="24"/>
                <w:szCs w:val="24"/>
                <w:highlight w:val="none"/>
              </w:rPr>
              <w:t>重大变动重新报批项目</w:t>
            </w:r>
          </w:p>
        </w:tc>
      </w:tr>
      <w:tr w14:paraId="35FBCB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5DA38D9F">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项目审批（核准/备案）部门（选填）</w:t>
            </w:r>
          </w:p>
        </w:tc>
        <w:tc>
          <w:tcPr>
            <w:tcW w:w="2850" w:type="dxa"/>
            <w:noWrap w:val="0"/>
            <w:vAlign w:val="center"/>
          </w:tcPr>
          <w:p w14:paraId="462ADFDF">
            <w:pPr>
              <w:jc w:val="center"/>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芒市发展和改革局</w:t>
            </w:r>
          </w:p>
        </w:tc>
        <w:tc>
          <w:tcPr>
            <w:tcW w:w="1822" w:type="dxa"/>
            <w:noWrap w:val="0"/>
            <w:vAlign w:val="center"/>
          </w:tcPr>
          <w:p w14:paraId="56DAC450">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项目审批（核准/备案）文号（选填）</w:t>
            </w:r>
          </w:p>
        </w:tc>
        <w:tc>
          <w:tcPr>
            <w:tcW w:w="3218" w:type="dxa"/>
            <w:noWrap w:val="0"/>
            <w:vAlign w:val="center"/>
          </w:tcPr>
          <w:p w14:paraId="38D483E2">
            <w:pPr>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2302-533103-04-01-459499</w:t>
            </w:r>
          </w:p>
        </w:tc>
      </w:tr>
      <w:tr w14:paraId="343BEF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90" w:hRule="atLeast"/>
          <w:jc w:val="center"/>
        </w:trPr>
        <w:tc>
          <w:tcPr>
            <w:tcW w:w="1885" w:type="dxa"/>
            <w:noWrap w:val="0"/>
            <w:tcMar>
              <w:top w:w="16" w:type="dxa"/>
              <w:left w:w="16" w:type="dxa"/>
              <w:right w:w="16" w:type="dxa"/>
            </w:tcMar>
            <w:vAlign w:val="center"/>
          </w:tcPr>
          <w:p w14:paraId="48BCABEE">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总投资（万元）</w:t>
            </w:r>
          </w:p>
        </w:tc>
        <w:tc>
          <w:tcPr>
            <w:tcW w:w="2850" w:type="dxa"/>
            <w:noWrap w:val="0"/>
            <w:vAlign w:val="center"/>
          </w:tcPr>
          <w:p w14:paraId="22B48EB5">
            <w:pPr>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300</w:t>
            </w:r>
          </w:p>
        </w:tc>
        <w:tc>
          <w:tcPr>
            <w:tcW w:w="1822" w:type="dxa"/>
            <w:noWrap w:val="0"/>
            <w:tcMar>
              <w:top w:w="16" w:type="dxa"/>
              <w:left w:w="16" w:type="dxa"/>
              <w:right w:w="16" w:type="dxa"/>
            </w:tcMar>
            <w:vAlign w:val="center"/>
          </w:tcPr>
          <w:p w14:paraId="53AF3E3E">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环保投资（万元）</w:t>
            </w:r>
          </w:p>
        </w:tc>
        <w:tc>
          <w:tcPr>
            <w:tcW w:w="3218" w:type="dxa"/>
            <w:noWrap w:val="0"/>
            <w:vAlign w:val="center"/>
          </w:tcPr>
          <w:p w14:paraId="4C9E8993">
            <w:pPr>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27.5</w:t>
            </w:r>
          </w:p>
        </w:tc>
      </w:tr>
      <w:tr w14:paraId="717F68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3AFA4F61">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环保投资占比（%）</w:t>
            </w:r>
          </w:p>
        </w:tc>
        <w:tc>
          <w:tcPr>
            <w:tcW w:w="2850" w:type="dxa"/>
            <w:noWrap w:val="0"/>
            <w:vAlign w:val="center"/>
          </w:tcPr>
          <w:p w14:paraId="39FDC747">
            <w:pPr>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9.17</w:t>
            </w:r>
          </w:p>
        </w:tc>
        <w:tc>
          <w:tcPr>
            <w:tcW w:w="1822" w:type="dxa"/>
            <w:noWrap w:val="0"/>
            <w:tcMar>
              <w:top w:w="16" w:type="dxa"/>
              <w:left w:w="16" w:type="dxa"/>
              <w:right w:w="16" w:type="dxa"/>
            </w:tcMar>
            <w:vAlign w:val="center"/>
          </w:tcPr>
          <w:p w14:paraId="389FDD57">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施工工期</w:t>
            </w:r>
          </w:p>
        </w:tc>
        <w:tc>
          <w:tcPr>
            <w:tcW w:w="3218" w:type="dxa"/>
            <w:noWrap w:val="0"/>
            <w:vAlign w:val="center"/>
          </w:tcPr>
          <w:p w14:paraId="6F8E01BC">
            <w:pPr>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2</w:t>
            </w:r>
            <w:r>
              <w:rPr>
                <w:rFonts w:ascii="Times New Roman" w:hAnsi="Times New Roman" w:eastAsia="宋体" w:cs="Times New Roman"/>
                <w:color w:val="000000"/>
                <w:sz w:val="24"/>
                <w:szCs w:val="24"/>
                <w:highlight w:val="none"/>
                <w:lang w:val="en-US" w:eastAsia="zh-CN"/>
              </w:rPr>
              <w:t>个月</w:t>
            </w:r>
          </w:p>
        </w:tc>
      </w:tr>
      <w:tr w14:paraId="1D549D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tcMar>
              <w:top w:w="16" w:type="dxa"/>
              <w:left w:w="16" w:type="dxa"/>
              <w:right w:w="16" w:type="dxa"/>
            </w:tcMar>
            <w:vAlign w:val="center"/>
          </w:tcPr>
          <w:p w14:paraId="410DB46A">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是否开工建设</w:t>
            </w:r>
          </w:p>
        </w:tc>
        <w:tc>
          <w:tcPr>
            <w:tcW w:w="2850" w:type="dxa"/>
            <w:noWrap w:val="0"/>
            <w:vAlign w:val="center"/>
          </w:tcPr>
          <w:p w14:paraId="168497B9">
            <w:pPr>
              <w:rPr>
                <w:rFonts w:ascii="Times New Roman" w:hAnsi="Times New Roman" w:eastAsia="宋体" w:cs="Times New Roman"/>
                <w:color w:val="000000"/>
                <w:sz w:val="24"/>
                <w:szCs w:val="24"/>
                <w:highlight w:val="none"/>
              </w:rPr>
            </w:pPr>
            <w:r>
              <w:rPr>
                <w:rFonts w:ascii="Wingdings 2" w:hAnsi="Wingdings 2" w:eastAsia="Wingdings 2" w:cs="Wingdings 2"/>
                <w:color w:val="000000"/>
                <w:sz w:val="24"/>
                <w:szCs w:val="24"/>
                <w:highlight w:val="none"/>
              </w:rPr>
              <w:t>R</w:t>
            </w:r>
            <w:r>
              <w:rPr>
                <w:rFonts w:ascii="Times New Roman" w:hAnsi="Times New Roman" w:eastAsia="宋体" w:cs="Times New Roman"/>
                <w:color w:val="000000"/>
                <w:sz w:val="24"/>
                <w:szCs w:val="24"/>
                <w:highlight w:val="none"/>
              </w:rPr>
              <w:t>否</w:t>
            </w:r>
          </w:p>
          <w:p w14:paraId="1160C5F1">
            <w:pPr>
              <w:rPr>
                <w:rFonts w:ascii="Times New Roman" w:hAnsi="Times New Roman" w:eastAsia="宋体" w:cs="Times New Roman"/>
                <w:color w:val="000000"/>
                <w:sz w:val="24"/>
                <w:szCs w:val="24"/>
                <w:highlight w:val="none"/>
                <w:lang w:val="en-US" w:eastAsia="zh-CN"/>
              </w:rPr>
            </w:pPr>
            <w:r>
              <w:rPr>
                <w:rFonts w:ascii="Wingdings 2" w:hAnsi="Wingdings 2" w:eastAsia="Wingdings 2" w:cs="Wingdings 2"/>
                <w:color w:val="000000"/>
                <w:sz w:val="24"/>
                <w:szCs w:val="24"/>
                <w:highlight w:val="none"/>
              </w:rPr>
              <w:t>£</w:t>
            </w:r>
            <w:r>
              <w:rPr>
                <w:rFonts w:ascii="Times New Roman" w:hAnsi="Times New Roman" w:eastAsia="宋体" w:cs="Times New Roman"/>
                <w:color w:val="000000"/>
                <w:sz w:val="24"/>
                <w:szCs w:val="24"/>
                <w:highlight w:val="none"/>
              </w:rPr>
              <w:t>是：</w:t>
            </w:r>
            <w:r>
              <w:rPr>
                <w:rFonts w:ascii="Times New Roman" w:hAnsi="Times New Roman" w:eastAsia="宋体" w:cs="Times New Roman"/>
                <w:color w:val="000000"/>
                <w:sz w:val="24"/>
                <w:szCs w:val="24"/>
                <w:highlight w:val="none"/>
                <w:u w:val="single"/>
                <w:lang w:val="en-US" w:eastAsia="zh-CN"/>
              </w:rPr>
              <w:t xml:space="preserve">               </w:t>
            </w:r>
          </w:p>
        </w:tc>
        <w:tc>
          <w:tcPr>
            <w:tcW w:w="1822" w:type="dxa"/>
            <w:noWrap w:val="0"/>
            <w:tcMar>
              <w:top w:w="16" w:type="dxa"/>
              <w:left w:w="16" w:type="dxa"/>
              <w:right w:w="16" w:type="dxa"/>
            </w:tcMar>
            <w:vAlign w:val="center"/>
          </w:tcPr>
          <w:p w14:paraId="02107698">
            <w:pPr>
              <w:jc w:val="center"/>
              <w:rPr>
                <w:rFonts w:ascii="Times New Roman" w:hAnsi="Times New Roman" w:eastAsia="宋体" w:cs="Times New Roman"/>
                <w:b/>
                <w:bCs/>
                <w:color w:val="000000"/>
                <w:spacing w:val="-6"/>
                <w:sz w:val="24"/>
                <w:szCs w:val="24"/>
                <w:highlight w:val="none"/>
              </w:rPr>
            </w:pPr>
            <w:r>
              <w:rPr>
                <w:rFonts w:ascii="Times New Roman" w:hAnsi="Times New Roman" w:eastAsia="宋体" w:cs="Times New Roman"/>
                <w:b/>
                <w:bCs/>
                <w:color w:val="000000"/>
                <w:spacing w:val="-6"/>
                <w:sz w:val="24"/>
                <w:szCs w:val="24"/>
                <w:highlight w:val="none"/>
              </w:rPr>
              <w:t>用地（用海）</w:t>
            </w:r>
          </w:p>
          <w:p w14:paraId="7C672F45">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pacing w:val="-6"/>
                <w:sz w:val="24"/>
                <w:szCs w:val="24"/>
                <w:highlight w:val="none"/>
              </w:rPr>
              <w:t>面积（m</w:t>
            </w:r>
            <w:r>
              <w:rPr>
                <w:rFonts w:ascii="Times New Roman" w:hAnsi="Times New Roman" w:eastAsia="宋体" w:cs="Times New Roman"/>
                <w:b/>
                <w:bCs/>
                <w:color w:val="000000"/>
                <w:spacing w:val="-6"/>
                <w:sz w:val="24"/>
                <w:szCs w:val="24"/>
                <w:highlight w:val="none"/>
                <w:vertAlign w:val="superscript"/>
              </w:rPr>
              <w:t>2</w:t>
            </w:r>
            <w:r>
              <w:rPr>
                <w:rFonts w:ascii="Times New Roman" w:hAnsi="Times New Roman" w:eastAsia="宋体" w:cs="Times New Roman"/>
                <w:b/>
                <w:bCs/>
                <w:color w:val="000000"/>
                <w:spacing w:val="-6"/>
                <w:sz w:val="24"/>
                <w:szCs w:val="24"/>
                <w:highlight w:val="none"/>
              </w:rPr>
              <w:t>）</w:t>
            </w:r>
          </w:p>
        </w:tc>
        <w:tc>
          <w:tcPr>
            <w:tcW w:w="3218" w:type="dxa"/>
            <w:noWrap w:val="0"/>
            <w:vAlign w:val="center"/>
          </w:tcPr>
          <w:p w14:paraId="610EE768">
            <w:pPr>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17333.33</w:t>
            </w:r>
          </w:p>
        </w:tc>
      </w:tr>
      <w:tr w14:paraId="470288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vAlign w:val="center"/>
          </w:tcPr>
          <w:p w14:paraId="01D16C6A">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专项评价设置情况</w:t>
            </w:r>
          </w:p>
        </w:tc>
        <w:tc>
          <w:tcPr>
            <w:tcW w:w="7890" w:type="dxa"/>
            <w:gridSpan w:val="3"/>
            <w:noWrap w:val="0"/>
            <w:vAlign w:val="center"/>
          </w:tcPr>
          <w:p w14:paraId="7FDC0017">
            <w:pPr>
              <w:keepNext w:val="0"/>
              <w:keepLines w:val="0"/>
              <w:pageBreakBefore w:val="0"/>
              <w:widowControl w:val="0"/>
              <w:spacing w:line="360" w:lineRule="auto"/>
              <w:ind w:firstLine="480"/>
              <w:jc w:val="both"/>
              <w:rPr>
                <w:rFonts w:ascii="Times New Roman" w:hAnsi="Times New Roman" w:eastAsia="宋体" w:cs="Times New Roman"/>
                <w:color w:val="000000"/>
                <w:sz w:val="24"/>
                <w:lang w:eastAsia="zh-CN"/>
              </w:rPr>
            </w:pPr>
            <w:r>
              <w:rPr>
                <w:rFonts w:ascii="Times New Roman" w:hAnsi="Times New Roman" w:eastAsia="宋体" w:cs="Times New Roman"/>
                <w:color w:val="000000"/>
                <w:sz w:val="24"/>
              </w:rPr>
              <w:t>根据</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rPr>
              <w:t>建设项目环境影响报告表编制技术指南（污染影响类）（试行）</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lang w:val="en-US" w:eastAsia="zh-CN"/>
              </w:rPr>
              <w:t>表1  专项评价设置原则表</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lang w:val="en-US" w:eastAsia="zh-CN"/>
              </w:rPr>
              <w:t>本项目专项评价设置情况对比分析如下</w:t>
            </w:r>
            <w:r>
              <w:rPr>
                <w:rFonts w:ascii="Times New Roman" w:hAnsi="Times New Roman" w:eastAsia="宋体" w:cs="Times New Roman"/>
                <w:color w:val="000000"/>
                <w:sz w:val="24"/>
                <w:lang w:eastAsia="zh-CN"/>
              </w:rPr>
              <w:t>。</w:t>
            </w:r>
          </w:p>
          <w:p w14:paraId="5D958188">
            <w:pPr>
              <w:ind w:firstLine="482"/>
              <w:jc w:val="center"/>
              <w:rPr>
                <w:rFonts w:ascii="Times New Roman" w:hAnsi="Times New Roman" w:eastAsia="宋体" w:cs="Times New Roman"/>
                <w:b/>
                <w:bCs/>
                <w:color w:val="000000"/>
                <w:sz w:val="24"/>
              </w:rPr>
            </w:pPr>
            <w:r>
              <w:rPr>
                <w:rFonts w:ascii="Times New Roman" w:hAnsi="Times New Roman" w:eastAsia="宋体" w:cs="Times New Roman"/>
                <w:b/>
                <w:bCs/>
                <w:color w:val="000000"/>
                <w:sz w:val="24"/>
              </w:rPr>
              <w:t>表1</w:t>
            </w:r>
            <w:r>
              <w:rPr>
                <w:rFonts w:ascii="Times New Roman" w:hAnsi="Times New Roman" w:eastAsia="宋体" w:cs="Times New Roman"/>
                <w:b/>
                <w:bCs/>
                <w:color w:val="000000"/>
                <w:sz w:val="24"/>
                <w:lang w:val="en-US" w:eastAsia="zh-CN"/>
              </w:rPr>
              <w:t>-1</w:t>
            </w:r>
            <w:r>
              <w:rPr>
                <w:rFonts w:ascii="Times New Roman" w:hAnsi="Times New Roman" w:eastAsia="宋体" w:cs="Times New Roman"/>
                <w:b/>
                <w:bCs/>
                <w:color w:val="000000"/>
                <w:sz w:val="24"/>
              </w:rPr>
              <w:t xml:space="preserve"> </w:t>
            </w:r>
            <w:r>
              <w:rPr>
                <w:rFonts w:ascii="Times New Roman" w:hAnsi="Times New Roman" w:eastAsia="宋体" w:cs="Times New Roman"/>
                <w:b/>
                <w:bCs/>
                <w:color w:val="000000"/>
                <w:sz w:val="24"/>
                <w:lang w:val="en-US" w:eastAsia="zh-CN"/>
              </w:rPr>
              <w:t xml:space="preserve"> </w:t>
            </w:r>
            <w:r>
              <w:rPr>
                <w:rFonts w:ascii="Times New Roman" w:hAnsi="Times New Roman" w:eastAsia="宋体" w:cs="Times New Roman"/>
                <w:b/>
                <w:bCs/>
                <w:color w:val="000000"/>
                <w:sz w:val="24"/>
              </w:rPr>
              <w:t>专项评价设置</w:t>
            </w:r>
            <w:r>
              <w:rPr>
                <w:rFonts w:ascii="Times New Roman" w:hAnsi="Times New Roman" w:eastAsia="宋体" w:cs="Times New Roman"/>
                <w:b/>
                <w:bCs/>
                <w:color w:val="000000"/>
                <w:sz w:val="24"/>
                <w:lang w:val="en-US" w:eastAsia="zh-CN"/>
              </w:rPr>
              <w:t>对照</w:t>
            </w:r>
            <w:r>
              <w:rPr>
                <w:rFonts w:ascii="Times New Roman" w:hAnsi="Times New Roman" w:eastAsia="宋体" w:cs="Times New Roman"/>
                <w:b/>
                <w:bCs/>
                <w:color w:val="000000"/>
                <w:sz w:val="24"/>
              </w:rPr>
              <w:t>表</w:t>
            </w:r>
          </w:p>
          <w:tbl>
            <w:tblPr>
              <w:tblStyle w:val="2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3066"/>
              <w:gridCol w:w="2865"/>
              <w:gridCol w:w="880"/>
            </w:tblGrid>
            <w:tr w14:paraId="1A74B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52" w:type="dxa"/>
                  <w:noWrap w:val="0"/>
                  <w:vAlign w:val="center"/>
                </w:tcPr>
                <w:p w14:paraId="02858285">
                  <w:pPr>
                    <w:jc w:val="center"/>
                    <w:rPr>
                      <w:rFonts w:ascii="Times New Roman" w:hAnsi="Times New Roman" w:eastAsia="宋体" w:cs="Times New Roman"/>
                      <w:b/>
                      <w:bCs/>
                      <w:color w:val="000000"/>
                      <w:sz w:val="21"/>
                      <w:szCs w:val="21"/>
                      <w:vertAlign w:val="baseline"/>
                      <w:lang w:val="en-US" w:eastAsia="zh-CN"/>
                    </w:rPr>
                  </w:pPr>
                  <w:r>
                    <w:rPr>
                      <w:rFonts w:ascii="Times New Roman" w:hAnsi="Times New Roman" w:eastAsia="宋体" w:cs="Times New Roman"/>
                      <w:b/>
                      <w:bCs/>
                      <w:color w:val="000000"/>
                      <w:sz w:val="21"/>
                      <w:szCs w:val="21"/>
                      <w:vertAlign w:val="baseline"/>
                      <w:lang w:val="en-US" w:eastAsia="zh-CN"/>
                    </w:rPr>
                    <w:t>专项评价的类别</w:t>
                  </w:r>
                </w:p>
              </w:tc>
              <w:tc>
                <w:tcPr>
                  <w:tcW w:w="3066" w:type="dxa"/>
                  <w:noWrap w:val="0"/>
                  <w:vAlign w:val="center"/>
                </w:tcPr>
                <w:p w14:paraId="320B0AFB">
                  <w:pPr>
                    <w:jc w:val="center"/>
                    <w:rPr>
                      <w:rFonts w:ascii="Times New Roman" w:hAnsi="Times New Roman" w:eastAsia="宋体" w:cs="Times New Roman"/>
                      <w:b/>
                      <w:bCs/>
                      <w:color w:val="000000"/>
                      <w:sz w:val="21"/>
                      <w:szCs w:val="21"/>
                      <w:vertAlign w:val="baseline"/>
                      <w:lang w:val="en-US" w:eastAsia="zh-CN"/>
                    </w:rPr>
                  </w:pPr>
                  <w:r>
                    <w:rPr>
                      <w:rFonts w:ascii="Times New Roman" w:hAnsi="Times New Roman" w:eastAsia="宋体" w:cs="Times New Roman"/>
                      <w:b/>
                      <w:bCs/>
                      <w:color w:val="000000"/>
                      <w:sz w:val="21"/>
                      <w:szCs w:val="21"/>
                      <w:vertAlign w:val="baseline"/>
                      <w:lang w:val="en-US" w:eastAsia="zh-CN"/>
                    </w:rPr>
                    <w:t>设置原则</w:t>
                  </w:r>
                </w:p>
              </w:tc>
              <w:tc>
                <w:tcPr>
                  <w:tcW w:w="2865" w:type="dxa"/>
                  <w:noWrap w:val="0"/>
                  <w:vAlign w:val="center"/>
                </w:tcPr>
                <w:p w14:paraId="7058084F">
                  <w:pPr>
                    <w:jc w:val="center"/>
                    <w:rPr>
                      <w:rFonts w:ascii="Times New Roman" w:hAnsi="Times New Roman" w:eastAsia="宋体" w:cs="Times New Roman"/>
                      <w:b/>
                      <w:bCs/>
                      <w:color w:val="000000"/>
                      <w:sz w:val="21"/>
                      <w:szCs w:val="21"/>
                      <w:vertAlign w:val="baseline"/>
                      <w:lang w:val="en-US" w:eastAsia="zh-CN"/>
                    </w:rPr>
                  </w:pPr>
                  <w:r>
                    <w:rPr>
                      <w:rFonts w:ascii="Times New Roman" w:hAnsi="Times New Roman" w:eastAsia="宋体" w:cs="Times New Roman"/>
                      <w:b/>
                      <w:bCs/>
                      <w:color w:val="000000"/>
                      <w:sz w:val="21"/>
                      <w:szCs w:val="21"/>
                      <w:vertAlign w:val="baseline"/>
                      <w:lang w:val="en-US" w:eastAsia="zh-CN"/>
                    </w:rPr>
                    <w:t>本项目情况</w:t>
                  </w:r>
                </w:p>
              </w:tc>
              <w:tc>
                <w:tcPr>
                  <w:tcW w:w="880" w:type="dxa"/>
                  <w:noWrap w:val="0"/>
                  <w:vAlign w:val="center"/>
                </w:tcPr>
                <w:p w14:paraId="39614D22">
                  <w:pPr>
                    <w:jc w:val="center"/>
                    <w:rPr>
                      <w:rFonts w:ascii="Times New Roman" w:hAnsi="Times New Roman" w:eastAsia="宋体" w:cs="Times New Roman"/>
                      <w:b/>
                      <w:bCs/>
                      <w:color w:val="000000"/>
                      <w:sz w:val="21"/>
                      <w:szCs w:val="21"/>
                      <w:vertAlign w:val="baseline"/>
                      <w:lang w:val="en-US" w:eastAsia="zh-CN"/>
                    </w:rPr>
                  </w:pPr>
                  <w:r>
                    <w:rPr>
                      <w:rFonts w:ascii="Times New Roman" w:hAnsi="Times New Roman" w:eastAsia="宋体" w:cs="Times New Roman"/>
                      <w:b/>
                      <w:bCs/>
                      <w:color w:val="000000"/>
                      <w:sz w:val="21"/>
                      <w:szCs w:val="21"/>
                      <w:vertAlign w:val="baseline"/>
                      <w:lang w:val="en-US" w:eastAsia="zh-CN"/>
                    </w:rPr>
                    <w:t>是否设置专项评价</w:t>
                  </w:r>
                </w:p>
              </w:tc>
            </w:tr>
            <w:tr w14:paraId="2763F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52" w:type="dxa"/>
                  <w:noWrap w:val="0"/>
                  <w:vAlign w:val="center"/>
                </w:tcPr>
                <w:p w14:paraId="0BA10D29">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大气</w:t>
                  </w:r>
                </w:p>
              </w:tc>
              <w:tc>
                <w:tcPr>
                  <w:tcW w:w="3066" w:type="dxa"/>
                  <w:noWrap w:val="0"/>
                  <w:vAlign w:val="center"/>
                </w:tcPr>
                <w:p w14:paraId="42846CF5">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排放废气含有毒有害污染物、二噁英、苯并[a]芘、氰化物、氯气且厂界外500米范围内有环境空气保护目标的建设项目</w:t>
                  </w:r>
                </w:p>
              </w:tc>
              <w:tc>
                <w:tcPr>
                  <w:tcW w:w="2865" w:type="dxa"/>
                  <w:noWrap w:val="0"/>
                  <w:vAlign w:val="center"/>
                </w:tcPr>
                <w:p w14:paraId="087D8A44">
                  <w:pPr>
                    <w:pStyle w:val="189"/>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本项目废气主要为颗粒物</w:t>
                  </w:r>
                  <w:r>
                    <w:rPr>
                      <w:rFonts w:hint="eastAsia" w:ascii="Times New Roman" w:hAnsi="Times New Roman" w:eastAsia="宋体" w:cs="Times New Roman"/>
                      <w:b w:val="0"/>
                      <w:bCs w:val="0"/>
                      <w:color w:val="000000"/>
                      <w:sz w:val="21"/>
                      <w:szCs w:val="21"/>
                      <w:vertAlign w:val="baseline"/>
                      <w:lang w:val="en-US" w:eastAsia="zh-CN"/>
                    </w:rPr>
                    <w:t>、非甲烷总烃、甲醛、SO</w:t>
                  </w:r>
                  <w:r>
                    <w:rPr>
                      <w:rFonts w:hint="eastAsia" w:ascii="Times New Roman" w:hAnsi="Times New Roman" w:eastAsia="宋体" w:cs="Times New Roman"/>
                      <w:b w:val="0"/>
                      <w:bCs w:val="0"/>
                      <w:color w:val="000000"/>
                      <w:sz w:val="21"/>
                      <w:szCs w:val="21"/>
                      <w:vertAlign w:val="subscript"/>
                      <w:lang w:val="en-US" w:eastAsia="zh-CN"/>
                    </w:rPr>
                    <w:t>2</w:t>
                  </w:r>
                  <w:r>
                    <w:rPr>
                      <w:rFonts w:hint="eastAsia" w:ascii="Times New Roman" w:hAnsi="Times New Roman" w:eastAsia="宋体" w:cs="Times New Roman"/>
                      <w:b w:val="0"/>
                      <w:bCs w:val="0"/>
                      <w:color w:val="000000"/>
                      <w:sz w:val="21"/>
                      <w:szCs w:val="21"/>
                      <w:vertAlign w:val="baseline"/>
                      <w:lang w:val="en-US" w:eastAsia="zh-CN"/>
                    </w:rPr>
                    <w:t>、NOx</w:t>
                  </w:r>
                  <w:r>
                    <w:rPr>
                      <w:rFonts w:ascii="Times New Roman" w:hAnsi="Times New Roman" w:eastAsia="宋体" w:cs="Times New Roman"/>
                      <w:b w:val="0"/>
                      <w:bCs w:val="0"/>
                      <w:color w:val="000000"/>
                      <w:sz w:val="21"/>
                      <w:szCs w:val="21"/>
                      <w:vertAlign w:val="baseline"/>
                      <w:lang w:val="en-US" w:eastAsia="zh-CN"/>
                    </w:rPr>
                    <w:t>等，</w:t>
                  </w:r>
                  <w:r>
                    <w:rPr>
                      <w:rFonts w:hint="eastAsia" w:ascii="Times New Roman" w:hAnsi="Times New Roman" w:eastAsia="宋体" w:cs="Times New Roman"/>
                      <w:b w:val="0"/>
                      <w:bCs w:val="0"/>
                      <w:color w:val="000000"/>
                      <w:sz w:val="21"/>
                      <w:szCs w:val="21"/>
                      <w:vertAlign w:val="baseline"/>
                      <w:lang w:val="en-US" w:eastAsia="zh-CN"/>
                    </w:rPr>
                    <w:t>项目排放废气甲醛为有毒有害污染物，且厂界外500m范围内有环境空气保护目标，因此项目需设置大气环境影响专项评价。</w:t>
                  </w:r>
                </w:p>
              </w:tc>
              <w:tc>
                <w:tcPr>
                  <w:tcW w:w="880" w:type="dxa"/>
                  <w:noWrap w:val="0"/>
                  <w:vAlign w:val="center"/>
                </w:tcPr>
                <w:p w14:paraId="1AA9E7F7">
                  <w:pPr>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是</w:t>
                  </w:r>
                </w:p>
              </w:tc>
            </w:tr>
            <w:tr w14:paraId="4ECA4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52" w:type="dxa"/>
                  <w:noWrap w:val="0"/>
                  <w:vAlign w:val="center"/>
                </w:tcPr>
                <w:p w14:paraId="007A9735">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地表水</w:t>
                  </w:r>
                </w:p>
              </w:tc>
              <w:tc>
                <w:tcPr>
                  <w:tcW w:w="3066" w:type="dxa"/>
                  <w:noWrap w:val="0"/>
                  <w:vAlign w:val="center"/>
                </w:tcPr>
                <w:p w14:paraId="18841BDC">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新增工业废水直排建设项目（槽罐车外送污水处理厂的除外）；</w:t>
                  </w:r>
                </w:p>
                <w:p w14:paraId="3753B6E9">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新增废水直排的污水集中处理厂</w:t>
                  </w:r>
                </w:p>
              </w:tc>
              <w:tc>
                <w:tcPr>
                  <w:tcW w:w="2865" w:type="dxa"/>
                  <w:noWrap w:val="0"/>
                  <w:vAlign w:val="center"/>
                </w:tcPr>
                <w:p w14:paraId="13824D0D">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本项目</w:t>
                  </w:r>
                  <w:r>
                    <w:rPr>
                      <w:rFonts w:hint="eastAsia" w:ascii="Times New Roman" w:hAnsi="Times New Roman" w:eastAsia="宋体" w:cs="Times New Roman"/>
                      <w:b w:val="0"/>
                      <w:bCs w:val="0"/>
                      <w:color w:val="000000"/>
                      <w:sz w:val="21"/>
                      <w:szCs w:val="21"/>
                      <w:vertAlign w:val="baseline"/>
                      <w:lang w:val="en-US" w:eastAsia="zh-CN"/>
                    </w:rPr>
                    <w:t>无生产</w:t>
                  </w:r>
                  <w:r>
                    <w:rPr>
                      <w:rFonts w:ascii="Times New Roman" w:hAnsi="Times New Roman" w:eastAsia="宋体" w:cs="Times New Roman"/>
                      <w:b w:val="0"/>
                      <w:bCs w:val="0"/>
                      <w:color w:val="000000"/>
                      <w:sz w:val="21"/>
                      <w:szCs w:val="21"/>
                      <w:vertAlign w:val="baseline"/>
                      <w:lang w:val="en-US" w:eastAsia="zh-CN"/>
                    </w:rPr>
                    <w:t>废水</w:t>
                  </w:r>
                  <w:r>
                    <w:rPr>
                      <w:rFonts w:hint="eastAsia" w:ascii="Times New Roman" w:hAnsi="Times New Roman" w:eastAsia="宋体" w:cs="Times New Roman"/>
                      <w:b w:val="0"/>
                      <w:bCs w:val="0"/>
                      <w:color w:val="000000"/>
                      <w:sz w:val="21"/>
                      <w:szCs w:val="21"/>
                      <w:vertAlign w:val="baseline"/>
                      <w:lang w:val="en-US" w:eastAsia="zh-CN"/>
                    </w:rPr>
                    <w:t>产生，生活废水由</w:t>
                  </w:r>
                  <w:r>
                    <w:rPr>
                      <w:rFonts w:hint="eastAsia" w:ascii="Times New Roman" w:hAnsi="Times New Roman" w:eastAsia="宋体" w:cs="Times New Roman"/>
                      <w:color w:val="000000"/>
                      <w:sz w:val="21"/>
                      <w:szCs w:val="21"/>
                      <w:highlight w:val="none"/>
                      <w:lang w:val="en-US" w:eastAsia="zh-CN"/>
                    </w:rPr>
                    <w:t>化粪池处理后</w:t>
                  </w:r>
                  <w:r>
                    <w:rPr>
                      <w:rFonts w:hint="eastAsia" w:ascii="Times New Roman" w:hAnsi="Times New Roman" w:eastAsia="宋体" w:cs="Times New Roman"/>
                      <w:b w:val="0"/>
                      <w:bCs w:val="0"/>
                      <w:color w:val="000000"/>
                      <w:sz w:val="21"/>
                      <w:szCs w:val="21"/>
                      <w:vertAlign w:val="baseline"/>
                      <w:lang w:val="en-US" w:eastAsia="zh-CN"/>
                    </w:rPr>
                    <w:t>，定期清掏用作农肥</w:t>
                  </w:r>
                  <w:r>
                    <w:rPr>
                      <w:rFonts w:hint="eastAsia" w:ascii="Times New Roman" w:hAnsi="Times New Roman" w:eastAsia="宋体" w:cs="Times New Roman"/>
                      <w:color w:val="000000"/>
                      <w:sz w:val="21"/>
                      <w:szCs w:val="21"/>
                      <w:lang w:val="en-US" w:eastAsia="zh-CN"/>
                    </w:rPr>
                    <w:t>，</w:t>
                  </w:r>
                  <w:r>
                    <w:rPr>
                      <w:rFonts w:ascii="Times New Roman" w:hAnsi="Times New Roman" w:eastAsia="宋体" w:cs="Times New Roman"/>
                      <w:b w:val="0"/>
                      <w:bCs w:val="0"/>
                      <w:color w:val="000000"/>
                      <w:sz w:val="21"/>
                      <w:szCs w:val="21"/>
                      <w:vertAlign w:val="baseline"/>
                      <w:lang w:val="en-US" w:eastAsia="zh-CN"/>
                    </w:rPr>
                    <w:t>不外排。</w:t>
                  </w:r>
                </w:p>
              </w:tc>
              <w:tc>
                <w:tcPr>
                  <w:tcW w:w="880" w:type="dxa"/>
                  <w:noWrap w:val="0"/>
                  <w:vAlign w:val="center"/>
                </w:tcPr>
                <w:p w14:paraId="0135B3F1">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否</w:t>
                  </w:r>
                </w:p>
              </w:tc>
            </w:tr>
            <w:tr w14:paraId="3F5F8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52" w:type="dxa"/>
                  <w:noWrap w:val="0"/>
                  <w:vAlign w:val="center"/>
                </w:tcPr>
                <w:p w14:paraId="52328584">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环境风险</w:t>
                  </w:r>
                </w:p>
              </w:tc>
              <w:tc>
                <w:tcPr>
                  <w:tcW w:w="3066" w:type="dxa"/>
                  <w:noWrap w:val="0"/>
                  <w:vAlign w:val="center"/>
                </w:tcPr>
                <w:p w14:paraId="09E12531">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有毒有害和易燃易爆危险物质存储量超过临界量的建设项目</w:t>
                  </w:r>
                </w:p>
              </w:tc>
              <w:tc>
                <w:tcPr>
                  <w:tcW w:w="2865" w:type="dxa"/>
                  <w:noWrap w:val="0"/>
                  <w:vAlign w:val="center"/>
                </w:tcPr>
                <w:p w14:paraId="2A22D15E">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本项目不使用和存储有毒有害和易燃易爆危险物质，不属于前述情形。</w:t>
                  </w:r>
                </w:p>
              </w:tc>
              <w:tc>
                <w:tcPr>
                  <w:tcW w:w="880" w:type="dxa"/>
                  <w:noWrap w:val="0"/>
                  <w:vAlign w:val="center"/>
                </w:tcPr>
                <w:p w14:paraId="459359FB">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否</w:t>
                  </w:r>
                </w:p>
              </w:tc>
            </w:tr>
            <w:tr w14:paraId="10BEC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52" w:type="dxa"/>
                  <w:noWrap w:val="0"/>
                  <w:vAlign w:val="center"/>
                </w:tcPr>
                <w:p w14:paraId="31A0C0FC">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生态</w:t>
                  </w:r>
                </w:p>
              </w:tc>
              <w:tc>
                <w:tcPr>
                  <w:tcW w:w="3066" w:type="dxa"/>
                  <w:noWrap w:val="0"/>
                  <w:vAlign w:val="center"/>
                </w:tcPr>
                <w:p w14:paraId="29C654B0">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取水口下游500米范围内有重要水生生物的自然产卵场、索饵场、越冬场和洄游通道的新增河道取水的污染类建设项目</w:t>
                  </w:r>
                </w:p>
              </w:tc>
              <w:tc>
                <w:tcPr>
                  <w:tcW w:w="2865" w:type="dxa"/>
                  <w:noWrap w:val="0"/>
                  <w:vAlign w:val="center"/>
                </w:tcPr>
                <w:p w14:paraId="4114418D">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本项目用水来自</w:t>
                  </w:r>
                  <w:r>
                    <w:rPr>
                      <w:rFonts w:hint="eastAsia" w:ascii="Times New Roman" w:hAnsi="Times New Roman" w:eastAsia="宋体" w:cs="Times New Roman"/>
                      <w:b w:val="0"/>
                      <w:bCs w:val="0"/>
                      <w:color w:val="000000"/>
                      <w:sz w:val="21"/>
                      <w:szCs w:val="21"/>
                      <w:vertAlign w:val="baseline"/>
                      <w:lang w:val="en-US" w:eastAsia="zh-CN"/>
                    </w:rPr>
                    <w:t>市政</w:t>
                  </w:r>
                  <w:r>
                    <w:rPr>
                      <w:rFonts w:ascii="Times New Roman" w:hAnsi="Times New Roman" w:eastAsia="宋体" w:cs="Times New Roman"/>
                      <w:b w:val="0"/>
                      <w:bCs w:val="0"/>
                      <w:color w:val="000000"/>
                      <w:sz w:val="21"/>
                      <w:szCs w:val="21"/>
                      <w:vertAlign w:val="baseline"/>
                      <w:lang w:val="en-US" w:eastAsia="zh-CN"/>
                    </w:rPr>
                    <w:t>管网，不涉及取水口，不属于前述情形。</w:t>
                  </w:r>
                </w:p>
              </w:tc>
              <w:tc>
                <w:tcPr>
                  <w:tcW w:w="880" w:type="dxa"/>
                  <w:noWrap w:val="0"/>
                  <w:vAlign w:val="center"/>
                </w:tcPr>
                <w:p w14:paraId="43931C3C">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否</w:t>
                  </w:r>
                </w:p>
              </w:tc>
            </w:tr>
            <w:tr w14:paraId="00A64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52" w:type="dxa"/>
                  <w:noWrap w:val="0"/>
                  <w:vAlign w:val="center"/>
                </w:tcPr>
                <w:p w14:paraId="12DEAA01">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海洋</w:t>
                  </w:r>
                </w:p>
              </w:tc>
              <w:tc>
                <w:tcPr>
                  <w:tcW w:w="3066" w:type="dxa"/>
                  <w:noWrap w:val="0"/>
                  <w:vAlign w:val="center"/>
                </w:tcPr>
                <w:p w14:paraId="1C2F91DC">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直接向海排放污染物的海洋工程建设项目</w:t>
                  </w:r>
                </w:p>
              </w:tc>
              <w:tc>
                <w:tcPr>
                  <w:tcW w:w="2865" w:type="dxa"/>
                  <w:noWrap w:val="0"/>
                  <w:vAlign w:val="center"/>
                </w:tcPr>
                <w:p w14:paraId="45A9E09B">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本项目不属于向海排放污染物的海洋工程建设项目</w:t>
                  </w:r>
                </w:p>
              </w:tc>
              <w:tc>
                <w:tcPr>
                  <w:tcW w:w="880" w:type="dxa"/>
                  <w:noWrap w:val="0"/>
                  <w:vAlign w:val="center"/>
                </w:tcPr>
                <w:p w14:paraId="219E9B95">
                  <w:pPr>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否</w:t>
                  </w:r>
                </w:p>
              </w:tc>
            </w:tr>
            <w:tr w14:paraId="4DF0A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63" w:type="dxa"/>
                  <w:gridSpan w:val="4"/>
                  <w:noWrap w:val="0"/>
                  <w:vAlign w:val="center"/>
                </w:tcPr>
                <w:p w14:paraId="626D356E">
                  <w:pPr>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注：1.废气中有毒有害污染物指纳入《有毒有害大气污染物名录》的污染物（不包括无排放标准的污染物）。</w:t>
                  </w:r>
                </w:p>
                <w:p w14:paraId="70506E60">
                  <w:pPr>
                    <w:numPr>
                      <w:ilvl w:val="0"/>
                      <w:numId w:val="0"/>
                    </w:numPr>
                    <w:ind w:firstLine="420"/>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2.环境空气保护目标指自然保护区、风景名胜区、居住区、文化区和农村地区中人群较集中的区域。</w:t>
                  </w:r>
                </w:p>
                <w:p w14:paraId="703ECFBF">
                  <w:pPr>
                    <w:numPr>
                      <w:ilvl w:val="0"/>
                      <w:numId w:val="0"/>
                    </w:numPr>
                    <w:ind w:firstLine="420"/>
                    <w:jc w:val="both"/>
                    <w:rPr>
                      <w:rFonts w:ascii="Times New Roman" w:hAnsi="Times New Roman" w:eastAsia="宋体" w:cs="Times New Roman"/>
                      <w:b w:val="0"/>
                      <w:bCs w:val="0"/>
                      <w:color w:val="000000"/>
                      <w:sz w:val="21"/>
                      <w:szCs w:val="21"/>
                      <w:vertAlign w:val="baseline"/>
                      <w:lang w:val="en-US" w:eastAsia="zh-CN"/>
                    </w:rPr>
                  </w:pPr>
                  <w:r>
                    <w:rPr>
                      <w:rFonts w:ascii="Times New Roman" w:hAnsi="Times New Roman" w:eastAsia="宋体" w:cs="Times New Roman"/>
                      <w:b w:val="0"/>
                      <w:bCs w:val="0"/>
                      <w:color w:val="000000"/>
                      <w:sz w:val="21"/>
                      <w:szCs w:val="21"/>
                      <w:vertAlign w:val="baseline"/>
                      <w:lang w:val="en-US" w:eastAsia="zh-CN"/>
                    </w:rPr>
                    <w:t>3.临界量及其计算方法可参考《建设项目环境风险评价技术导则》（HJ 169）附录B、附录C。</w:t>
                  </w:r>
                </w:p>
              </w:tc>
            </w:tr>
          </w:tbl>
          <w:p w14:paraId="2BC3BE08">
            <w:pPr>
              <w:keepNext w:val="0"/>
              <w:keepLines w:val="0"/>
              <w:pageBreakBefore w:val="0"/>
              <w:widowControl w:val="0"/>
              <w:spacing w:line="360" w:lineRule="auto"/>
              <w:ind w:right="0"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lang w:val="en-US" w:eastAsia="zh-CN"/>
              </w:rPr>
              <w:t>根据上表分析，本项目</w:t>
            </w:r>
            <w:r>
              <w:rPr>
                <w:rFonts w:hint="eastAsia" w:ascii="Times New Roman" w:hAnsi="Times New Roman" w:eastAsia="宋体" w:cs="Times New Roman"/>
                <w:color w:val="000000"/>
                <w:sz w:val="24"/>
                <w:lang w:val="en-US" w:eastAsia="zh-CN"/>
              </w:rPr>
              <w:t>需</w:t>
            </w:r>
            <w:r>
              <w:rPr>
                <w:rFonts w:ascii="Times New Roman" w:hAnsi="Times New Roman" w:eastAsia="宋体" w:cs="Times New Roman"/>
                <w:color w:val="000000"/>
                <w:sz w:val="24"/>
                <w:lang w:val="en-US" w:eastAsia="zh-CN"/>
              </w:rPr>
              <w:t>设置</w:t>
            </w:r>
            <w:r>
              <w:rPr>
                <w:rFonts w:hint="eastAsia" w:ascii="Times New Roman" w:hAnsi="Times New Roman" w:eastAsia="宋体" w:cs="Times New Roman"/>
                <w:color w:val="000000"/>
                <w:sz w:val="24"/>
                <w:lang w:val="en-US" w:eastAsia="zh-CN"/>
              </w:rPr>
              <w:t>大气专项评价，详见专项1。</w:t>
            </w:r>
          </w:p>
        </w:tc>
      </w:tr>
      <w:tr w14:paraId="151436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vAlign w:val="center"/>
          </w:tcPr>
          <w:p w14:paraId="542D7788">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规划情况</w:t>
            </w:r>
          </w:p>
        </w:tc>
        <w:tc>
          <w:tcPr>
            <w:tcW w:w="7890" w:type="dxa"/>
            <w:gridSpan w:val="3"/>
            <w:noWrap w:val="0"/>
            <w:vAlign w:val="center"/>
          </w:tcPr>
          <w:p w14:paraId="40CC6C4E">
            <w:pPr>
              <w:keepNext w:val="0"/>
              <w:keepLines w:val="0"/>
              <w:pageBreakBefore w:val="0"/>
              <w:widowControl w:val="0"/>
              <w:spacing w:line="360"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无</w:t>
            </w:r>
          </w:p>
        </w:tc>
      </w:tr>
      <w:tr w14:paraId="4FEF0C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vAlign w:val="center"/>
          </w:tcPr>
          <w:p w14:paraId="4C683E51">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规划环境影响评价情况</w:t>
            </w:r>
          </w:p>
        </w:tc>
        <w:tc>
          <w:tcPr>
            <w:tcW w:w="7890" w:type="dxa"/>
            <w:gridSpan w:val="3"/>
            <w:noWrap w:val="0"/>
            <w:vAlign w:val="center"/>
          </w:tcPr>
          <w:p w14:paraId="37B041E7">
            <w:pPr>
              <w:keepNext w:val="0"/>
              <w:keepLines w:val="0"/>
              <w:pageBreakBefore w:val="0"/>
              <w:widowControl w:val="0"/>
              <w:spacing w:line="360"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无</w:t>
            </w:r>
          </w:p>
        </w:tc>
      </w:tr>
      <w:tr w14:paraId="56A64E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23" w:hRule="atLeast"/>
          <w:jc w:val="center"/>
        </w:trPr>
        <w:tc>
          <w:tcPr>
            <w:tcW w:w="1885" w:type="dxa"/>
            <w:noWrap w:val="0"/>
            <w:vAlign w:val="center"/>
          </w:tcPr>
          <w:p w14:paraId="50ACF4D1">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规划及规划环境影响评价符合性分析</w:t>
            </w:r>
          </w:p>
        </w:tc>
        <w:tc>
          <w:tcPr>
            <w:tcW w:w="7890" w:type="dxa"/>
            <w:gridSpan w:val="3"/>
            <w:noWrap w:val="0"/>
            <w:vAlign w:val="center"/>
          </w:tcPr>
          <w:p w14:paraId="4F4EFE98">
            <w:pPr>
              <w:keepNext w:val="0"/>
              <w:keepLines w:val="0"/>
              <w:pageBreakBefore w:val="0"/>
              <w:widowControl w:val="0"/>
              <w:spacing w:line="360"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无</w:t>
            </w:r>
          </w:p>
        </w:tc>
      </w:tr>
      <w:tr w14:paraId="332D56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6" w:type="dxa"/>
            <w:left w:w="16" w:type="dxa"/>
            <w:bottom w:w="0" w:type="dxa"/>
            <w:right w:w="16" w:type="dxa"/>
          </w:tblCellMar>
        </w:tblPrEx>
        <w:trPr>
          <w:trHeight w:val="90" w:hRule="atLeast"/>
          <w:jc w:val="center"/>
        </w:trPr>
        <w:tc>
          <w:tcPr>
            <w:tcW w:w="1885" w:type="dxa"/>
            <w:noWrap w:val="0"/>
            <w:vAlign w:val="center"/>
          </w:tcPr>
          <w:p w14:paraId="5A55BAB9">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其他符合性分析</w:t>
            </w:r>
          </w:p>
        </w:tc>
        <w:tc>
          <w:tcPr>
            <w:tcW w:w="7890" w:type="dxa"/>
            <w:gridSpan w:val="3"/>
            <w:noWrap w:val="0"/>
            <w:vAlign w:val="center"/>
          </w:tcPr>
          <w:p w14:paraId="677FCB13">
            <w:pPr>
              <w:spacing w:line="360" w:lineRule="auto"/>
              <w:ind w:firstLine="482"/>
              <w:rPr>
                <w:rFonts w:ascii="Times New Roman" w:hAnsi="Times New Roman" w:eastAsia="宋体" w:cs="Times New Roman"/>
                <w:b/>
                <w:color w:val="000000"/>
                <w:sz w:val="24"/>
                <w:szCs w:val="24"/>
                <w:highlight w:val="none"/>
                <w:lang w:val="en-US" w:eastAsia="zh-CN"/>
              </w:rPr>
            </w:pPr>
            <w:r>
              <w:rPr>
                <w:rFonts w:ascii="Times New Roman" w:hAnsi="Times New Roman" w:eastAsia="宋体" w:cs="Times New Roman"/>
                <w:b/>
                <w:color w:val="000000"/>
                <w:sz w:val="24"/>
                <w:szCs w:val="24"/>
                <w:highlight w:val="none"/>
                <w:lang w:val="en-US" w:eastAsia="zh-CN"/>
              </w:rPr>
              <w:t>1、项目产业政策符合性分析</w:t>
            </w:r>
          </w:p>
          <w:p w14:paraId="5257FEDC">
            <w:pPr>
              <w:keepNext w:val="0"/>
              <w:keepLines w:val="0"/>
              <w:pageBreakBefore w:val="0"/>
              <w:widowControl/>
              <w:suppressLineNumbers w:val="0"/>
              <w:spacing w:line="360" w:lineRule="auto"/>
              <w:ind w:firstLine="48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本项目为</w:t>
            </w:r>
            <w:r>
              <w:rPr>
                <w:rFonts w:hint="eastAsia" w:ascii="Times New Roman" w:hAnsi="Times New Roman" w:eastAsia="宋体" w:cs="Times New Roman"/>
                <w:color w:val="000000"/>
                <w:sz w:val="24"/>
                <w:szCs w:val="24"/>
                <w:lang w:val="en-US" w:eastAsia="zh-CN" w:bidi="ar-SA"/>
              </w:rPr>
              <w:t>单板加工</w:t>
            </w:r>
            <w:r>
              <w:rPr>
                <w:rFonts w:ascii="Times New Roman" w:hAnsi="Times New Roman" w:eastAsia="宋体" w:cs="Times New Roman"/>
                <w:color w:val="000000"/>
                <w:sz w:val="24"/>
                <w:szCs w:val="24"/>
                <w:lang w:val="en-US" w:eastAsia="zh-CN"/>
              </w:rPr>
              <w:t>项目，年产</w:t>
            </w:r>
            <w:r>
              <w:rPr>
                <w:rFonts w:hint="eastAsia" w:ascii="Times New Roman" w:hAnsi="Times New Roman" w:eastAsia="宋体" w:cs="Times New Roman"/>
                <w:color w:val="000000"/>
                <w:sz w:val="24"/>
                <w:szCs w:val="24"/>
                <w:lang w:val="en-US" w:eastAsia="zh-CN"/>
              </w:rPr>
              <w:t>单板</w:t>
            </w:r>
            <w:r>
              <w:rPr>
                <w:rFonts w:ascii="Times New Roman" w:hAnsi="Times New Roman" w:eastAsia="宋体" w:cs="Times New Roman"/>
                <w:color w:val="000000"/>
                <w:sz w:val="24"/>
                <w:szCs w:val="24"/>
                <w:lang w:val="en-US" w:eastAsia="zh-CN"/>
              </w:rPr>
              <w:t>共计</w:t>
            </w:r>
            <w:r>
              <w:rPr>
                <w:rFonts w:hint="eastAsia" w:ascii="Times New Roman" w:hAnsi="Times New Roman" w:eastAsia="宋体" w:cs="Times New Roman"/>
                <w:color w:val="000000"/>
                <w:sz w:val="24"/>
                <w:szCs w:val="24"/>
                <w:lang w:val="en-US" w:eastAsia="zh-CN"/>
              </w:rPr>
              <w:t>5000</w:t>
            </w:r>
            <w:r>
              <w:rPr>
                <w:rFonts w:ascii="Times New Roman" w:hAnsi="Times New Roman" w:eastAsia="宋体" w:cs="Times New Roman"/>
                <w:color w:val="000000"/>
                <w:sz w:val="24"/>
                <w:szCs w:val="24"/>
                <w:lang w:val="en-US" w:eastAsia="zh-CN"/>
              </w:rPr>
              <w:t>m</w:t>
            </w:r>
            <w:r>
              <w:rPr>
                <w:rFonts w:ascii="Times New Roman" w:hAnsi="Times New Roman" w:eastAsia="宋体" w:cs="Times New Roman"/>
                <w:color w:val="000000"/>
                <w:sz w:val="24"/>
                <w:szCs w:val="24"/>
                <w:vertAlign w:val="superscript"/>
                <w:lang w:val="en-US" w:eastAsia="zh-CN"/>
              </w:rPr>
              <w:t>3</w:t>
            </w:r>
            <w:r>
              <w:rPr>
                <w:rFonts w:ascii="Times New Roman" w:hAnsi="Times New Roman" w:eastAsia="宋体" w:cs="Times New Roman"/>
                <w:color w:val="000000"/>
                <w:sz w:val="24"/>
                <w:szCs w:val="24"/>
                <w:lang w:val="en-US" w:eastAsia="zh-CN"/>
              </w:rPr>
              <w:t>。根据《产业结构调整指导目录（2019年本）》，该项目不属于鼓励类、淘汰类和限制类的项目，属于允许类项目，且</w:t>
            </w:r>
            <w:r>
              <w:rPr>
                <w:rFonts w:ascii="Times New Roman" w:hAnsi="Times New Roman" w:eastAsia="宋体" w:cs="Times New Roman"/>
                <w:color w:val="000000"/>
                <w:sz w:val="24"/>
                <w:szCs w:val="24"/>
              </w:rPr>
              <w:t>本项目生产设备不属于限制、淘汰设备，符合相关产业政策。同时，项目已</w:t>
            </w:r>
            <w:r>
              <w:rPr>
                <w:rFonts w:hint="eastAsia" w:ascii="Times New Roman" w:hAnsi="Times New Roman" w:eastAsia="宋体" w:cs="Times New Roman"/>
                <w:color w:val="000000"/>
                <w:sz w:val="24"/>
                <w:szCs w:val="24"/>
                <w:lang w:val="en-US" w:eastAsia="zh-CN"/>
              </w:rPr>
              <w:t>取得</w:t>
            </w:r>
            <w:r>
              <w:rPr>
                <w:rFonts w:ascii="Times New Roman" w:hAnsi="Times New Roman" w:eastAsia="宋体" w:cs="Times New Roman"/>
                <w:color w:val="000000"/>
                <w:sz w:val="24"/>
                <w:szCs w:val="24"/>
              </w:rPr>
              <w:t>芒市发展和改革局</w:t>
            </w:r>
            <w:r>
              <w:rPr>
                <w:rFonts w:hint="eastAsia" w:ascii="Times New Roman" w:hAnsi="Times New Roman" w:eastAsia="宋体" w:cs="Times New Roman"/>
                <w:color w:val="000000"/>
                <w:sz w:val="24"/>
                <w:szCs w:val="24"/>
                <w:lang w:val="en-US" w:eastAsia="zh-CN"/>
              </w:rPr>
              <w:t>投资项目备案证</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项目代码：</w:t>
            </w:r>
            <w:r>
              <w:rPr>
                <w:rFonts w:hint="eastAsia" w:ascii="Times New Roman" w:hAnsi="Times New Roman" w:eastAsia="宋体" w:cs="Times New Roman"/>
                <w:color w:val="000000"/>
                <w:sz w:val="24"/>
                <w:szCs w:val="24"/>
                <w:highlight w:val="none"/>
                <w:lang w:val="en-US" w:eastAsia="zh-CN"/>
              </w:rPr>
              <w:t>2302-533103-04-01-459499</w:t>
            </w:r>
            <w:r>
              <w:rPr>
                <w:rFonts w:ascii="Times New Roman" w:hAnsi="Times New Roman" w:eastAsia="宋体" w:cs="Times New Roman"/>
                <w:color w:val="000000"/>
                <w:sz w:val="24"/>
                <w:szCs w:val="24"/>
              </w:rPr>
              <w:t>，同意项目的建设。</w:t>
            </w:r>
          </w:p>
          <w:p w14:paraId="578DCE99">
            <w:pPr>
              <w:spacing w:line="360" w:lineRule="auto"/>
              <w:ind w:firstLine="482"/>
              <w:jc w:val="both"/>
              <w:rPr>
                <w:rFonts w:ascii="Times New Roman" w:hAnsi="Times New Roman" w:eastAsia="宋体" w:cs="Times New Roman"/>
                <w:b w:val="0"/>
                <w:bCs/>
                <w:color w:val="000000"/>
                <w:sz w:val="24"/>
                <w:szCs w:val="24"/>
                <w:highlight w:val="none"/>
                <w:lang w:val="en-US" w:eastAsia="zh-CN"/>
              </w:rPr>
            </w:pPr>
            <w:r>
              <w:rPr>
                <w:rFonts w:ascii="Times New Roman" w:hAnsi="Times New Roman" w:eastAsia="宋体" w:cs="Times New Roman"/>
                <w:color w:val="000000"/>
                <w:sz w:val="24"/>
              </w:rPr>
              <w:t>综上，本项目符合国家及地方现</w:t>
            </w:r>
            <w:r>
              <w:rPr>
                <w:rFonts w:hint="eastAsia" w:ascii="Times New Roman" w:hAnsi="Times New Roman" w:eastAsia="宋体" w:cs="Times New Roman"/>
                <w:color w:val="000000"/>
                <w:sz w:val="24"/>
                <w:lang w:val="en-US" w:eastAsia="zh-CN"/>
              </w:rPr>
              <w:t>行</w:t>
            </w:r>
            <w:r>
              <w:rPr>
                <w:rFonts w:ascii="Times New Roman" w:hAnsi="Times New Roman" w:eastAsia="宋体" w:cs="Times New Roman"/>
                <w:color w:val="000000"/>
                <w:sz w:val="24"/>
              </w:rPr>
              <w:t>产业政策。</w:t>
            </w:r>
          </w:p>
          <w:p w14:paraId="6AA64C8B">
            <w:pPr>
              <w:spacing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lang w:val="en-US" w:eastAsia="zh-CN"/>
              </w:rPr>
              <w:t>2、</w:t>
            </w:r>
            <w:r>
              <w:rPr>
                <w:rFonts w:ascii="Times New Roman" w:hAnsi="Times New Roman" w:eastAsia="宋体" w:cs="Times New Roman"/>
                <w:b/>
                <w:color w:val="000000"/>
                <w:sz w:val="24"/>
                <w:szCs w:val="24"/>
                <w:highlight w:val="none"/>
              </w:rPr>
              <w:t>与“三线一单”符合性分析</w:t>
            </w:r>
          </w:p>
          <w:p w14:paraId="2B5424E0">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2021年</w:t>
            </w:r>
            <w:r>
              <w:rPr>
                <w:rFonts w:ascii="Times New Roman" w:hAnsi="Times New Roman" w:eastAsia="宋体" w:cs="Times New Roman"/>
                <w:color w:val="000000"/>
                <w:sz w:val="24"/>
                <w:lang w:val="en-US" w:eastAsia="zh-CN"/>
              </w:rPr>
              <w:t>10</w:t>
            </w:r>
            <w:r>
              <w:rPr>
                <w:rFonts w:ascii="Times New Roman" w:hAnsi="Times New Roman" w:eastAsia="宋体" w:cs="Times New Roman"/>
                <w:color w:val="000000"/>
                <w:sz w:val="24"/>
              </w:rPr>
              <w:t>月</w:t>
            </w:r>
            <w:r>
              <w:rPr>
                <w:rFonts w:ascii="Times New Roman" w:hAnsi="Times New Roman" w:eastAsia="宋体" w:cs="Times New Roman"/>
                <w:color w:val="000000"/>
                <w:sz w:val="24"/>
                <w:lang w:val="en-US" w:eastAsia="zh-CN"/>
              </w:rPr>
              <w:t>22</w:t>
            </w:r>
            <w:r>
              <w:rPr>
                <w:rFonts w:ascii="Times New Roman" w:hAnsi="Times New Roman" w:eastAsia="宋体" w:cs="Times New Roman"/>
                <w:color w:val="000000"/>
                <w:sz w:val="24"/>
              </w:rPr>
              <w:t>日，</w:t>
            </w:r>
            <w:r>
              <w:rPr>
                <w:rFonts w:ascii="Times New Roman" w:hAnsi="Times New Roman" w:eastAsia="宋体" w:cs="Times New Roman"/>
                <w:color w:val="000000"/>
                <w:sz w:val="24"/>
                <w:lang w:val="en-US" w:eastAsia="zh-CN"/>
              </w:rPr>
              <w:t>德宏州</w:t>
            </w:r>
            <w:r>
              <w:rPr>
                <w:rFonts w:ascii="Times New Roman" w:hAnsi="Times New Roman" w:eastAsia="宋体" w:cs="Times New Roman"/>
                <w:color w:val="000000"/>
                <w:sz w:val="24"/>
              </w:rPr>
              <w:t>人民政府发布了《关于印发德宏州“三线一单”生态环境分区管控实施方案的通知》</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lang w:val="en-US" w:eastAsia="zh-CN"/>
              </w:rPr>
              <w:t>德政发[2021]15号</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rPr>
              <w:t>，</w:t>
            </w:r>
            <w:r>
              <w:rPr>
                <w:rFonts w:ascii="Times New Roman" w:hAnsi="Times New Roman" w:eastAsia="宋体" w:cs="Times New Roman"/>
                <w:color w:val="000000"/>
                <w:sz w:val="24"/>
                <w:highlight w:val="none"/>
              </w:rPr>
              <w:t>全州共划分42个生态环境管控单元，分为优先保护、重点管控和一般管控3类。</w:t>
            </w:r>
          </w:p>
          <w:p w14:paraId="5EA5FB97">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highlight w:val="none"/>
              </w:rPr>
              <w:t>本项目选址于</w:t>
            </w:r>
            <w:r>
              <w:rPr>
                <w:rFonts w:hint="eastAsia" w:ascii="Times New Roman" w:hAnsi="Times New Roman" w:eastAsia="宋体" w:cs="Times New Roman"/>
                <w:color w:val="000000"/>
                <w:sz w:val="24"/>
                <w:szCs w:val="24"/>
                <w:highlight w:val="none"/>
                <w:lang w:val="en-US" w:eastAsia="zh-CN"/>
              </w:rPr>
              <w:t>云南省德宏州芒市风平镇帕底村芒市糖厂</w:t>
            </w:r>
            <w:r>
              <w:rPr>
                <w:rFonts w:ascii="Times New Roman" w:hAnsi="Times New Roman" w:eastAsia="宋体" w:cs="Times New Roman"/>
                <w:color w:val="000000"/>
                <w:sz w:val="24"/>
                <w:highlight w:val="none"/>
              </w:rPr>
              <w:t>，</w:t>
            </w:r>
            <w:r>
              <w:rPr>
                <w:rFonts w:ascii="Times New Roman" w:hAnsi="Times New Roman" w:eastAsia="宋体" w:cs="Times New Roman"/>
                <w:color w:val="000000"/>
                <w:sz w:val="24"/>
                <w:highlight w:val="none"/>
                <w:lang w:val="en-US" w:eastAsia="zh-CN"/>
              </w:rPr>
              <w:t>经现场踏勘及咨询相关部门，</w:t>
            </w:r>
            <w:r>
              <w:rPr>
                <w:rFonts w:ascii="Times New Roman" w:hAnsi="Times New Roman" w:eastAsia="宋体" w:cs="Times New Roman"/>
                <w:color w:val="000000"/>
                <w:sz w:val="24"/>
                <w:highlight w:val="none"/>
              </w:rPr>
              <w:t>项目所在区域属于一般管控单元。</w:t>
            </w:r>
            <w:r>
              <w:rPr>
                <w:rFonts w:ascii="Times New Roman" w:hAnsi="Times New Roman" w:eastAsia="宋体" w:cs="Times New Roman"/>
                <w:color w:val="000000"/>
                <w:sz w:val="24"/>
                <w:highlight w:val="none"/>
                <w:lang w:val="en-US" w:eastAsia="zh-CN"/>
              </w:rPr>
              <w:t>项目与“三线一单”符合性分析如下。</w:t>
            </w:r>
          </w:p>
          <w:p w14:paraId="66EBCBD6">
            <w:pPr>
              <w:ind w:firstLine="482"/>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表1-</w:t>
            </w:r>
            <w:r>
              <w:rPr>
                <w:rFonts w:ascii="Times New Roman" w:hAnsi="Times New Roman" w:eastAsia="宋体" w:cs="Times New Roman"/>
                <w:b/>
                <w:bCs/>
                <w:color w:val="000000"/>
                <w:sz w:val="24"/>
                <w:lang w:val="en-US" w:eastAsia="zh-CN"/>
              </w:rPr>
              <w:t>2</w:t>
            </w:r>
            <w:r>
              <w:rPr>
                <w:rFonts w:ascii="Times New Roman" w:hAnsi="Times New Roman" w:eastAsia="宋体" w:cs="Times New Roman"/>
                <w:b/>
                <w:bCs/>
                <w:color w:val="000000"/>
                <w:sz w:val="24"/>
              </w:rPr>
              <w:t xml:space="preserve">  “三线一单”符合性分析</w:t>
            </w:r>
          </w:p>
          <w:tbl>
            <w:tblPr>
              <w:tblStyle w:val="2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33"/>
              <w:gridCol w:w="1780"/>
              <w:gridCol w:w="2044"/>
              <w:gridCol w:w="2044"/>
              <w:gridCol w:w="1144"/>
            </w:tblGrid>
            <w:tr w14:paraId="427FC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34" w:type="dxa"/>
                <w:trHeight w:val="20" w:hRule="atLeast"/>
                <w:jc w:val="center"/>
              </w:trPr>
              <w:tc>
                <w:tcPr>
                  <w:tcW w:w="826" w:type="dxa"/>
                  <w:noWrap w:val="0"/>
                  <w:vAlign w:val="center"/>
                </w:tcPr>
                <w:p w14:paraId="2355BF23">
                  <w:pPr>
                    <w:jc w:val="center"/>
                    <w:rPr>
                      <w:rFonts w:ascii="Times New Roman" w:hAnsi="Times New Roman" w:eastAsia="宋体" w:cs="Times New Roman"/>
                      <w:b/>
                      <w:color w:val="000000"/>
                      <w:sz w:val="21"/>
                      <w:szCs w:val="21"/>
                      <w:lang w:val="en-US" w:eastAsia="zh-CN"/>
                    </w:rPr>
                  </w:pPr>
                  <w:r>
                    <w:rPr>
                      <w:rFonts w:ascii="Times New Roman" w:hAnsi="Times New Roman" w:eastAsia="宋体" w:cs="Times New Roman"/>
                      <w:b/>
                      <w:color w:val="000000"/>
                      <w:sz w:val="21"/>
                      <w:szCs w:val="21"/>
                      <w:lang w:val="en-US" w:eastAsia="zh-CN"/>
                    </w:rPr>
                    <w:t>类别</w:t>
                  </w:r>
                </w:p>
              </w:tc>
              <w:tc>
                <w:tcPr>
                  <w:tcW w:w="1764" w:type="dxa"/>
                  <w:noWrap w:val="0"/>
                  <w:vAlign w:val="center"/>
                </w:tcPr>
                <w:p w14:paraId="32F3A65E">
                  <w:pPr>
                    <w:jc w:val="center"/>
                    <w:rPr>
                      <w:rFonts w:ascii="Times New Roman" w:hAnsi="Times New Roman" w:eastAsia="宋体" w:cs="Times New Roman"/>
                      <w:b/>
                      <w:color w:val="000000"/>
                      <w:sz w:val="21"/>
                      <w:szCs w:val="21"/>
                      <w:lang w:val="en-US" w:eastAsia="zh-CN"/>
                    </w:rPr>
                  </w:pPr>
                  <w:r>
                    <w:rPr>
                      <w:rFonts w:ascii="Times New Roman" w:hAnsi="Times New Roman" w:eastAsia="宋体" w:cs="Times New Roman"/>
                      <w:b/>
                      <w:color w:val="000000"/>
                      <w:sz w:val="21"/>
                      <w:szCs w:val="21"/>
                      <w:lang w:val="en-US" w:eastAsia="zh-CN"/>
                    </w:rPr>
                    <w:t>内容要求</w:t>
                  </w:r>
                </w:p>
              </w:tc>
              <w:tc>
                <w:tcPr>
                  <w:tcW w:w="2026" w:type="dxa"/>
                  <w:noWrap w:val="0"/>
                  <w:vAlign w:val="center"/>
                </w:tcPr>
                <w:p w14:paraId="40A2A887">
                  <w:pPr>
                    <w:jc w:val="center"/>
                    <w:rPr>
                      <w:rFonts w:ascii="Times New Roman" w:hAnsi="Times New Roman" w:eastAsia="宋体" w:cs="Times New Roman"/>
                      <w:b/>
                      <w:color w:val="000000"/>
                      <w:sz w:val="21"/>
                      <w:szCs w:val="21"/>
                      <w:lang w:val="en-US" w:eastAsia="zh-CN"/>
                    </w:rPr>
                  </w:pPr>
                  <w:r>
                    <w:rPr>
                      <w:rFonts w:ascii="Times New Roman" w:hAnsi="Times New Roman" w:eastAsia="宋体" w:cs="Times New Roman"/>
                      <w:b/>
                      <w:color w:val="000000"/>
                      <w:sz w:val="21"/>
                      <w:szCs w:val="21"/>
                      <w:lang w:val="en-US" w:eastAsia="zh-CN"/>
                    </w:rPr>
                    <w:t>项目情况</w:t>
                  </w:r>
                </w:p>
              </w:tc>
              <w:tc>
                <w:tcPr>
                  <w:tcW w:w="382" w:type="dxa"/>
                  <w:noWrap w:val="0"/>
                  <w:vAlign w:val="center"/>
                </w:tcPr>
                <w:p w14:paraId="53557A62">
                  <w:pPr>
                    <w:jc w:val="center"/>
                    <w:rPr>
                      <w:rFonts w:ascii="Times New Roman" w:hAnsi="Times New Roman" w:eastAsia="宋体" w:cs="Times New Roman"/>
                      <w:b/>
                      <w:color w:val="000000"/>
                      <w:sz w:val="21"/>
                      <w:szCs w:val="21"/>
                      <w:lang w:val="en-US" w:eastAsia="zh-CN"/>
                    </w:rPr>
                  </w:pPr>
                  <w:r>
                    <w:rPr>
                      <w:rFonts w:ascii="Times New Roman" w:hAnsi="Times New Roman" w:eastAsia="宋体" w:cs="Times New Roman"/>
                      <w:b/>
                      <w:color w:val="000000"/>
                      <w:sz w:val="21"/>
                      <w:szCs w:val="21"/>
                    </w:rPr>
                    <w:t>符合</w:t>
                  </w:r>
                  <w:r>
                    <w:rPr>
                      <w:rFonts w:ascii="Times New Roman" w:hAnsi="Times New Roman" w:eastAsia="宋体" w:cs="Times New Roman"/>
                      <w:b/>
                      <w:color w:val="000000"/>
                      <w:sz w:val="21"/>
                      <w:szCs w:val="21"/>
                      <w:lang w:val="en-US" w:eastAsia="zh-CN"/>
                    </w:rPr>
                    <w:t>情况</w:t>
                  </w:r>
                </w:p>
              </w:tc>
            </w:tr>
            <w:tr w14:paraId="56342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34" w:type="dxa"/>
                <w:trHeight w:val="20" w:hRule="atLeast"/>
                <w:jc w:val="center"/>
              </w:trPr>
              <w:tc>
                <w:tcPr>
                  <w:tcW w:w="826" w:type="dxa"/>
                  <w:noWrap w:val="0"/>
                  <w:vAlign w:val="center"/>
                </w:tcPr>
                <w:p w14:paraId="15D77B23">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生态保护红线和一般生态空间</w:t>
                  </w:r>
                </w:p>
              </w:tc>
              <w:tc>
                <w:tcPr>
                  <w:tcW w:w="1764" w:type="dxa"/>
                  <w:noWrap w:val="0"/>
                  <w:vAlign w:val="center"/>
                </w:tcPr>
                <w:p w14:paraId="6A83A3D1">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生态保护红线执行《云南省人民政府关于发布云南省生态保护红线的通知》</w:t>
                  </w:r>
                  <w:r>
                    <w:rPr>
                      <w:rFonts w:ascii="Times New Roman" w:hAnsi="Times New Roman" w:eastAsia="宋体" w:cs="Times New Roman"/>
                      <w:color w:val="000000"/>
                      <w:sz w:val="21"/>
                      <w:szCs w:val="21"/>
                      <w:lang w:eastAsia="zh-CN"/>
                    </w:rPr>
                    <w:t>（</w:t>
                  </w:r>
                  <w:r>
                    <w:rPr>
                      <w:rFonts w:ascii="Times New Roman" w:hAnsi="Times New Roman" w:eastAsia="宋体" w:cs="Times New Roman"/>
                      <w:color w:val="000000"/>
                      <w:sz w:val="21"/>
                      <w:szCs w:val="21"/>
                    </w:rPr>
                    <w:t>云政发〔2018〕32号</w:t>
                  </w:r>
                  <w:r>
                    <w:rPr>
                      <w:rFonts w:ascii="Times New Roman" w:hAnsi="Times New Roman" w:eastAsia="宋体" w:cs="Times New Roman"/>
                      <w:color w:val="000000"/>
                      <w:sz w:val="21"/>
                      <w:szCs w:val="21"/>
                      <w:lang w:eastAsia="zh-CN"/>
                    </w:rPr>
                    <w:t>）</w:t>
                  </w:r>
                  <w:r>
                    <w:rPr>
                      <w:rFonts w:ascii="Times New Roman" w:hAnsi="Times New Roman" w:eastAsia="宋体" w:cs="Times New Roman"/>
                      <w:color w:val="000000"/>
                      <w:sz w:val="21"/>
                      <w:szCs w:val="21"/>
                    </w:rPr>
                    <w:t>要求，生态保护红线评估调整成果获批后，按照批准成果执行。将未划入生态保护红线的自然保护区、国家公园、森林公园、风景名胜区、湿地公园、重要湿地、集中式饮用水水源地等生态功能重要区域、生态环境敏感区域划入一般生态空间。</w:t>
                  </w:r>
                </w:p>
              </w:tc>
              <w:tc>
                <w:tcPr>
                  <w:tcW w:w="2026" w:type="dxa"/>
                  <w:noWrap w:val="0"/>
                  <w:vAlign w:val="center"/>
                </w:tcPr>
                <w:p w14:paraId="2ED5986D">
                  <w:pPr>
                    <w:pStyle w:val="189"/>
                    <w:keepNext w:val="0"/>
                    <w:keepLines w:val="0"/>
                    <w:pageBreakBefore w:val="0"/>
                    <w:widowControl w:val="0"/>
                    <w:ind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本项目位于</w:t>
                  </w:r>
                  <w:r>
                    <w:rPr>
                      <w:rFonts w:hint="eastAsia" w:ascii="Times New Roman" w:hAnsi="Times New Roman" w:eastAsia="宋体" w:cs="Times New Roman"/>
                      <w:color w:val="000000"/>
                      <w:sz w:val="21"/>
                      <w:szCs w:val="21"/>
                      <w:lang w:eastAsia="zh-CN"/>
                    </w:rPr>
                    <w:t>云南省德宏州芒市</w:t>
                  </w:r>
                  <w:r>
                    <w:rPr>
                      <w:rFonts w:hint="eastAsia" w:ascii="Times New Roman" w:hAnsi="Times New Roman" w:eastAsia="宋体" w:cs="Times New Roman"/>
                      <w:color w:val="000000"/>
                      <w:sz w:val="21"/>
                      <w:szCs w:val="21"/>
                      <w:lang w:val="en-US" w:eastAsia="zh-CN"/>
                    </w:rPr>
                    <w:t>风平镇帕底村芒市糖厂</w:t>
                  </w:r>
                  <w:r>
                    <w:rPr>
                      <w:rFonts w:ascii="Times New Roman" w:hAnsi="Times New Roman" w:eastAsia="宋体" w:cs="Times New Roman"/>
                      <w:color w:val="000000"/>
                      <w:sz w:val="21"/>
                      <w:szCs w:val="21"/>
                      <w:lang w:eastAsia="zh-CN"/>
                    </w:rPr>
                    <w:t>，</w:t>
                  </w:r>
                  <w:r>
                    <w:rPr>
                      <w:rFonts w:hint="eastAsia" w:ascii="Times New Roman" w:hAnsi="Times New Roman" w:eastAsia="宋体" w:cs="Times New Roman"/>
                      <w:color w:val="000000"/>
                      <w:sz w:val="21"/>
                      <w:szCs w:val="21"/>
                      <w:lang w:val="en-US" w:eastAsia="zh-CN" w:bidi="ar-SA"/>
                    </w:rPr>
                    <w:t>租用德宏滔盛置业有限公司位于芒市风平镇帕底村芒市糖厂的闲置场地用于建设本项目，根据德宏滔盛置业有限公司土地证（详见附件6），项目用地性质为工业用地，</w:t>
                  </w:r>
                  <w:r>
                    <w:rPr>
                      <w:rFonts w:ascii="Times New Roman" w:hAnsi="Times New Roman" w:eastAsia="宋体" w:cs="Times New Roman"/>
                      <w:color w:val="000000"/>
                      <w:sz w:val="21"/>
                      <w:szCs w:val="21"/>
                      <w:lang w:val="en-US" w:eastAsia="zh-CN"/>
                    </w:rPr>
                    <w:t>不占用永久基本农田，不占用</w:t>
                  </w:r>
                  <w:r>
                    <w:rPr>
                      <w:rFonts w:ascii="Times New Roman" w:hAnsi="Times New Roman" w:eastAsia="宋体" w:cs="Times New Roman"/>
                      <w:color w:val="000000"/>
                      <w:sz w:val="21"/>
                      <w:szCs w:val="21"/>
                    </w:rPr>
                    <w:t>生态保护红线</w:t>
                  </w:r>
                  <w:r>
                    <w:rPr>
                      <w:rFonts w:ascii="Times New Roman" w:hAnsi="Times New Roman" w:eastAsia="宋体" w:cs="Times New Roman"/>
                      <w:color w:val="000000"/>
                      <w:sz w:val="21"/>
                      <w:szCs w:val="21"/>
                      <w:lang w:eastAsia="zh-CN"/>
                    </w:rPr>
                    <w:t>，</w:t>
                  </w:r>
                  <w:r>
                    <w:rPr>
                      <w:rFonts w:ascii="Times New Roman" w:hAnsi="Times New Roman" w:eastAsia="宋体" w:cs="Times New Roman"/>
                      <w:color w:val="000000"/>
                      <w:sz w:val="21"/>
                      <w:szCs w:val="21"/>
                      <w:lang w:val="en-US" w:eastAsia="zh-CN"/>
                    </w:rPr>
                    <w:t>不涉及饮用水水源保护区等</w:t>
                  </w:r>
                  <w:r>
                    <w:rPr>
                      <w:rFonts w:ascii="Times New Roman" w:hAnsi="Times New Roman" w:eastAsia="宋体" w:cs="Times New Roman"/>
                      <w:color w:val="000000"/>
                      <w:sz w:val="21"/>
                      <w:szCs w:val="21"/>
                    </w:rPr>
                    <w:t>，不涉及生态功能重要区域、生态环境敏感区域。</w:t>
                  </w:r>
                </w:p>
              </w:tc>
              <w:tc>
                <w:tcPr>
                  <w:tcW w:w="382" w:type="dxa"/>
                  <w:noWrap w:val="0"/>
                  <w:vAlign w:val="center"/>
                </w:tcPr>
                <w:p w14:paraId="6F773331">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符合</w:t>
                  </w:r>
                </w:p>
              </w:tc>
            </w:tr>
            <w:tr w14:paraId="5493F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417" w:type="dxa"/>
                  <w:vMerge w:val="restart"/>
                  <w:noWrap w:val="0"/>
                  <w:vAlign w:val="center"/>
                </w:tcPr>
                <w:p w14:paraId="68F2AACB">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环境质量底线</w:t>
                  </w:r>
                </w:p>
              </w:tc>
              <w:tc>
                <w:tcPr>
                  <w:tcW w:w="409" w:type="dxa"/>
                  <w:noWrap w:val="0"/>
                  <w:vAlign w:val="center"/>
                </w:tcPr>
                <w:p w14:paraId="08F0F0BA">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水环境质量底</w:t>
                  </w:r>
                  <w:r>
                    <w:rPr>
                      <w:rFonts w:ascii="Times New Roman" w:hAnsi="Times New Roman" w:eastAsia="宋体" w:cs="Times New Roman"/>
                      <w:color w:val="000000"/>
                      <w:sz w:val="21"/>
                      <w:szCs w:val="21"/>
                      <w:lang w:val="en-US" w:eastAsia="zh-CN"/>
                    </w:rPr>
                    <w:t>线</w:t>
                  </w:r>
                </w:p>
              </w:tc>
              <w:tc>
                <w:tcPr>
                  <w:tcW w:w="1764" w:type="dxa"/>
                  <w:noWrap w:val="0"/>
                  <w:vAlign w:val="center"/>
                </w:tcPr>
                <w:p w14:paraId="111066DF">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到2025年，全州水环境质量总体优良，9个河流地表水断面中优良水体断面（达到或优于Ⅲ类）比例稳定达到100%，“十四五”新增监测断面水质达标率100%，水生生态系统功能进一步提升，县市及以上集中式饮用水水源水质巩固改善。到2035年，全州水环境质量持续优良，水生生态系统全面提升，实现“人水和谐”。</w:t>
                  </w:r>
                </w:p>
              </w:tc>
              <w:tc>
                <w:tcPr>
                  <w:tcW w:w="2026" w:type="dxa"/>
                  <w:noWrap w:val="0"/>
                  <w:vAlign w:val="center"/>
                </w:tcPr>
                <w:p w14:paraId="6F184B52">
                  <w:pPr>
                    <w:keepNext w:val="0"/>
                    <w:keepLines w:val="0"/>
                    <w:pageBreakBefore w:val="0"/>
                    <w:widowControl w:val="0"/>
                    <w:ind w:left="0" w:right="0" w:firstLine="420"/>
                    <w:jc w:val="both"/>
                    <w:rPr>
                      <w:rFonts w:hint="eastAsia"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根据《</w:t>
                  </w:r>
                  <w:r>
                    <w:rPr>
                      <w:rFonts w:hint="eastAsia" w:ascii="Times New Roman" w:hAnsi="Times New Roman" w:eastAsia="宋体" w:cs="Times New Roman"/>
                      <w:color w:val="000000"/>
                      <w:sz w:val="21"/>
                      <w:szCs w:val="21"/>
                      <w:lang w:val="en-US" w:eastAsia="zh-CN"/>
                    </w:rPr>
                    <w:t>2021年德宏州环境状况公报</w:t>
                  </w:r>
                  <w:r>
                    <w:rPr>
                      <w:rFonts w:ascii="Times New Roman" w:hAnsi="Times New Roman" w:eastAsia="宋体" w:cs="Times New Roman"/>
                      <w:color w:val="000000"/>
                      <w:sz w:val="21"/>
                      <w:szCs w:val="21"/>
                    </w:rPr>
                    <w:t>》，</w:t>
                  </w:r>
                  <w:r>
                    <w:rPr>
                      <w:rFonts w:hint="eastAsia" w:ascii="Times New Roman" w:hAnsi="Times New Roman" w:eastAsia="宋体" w:cs="Times New Roman"/>
                      <w:color w:val="000000"/>
                      <w:sz w:val="21"/>
                      <w:szCs w:val="21"/>
                      <w:lang w:val="en-US" w:eastAsia="zh-CN"/>
                    </w:rPr>
                    <w:t>全州6条河流水质总体良好。大盈江、瑞丽江、槟榔江和户撒河水质均为优，南畹河、芒市大河水质为良好。</w:t>
                  </w:r>
                </w:p>
                <w:p w14:paraId="4EB361D7">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eastAsia="zh-CN"/>
                    </w:rPr>
                    <w:t>项目</w:t>
                  </w:r>
                  <w:r>
                    <w:rPr>
                      <w:rFonts w:hint="eastAsia" w:ascii="Times New Roman" w:hAnsi="Times New Roman" w:eastAsia="宋体" w:cs="Times New Roman"/>
                      <w:b w:val="0"/>
                      <w:bCs w:val="0"/>
                      <w:color w:val="000000"/>
                      <w:sz w:val="21"/>
                      <w:szCs w:val="21"/>
                      <w:vertAlign w:val="baseline"/>
                      <w:lang w:val="en-US" w:eastAsia="zh-CN"/>
                    </w:rPr>
                    <w:t>无生产</w:t>
                  </w:r>
                  <w:r>
                    <w:rPr>
                      <w:rFonts w:ascii="Times New Roman" w:hAnsi="Times New Roman" w:eastAsia="宋体" w:cs="Times New Roman"/>
                      <w:b w:val="0"/>
                      <w:bCs w:val="0"/>
                      <w:color w:val="000000"/>
                      <w:sz w:val="21"/>
                      <w:szCs w:val="21"/>
                      <w:vertAlign w:val="baseline"/>
                      <w:lang w:val="en-US" w:eastAsia="zh-CN"/>
                    </w:rPr>
                    <w:t>废水</w:t>
                  </w:r>
                  <w:r>
                    <w:rPr>
                      <w:rFonts w:hint="eastAsia" w:ascii="Times New Roman" w:hAnsi="Times New Roman" w:eastAsia="宋体" w:cs="Times New Roman"/>
                      <w:b w:val="0"/>
                      <w:bCs w:val="0"/>
                      <w:color w:val="000000"/>
                      <w:sz w:val="21"/>
                      <w:szCs w:val="21"/>
                      <w:vertAlign w:val="baseline"/>
                      <w:lang w:val="en-US" w:eastAsia="zh-CN"/>
                    </w:rPr>
                    <w:t>产生，生活废水经化粪池处理后定期清掏用作农肥</w:t>
                  </w:r>
                  <w:r>
                    <w:rPr>
                      <w:rFonts w:hint="eastAsia" w:ascii="Times New Roman" w:hAnsi="Times New Roman" w:eastAsia="宋体" w:cs="Times New Roman"/>
                      <w:color w:val="000000"/>
                      <w:sz w:val="21"/>
                      <w:szCs w:val="21"/>
                      <w:lang w:val="en-US" w:eastAsia="zh-CN"/>
                    </w:rPr>
                    <w:t>，不外排</w:t>
                  </w:r>
                  <w:r>
                    <w:rPr>
                      <w:rFonts w:ascii="Times New Roman" w:hAnsi="Times New Roman" w:eastAsia="宋体" w:cs="Times New Roman"/>
                      <w:color w:val="000000"/>
                      <w:sz w:val="21"/>
                      <w:szCs w:val="21"/>
                      <w:lang w:val="en-US" w:eastAsia="zh-CN"/>
                    </w:rPr>
                    <w:t>，不会</w:t>
                  </w:r>
                  <w:r>
                    <w:rPr>
                      <w:rFonts w:ascii="Times New Roman" w:hAnsi="Times New Roman" w:eastAsia="宋体" w:cs="Times New Roman"/>
                      <w:color w:val="000000"/>
                      <w:sz w:val="21"/>
                      <w:szCs w:val="21"/>
                    </w:rPr>
                    <w:t>突破水环境质量底线。</w:t>
                  </w:r>
                </w:p>
              </w:tc>
              <w:tc>
                <w:tcPr>
                  <w:tcW w:w="382" w:type="dxa"/>
                  <w:noWrap w:val="0"/>
                  <w:vAlign w:val="center"/>
                </w:tcPr>
                <w:p w14:paraId="13ED4F5D">
                  <w:pPr>
                    <w:ind w:right="105"/>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符合</w:t>
                  </w:r>
                </w:p>
              </w:tc>
            </w:tr>
            <w:tr w14:paraId="2F736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417" w:type="dxa"/>
                  <w:vMerge w:val="continue"/>
                  <w:noWrap w:val="0"/>
                  <w:vAlign w:val="center"/>
                </w:tcPr>
                <w:p w14:paraId="4F463B69">
                  <w:pPr>
                    <w:ind w:right="105"/>
                    <w:jc w:val="center"/>
                    <w:rPr>
                      <w:rFonts w:ascii="Times New Roman" w:hAnsi="Times New Roman" w:eastAsia="宋体" w:cs="Times New Roman"/>
                      <w:color w:val="000000"/>
                      <w:sz w:val="21"/>
                      <w:szCs w:val="21"/>
                    </w:rPr>
                  </w:pPr>
                </w:p>
              </w:tc>
              <w:tc>
                <w:tcPr>
                  <w:tcW w:w="409" w:type="dxa"/>
                  <w:noWrap w:val="0"/>
                  <w:vAlign w:val="center"/>
                </w:tcPr>
                <w:p w14:paraId="39C98665">
                  <w:pPr>
                    <w:ind w:right="105"/>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大气环境质量底线</w:t>
                  </w:r>
                </w:p>
              </w:tc>
              <w:tc>
                <w:tcPr>
                  <w:tcW w:w="1764" w:type="dxa"/>
                  <w:noWrap w:val="0"/>
                  <w:vAlign w:val="center"/>
                </w:tcPr>
                <w:p w14:paraId="1C4BDE36">
                  <w:pPr>
                    <w:keepNext w:val="0"/>
                    <w:keepLines w:val="0"/>
                    <w:pageBreakBefore w:val="0"/>
                    <w:widowControl w:val="0"/>
                    <w:ind w:left="0" w:right="0" w:firstLine="420"/>
                    <w:jc w:val="both"/>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到2025年，全州空气质量优良率达到省级要求，中心城市环境空气质量稳定达到国家二级标准。2035年，全州空气质量优良率保持稳定，中心城市、各县市城市环境空气质量稳定达到国家二级标准。</w:t>
                  </w:r>
                </w:p>
              </w:tc>
              <w:tc>
                <w:tcPr>
                  <w:tcW w:w="2026" w:type="dxa"/>
                  <w:noWrap w:val="0"/>
                  <w:vAlign w:val="center"/>
                </w:tcPr>
                <w:p w14:paraId="7E554D42">
                  <w:pPr>
                    <w:keepNext w:val="0"/>
                    <w:keepLines w:val="0"/>
                    <w:pageBreakBefore w:val="0"/>
                    <w:widowControl w:val="0"/>
                    <w:ind w:left="0" w:right="0" w:firstLine="420"/>
                    <w:jc w:val="both"/>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rPr>
                    <w:t>根据《</w:t>
                  </w:r>
                  <w:r>
                    <w:rPr>
                      <w:rFonts w:hint="eastAsia" w:ascii="Times New Roman" w:hAnsi="Times New Roman" w:eastAsia="宋体" w:cs="Times New Roman"/>
                      <w:color w:val="000000"/>
                      <w:sz w:val="21"/>
                      <w:szCs w:val="21"/>
                      <w:highlight w:val="none"/>
                      <w:lang w:val="en-US" w:eastAsia="zh-CN"/>
                    </w:rPr>
                    <w:t>2</w:t>
                  </w:r>
                  <w:r>
                    <w:rPr>
                      <w:rFonts w:ascii="Times New Roman" w:hAnsi="Times New Roman" w:eastAsia="宋体" w:cs="Times New Roman"/>
                      <w:color w:val="000000"/>
                      <w:sz w:val="21"/>
                      <w:szCs w:val="21"/>
                      <w:highlight w:val="none"/>
                    </w:rPr>
                    <w:t>02</w:t>
                  </w:r>
                  <w:r>
                    <w:rPr>
                      <w:rFonts w:hint="eastAsia" w:ascii="Times New Roman" w:hAnsi="Times New Roman" w:eastAsia="宋体" w:cs="Times New Roman"/>
                      <w:color w:val="000000"/>
                      <w:sz w:val="21"/>
                      <w:szCs w:val="21"/>
                      <w:highlight w:val="none"/>
                      <w:lang w:val="en-US" w:eastAsia="zh-CN"/>
                    </w:rPr>
                    <w:t>1年德宏州环境状况公报</w:t>
                  </w:r>
                  <w:r>
                    <w:rPr>
                      <w:rFonts w:ascii="Times New Roman" w:hAnsi="Times New Roman" w:eastAsia="宋体" w:cs="Times New Roman"/>
                      <w:color w:val="000000"/>
                      <w:sz w:val="21"/>
                      <w:szCs w:val="21"/>
                      <w:highlight w:val="none"/>
                    </w:rPr>
                    <w:t>》，</w:t>
                  </w:r>
                  <w:r>
                    <w:rPr>
                      <w:rFonts w:hint="eastAsia" w:ascii="Times New Roman" w:hAnsi="Times New Roman" w:eastAsia="宋体" w:cs="Times New Roman"/>
                      <w:color w:val="000000"/>
                      <w:sz w:val="21"/>
                      <w:szCs w:val="21"/>
                      <w:highlight w:val="none"/>
                      <w:lang w:val="en-US" w:eastAsia="zh-CN"/>
                    </w:rPr>
                    <w:t>全州环境空气质量保持良好，全州5个城市年评价结果均符合《环境空气质量标准》（GB3095-2012）二级标准要求。</w:t>
                  </w:r>
                </w:p>
                <w:p w14:paraId="5A710DBA">
                  <w:pPr>
                    <w:keepNext w:val="0"/>
                    <w:keepLines w:val="0"/>
                    <w:pageBreakBefore w:val="0"/>
                    <w:widowControl w:val="0"/>
                    <w:ind w:left="0" w:right="0" w:firstLine="420"/>
                    <w:jc w:val="both"/>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highlight w:val="none"/>
                    </w:rPr>
                    <w:t>项目营运期</w:t>
                  </w:r>
                  <w:r>
                    <w:rPr>
                      <w:rFonts w:hint="eastAsia" w:ascii="Times New Roman" w:hAnsi="Times New Roman" w:eastAsia="宋体" w:cs="Times New Roman"/>
                      <w:color w:val="000000"/>
                      <w:sz w:val="21"/>
                      <w:szCs w:val="21"/>
                      <w:highlight w:val="none"/>
                      <w:lang w:val="en-US" w:eastAsia="zh-CN"/>
                    </w:rPr>
                    <w:t>断料断料、破片、清边、裁边粉尘经集气罩收集后，</w:t>
                  </w:r>
                  <w:r>
                    <w:rPr>
                      <w:rFonts w:hint="eastAsia"/>
                      <w:b w:val="0"/>
                      <w:bCs/>
                      <w:color w:val="000000"/>
                      <w:sz w:val="21"/>
                      <w:szCs w:val="21"/>
                      <w:highlight w:val="none"/>
                      <w:lang w:val="en-US" w:eastAsia="zh-CN"/>
                    </w:rPr>
                    <w:t>经一套布袋除尘器处理后，通过一根15m高排气筒（DA001）</w:t>
                  </w:r>
                  <w:r>
                    <w:rPr>
                      <w:rFonts w:ascii="Times New Roman" w:hAnsi="Times New Roman" w:eastAsia="宋体" w:cs="Times New Roman"/>
                      <w:color w:val="000000"/>
                      <w:sz w:val="21"/>
                      <w:szCs w:val="21"/>
                      <w:highlight w:val="none"/>
                      <w:lang w:val="en-US" w:eastAsia="zh-CN" w:bidi="ar-SA"/>
                    </w:rPr>
                    <w:t>排放</w:t>
                  </w:r>
                  <w:r>
                    <w:rPr>
                      <w:rFonts w:hint="eastAsia" w:ascii="Times New Roman" w:hAnsi="Times New Roman" w:eastAsia="宋体" w:cs="Times New Roman"/>
                      <w:color w:val="000000"/>
                      <w:sz w:val="21"/>
                      <w:szCs w:val="21"/>
                      <w:highlight w:val="none"/>
                      <w:lang w:val="en-US" w:eastAsia="zh-CN" w:bidi="ar-SA"/>
                    </w:rPr>
                    <w:t>；</w:t>
                  </w:r>
                  <w:r>
                    <w:rPr>
                      <w:rFonts w:hint="eastAsia" w:ascii="Times New Roman" w:hAnsi="Times New Roman" w:eastAsia="宋体" w:cs="Times New Roman"/>
                      <w:color w:val="000000"/>
                      <w:sz w:val="21"/>
                      <w:szCs w:val="21"/>
                      <w:highlight w:val="none"/>
                      <w:lang w:val="en-US" w:eastAsia="zh-CN"/>
                    </w:rPr>
                    <w:t>烘干、涂胶过程产生的非甲烷总烃、甲醛</w:t>
                  </w:r>
                  <w:r>
                    <w:rPr>
                      <w:rFonts w:hint="eastAsia" w:ascii="Times New Roman" w:hAnsi="Times New Roman" w:eastAsia="宋体" w:cs="Times New Roman"/>
                      <w:b w:val="0"/>
                      <w:bCs/>
                      <w:color w:val="000000"/>
                      <w:sz w:val="21"/>
                      <w:szCs w:val="21"/>
                      <w:highlight w:val="none"/>
                      <w:lang w:val="en-US" w:eastAsia="zh-CN"/>
                    </w:rPr>
                    <w:t>经一套活性炭吸附装置处理后，</w:t>
                  </w:r>
                  <w:r>
                    <w:rPr>
                      <w:rFonts w:hint="eastAsia"/>
                      <w:b w:val="0"/>
                      <w:bCs/>
                      <w:color w:val="000000"/>
                      <w:sz w:val="21"/>
                      <w:szCs w:val="21"/>
                      <w:highlight w:val="none"/>
                      <w:lang w:val="en-US" w:eastAsia="zh-CN"/>
                    </w:rPr>
                    <w:t>通过一根15m高排气筒(DA002)</w:t>
                  </w:r>
                  <w:r>
                    <w:rPr>
                      <w:rFonts w:ascii="Times New Roman" w:hAnsi="Times New Roman" w:eastAsia="宋体" w:cs="Times New Roman"/>
                      <w:color w:val="000000"/>
                      <w:sz w:val="21"/>
                      <w:szCs w:val="21"/>
                      <w:highlight w:val="none"/>
                      <w:lang w:val="en-US" w:eastAsia="zh-CN" w:bidi="ar-SA"/>
                    </w:rPr>
                    <w:t>排放</w:t>
                  </w:r>
                  <w:r>
                    <w:rPr>
                      <w:rFonts w:hint="eastAsia" w:ascii="Times New Roman" w:hAnsi="Times New Roman" w:eastAsia="宋体" w:cs="Times New Roman"/>
                      <w:color w:val="000000"/>
                      <w:sz w:val="21"/>
                      <w:szCs w:val="21"/>
                      <w:highlight w:val="none"/>
                      <w:lang w:val="en-US" w:eastAsia="zh-CN" w:bidi="ar-SA"/>
                    </w:rPr>
                    <w:t>；</w:t>
                  </w:r>
                  <w:r>
                    <w:rPr>
                      <w:rFonts w:hint="eastAsia" w:ascii="Times New Roman" w:hAnsi="Times New Roman" w:eastAsia="宋体" w:cs="Times New Roman"/>
                      <w:color w:val="000000"/>
                      <w:sz w:val="21"/>
                      <w:szCs w:val="21"/>
                      <w:highlight w:val="none"/>
                      <w:lang w:val="en-US" w:eastAsia="zh-CN"/>
                    </w:rPr>
                    <w:t>锅炉烟气</w:t>
                  </w:r>
                  <w:r>
                    <w:rPr>
                      <w:rFonts w:hint="eastAsia" w:ascii="Times New Roman" w:hAnsi="Times New Roman" w:eastAsia="宋体" w:cs="Times New Roman"/>
                      <w:color w:val="000000"/>
                      <w:sz w:val="21"/>
                      <w:szCs w:val="21"/>
                      <w:highlight w:val="none"/>
                      <w:lang w:val="en-US" w:eastAsia="zh-CN" w:bidi="ar-SA"/>
                    </w:rPr>
                    <w:t>经一套</w:t>
                  </w:r>
                  <w:r>
                    <w:rPr>
                      <w:rFonts w:ascii="Times New Roman" w:hAnsi="Times New Roman" w:eastAsia="宋体" w:cs="Times New Roman"/>
                      <w:color w:val="000000"/>
                      <w:sz w:val="21"/>
                      <w:szCs w:val="21"/>
                      <w:highlight w:val="none"/>
                      <w:lang w:val="en-US" w:eastAsia="zh-CN" w:bidi="ar-SA"/>
                    </w:rPr>
                    <w:t>布袋除尘器</w:t>
                  </w:r>
                  <w:r>
                    <w:rPr>
                      <w:rFonts w:hint="eastAsia" w:ascii="Times New Roman" w:hAnsi="Times New Roman" w:eastAsia="宋体" w:cs="Times New Roman"/>
                      <w:color w:val="000000"/>
                      <w:sz w:val="21"/>
                      <w:szCs w:val="21"/>
                      <w:highlight w:val="none"/>
                      <w:lang w:val="en-US" w:eastAsia="zh-CN" w:bidi="ar-SA"/>
                    </w:rPr>
                    <w:t>处理后，</w:t>
                  </w:r>
                  <w:r>
                    <w:rPr>
                      <w:rFonts w:ascii="Times New Roman" w:hAnsi="Times New Roman" w:eastAsia="宋体" w:cs="Times New Roman"/>
                      <w:color w:val="000000"/>
                      <w:sz w:val="21"/>
                      <w:szCs w:val="21"/>
                      <w:highlight w:val="none"/>
                      <w:lang w:val="en-US" w:eastAsia="zh-CN" w:bidi="ar-SA"/>
                    </w:rPr>
                    <w:t>通过一根</w:t>
                  </w:r>
                  <w:r>
                    <w:rPr>
                      <w:rFonts w:hint="eastAsia" w:ascii="Times New Roman" w:hAnsi="Times New Roman" w:eastAsia="宋体" w:cs="Times New Roman"/>
                      <w:color w:val="000000"/>
                      <w:sz w:val="21"/>
                      <w:szCs w:val="21"/>
                      <w:highlight w:val="none"/>
                      <w:lang w:val="en-US" w:eastAsia="zh-CN" w:bidi="ar-SA"/>
                    </w:rPr>
                    <w:t>30</w:t>
                  </w:r>
                  <w:r>
                    <w:rPr>
                      <w:rFonts w:ascii="Times New Roman" w:hAnsi="Times New Roman" w:eastAsia="宋体" w:cs="Times New Roman"/>
                      <w:color w:val="000000"/>
                      <w:sz w:val="21"/>
                      <w:szCs w:val="21"/>
                      <w:highlight w:val="none"/>
                      <w:lang w:val="en-US" w:eastAsia="zh-CN" w:bidi="ar-SA"/>
                    </w:rPr>
                    <w:t>m</w:t>
                  </w:r>
                  <w:r>
                    <w:rPr>
                      <w:rFonts w:hint="eastAsia" w:ascii="Times New Roman" w:hAnsi="Times New Roman" w:eastAsia="宋体" w:cs="Times New Roman"/>
                      <w:color w:val="000000"/>
                      <w:sz w:val="21"/>
                      <w:szCs w:val="21"/>
                      <w:highlight w:val="none"/>
                      <w:lang w:val="en-US" w:eastAsia="zh-CN" w:bidi="ar-SA"/>
                    </w:rPr>
                    <w:t>高</w:t>
                  </w:r>
                  <w:r>
                    <w:rPr>
                      <w:rFonts w:ascii="Times New Roman" w:hAnsi="Times New Roman" w:eastAsia="宋体" w:cs="Times New Roman"/>
                      <w:color w:val="000000"/>
                      <w:sz w:val="21"/>
                      <w:szCs w:val="21"/>
                      <w:highlight w:val="none"/>
                      <w:lang w:val="en-US" w:eastAsia="zh-CN" w:bidi="ar-SA"/>
                    </w:rPr>
                    <w:t>排气筒</w:t>
                  </w:r>
                  <w:r>
                    <w:rPr>
                      <w:rFonts w:hint="eastAsia" w:ascii="Times New Roman" w:hAnsi="Times New Roman" w:eastAsia="宋体" w:cs="Times New Roman"/>
                      <w:color w:val="000000"/>
                      <w:sz w:val="21"/>
                      <w:szCs w:val="21"/>
                      <w:highlight w:val="none"/>
                      <w:lang w:val="en-US" w:eastAsia="zh-CN" w:bidi="ar-SA"/>
                    </w:rPr>
                    <w:t>（DA003）</w:t>
                  </w:r>
                  <w:r>
                    <w:rPr>
                      <w:rFonts w:ascii="Times New Roman" w:hAnsi="Times New Roman" w:eastAsia="宋体" w:cs="Times New Roman"/>
                      <w:color w:val="000000"/>
                      <w:sz w:val="21"/>
                      <w:szCs w:val="21"/>
                      <w:highlight w:val="none"/>
                      <w:lang w:val="en-US" w:eastAsia="zh-CN" w:bidi="ar-SA"/>
                    </w:rPr>
                    <w:t>排放</w:t>
                  </w:r>
                  <w:r>
                    <w:rPr>
                      <w:rFonts w:hint="eastAsia" w:ascii="Times New Roman" w:hAnsi="Times New Roman" w:eastAsia="宋体" w:cs="Times New Roman"/>
                      <w:color w:val="000000"/>
                      <w:sz w:val="21"/>
                      <w:szCs w:val="21"/>
                      <w:highlight w:val="none"/>
                      <w:lang w:val="en-US" w:eastAsia="zh-CN" w:bidi="ar-SA"/>
                    </w:rPr>
                    <w:t>，生产工序设置于半封闭厂房内，生产废气经过各项</w:t>
                  </w:r>
                  <w:r>
                    <w:rPr>
                      <w:rFonts w:hint="eastAsia" w:ascii="Times New Roman" w:hAnsi="Times New Roman" w:eastAsia="宋体" w:cs="Times New Roman"/>
                      <w:color w:val="000000"/>
                      <w:sz w:val="21"/>
                      <w:szCs w:val="21"/>
                      <w:highlight w:val="none"/>
                      <w:lang w:val="en-US" w:eastAsia="zh-CN"/>
                    </w:rPr>
                    <w:t>措施</w:t>
                  </w:r>
                  <w:r>
                    <w:rPr>
                      <w:rFonts w:ascii="Times New Roman" w:hAnsi="Times New Roman" w:eastAsia="宋体" w:cs="Times New Roman"/>
                      <w:color w:val="000000"/>
                      <w:sz w:val="21"/>
                      <w:szCs w:val="21"/>
                      <w:highlight w:val="none"/>
                      <w:lang w:val="en-US" w:eastAsia="zh-CN"/>
                    </w:rPr>
                    <w:t>处</w:t>
                  </w:r>
                  <w:r>
                    <w:rPr>
                      <w:rFonts w:ascii="Times New Roman" w:hAnsi="Times New Roman" w:eastAsia="宋体" w:cs="Times New Roman"/>
                      <w:color w:val="000000"/>
                      <w:sz w:val="21"/>
                      <w:szCs w:val="21"/>
                      <w:highlight w:val="none"/>
                    </w:rPr>
                    <w:t>理后能够实现达标排放。</w:t>
                  </w:r>
                </w:p>
              </w:tc>
              <w:tc>
                <w:tcPr>
                  <w:tcW w:w="382" w:type="dxa"/>
                  <w:noWrap w:val="0"/>
                  <w:vAlign w:val="center"/>
                </w:tcPr>
                <w:p w14:paraId="5C681F9C">
                  <w:pPr>
                    <w:ind w:right="105"/>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符合</w:t>
                  </w:r>
                </w:p>
              </w:tc>
            </w:tr>
            <w:tr w14:paraId="0CB49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417" w:type="dxa"/>
                  <w:vMerge w:val="continue"/>
                  <w:noWrap w:val="0"/>
                  <w:vAlign w:val="center"/>
                </w:tcPr>
                <w:p w14:paraId="11EA256C">
                  <w:pPr>
                    <w:ind w:right="105"/>
                    <w:jc w:val="center"/>
                    <w:rPr>
                      <w:rFonts w:ascii="Times New Roman" w:hAnsi="Times New Roman" w:eastAsia="宋体" w:cs="Times New Roman"/>
                      <w:color w:val="000000"/>
                      <w:sz w:val="21"/>
                      <w:szCs w:val="21"/>
                    </w:rPr>
                  </w:pPr>
                </w:p>
              </w:tc>
              <w:tc>
                <w:tcPr>
                  <w:tcW w:w="409" w:type="dxa"/>
                  <w:noWrap w:val="0"/>
                  <w:vAlign w:val="center"/>
                </w:tcPr>
                <w:p w14:paraId="724D55FB">
                  <w:pPr>
                    <w:ind w:right="105"/>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土壤环境风险防控底线</w:t>
                  </w:r>
                </w:p>
              </w:tc>
              <w:tc>
                <w:tcPr>
                  <w:tcW w:w="1764" w:type="dxa"/>
                  <w:noWrap w:val="0"/>
                  <w:vAlign w:val="center"/>
                </w:tcPr>
                <w:p w14:paraId="48CE7DE9">
                  <w:pPr>
                    <w:keepNext w:val="0"/>
                    <w:keepLines w:val="0"/>
                    <w:pageBreakBefore w:val="0"/>
                    <w:widowControl w:val="0"/>
                    <w:ind w:left="0" w:right="0" w:firstLine="420"/>
                    <w:jc w:val="both"/>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到2025年，全州土壤环境质量保持优异，土壤环境风险管控水平不断提升，受污染耕地安全利用率达到85%以上，受污染建设用地地块安全利用率达到95%以上。2035年，全州土壤环境风险防范体系全面建立，农用地和建设用地土壤环境安全得到有效保障，土壤环境风险得到全面管控。</w:t>
                  </w:r>
                </w:p>
              </w:tc>
              <w:tc>
                <w:tcPr>
                  <w:tcW w:w="2026" w:type="dxa"/>
                  <w:noWrap w:val="0"/>
                  <w:vAlign w:val="center"/>
                </w:tcPr>
                <w:p w14:paraId="69A45524">
                  <w:pPr>
                    <w:keepNext w:val="0"/>
                    <w:keepLines w:val="0"/>
                    <w:pageBreakBefore w:val="0"/>
                    <w:widowControl w:val="0"/>
                    <w:ind w:left="0" w:right="0" w:firstLine="420"/>
                    <w:jc w:val="both"/>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本项目位于</w:t>
                  </w:r>
                  <w:r>
                    <w:rPr>
                      <w:rFonts w:hint="eastAsia" w:ascii="Times New Roman" w:hAnsi="Times New Roman" w:eastAsia="宋体" w:cs="Times New Roman"/>
                      <w:color w:val="000000"/>
                      <w:sz w:val="21"/>
                      <w:szCs w:val="21"/>
                      <w:lang w:eastAsia="zh-CN"/>
                    </w:rPr>
                    <w:t>云南省德宏州芒市风平镇帕底村芒市糖厂</w:t>
                  </w:r>
                  <w:r>
                    <w:rPr>
                      <w:rFonts w:ascii="Times New Roman" w:hAnsi="Times New Roman" w:eastAsia="宋体" w:cs="Times New Roman"/>
                      <w:color w:val="000000"/>
                      <w:sz w:val="21"/>
                      <w:szCs w:val="21"/>
                      <w:lang w:val="en-US" w:eastAsia="zh-CN"/>
                    </w:rPr>
                    <w:t>，占地范围不涉及永久基本农田，项目营运期各项目污染物均采取有效治理措施，对项目区土壤污染较小。</w:t>
                  </w:r>
                </w:p>
              </w:tc>
              <w:tc>
                <w:tcPr>
                  <w:tcW w:w="382" w:type="dxa"/>
                  <w:noWrap w:val="0"/>
                  <w:vAlign w:val="center"/>
                </w:tcPr>
                <w:p w14:paraId="47CBC8C0">
                  <w:pPr>
                    <w:ind w:right="105"/>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符合</w:t>
                  </w:r>
                </w:p>
              </w:tc>
            </w:tr>
            <w:tr w14:paraId="75E5A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34" w:type="dxa"/>
                <w:trHeight w:val="20" w:hRule="atLeast"/>
                <w:jc w:val="center"/>
              </w:trPr>
              <w:tc>
                <w:tcPr>
                  <w:tcW w:w="826" w:type="dxa"/>
                  <w:noWrap w:val="0"/>
                  <w:vAlign w:val="center"/>
                </w:tcPr>
                <w:p w14:paraId="05935E58">
                  <w:pPr>
                    <w:keepNext w:val="0"/>
                    <w:keepLines w:val="0"/>
                    <w:pageBreakBefore w:val="0"/>
                    <w:widowControl w:val="0"/>
                    <w:spacing w:line="240" w:lineRule="auto"/>
                    <w:ind w:left="42" w:right="42"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资源利用上线</w:t>
                  </w:r>
                </w:p>
              </w:tc>
              <w:tc>
                <w:tcPr>
                  <w:tcW w:w="1764" w:type="dxa"/>
                  <w:noWrap w:val="0"/>
                  <w:vAlign w:val="center"/>
                </w:tcPr>
                <w:p w14:paraId="2B911EF5">
                  <w:pPr>
                    <w:keepNext w:val="0"/>
                    <w:keepLines w:val="0"/>
                    <w:pageBreakBefore w:val="0"/>
                    <w:widowControl w:val="0"/>
                    <w:spacing w:line="240" w:lineRule="auto"/>
                    <w:ind w:left="0" w:right="0" w:firstLine="420"/>
                    <w:jc w:val="both"/>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强化节约集约利用，持续提升资源能源利用效率，水资源、土地资源、能源消耗等达到云南省下达的总量和强度控制目标。</w:t>
                  </w:r>
                </w:p>
              </w:tc>
              <w:tc>
                <w:tcPr>
                  <w:tcW w:w="2026" w:type="dxa"/>
                  <w:noWrap w:val="0"/>
                  <w:vAlign w:val="center"/>
                </w:tcPr>
                <w:p w14:paraId="574BD68F">
                  <w:pPr>
                    <w:keepNext w:val="0"/>
                    <w:keepLines w:val="0"/>
                    <w:pageBreakBefore w:val="0"/>
                    <w:widowControl w:val="0"/>
                    <w:spacing w:line="240" w:lineRule="auto"/>
                    <w:ind w:left="0" w:right="0" w:firstLine="420"/>
                    <w:jc w:val="both"/>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本项目主要涉及资源为项目建设土地利用资源、水</w:t>
                  </w:r>
                  <w:r>
                    <w:rPr>
                      <w:rFonts w:hint="eastAsia" w:ascii="Times New Roman" w:hAnsi="Times New Roman" w:eastAsia="宋体" w:cs="Times New Roman"/>
                      <w:color w:val="000000"/>
                      <w:sz w:val="21"/>
                      <w:szCs w:val="21"/>
                      <w:highlight w:val="none"/>
                      <w:lang w:eastAsia="zh-CN"/>
                    </w:rPr>
                    <w:t>、</w:t>
                  </w:r>
                  <w:r>
                    <w:rPr>
                      <w:rFonts w:ascii="Times New Roman" w:hAnsi="Times New Roman" w:eastAsia="宋体" w:cs="Times New Roman"/>
                      <w:color w:val="000000"/>
                      <w:sz w:val="21"/>
                      <w:szCs w:val="21"/>
                      <w:highlight w:val="none"/>
                    </w:rPr>
                    <w:t>电等，项目</w:t>
                  </w:r>
                  <w:r>
                    <w:rPr>
                      <w:rFonts w:ascii="Times New Roman" w:hAnsi="Times New Roman" w:eastAsia="宋体" w:cs="Times New Roman"/>
                      <w:color w:val="000000"/>
                      <w:sz w:val="21"/>
                      <w:szCs w:val="21"/>
                      <w:highlight w:val="none"/>
                      <w:lang w:val="en-US" w:eastAsia="zh-CN"/>
                    </w:rPr>
                    <w:t>占地面积较小</w:t>
                  </w:r>
                  <w:r>
                    <w:rPr>
                      <w:rFonts w:hint="eastAsia" w:ascii="Times New Roman" w:hAnsi="Times New Roman" w:eastAsia="宋体" w:cs="Times New Roman"/>
                      <w:color w:val="000000"/>
                      <w:sz w:val="21"/>
                      <w:szCs w:val="21"/>
                      <w:highlight w:val="none"/>
                      <w:lang w:val="en-US" w:eastAsia="zh-CN"/>
                    </w:rPr>
                    <w:t>，</w:t>
                  </w:r>
                  <w:r>
                    <w:rPr>
                      <w:rFonts w:ascii="Times New Roman" w:hAnsi="Times New Roman" w:eastAsia="宋体" w:cs="Times New Roman"/>
                      <w:color w:val="000000"/>
                      <w:sz w:val="21"/>
                      <w:szCs w:val="21"/>
                      <w:highlight w:val="none"/>
                      <w:lang w:val="en-US" w:eastAsia="zh-CN"/>
                    </w:rPr>
                    <w:t>水</w:t>
                  </w:r>
                  <w:r>
                    <w:rPr>
                      <w:rFonts w:ascii="Times New Roman" w:hAnsi="Times New Roman" w:eastAsia="宋体" w:cs="Times New Roman"/>
                      <w:color w:val="000000"/>
                      <w:sz w:val="21"/>
                      <w:szCs w:val="21"/>
                      <w:highlight w:val="none"/>
                    </w:rPr>
                    <w:t>资源消耗量较小，</w:t>
                  </w:r>
                  <w:r>
                    <w:rPr>
                      <w:rFonts w:ascii="Times New Roman" w:hAnsi="Times New Roman" w:eastAsia="宋体" w:cs="Times New Roman"/>
                      <w:color w:val="000000"/>
                      <w:sz w:val="21"/>
                      <w:szCs w:val="21"/>
                      <w:highlight w:val="none"/>
                      <w:lang w:val="en-US" w:eastAsia="zh-CN"/>
                    </w:rPr>
                    <w:t>用电量较小，</w:t>
                  </w:r>
                  <w:r>
                    <w:rPr>
                      <w:rFonts w:ascii="Times New Roman" w:hAnsi="Times New Roman" w:eastAsia="宋体" w:cs="Times New Roman"/>
                      <w:color w:val="000000"/>
                      <w:sz w:val="21"/>
                      <w:szCs w:val="21"/>
                      <w:highlight w:val="none"/>
                    </w:rPr>
                    <w:t>符合资源利用上限要求。</w:t>
                  </w:r>
                </w:p>
              </w:tc>
              <w:tc>
                <w:tcPr>
                  <w:tcW w:w="382" w:type="dxa"/>
                  <w:noWrap w:val="0"/>
                  <w:vAlign w:val="center"/>
                </w:tcPr>
                <w:p w14:paraId="31ECAADD">
                  <w:pPr>
                    <w:keepNext w:val="0"/>
                    <w:keepLines w:val="0"/>
                    <w:pageBreakBefore w:val="0"/>
                    <w:widowControl w:val="0"/>
                    <w:spacing w:line="240" w:lineRule="auto"/>
                    <w:ind w:left="42" w:right="42"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符合</w:t>
                  </w:r>
                </w:p>
              </w:tc>
            </w:tr>
            <w:tr w14:paraId="0804C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17" w:type="dxa"/>
                  <w:vMerge w:val="restart"/>
                  <w:noWrap w:val="0"/>
                  <w:vAlign w:val="center"/>
                </w:tcPr>
                <w:p w14:paraId="7DB74E6B">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德宏州一般管控单元生态环境准入清单</w:t>
                  </w:r>
                </w:p>
              </w:tc>
              <w:tc>
                <w:tcPr>
                  <w:tcW w:w="409" w:type="dxa"/>
                  <w:noWrap w:val="0"/>
                  <w:vAlign w:val="center"/>
                </w:tcPr>
                <w:p w14:paraId="3418C5B6">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空间布局约束</w:t>
                  </w:r>
                </w:p>
              </w:tc>
              <w:tc>
                <w:tcPr>
                  <w:tcW w:w="1764" w:type="dxa"/>
                  <w:noWrap w:val="0"/>
                  <w:vAlign w:val="center"/>
                </w:tcPr>
                <w:p w14:paraId="4B15D7F8">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1.新建企业应入工业园区，未建立工业园区的县（市），新建企业的布局应符合当地相关产业布局的要求。</w:t>
                  </w:r>
                </w:p>
                <w:p w14:paraId="40757FB3">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2.禁止在基本农田内从事非农业生产的活动。任何单位和个人不得改变或者占用基本农田保护区。</w:t>
                  </w:r>
                </w:p>
                <w:p w14:paraId="02FD6263">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3.禁止新建、改扩建中小水电（25万千瓦以下）项目，现有中小水电站应按照环评批复（环评批复未明确生态流量的根据来水量科学确定生态流量），确保连续稳定下泄生态流量。</w:t>
                  </w:r>
                </w:p>
              </w:tc>
              <w:tc>
                <w:tcPr>
                  <w:tcW w:w="2026" w:type="dxa"/>
                  <w:noWrap w:val="0"/>
                  <w:vAlign w:val="center"/>
                </w:tcPr>
                <w:p w14:paraId="79E86863">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项目为</w:t>
                  </w:r>
                  <w:r>
                    <w:rPr>
                      <w:rFonts w:hint="eastAsia" w:ascii="Times New Roman" w:hAnsi="Times New Roman" w:eastAsia="宋体" w:cs="Times New Roman"/>
                      <w:color w:val="000000"/>
                      <w:sz w:val="21"/>
                      <w:szCs w:val="21"/>
                      <w:lang w:val="en-US" w:eastAsia="zh-CN"/>
                    </w:rPr>
                    <w:t>新建</w:t>
                  </w:r>
                  <w:r>
                    <w:rPr>
                      <w:rFonts w:ascii="Times New Roman" w:hAnsi="Times New Roman" w:eastAsia="宋体" w:cs="Times New Roman"/>
                      <w:color w:val="000000"/>
                      <w:sz w:val="21"/>
                      <w:szCs w:val="21"/>
                      <w:lang w:val="en-US" w:eastAsia="zh-CN"/>
                    </w:rPr>
                    <w:t>项目，选址于</w:t>
                  </w:r>
                  <w:r>
                    <w:rPr>
                      <w:rFonts w:hint="eastAsia" w:ascii="Times New Roman" w:hAnsi="Times New Roman" w:eastAsia="宋体" w:cs="Times New Roman"/>
                      <w:color w:val="000000"/>
                      <w:sz w:val="21"/>
                      <w:szCs w:val="21"/>
                      <w:lang w:eastAsia="zh-CN"/>
                    </w:rPr>
                    <w:t>云南省德宏州芒市风平镇帕底村芒市糖厂</w:t>
                  </w:r>
                  <w:r>
                    <w:rPr>
                      <w:rFonts w:ascii="Times New Roman" w:hAnsi="Times New Roman" w:eastAsia="宋体" w:cs="Times New Roman"/>
                      <w:color w:val="000000"/>
                      <w:sz w:val="21"/>
                      <w:szCs w:val="21"/>
                      <w:lang w:val="en-US" w:eastAsia="zh-CN"/>
                    </w:rPr>
                    <w:t>，</w:t>
                  </w:r>
                  <w:r>
                    <w:rPr>
                      <w:rFonts w:ascii="Times New Roman" w:hAnsi="Times New Roman" w:eastAsia="宋体" w:cs="Times New Roman"/>
                      <w:color w:val="000000"/>
                      <w:sz w:val="21"/>
                      <w:szCs w:val="21"/>
                    </w:rPr>
                    <w:t>占地不涉及</w:t>
                  </w:r>
                  <w:r>
                    <w:rPr>
                      <w:rFonts w:ascii="Times New Roman" w:hAnsi="Times New Roman" w:eastAsia="宋体" w:cs="Times New Roman"/>
                      <w:color w:val="000000"/>
                      <w:sz w:val="21"/>
                      <w:szCs w:val="21"/>
                      <w:lang w:val="en-US" w:eastAsia="zh-CN"/>
                    </w:rPr>
                    <w:t>永久</w:t>
                  </w:r>
                  <w:r>
                    <w:rPr>
                      <w:rFonts w:ascii="Times New Roman" w:hAnsi="Times New Roman" w:eastAsia="宋体" w:cs="Times New Roman"/>
                      <w:color w:val="000000"/>
                      <w:sz w:val="21"/>
                      <w:szCs w:val="21"/>
                    </w:rPr>
                    <w:t>基本农田</w:t>
                  </w:r>
                  <w:r>
                    <w:rPr>
                      <w:rFonts w:hint="eastAsia" w:ascii="Times New Roman" w:hAnsi="Times New Roman" w:eastAsia="宋体" w:cs="Times New Roman"/>
                      <w:color w:val="000000"/>
                      <w:sz w:val="21"/>
                      <w:szCs w:val="21"/>
                      <w:lang w:val="en-US" w:eastAsia="zh-CN"/>
                    </w:rPr>
                    <w:t>和</w:t>
                  </w:r>
                  <w:r>
                    <w:rPr>
                      <w:rFonts w:ascii="Times New Roman" w:hAnsi="Times New Roman" w:eastAsia="宋体" w:cs="Times New Roman"/>
                      <w:color w:val="000000"/>
                      <w:sz w:val="21"/>
                      <w:szCs w:val="21"/>
                    </w:rPr>
                    <w:t>基本农田保护区</w:t>
                  </w:r>
                  <w:r>
                    <w:rPr>
                      <w:rFonts w:ascii="Times New Roman" w:hAnsi="Times New Roman" w:eastAsia="宋体" w:cs="Times New Roman"/>
                      <w:color w:val="000000"/>
                      <w:sz w:val="21"/>
                      <w:szCs w:val="21"/>
                      <w:lang w:eastAsia="zh-CN"/>
                    </w:rPr>
                    <w:t>，</w:t>
                  </w:r>
                  <w:r>
                    <w:rPr>
                      <w:rFonts w:hint="eastAsia" w:ascii="Times New Roman" w:hAnsi="Times New Roman" w:eastAsia="宋体" w:cs="Times New Roman"/>
                      <w:color w:val="000000"/>
                      <w:sz w:val="21"/>
                      <w:szCs w:val="21"/>
                      <w:lang w:val="en-US" w:eastAsia="zh-CN"/>
                    </w:rPr>
                    <w:t>项目租用德宏滔盛置业有限公司位于芒市风平镇帕底村芒市糖厂的闲置场地用于建设本项目，根据德宏滔盛置业有限公司土地证（详见附件6），用地性质为工业用地，</w:t>
                  </w:r>
                  <w:r>
                    <w:rPr>
                      <w:rFonts w:ascii="Times New Roman" w:hAnsi="Times New Roman" w:eastAsia="宋体" w:cs="Times New Roman"/>
                      <w:color w:val="000000"/>
                      <w:sz w:val="21"/>
                      <w:szCs w:val="21"/>
                      <w:lang w:eastAsia="zh-CN"/>
                    </w:rPr>
                    <w:t>符合《芒市土地利用总体规划（2015-2020年）》</w:t>
                  </w:r>
                  <w:r>
                    <w:rPr>
                      <w:rFonts w:ascii="Times New Roman" w:hAnsi="Times New Roman" w:eastAsia="宋体" w:cs="Times New Roman"/>
                      <w:color w:val="000000"/>
                      <w:sz w:val="21"/>
                      <w:szCs w:val="21"/>
                    </w:rPr>
                    <w:t>。</w:t>
                  </w:r>
                  <w:r>
                    <w:rPr>
                      <w:rFonts w:hint="eastAsia" w:ascii="Times New Roman" w:hAnsi="Times New Roman" w:eastAsia="宋体" w:cs="Times New Roman"/>
                      <w:color w:val="000000"/>
                      <w:sz w:val="21"/>
                      <w:szCs w:val="21"/>
                      <w:lang w:val="en-US" w:eastAsia="zh-CN"/>
                    </w:rPr>
                    <w:t>且本项目不属于中小水电项目。</w:t>
                  </w:r>
                </w:p>
              </w:tc>
              <w:tc>
                <w:tcPr>
                  <w:tcW w:w="382" w:type="dxa"/>
                  <w:noWrap w:val="0"/>
                  <w:vAlign w:val="center"/>
                </w:tcPr>
                <w:p w14:paraId="6583E747">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highlight w:val="none"/>
                      <w:lang w:val="en-US" w:eastAsia="zh-CN"/>
                    </w:rPr>
                    <w:t>符合</w:t>
                  </w:r>
                </w:p>
              </w:tc>
            </w:tr>
            <w:tr w14:paraId="2E864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17" w:type="dxa"/>
                  <w:vMerge w:val="continue"/>
                  <w:noWrap w:val="0"/>
                  <w:vAlign w:val="center"/>
                </w:tcPr>
                <w:p w14:paraId="6F626BDA">
                  <w:pPr>
                    <w:jc w:val="center"/>
                    <w:rPr>
                      <w:rFonts w:ascii="Times New Roman" w:hAnsi="Times New Roman" w:eastAsia="宋体" w:cs="Times New Roman"/>
                      <w:color w:val="000000"/>
                      <w:sz w:val="21"/>
                      <w:szCs w:val="21"/>
                    </w:rPr>
                  </w:pPr>
                </w:p>
              </w:tc>
              <w:tc>
                <w:tcPr>
                  <w:tcW w:w="409" w:type="dxa"/>
                  <w:noWrap w:val="0"/>
                  <w:vAlign w:val="center"/>
                </w:tcPr>
                <w:p w14:paraId="7DDFF7E7">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污染物排放管控</w:t>
                  </w:r>
                </w:p>
              </w:tc>
              <w:tc>
                <w:tcPr>
                  <w:tcW w:w="1764" w:type="dxa"/>
                  <w:noWrap w:val="0"/>
                  <w:vAlign w:val="center"/>
                </w:tcPr>
                <w:p w14:paraId="32878BB8">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1.落实生态环境保护基本要求，项目建设和运行应满足产业准入、总量控制、排放标准等管理规定。</w:t>
                  </w:r>
                </w:p>
                <w:p w14:paraId="4A33CEA6">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2.现有工业企业应达标排放，逐步提升清洁生产水平，减少污染物排放量。</w:t>
                  </w:r>
                </w:p>
                <w:p w14:paraId="7D92146F">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3.加强农业面源污染治理，严格控制化肥农药施用量，合理水产养殖布局，控制水产养殖污染，逐步削减农业面源污染物排放量。</w:t>
                  </w:r>
                </w:p>
              </w:tc>
              <w:tc>
                <w:tcPr>
                  <w:tcW w:w="2026" w:type="dxa"/>
                  <w:noWrap w:val="0"/>
                  <w:vAlign w:val="center"/>
                </w:tcPr>
                <w:p w14:paraId="50CBA3B5">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highlight w:val="none"/>
                    </w:rPr>
                    <w:t>本项目</w:t>
                  </w:r>
                  <w:r>
                    <w:rPr>
                      <w:rFonts w:ascii="Times New Roman" w:hAnsi="Times New Roman" w:eastAsia="宋体" w:cs="Times New Roman"/>
                      <w:color w:val="000000"/>
                      <w:sz w:val="21"/>
                      <w:szCs w:val="21"/>
                      <w:highlight w:val="none"/>
                      <w:lang w:val="en-US" w:eastAsia="zh-CN"/>
                    </w:rPr>
                    <w:t>符合现行的产业政策要求，满足总量控制，</w:t>
                  </w:r>
                  <w:r>
                    <w:rPr>
                      <w:rFonts w:hint="eastAsia" w:ascii="Times New Roman" w:hAnsi="Times New Roman" w:eastAsia="宋体" w:cs="Times New Roman"/>
                      <w:color w:val="000000"/>
                      <w:sz w:val="21"/>
                      <w:szCs w:val="21"/>
                      <w:highlight w:val="none"/>
                      <w:lang w:val="en-US" w:eastAsia="zh-CN"/>
                    </w:rPr>
                    <w:t>断料、破片、清边、裁边粉尘经集气罩收集后</w:t>
                  </w:r>
                  <w:r>
                    <w:rPr>
                      <w:rFonts w:hint="eastAsia"/>
                      <w:b w:val="0"/>
                      <w:bCs/>
                      <w:color w:val="000000"/>
                      <w:sz w:val="21"/>
                      <w:szCs w:val="21"/>
                      <w:highlight w:val="none"/>
                      <w:lang w:val="en-US" w:eastAsia="zh-CN"/>
                    </w:rPr>
                    <w:t>，由一套布袋除尘器处理后，处理后通过一根15m高排气筒（DA001）</w:t>
                  </w:r>
                  <w:r>
                    <w:rPr>
                      <w:rFonts w:ascii="Times New Roman" w:hAnsi="Times New Roman" w:eastAsia="宋体" w:cs="Times New Roman"/>
                      <w:color w:val="000000"/>
                      <w:sz w:val="21"/>
                      <w:szCs w:val="21"/>
                      <w:highlight w:val="none"/>
                      <w:lang w:val="en-US" w:eastAsia="zh-CN" w:bidi="ar-SA"/>
                    </w:rPr>
                    <w:t>排放</w:t>
                  </w:r>
                  <w:r>
                    <w:rPr>
                      <w:rFonts w:hint="eastAsia" w:ascii="Times New Roman" w:hAnsi="Times New Roman" w:eastAsia="宋体" w:cs="Times New Roman"/>
                      <w:color w:val="000000"/>
                      <w:sz w:val="21"/>
                      <w:szCs w:val="21"/>
                      <w:highlight w:val="none"/>
                      <w:lang w:val="en-US" w:eastAsia="zh-CN" w:bidi="ar-SA"/>
                    </w:rPr>
                    <w:t>；</w:t>
                  </w:r>
                  <w:r>
                    <w:rPr>
                      <w:rFonts w:hint="eastAsia" w:ascii="Times New Roman" w:hAnsi="Times New Roman" w:eastAsia="宋体" w:cs="Times New Roman"/>
                      <w:color w:val="000000"/>
                      <w:sz w:val="21"/>
                      <w:szCs w:val="21"/>
                      <w:highlight w:val="none"/>
                      <w:lang w:val="en-US" w:eastAsia="zh-CN"/>
                    </w:rPr>
                    <w:t>烘干、涂胶过程产生的非甲烷总烃、甲醛，</w:t>
                  </w:r>
                  <w:r>
                    <w:rPr>
                      <w:rFonts w:hint="eastAsia" w:ascii="Times New Roman" w:hAnsi="Times New Roman" w:eastAsia="宋体" w:cs="Times New Roman"/>
                      <w:b w:val="0"/>
                      <w:bCs/>
                      <w:color w:val="000000"/>
                      <w:sz w:val="21"/>
                      <w:szCs w:val="21"/>
                      <w:highlight w:val="none"/>
                      <w:lang w:val="en-US" w:eastAsia="zh-CN"/>
                    </w:rPr>
                    <w:t>经一套活性炭吸附装置处理后</w:t>
                  </w:r>
                  <w:r>
                    <w:rPr>
                      <w:rFonts w:hint="eastAsia"/>
                      <w:b w:val="0"/>
                      <w:bCs/>
                      <w:color w:val="000000"/>
                      <w:sz w:val="21"/>
                      <w:szCs w:val="21"/>
                      <w:highlight w:val="none"/>
                      <w:lang w:val="en-US" w:eastAsia="zh-CN"/>
                    </w:rPr>
                    <w:t>通过一根15m高排气筒（DA002）</w:t>
                  </w:r>
                  <w:r>
                    <w:rPr>
                      <w:rFonts w:ascii="Times New Roman" w:hAnsi="Times New Roman" w:eastAsia="宋体" w:cs="Times New Roman"/>
                      <w:color w:val="000000"/>
                      <w:sz w:val="21"/>
                      <w:szCs w:val="21"/>
                      <w:highlight w:val="none"/>
                      <w:lang w:val="en-US" w:eastAsia="zh-CN" w:bidi="ar-SA"/>
                    </w:rPr>
                    <w:t>排放</w:t>
                  </w:r>
                  <w:r>
                    <w:rPr>
                      <w:rFonts w:hint="eastAsia" w:ascii="Times New Roman" w:hAnsi="Times New Roman" w:eastAsia="宋体" w:cs="Times New Roman"/>
                      <w:color w:val="000000"/>
                      <w:sz w:val="21"/>
                      <w:szCs w:val="21"/>
                      <w:highlight w:val="none"/>
                      <w:lang w:val="en-US" w:eastAsia="zh-CN" w:bidi="ar-SA"/>
                    </w:rPr>
                    <w:t>；</w:t>
                  </w:r>
                  <w:r>
                    <w:rPr>
                      <w:rFonts w:hint="eastAsia" w:ascii="Times New Roman" w:hAnsi="Times New Roman" w:eastAsia="宋体" w:cs="Times New Roman"/>
                      <w:color w:val="000000"/>
                      <w:sz w:val="21"/>
                      <w:szCs w:val="21"/>
                      <w:highlight w:val="none"/>
                      <w:lang w:val="en-US" w:eastAsia="zh-CN"/>
                    </w:rPr>
                    <w:t>锅炉烟气</w:t>
                  </w:r>
                  <w:r>
                    <w:rPr>
                      <w:rFonts w:hint="eastAsia" w:ascii="Times New Roman" w:hAnsi="Times New Roman" w:eastAsia="宋体" w:cs="Times New Roman"/>
                      <w:color w:val="000000"/>
                      <w:sz w:val="21"/>
                      <w:szCs w:val="21"/>
                      <w:highlight w:val="none"/>
                      <w:lang w:val="en-US" w:eastAsia="zh-CN" w:bidi="ar-SA"/>
                    </w:rPr>
                    <w:t>经一套</w:t>
                  </w:r>
                  <w:r>
                    <w:rPr>
                      <w:rFonts w:ascii="Times New Roman" w:hAnsi="Times New Roman" w:eastAsia="宋体" w:cs="Times New Roman"/>
                      <w:color w:val="000000"/>
                      <w:sz w:val="21"/>
                      <w:szCs w:val="21"/>
                      <w:highlight w:val="none"/>
                      <w:lang w:val="en-US" w:eastAsia="zh-CN" w:bidi="ar-SA"/>
                    </w:rPr>
                    <w:t>布袋除尘器</w:t>
                  </w:r>
                  <w:r>
                    <w:rPr>
                      <w:rFonts w:hint="eastAsia" w:ascii="Times New Roman" w:hAnsi="Times New Roman" w:eastAsia="宋体" w:cs="Times New Roman"/>
                      <w:color w:val="000000"/>
                      <w:sz w:val="21"/>
                      <w:szCs w:val="21"/>
                      <w:highlight w:val="none"/>
                      <w:lang w:val="en-US" w:eastAsia="zh-CN" w:bidi="ar-SA"/>
                    </w:rPr>
                    <w:t>处理后，</w:t>
                  </w:r>
                  <w:r>
                    <w:rPr>
                      <w:rFonts w:ascii="Times New Roman" w:hAnsi="Times New Roman" w:eastAsia="宋体" w:cs="Times New Roman"/>
                      <w:color w:val="000000"/>
                      <w:sz w:val="21"/>
                      <w:szCs w:val="21"/>
                      <w:highlight w:val="none"/>
                      <w:lang w:val="en-US" w:eastAsia="zh-CN" w:bidi="ar-SA"/>
                    </w:rPr>
                    <w:t>通过一根</w:t>
                  </w:r>
                  <w:r>
                    <w:rPr>
                      <w:rFonts w:hint="eastAsia" w:ascii="Times New Roman" w:hAnsi="Times New Roman" w:eastAsia="宋体" w:cs="Times New Roman"/>
                      <w:color w:val="000000"/>
                      <w:sz w:val="21"/>
                      <w:szCs w:val="21"/>
                      <w:highlight w:val="none"/>
                      <w:lang w:val="en-US" w:eastAsia="zh-CN" w:bidi="ar-SA"/>
                    </w:rPr>
                    <w:t>30</w:t>
                  </w:r>
                  <w:r>
                    <w:rPr>
                      <w:rFonts w:ascii="Times New Roman" w:hAnsi="Times New Roman" w:eastAsia="宋体" w:cs="Times New Roman"/>
                      <w:color w:val="000000"/>
                      <w:sz w:val="21"/>
                      <w:szCs w:val="21"/>
                      <w:highlight w:val="none"/>
                      <w:lang w:val="en-US" w:eastAsia="zh-CN" w:bidi="ar-SA"/>
                    </w:rPr>
                    <w:t>m</w:t>
                  </w:r>
                  <w:r>
                    <w:rPr>
                      <w:rFonts w:hint="eastAsia" w:ascii="Times New Roman" w:hAnsi="Times New Roman" w:eastAsia="宋体" w:cs="Times New Roman"/>
                      <w:color w:val="000000"/>
                      <w:sz w:val="21"/>
                      <w:szCs w:val="21"/>
                      <w:highlight w:val="none"/>
                      <w:lang w:val="en-US" w:eastAsia="zh-CN" w:bidi="ar-SA"/>
                    </w:rPr>
                    <w:t>高</w:t>
                  </w:r>
                  <w:r>
                    <w:rPr>
                      <w:rFonts w:ascii="Times New Roman" w:hAnsi="Times New Roman" w:eastAsia="宋体" w:cs="Times New Roman"/>
                      <w:color w:val="000000"/>
                      <w:sz w:val="21"/>
                      <w:szCs w:val="21"/>
                      <w:highlight w:val="none"/>
                      <w:lang w:val="en-US" w:eastAsia="zh-CN" w:bidi="ar-SA"/>
                    </w:rPr>
                    <w:t>排气筒</w:t>
                  </w:r>
                  <w:r>
                    <w:rPr>
                      <w:rFonts w:hint="eastAsia"/>
                      <w:b w:val="0"/>
                      <w:bCs/>
                      <w:color w:val="000000"/>
                      <w:sz w:val="21"/>
                      <w:szCs w:val="21"/>
                      <w:highlight w:val="none"/>
                      <w:lang w:val="en-US" w:eastAsia="zh-CN"/>
                    </w:rPr>
                    <w:t>（DA003）</w:t>
                  </w:r>
                  <w:r>
                    <w:rPr>
                      <w:rFonts w:ascii="Times New Roman" w:hAnsi="Times New Roman" w:eastAsia="宋体" w:cs="Times New Roman"/>
                      <w:color w:val="000000"/>
                      <w:sz w:val="21"/>
                      <w:szCs w:val="21"/>
                      <w:highlight w:val="none"/>
                      <w:lang w:val="en-US" w:eastAsia="zh-CN" w:bidi="ar-SA"/>
                    </w:rPr>
                    <w:t>排放</w:t>
                  </w:r>
                  <w:r>
                    <w:rPr>
                      <w:rFonts w:hint="eastAsia" w:ascii="Times New Roman" w:hAnsi="Times New Roman" w:eastAsia="宋体" w:cs="Times New Roman"/>
                      <w:color w:val="000000"/>
                      <w:sz w:val="21"/>
                      <w:szCs w:val="21"/>
                      <w:highlight w:val="none"/>
                      <w:lang w:val="en-US" w:eastAsia="zh-CN" w:bidi="ar-SA"/>
                    </w:rPr>
                    <w:t>。生产工序设置于半封闭厂房内，生产废气经过各项</w:t>
                  </w:r>
                  <w:r>
                    <w:rPr>
                      <w:rFonts w:hint="eastAsia" w:ascii="Times New Roman" w:hAnsi="Times New Roman" w:eastAsia="宋体" w:cs="Times New Roman"/>
                      <w:color w:val="000000"/>
                      <w:sz w:val="21"/>
                      <w:szCs w:val="21"/>
                      <w:highlight w:val="none"/>
                      <w:lang w:val="en-US" w:eastAsia="zh-CN"/>
                    </w:rPr>
                    <w:t>措施</w:t>
                  </w:r>
                  <w:r>
                    <w:rPr>
                      <w:rFonts w:ascii="Times New Roman" w:hAnsi="Times New Roman" w:eastAsia="宋体" w:cs="Times New Roman"/>
                      <w:color w:val="000000"/>
                      <w:sz w:val="21"/>
                      <w:szCs w:val="21"/>
                      <w:highlight w:val="none"/>
                      <w:lang w:val="en-US" w:eastAsia="zh-CN"/>
                    </w:rPr>
                    <w:t>处</w:t>
                  </w:r>
                  <w:r>
                    <w:rPr>
                      <w:rFonts w:ascii="Times New Roman" w:hAnsi="Times New Roman" w:eastAsia="宋体" w:cs="Times New Roman"/>
                      <w:color w:val="000000"/>
                      <w:sz w:val="21"/>
                      <w:szCs w:val="21"/>
                      <w:highlight w:val="none"/>
                    </w:rPr>
                    <w:t>理后能够实现达标排放。</w:t>
                  </w:r>
                  <w:r>
                    <w:rPr>
                      <w:rFonts w:hint="eastAsia" w:ascii="Times New Roman" w:hAnsi="Times New Roman" w:eastAsia="宋体" w:cs="Times New Roman"/>
                      <w:b w:val="0"/>
                      <w:bCs w:val="0"/>
                      <w:color w:val="000000"/>
                      <w:sz w:val="21"/>
                      <w:szCs w:val="21"/>
                      <w:vertAlign w:val="baseline"/>
                      <w:lang w:val="en-US" w:eastAsia="zh-CN"/>
                    </w:rPr>
                    <w:t>生活废水经化粪池处理后定期清掏用作农肥</w:t>
                  </w:r>
                  <w:r>
                    <w:rPr>
                      <w:rFonts w:hint="eastAsia" w:ascii="Times New Roman" w:hAnsi="Times New Roman" w:eastAsia="宋体" w:cs="Times New Roman"/>
                      <w:color w:val="000000"/>
                      <w:sz w:val="21"/>
                      <w:szCs w:val="21"/>
                      <w:lang w:val="en-US" w:eastAsia="zh-CN"/>
                    </w:rPr>
                    <w:t>，不外排</w:t>
                  </w:r>
                  <w:r>
                    <w:rPr>
                      <w:rFonts w:hint="eastAsia" w:ascii="Times New Roman" w:hAnsi="Times New Roman" w:eastAsia="宋体" w:cs="Times New Roman"/>
                      <w:color w:val="000000"/>
                      <w:sz w:val="21"/>
                      <w:szCs w:val="21"/>
                      <w:lang w:eastAsia="zh-CN"/>
                    </w:rPr>
                    <w:t>；</w:t>
                  </w:r>
                  <w:r>
                    <w:rPr>
                      <w:rFonts w:ascii="Times New Roman" w:hAnsi="Times New Roman" w:eastAsia="宋体" w:cs="Times New Roman"/>
                      <w:color w:val="000000"/>
                      <w:sz w:val="21"/>
                      <w:szCs w:val="21"/>
                      <w:lang w:val="en-US" w:eastAsia="zh-CN"/>
                    </w:rPr>
                    <w:t>厂界</w:t>
                  </w:r>
                  <w:r>
                    <w:rPr>
                      <w:rFonts w:ascii="Times New Roman" w:hAnsi="Times New Roman" w:eastAsia="宋体" w:cs="Times New Roman"/>
                      <w:color w:val="000000"/>
                      <w:sz w:val="21"/>
                      <w:szCs w:val="21"/>
                      <w:highlight w:val="none"/>
                      <w:lang w:val="en-US" w:eastAsia="zh-CN"/>
                    </w:rPr>
                    <w:t>噪声达标排放，固废处置率100%</w:t>
                  </w:r>
                  <w:r>
                    <w:rPr>
                      <w:rFonts w:ascii="Times New Roman" w:hAnsi="Times New Roman" w:eastAsia="宋体" w:cs="Times New Roman"/>
                      <w:color w:val="000000"/>
                      <w:sz w:val="21"/>
                      <w:szCs w:val="21"/>
                      <w:highlight w:val="none"/>
                    </w:rPr>
                    <w:t>。</w:t>
                  </w:r>
                </w:p>
              </w:tc>
              <w:tc>
                <w:tcPr>
                  <w:tcW w:w="382" w:type="dxa"/>
                  <w:noWrap w:val="0"/>
                  <w:vAlign w:val="center"/>
                </w:tcPr>
                <w:p w14:paraId="648DC9CF">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highlight w:val="none"/>
                      <w:lang w:val="en-US" w:eastAsia="zh-CN"/>
                    </w:rPr>
                    <w:t>符合</w:t>
                  </w:r>
                </w:p>
              </w:tc>
            </w:tr>
            <w:tr w14:paraId="7C02A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17" w:type="dxa"/>
                  <w:vMerge w:val="continue"/>
                  <w:noWrap w:val="0"/>
                  <w:vAlign w:val="center"/>
                </w:tcPr>
                <w:p w14:paraId="69DFD0D9">
                  <w:pPr>
                    <w:jc w:val="center"/>
                    <w:rPr>
                      <w:rFonts w:ascii="Times New Roman" w:hAnsi="Times New Roman" w:eastAsia="宋体" w:cs="Times New Roman"/>
                      <w:color w:val="000000"/>
                      <w:sz w:val="21"/>
                      <w:szCs w:val="21"/>
                    </w:rPr>
                  </w:pPr>
                </w:p>
              </w:tc>
              <w:tc>
                <w:tcPr>
                  <w:tcW w:w="409" w:type="dxa"/>
                  <w:noWrap w:val="0"/>
                  <w:vAlign w:val="center"/>
                </w:tcPr>
                <w:p w14:paraId="2D17C6B0">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环境风险防控</w:t>
                  </w:r>
                </w:p>
              </w:tc>
              <w:tc>
                <w:tcPr>
                  <w:tcW w:w="1764" w:type="dxa"/>
                  <w:noWrap w:val="0"/>
                  <w:vAlign w:val="center"/>
                </w:tcPr>
                <w:p w14:paraId="2220D569">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1.加强环境风险防范应急体系建设，加强环境应急预案管理，定期开展应急演练，持续开展环境安全隐患排查整治，提升应急监测能力，加强应急物资管理。</w:t>
                  </w:r>
                </w:p>
                <w:p w14:paraId="52D1C5E1">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2.严格管控类农用地，不得在特定农产品禁止生产区域种植食用农产品。安全利用类农用地，应制定受污染耕地等安全利用方案，降低农产品超标风险。</w:t>
                  </w:r>
                </w:p>
              </w:tc>
              <w:tc>
                <w:tcPr>
                  <w:tcW w:w="2026" w:type="dxa"/>
                  <w:noWrap w:val="0"/>
                  <w:vAlign w:val="center"/>
                </w:tcPr>
                <w:p w14:paraId="35D5909E">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项目建成后</w:t>
                  </w:r>
                  <w:r>
                    <w:rPr>
                      <w:rFonts w:ascii="Times New Roman" w:hAnsi="Times New Roman" w:eastAsia="宋体" w:cs="Times New Roman"/>
                      <w:color w:val="000000"/>
                      <w:szCs w:val="21"/>
                    </w:rPr>
                    <w:t>将制定风险应急预案，并对员工进行培训</w:t>
                  </w:r>
                  <w:r>
                    <w:rPr>
                      <w:rFonts w:ascii="Times New Roman" w:hAnsi="Times New Roman" w:eastAsia="宋体" w:cs="Times New Roman"/>
                      <w:color w:val="000000"/>
                      <w:szCs w:val="21"/>
                      <w:lang w:eastAsia="zh-CN"/>
                    </w:rPr>
                    <w:t>，</w:t>
                  </w:r>
                  <w:r>
                    <w:rPr>
                      <w:rFonts w:ascii="Times New Roman" w:hAnsi="Times New Roman" w:eastAsia="宋体" w:cs="Times New Roman"/>
                      <w:color w:val="000000"/>
                      <w:sz w:val="21"/>
                      <w:szCs w:val="21"/>
                      <w:lang w:val="en-US" w:eastAsia="zh-CN"/>
                    </w:rPr>
                    <w:t>开</w:t>
                  </w:r>
                  <w:r>
                    <w:rPr>
                      <w:rFonts w:ascii="Times New Roman" w:hAnsi="Times New Roman" w:eastAsia="宋体" w:cs="Times New Roman"/>
                      <w:color w:val="000000"/>
                      <w:sz w:val="21"/>
                      <w:szCs w:val="21"/>
                    </w:rPr>
                    <w:t>展应急演练，环境安全隐患排查整治。</w:t>
                  </w:r>
                </w:p>
              </w:tc>
              <w:tc>
                <w:tcPr>
                  <w:tcW w:w="382" w:type="dxa"/>
                  <w:noWrap w:val="0"/>
                  <w:vAlign w:val="center"/>
                </w:tcPr>
                <w:p w14:paraId="7F579A80">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highlight w:val="none"/>
                      <w:lang w:val="en-US" w:eastAsia="zh-CN"/>
                    </w:rPr>
                    <w:t>符合</w:t>
                  </w:r>
                </w:p>
              </w:tc>
            </w:tr>
            <w:tr w14:paraId="7E2FD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17" w:type="dxa"/>
                  <w:vMerge w:val="continue"/>
                  <w:noWrap w:val="0"/>
                  <w:vAlign w:val="center"/>
                </w:tcPr>
                <w:p w14:paraId="118EBDD3">
                  <w:pPr>
                    <w:jc w:val="center"/>
                    <w:rPr>
                      <w:rFonts w:ascii="Times New Roman" w:hAnsi="Times New Roman" w:eastAsia="宋体" w:cs="Times New Roman"/>
                      <w:color w:val="000000"/>
                      <w:sz w:val="21"/>
                      <w:szCs w:val="21"/>
                    </w:rPr>
                  </w:pPr>
                </w:p>
              </w:tc>
              <w:tc>
                <w:tcPr>
                  <w:tcW w:w="409" w:type="dxa"/>
                  <w:noWrap w:val="0"/>
                  <w:vAlign w:val="center"/>
                </w:tcPr>
                <w:p w14:paraId="531CD89F">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资源开发利用</w:t>
                  </w:r>
                </w:p>
              </w:tc>
              <w:tc>
                <w:tcPr>
                  <w:tcW w:w="1764" w:type="dxa"/>
                  <w:noWrap w:val="0"/>
                  <w:vAlign w:val="center"/>
                </w:tcPr>
                <w:p w14:paraId="3366C419">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1.优化能源结构，加强能源清洁利用。</w:t>
                  </w:r>
                </w:p>
                <w:p w14:paraId="559DF8F4">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2.提高土地利用效率，节约集约利用土地资源。</w:t>
                  </w:r>
                </w:p>
              </w:tc>
              <w:tc>
                <w:tcPr>
                  <w:tcW w:w="2026" w:type="dxa"/>
                  <w:noWrap w:val="0"/>
                  <w:vAlign w:val="center"/>
                </w:tcPr>
                <w:p w14:paraId="2B6BAE47">
                  <w:pPr>
                    <w:keepNext w:val="0"/>
                    <w:keepLines w:val="0"/>
                    <w:pageBreakBefore w:val="0"/>
                    <w:widowControl w:val="0"/>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项目</w:t>
                  </w:r>
                  <w:r>
                    <w:rPr>
                      <w:rFonts w:ascii="Times New Roman" w:hAnsi="Times New Roman" w:eastAsia="宋体" w:cs="Times New Roman"/>
                      <w:color w:val="000000"/>
                      <w:sz w:val="21"/>
                      <w:szCs w:val="21"/>
                      <w:lang w:val="en-US" w:eastAsia="zh-CN"/>
                    </w:rPr>
                    <w:t>能源来源于电</w:t>
                  </w:r>
                  <w:r>
                    <w:rPr>
                      <w:rFonts w:hint="eastAsia" w:ascii="Times New Roman" w:hAnsi="Times New Roman" w:eastAsia="宋体" w:cs="Times New Roman"/>
                      <w:color w:val="000000"/>
                      <w:sz w:val="21"/>
                      <w:szCs w:val="21"/>
                      <w:lang w:val="en-US" w:eastAsia="zh-CN"/>
                    </w:rPr>
                    <w:t>及成型生物质燃料</w:t>
                  </w:r>
                  <w:r>
                    <w:rPr>
                      <w:rFonts w:ascii="Times New Roman" w:hAnsi="Times New Roman" w:eastAsia="宋体" w:cs="Times New Roman"/>
                      <w:color w:val="000000"/>
                      <w:sz w:val="21"/>
                      <w:szCs w:val="21"/>
                    </w:rPr>
                    <w:t>，</w:t>
                  </w:r>
                  <w:r>
                    <w:rPr>
                      <w:rFonts w:hint="eastAsia" w:ascii="Times New Roman" w:hAnsi="Times New Roman" w:eastAsia="宋体" w:cs="Times New Roman"/>
                      <w:color w:val="000000"/>
                      <w:sz w:val="21"/>
                      <w:szCs w:val="21"/>
                      <w:lang w:val="en-US" w:eastAsia="zh-CN"/>
                    </w:rPr>
                    <w:t>消耗量相对较小</w:t>
                  </w: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val="en-US" w:eastAsia="zh-CN"/>
                    </w:rPr>
                    <w:t>能够节约能源</w:t>
                  </w:r>
                  <w:r>
                    <w:rPr>
                      <w:rFonts w:ascii="Times New Roman" w:hAnsi="Times New Roman" w:eastAsia="宋体" w:cs="Times New Roman"/>
                      <w:color w:val="000000"/>
                      <w:sz w:val="21"/>
                      <w:szCs w:val="21"/>
                      <w:lang w:eastAsia="zh-CN"/>
                    </w:rPr>
                    <w:t>。</w:t>
                  </w:r>
                  <w:r>
                    <w:rPr>
                      <w:rFonts w:hint="eastAsia" w:ascii="Times New Roman" w:hAnsi="Times New Roman" w:eastAsia="宋体" w:cs="Times New Roman"/>
                      <w:color w:val="000000"/>
                      <w:sz w:val="21"/>
                      <w:szCs w:val="21"/>
                      <w:lang w:val="en-US" w:eastAsia="zh-CN"/>
                    </w:rPr>
                    <w:t>项目区</w:t>
                  </w:r>
                  <w:r>
                    <w:rPr>
                      <w:rFonts w:ascii="Times New Roman" w:hAnsi="Times New Roman" w:eastAsia="宋体" w:cs="Times New Roman"/>
                      <w:color w:val="000000"/>
                      <w:sz w:val="21"/>
                      <w:szCs w:val="21"/>
                    </w:rPr>
                    <w:t>各建筑物在场地合理布置，做到土地利用最大化。</w:t>
                  </w:r>
                </w:p>
              </w:tc>
              <w:tc>
                <w:tcPr>
                  <w:tcW w:w="382" w:type="dxa"/>
                  <w:noWrap w:val="0"/>
                  <w:vAlign w:val="center"/>
                </w:tcPr>
                <w:p w14:paraId="7BC390DC">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highlight w:val="none"/>
                      <w:lang w:val="en-US" w:eastAsia="zh-CN"/>
                    </w:rPr>
                    <w:t>符合</w:t>
                  </w:r>
                </w:p>
              </w:tc>
            </w:tr>
          </w:tbl>
          <w:p w14:paraId="2105044A">
            <w:pPr>
              <w:keepNext w:val="0"/>
              <w:keepLines w:val="0"/>
              <w:pageBreakBefore w:val="0"/>
              <w:widowControl w:val="0"/>
              <w:spacing w:before="157"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bCs/>
                <w:color w:val="000000"/>
                <w:sz w:val="24"/>
              </w:rPr>
              <w:t>综上，项目符合</w:t>
            </w:r>
            <w:r>
              <w:rPr>
                <w:rFonts w:ascii="Times New Roman" w:hAnsi="Times New Roman" w:eastAsia="宋体" w:cs="Times New Roman"/>
                <w:color w:val="000000"/>
                <w:sz w:val="24"/>
              </w:rPr>
              <w:t>《关于印发德宏州“三线一单”生态环境分区管控实施方案的通知》</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lang w:val="en-US" w:eastAsia="zh-CN"/>
              </w:rPr>
              <w:t>德政发[2021]15号</w:t>
            </w:r>
            <w:r>
              <w:rPr>
                <w:rFonts w:ascii="Times New Roman" w:hAnsi="Times New Roman" w:eastAsia="宋体" w:cs="Times New Roman"/>
                <w:color w:val="000000"/>
                <w:sz w:val="24"/>
                <w:lang w:eastAsia="zh-CN"/>
              </w:rPr>
              <w:t>）</w:t>
            </w:r>
            <w:r>
              <w:rPr>
                <w:rFonts w:ascii="Times New Roman" w:hAnsi="Times New Roman" w:eastAsia="宋体" w:cs="Times New Roman"/>
                <w:bCs/>
                <w:color w:val="000000"/>
                <w:sz w:val="24"/>
              </w:rPr>
              <w:t>三线一单的管理要求。</w:t>
            </w:r>
          </w:p>
          <w:p w14:paraId="1C6E7E82">
            <w:pPr>
              <w:pStyle w:val="256"/>
              <w:spacing w:line="360" w:lineRule="auto"/>
              <w:ind w:firstLine="482"/>
              <w:jc w:val="both"/>
              <w:rPr>
                <w:rFonts w:ascii="Times New Roman" w:hAnsi="Times New Roman" w:eastAsia="宋体" w:cs="Times New Roman"/>
                <w:b/>
                <w:bCs/>
                <w:color w:val="000000"/>
              </w:rPr>
            </w:pPr>
            <w:r>
              <w:rPr>
                <w:rFonts w:hint="eastAsia" w:ascii="Times New Roman" w:hAnsi="Times New Roman" w:eastAsia="宋体" w:cs="Times New Roman"/>
                <w:b/>
                <w:bCs/>
                <w:color w:val="000000"/>
                <w:lang w:val="en-US" w:eastAsia="zh-CN"/>
              </w:rPr>
              <w:t>4</w:t>
            </w:r>
            <w:r>
              <w:rPr>
                <w:rFonts w:ascii="Times New Roman" w:hAnsi="Times New Roman" w:eastAsia="宋体" w:cs="Times New Roman"/>
                <w:b/>
                <w:bCs/>
                <w:color w:val="000000"/>
              </w:rPr>
              <w:t>、平面布置合理性分析</w:t>
            </w:r>
          </w:p>
          <w:p w14:paraId="00B6C20A">
            <w:pPr>
              <w:spacing w:line="360" w:lineRule="auto"/>
              <w:ind w:firstLine="480"/>
              <w:rPr>
                <w:rFonts w:ascii="Times New Roman" w:hAnsi="Times New Roman" w:eastAsia="宋体" w:cs="Times New Roman"/>
                <w:color w:val="000000"/>
                <w:sz w:val="24"/>
                <w:u w:val="none"/>
                <w:lang w:val="en-US" w:eastAsia="zh-CN"/>
              </w:rPr>
            </w:pPr>
            <w:r>
              <w:rPr>
                <w:rFonts w:ascii="Times New Roman" w:hAnsi="Times New Roman" w:eastAsia="宋体" w:cs="Times New Roman"/>
                <w:color w:val="000000"/>
                <w:sz w:val="24"/>
                <w:u w:val="none"/>
                <w:lang w:val="en-US" w:eastAsia="zh-CN"/>
              </w:rPr>
              <w:t>项目区占地</w:t>
            </w:r>
            <w:r>
              <w:rPr>
                <w:rFonts w:hint="eastAsia" w:ascii="Times New Roman" w:hAnsi="Times New Roman" w:eastAsia="宋体" w:cs="Times New Roman"/>
                <w:color w:val="000000"/>
                <w:sz w:val="24"/>
                <w:u w:val="none"/>
                <w:lang w:val="en-US" w:eastAsia="zh-CN"/>
              </w:rPr>
              <w:t>整体</w:t>
            </w:r>
            <w:r>
              <w:rPr>
                <w:rFonts w:ascii="Times New Roman" w:hAnsi="Times New Roman" w:eastAsia="宋体" w:cs="Times New Roman"/>
                <w:color w:val="000000"/>
                <w:sz w:val="24"/>
                <w:u w:val="none"/>
                <w:lang w:val="en-US" w:eastAsia="zh-CN"/>
              </w:rPr>
              <w:t>呈不规则</w:t>
            </w:r>
            <w:r>
              <w:rPr>
                <w:rFonts w:hint="eastAsia" w:ascii="Times New Roman" w:hAnsi="Times New Roman" w:eastAsia="宋体" w:cs="Times New Roman"/>
                <w:color w:val="000000"/>
                <w:sz w:val="24"/>
                <w:u w:val="none"/>
                <w:lang w:val="en-US" w:eastAsia="zh-CN"/>
              </w:rPr>
              <w:t>矩</w:t>
            </w:r>
            <w:r>
              <w:rPr>
                <w:rFonts w:ascii="Times New Roman" w:hAnsi="Times New Roman" w:eastAsia="宋体" w:cs="Times New Roman"/>
                <w:color w:val="000000"/>
                <w:sz w:val="24"/>
                <w:u w:val="none"/>
                <w:lang w:val="en-US" w:eastAsia="zh-CN"/>
              </w:rPr>
              <w:t>形，出入口</w:t>
            </w:r>
            <w:r>
              <w:rPr>
                <w:rFonts w:hint="eastAsia" w:ascii="Times New Roman" w:hAnsi="Times New Roman" w:eastAsia="宋体" w:cs="Times New Roman"/>
                <w:color w:val="000000"/>
                <w:sz w:val="24"/>
                <w:u w:val="none"/>
                <w:lang w:val="en-US" w:eastAsia="zh-CN"/>
              </w:rPr>
              <w:t>位于项目区南侧，厂区出入口处设置过磅处</w:t>
            </w:r>
            <w:r>
              <w:rPr>
                <w:rFonts w:ascii="Times New Roman" w:hAnsi="Times New Roman" w:eastAsia="宋体" w:cs="Times New Roman"/>
                <w:color w:val="000000"/>
                <w:sz w:val="24"/>
                <w:u w:val="none"/>
                <w:lang w:val="en-US" w:eastAsia="zh-CN"/>
              </w:rPr>
              <w:t>，</w:t>
            </w:r>
            <w:r>
              <w:rPr>
                <w:rFonts w:hint="eastAsia" w:ascii="Times New Roman" w:hAnsi="Times New Roman" w:eastAsia="宋体" w:cs="Times New Roman"/>
                <w:color w:val="000000"/>
                <w:sz w:val="24"/>
                <w:u w:val="none"/>
                <w:lang w:val="en-US" w:eastAsia="zh-CN"/>
              </w:rPr>
              <w:t>进入厂区后设置原料预处理车间，位于整个项目区西南侧；项目区东侧为生产车间，设置一条单板生产线；生产车间北侧，项目区东北角设置锅炉房；项目区南侧中部，生车间左侧，设施成品堆放区；成品堆放区左侧，项目区西南角设置办公区；原料堆放场位于项目区西北角；项目区中部设置1个停车场</w:t>
            </w:r>
            <w:r>
              <w:rPr>
                <w:rFonts w:ascii="Times New Roman" w:hAnsi="Times New Roman" w:eastAsia="宋体" w:cs="Times New Roman"/>
                <w:color w:val="000000"/>
                <w:sz w:val="24"/>
                <w:u w:val="none"/>
                <w:lang w:val="en-US" w:eastAsia="zh-CN"/>
              </w:rPr>
              <w:t>。</w:t>
            </w:r>
          </w:p>
          <w:p w14:paraId="622EBC33">
            <w:pPr>
              <w:pStyle w:val="256"/>
              <w:keepNext w:val="0"/>
              <w:keepLines w:val="0"/>
              <w:pageBreakBefore w:val="0"/>
              <w:widowControl w:val="0"/>
              <w:spacing w:line="360" w:lineRule="auto"/>
              <w:ind w:firstLine="480"/>
              <w:jc w:val="both"/>
              <w:rPr>
                <w:rFonts w:ascii="Times New Roman" w:hAnsi="Times New Roman" w:eastAsia="宋体" w:cs="Times New Roman"/>
                <w:b/>
                <w:bCs/>
                <w:color w:val="000000"/>
                <w:sz w:val="24"/>
                <w:szCs w:val="24"/>
                <w:lang w:val="en-US" w:eastAsia="zh-CN"/>
              </w:rPr>
            </w:pPr>
            <w:r>
              <w:rPr>
                <w:rFonts w:ascii="Times New Roman" w:hAnsi="Times New Roman" w:eastAsia="宋体" w:cs="Times New Roman"/>
                <w:color w:val="000000"/>
                <w:sz w:val="24"/>
                <w:u w:val="none"/>
                <w:lang w:val="en-US" w:eastAsia="zh-CN"/>
              </w:rPr>
              <w:t>生产厂房</w:t>
            </w:r>
            <w:r>
              <w:rPr>
                <w:rFonts w:ascii="Times New Roman" w:hAnsi="Times New Roman" w:eastAsia="宋体" w:cs="Times New Roman"/>
                <w:color w:val="000000"/>
                <w:sz w:val="24"/>
                <w:u w:val="none"/>
              </w:rPr>
              <w:t>根据生产工艺、生产制造顺序进行合理布设，做到分区合理，生产方便。厂房周边设置绿化带，厂内道路</w:t>
            </w:r>
            <w:r>
              <w:rPr>
                <w:rFonts w:hint="eastAsia" w:ascii="Times New Roman" w:hAnsi="Times New Roman" w:eastAsia="宋体" w:cs="Times New Roman"/>
                <w:color w:val="000000"/>
                <w:sz w:val="24"/>
                <w:u w:val="none"/>
                <w:lang w:val="en-US" w:eastAsia="zh-CN"/>
              </w:rPr>
              <w:t>可</w:t>
            </w:r>
            <w:r>
              <w:rPr>
                <w:rFonts w:ascii="Times New Roman" w:hAnsi="Times New Roman" w:eastAsia="宋体" w:cs="Times New Roman"/>
                <w:color w:val="000000"/>
                <w:sz w:val="24"/>
                <w:u w:val="none"/>
              </w:rPr>
              <w:t>做到厂内运输不交叉，人流、物流互不干扰。其余空地根据项目实际情况在各建筑物四周因地制宜的进行绿化。综上，项目区总体平面布置</w:t>
            </w:r>
            <w:r>
              <w:rPr>
                <w:rFonts w:hint="eastAsia" w:ascii="Times New Roman" w:hAnsi="Times New Roman" w:eastAsia="宋体" w:cs="Times New Roman"/>
                <w:color w:val="000000"/>
                <w:sz w:val="24"/>
                <w:u w:val="none"/>
                <w:lang w:val="en-US" w:eastAsia="zh-CN"/>
              </w:rPr>
              <w:t>总体</w:t>
            </w:r>
            <w:r>
              <w:rPr>
                <w:rFonts w:ascii="Times New Roman" w:hAnsi="Times New Roman" w:eastAsia="宋体" w:cs="Times New Roman"/>
                <w:color w:val="000000"/>
                <w:sz w:val="24"/>
                <w:u w:val="none"/>
              </w:rPr>
              <w:t>合理。</w:t>
            </w:r>
          </w:p>
          <w:p w14:paraId="47EA2629">
            <w:pPr>
              <w:pStyle w:val="256"/>
              <w:keepNext w:val="0"/>
              <w:keepLines w:val="0"/>
              <w:pageBreakBefore w:val="0"/>
              <w:widowControl w:val="0"/>
              <w:spacing w:line="360" w:lineRule="auto"/>
              <w:ind w:firstLine="482"/>
              <w:jc w:val="both"/>
              <w:rPr>
                <w:rFonts w:ascii="Times New Roman" w:hAnsi="Times New Roman" w:eastAsia="宋体" w:cs="Times New Roman"/>
                <w:b/>
                <w:bCs/>
                <w:color w:val="000000"/>
                <w:lang w:val="en-US" w:eastAsia="zh-CN"/>
              </w:rPr>
            </w:pPr>
            <w:r>
              <w:rPr>
                <w:rFonts w:hint="eastAsia" w:ascii="Times New Roman" w:hAnsi="Times New Roman" w:eastAsia="宋体" w:cs="Times New Roman"/>
                <w:b/>
                <w:bCs/>
                <w:color w:val="000000"/>
                <w:sz w:val="24"/>
                <w:szCs w:val="24"/>
                <w:lang w:val="en-US" w:eastAsia="zh-CN"/>
              </w:rPr>
              <w:t>5</w:t>
            </w:r>
            <w:r>
              <w:rPr>
                <w:rFonts w:ascii="Times New Roman" w:hAnsi="Times New Roman" w:eastAsia="宋体" w:cs="Times New Roman"/>
                <w:b/>
                <w:bCs/>
                <w:color w:val="000000"/>
                <w:sz w:val="24"/>
                <w:szCs w:val="24"/>
                <w:lang w:val="en-US" w:eastAsia="zh-CN"/>
              </w:rPr>
              <w:t>、项目</w:t>
            </w:r>
            <w:r>
              <w:rPr>
                <w:rFonts w:ascii="Times New Roman" w:hAnsi="Times New Roman" w:eastAsia="宋体" w:cs="Times New Roman"/>
                <w:b/>
                <w:bCs/>
                <w:color w:val="000000"/>
              </w:rPr>
              <w:t>选址合理性</w:t>
            </w:r>
            <w:r>
              <w:rPr>
                <w:rFonts w:ascii="Times New Roman" w:hAnsi="Times New Roman" w:eastAsia="宋体" w:cs="Times New Roman"/>
                <w:b/>
                <w:bCs/>
                <w:color w:val="000000"/>
                <w:lang w:val="en-US" w:eastAsia="zh-CN"/>
              </w:rPr>
              <w:t>分析</w:t>
            </w:r>
          </w:p>
          <w:p w14:paraId="2D728D9C">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lang w:val="en-US" w:eastAsia="zh-CN"/>
              </w:rPr>
              <w:t>（1）</w:t>
            </w:r>
            <w:r>
              <w:rPr>
                <w:rFonts w:ascii="Times New Roman" w:hAnsi="Times New Roman" w:eastAsia="宋体" w:cs="Times New Roman"/>
                <w:b/>
                <w:bCs/>
                <w:color w:val="000000"/>
                <w:sz w:val="24"/>
              </w:rPr>
              <w:t>建设条件可行性分析</w:t>
            </w:r>
          </w:p>
          <w:p w14:paraId="52AA3254">
            <w:pPr>
              <w:spacing w:line="360" w:lineRule="auto"/>
              <w:ind w:firstLine="480"/>
              <w:rPr>
                <w:rFonts w:ascii="Times New Roman" w:hAnsi="Times New Roman" w:eastAsia="宋体" w:cs="Times New Roman"/>
                <w:color w:val="000000"/>
                <w:sz w:val="24"/>
                <w:lang w:eastAsia="zh-CN"/>
              </w:rPr>
            </w:pPr>
            <w:r>
              <w:rPr>
                <w:rFonts w:hint="eastAsia" w:ascii="Times New Roman" w:hAnsi="Times New Roman" w:eastAsia="宋体" w:cs="Times New Roman"/>
                <w:color w:val="000000"/>
                <w:sz w:val="24"/>
                <w:szCs w:val="24"/>
                <w:highlight w:val="none"/>
                <w:lang w:val="en-US" w:eastAsia="zh-CN"/>
              </w:rPr>
              <w:t>芒市杰顺木业有限公司</w:t>
            </w:r>
            <w:r>
              <w:rPr>
                <w:rFonts w:hint="eastAsia" w:ascii="Arial" w:hAnsi="Arial" w:eastAsia="宋体" w:cs="Arial"/>
                <w:i w:val="0"/>
                <w:iCs w:val="0"/>
                <w:caps w:val="0"/>
                <w:color w:val="333333"/>
                <w:spacing w:val="0"/>
                <w:sz w:val="24"/>
                <w:szCs w:val="24"/>
                <w:shd w:val="clear" w:color="auto" w:fill="FFFFFF"/>
                <w:lang w:val="en-US" w:eastAsia="zh-CN"/>
              </w:rPr>
              <w:t>租用德宏滔盛置业有限公司位于芒市风平镇帕底村芒市糖厂的闲置空地用于建设本项目，</w:t>
            </w:r>
            <w:r>
              <w:rPr>
                <w:rFonts w:hint="eastAsia" w:ascii="Times New Roman" w:hAnsi="Times New Roman" w:eastAsia="宋体" w:cs="Times New Roman"/>
                <w:b w:val="0"/>
                <w:bCs w:val="0"/>
                <w:color w:val="000000"/>
                <w:sz w:val="24"/>
                <w:szCs w:val="24"/>
                <w:highlight w:val="none"/>
                <w:vertAlign w:val="baseline"/>
                <w:lang w:val="en-US" w:eastAsia="zh-CN"/>
              </w:rPr>
              <w:t>项目用地性质为“工业用地/工业”（详见附件6）</w:t>
            </w:r>
            <w:r>
              <w:rPr>
                <w:rFonts w:hint="eastAsia" w:ascii="Arial" w:hAnsi="Arial" w:eastAsia="宋体" w:cs="Arial"/>
                <w:i w:val="0"/>
                <w:iCs w:val="0"/>
                <w:caps w:val="0"/>
                <w:color w:val="333333"/>
                <w:spacing w:val="0"/>
                <w:sz w:val="24"/>
                <w:szCs w:val="24"/>
                <w:shd w:val="clear" w:color="auto" w:fill="FFFFFF"/>
                <w:lang w:val="en-US" w:eastAsia="zh-CN"/>
              </w:rPr>
              <w:t>，</w:t>
            </w:r>
            <w:r>
              <w:rPr>
                <w:rFonts w:ascii="Times New Roman" w:hAnsi="Times New Roman" w:eastAsia="宋体" w:cs="Times New Roman"/>
                <w:color w:val="000000"/>
                <w:sz w:val="24"/>
              </w:rPr>
              <w:t>项目所在地</w:t>
            </w:r>
            <w:r>
              <w:rPr>
                <w:rFonts w:hint="eastAsia" w:ascii="Times New Roman" w:hAnsi="Times New Roman" w:eastAsia="宋体" w:cs="Times New Roman"/>
                <w:color w:val="000000"/>
                <w:sz w:val="24"/>
                <w:lang w:val="en-US" w:eastAsia="zh-CN"/>
              </w:rPr>
              <w:t>已</w:t>
            </w:r>
            <w:r>
              <w:rPr>
                <w:rFonts w:ascii="Times New Roman" w:hAnsi="Times New Roman" w:eastAsia="宋体" w:cs="Times New Roman"/>
                <w:color w:val="000000"/>
                <w:sz w:val="24"/>
                <w:lang w:val="en-US" w:eastAsia="zh-CN"/>
              </w:rPr>
              <w:t>有较为平整的道路与项目区连接，总的来说，项目区选址</w:t>
            </w:r>
            <w:r>
              <w:rPr>
                <w:rFonts w:ascii="Times New Roman" w:hAnsi="Times New Roman" w:eastAsia="宋体" w:cs="Times New Roman"/>
                <w:color w:val="000000"/>
                <w:sz w:val="24"/>
              </w:rPr>
              <w:t>路网畅通，位置优越，交通便利。项目给水由</w:t>
            </w:r>
            <w:r>
              <w:rPr>
                <w:rFonts w:hint="eastAsia" w:ascii="Times New Roman" w:hAnsi="Times New Roman" w:eastAsia="宋体" w:cs="Times New Roman"/>
                <w:color w:val="000000"/>
                <w:sz w:val="24"/>
                <w:lang w:val="en-US" w:eastAsia="zh-CN"/>
              </w:rPr>
              <w:t>市政</w:t>
            </w:r>
            <w:r>
              <w:rPr>
                <w:rFonts w:ascii="Times New Roman" w:hAnsi="Times New Roman" w:eastAsia="宋体" w:cs="Times New Roman"/>
                <w:color w:val="000000"/>
                <w:sz w:val="24"/>
              </w:rPr>
              <w:t>管网供给，供电由</w:t>
            </w:r>
            <w:r>
              <w:rPr>
                <w:rFonts w:hint="eastAsia" w:ascii="Times New Roman" w:hAnsi="Times New Roman" w:eastAsia="宋体" w:cs="Times New Roman"/>
                <w:color w:val="000000"/>
                <w:sz w:val="24"/>
                <w:lang w:val="en-US" w:eastAsia="zh-CN"/>
              </w:rPr>
              <w:t>市政</w:t>
            </w:r>
            <w:r>
              <w:rPr>
                <w:rFonts w:ascii="Times New Roman" w:hAnsi="Times New Roman" w:eastAsia="宋体" w:cs="Times New Roman"/>
                <w:color w:val="000000"/>
                <w:sz w:val="24"/>
              </w:rPr>
              <w:t>电网引入，项目所在区域配套设施基本完善，交通便利。为项目建设堤供了良好的</w:t>
            </w:r>
            <w:r>
              <w:rPr>
                <w:rFonts w:ascii="Times New Roman" w:hAnsi="Times New Roman" w:eastAsia="宋体" w:cs="Times New Roman"/>
                <w:color w:val="000000"/>
                <w:sz w:val="24"/>
                <w:lang w:val="en-US" w:eastAsia="zh-CN"/>
              </w:rPr>
              <w:t>建设</w:t>
            </w:r>
            <w:r>
              <w:rPr>
                <w:rFonts w:ascii="Times New Roman" w:hAnsi="Times New Roman" w:eastAsia="宋体" w:cs="Times New Roman"/>
                <w:color w:val="000000"/>
                <w:sz w:val="24"/>
              </w:rPr>
              <w:t>条件</w:t>
            </w:r>
            <w:r>
              <w:rPr>
                <w:rFonts w:ascii="Times New Roman" w:hAnsi="Times New Roman" w:eastAsia="宋体" w:cs="Times New Roman"/>
                <w:color w:val="000000"/>
                <w:sz w:val="24"/>
                <w:lang w:eastAsia="zh-CN"/>
              </w:rPr>
              <w:t>。</w:t>
            </w:r>
          </w:p>
          <w:p w14:paraId="4A16FB3B">
            <w:pPr>
              <w:spacing w:line="360" w:lineRule="auto"/>
              <w:ind w:firstLine="482"/>
              <w:rPr>
                <w:rFonts w:ascii="Times New Roman" w:hAnsi="Times New Roman" w:eastAsia="宋体" w:cs="Times New Roman"/>
                <w:b/>
                <w:bCs/>
                <w:color w:val="000000"/>
                <w:sz w:val="24"/>
                <w:lang w:val="en-US" w:eastAsia="zh-CN"/>
              </w:rPr>
            </w:pPr>
            <w:r>
              <w:rPr>
                <w:rFonts w:ascii="Times New Roman" w:hAnsi="Times New Roman" w:eastAsia="宋体" w:cs="Times New Roman"/>
                <w:b/>
                <w:bCs/>
                <w:color w:val="000000"/>
                <w:sz w:val="24"/>
                <w:lang w:val="en-US" w:eastAsia="zh-CN"/>
              </w:rPr>
              <w:t>（2）</w:t>
            </w:r>
            <w:r>
              <w:rPr>
                <w:rFonts w:ascii="Times New Roman" w:hAnsi="Times New Roman" w:eastAsia="宋体" w:cs="Times New Roman"/>
                <w:b/>
                <w:bCs/>
                <w:color w:val="000000"/>
                <w:sz w:val="24"/>
              </w:rPr>
              <w:t>与周边环境相容性</w:t>
            </w:r>
            <w:r>
              <w:rPr>
                <w:rFonts w:ascii="Times New Roman" w:hAnsi="Times New Roman" w:eastAsia="宋体" w:cs="Times New Roman"/>
                <w:b/>
                <w:bCs/>
                <w:color w:val="000000"/>
                <w:sz w:val="24"/>
                <w:lang w:val="en-US" w:eastAsia="zh-CN"/>
              </w:rPr>
              <w:t>分析</w:t>
            </w:r>
          </w:p>
          <w:p w14:paraId="0917EADD">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本项目位于</w:t>
            </w:r>
            <w:r>
              <w:rPr>
                <w:rFonts w:hint="eastAsia" w:ascii="Times New Roman" w:hAnsi="Times New Roman" w:eastAsia="宋体" w:cs="Times New Roman"/>
                <w:color w:val="000000"/>
                <w:sz w:val="24"/>
                <w:szCs w:val="24"/>
                <w:highlight w:val="none"/>
                <w:lang w:val="en-US" w:eastAsia="zh-CN"/>
              </w:rPr>
              <w:t>云南省德宏州芒市风平镇帕底村芒市糖厂</w:t>
            </w:r>
            <w:r>
              <w:rPr>
                <w:rFonts w:hint="eastAsia" w:ascii="Times New Roman" w:hAnsi="Times New Roman" w:eastAsia="宋体" w:cs="Times New Roman"/>
                <w:color w:val="000000"/>
                <w:sz w:val="24"/>
                <w:lang w:eastAsia="zh-CN"/>
              </w:rPr>
              <w:t>，</w:t>
            </w:r>
            <w:r>
              <w:rPr>
                <w:rFonts w:ascii="Times New Roman" w:hAnsi="Times New Roman" w:eastAsia="宋体" w:cs="Times New Roman"/>
                <w:color w:val="000000"/>
                <w:sz w:val="24"/>
              </w:rPr>
              <w:t>根据现场踏勘，</w:t>
            </w:r>
            <w:r>
              <w:rPr>
                <w:rFonts w:ascii="Times New Roman" w:hAnsi="Times New Roman" w:eastAsia="宋体" w:cs="Times New Roman"/>
                <w:color w:val="000000"/>
                <w:sz w:val="24"/>
                <w:szCs w:val="24"/>
                <w:highlight w:val="none"/>
                <w:lang w:val="en-US" w:eastAsia="zh-CN"/>
              </w:rPr>
              <w:t>项目区域周边及评价范围内</w:t>
            </w:r>
            <w:r>
              <w:rPr>
                <w:rFonts w:ascii="Times New Roman" w:hAnsi="Times New Roman" w:eastAsia="宋体" w:cs="Times New Roman"/>
                <w:color w:val="000000"/>
                <w:sz w:val="24"/>
                <w:szCs w:val="24"/>
              </w:rPr>
              <w:t>无特殊保护文物古迹、</w:t>
            </w:r>
            <w:r>
              <w:rPr>
                <w:rFonts w:ascii="Times New Roman" w:hAnsi="Times New Roman" w:eastAsia="宋体" w:cs="Times New Roman"/>
                <w:color w:val="000000"/>
                <w:sz w:val="24"/>
                <w:szCs w:val="24"/>
                <w:highlight w:val="none"/>
                <w:lang w:val="en-US" w:eastAsia="zh-CN"/>
              </w:rPr>
              <w:t>风景名胜区、</w:t>
            </w:r>
            <w:r>
              <w:rPr>
                <w:rFonts w:ascii="Times New Roman" w:hAnsi="Times New Roman" w:eastAsia="宋体" w:cs="Times New Roman"/>
                <w:color w:val="000000"/>
                <w:sz w:val="24"/>
                <w:szCs w:val="24"/>
              </w:rPr>
              <w:t>自然保护区和特殊环境制约因素。</w:t>
            </w:r>
            <w:r>
              <w:rPr>
                <w:rFonts w:ascii="Times New Roman" w:hAnsi="Times New Roman" w:eastAsia="宋体" w:cs="Times New Roman"/>
                <w:color w:val="000000"/>
                <w:sz w:val="24"/>
                <w:szCs w:val="24"/>
                <w:lang w:val="en-US" w:eastAsia="zh-CN"/>
              </w:rPr>
              <w:t>项目区周边主要为芒市糖厂</w:t>
            </w:r>
            <w:r>
              <w:rPr>
                <w:rFonts w:hint="eastAsia" w:ascii="Times New Roman" w:hAnsi="Times New Roman" w:eastAsia="宋体" w:cs="Times New Roman"/>
                <w:color w:val="000000"/>
                <w:sz w:val="24"/>
                <w:szCs w:val="24"/>
                <w:lang w:val="en-US" w:eastAsia="zh-CN"/>
              </w:rPr>
              <w:t>闲置空地</w:t>
            </w:r>
            <w:r>
              <w:rPr>
                <w:rFonts w:ascii="Times New Roman" w:hAnsi="Times New Roman" w:eastAsia="宋体" w:cs="Times New Roman"/>
                <w:color w:val="000000"/>
                <w:sz w:val="24"/>
                <w:szCs w:val="24"/>
                <w:lang w:val="en-US" w:eastAsia="zh-CN"/>
              </w:rPr>
              <w:t>和</w:t>
            </w:r>
            <w:r>
              <w:rPr>
                <w:rFonts w:hint="eastAsia" w:ascii="Times New Roman" w:hAnsi="Times New Roman" w:eastAsia="宋体" w:cs="Times New Roman"/>
                <w:color w:val="000000"/>
                <w:sz w:val="24"/>
                <w:szCs w:val="24"/>
                <w:lang w:val="en-US" w:eastAsia="zh-CN"/>
              </w:rPr>
              <w:t>绿化</w:t>
            </w:r>
            <w:r>
              <w:rPr>
                <w:rFonts w:ascii="Times New Roman" w:hAnsi="Times New Roman" w:eastAsia="宋体" w:cs="Times New Roman"/>
                <w:color w:val="000000"/>
                <w:sz w:val="24"/>
                <w:szCs w:val="24"/>
                <w:lang w:val="en-US" w:eastAsia="zh-CN"/>
              </w:rPr>
              <w:t>，</w:t>
            </w:r>
            <w:r>
              <w:rPr>
                <w:rFonts w:hint="eastAsia" w:ascii="Times New Roman" w:hAnsi="Times New Roman" w:eastAsia="宋体" w:cs="Times New Roman"/>
                <w:color w:val="000000"/>
                <w:sz w:val="24"/>
                <w:szCs w:val="24"/>
                <w:lang w:val="en-US" w:eastAsia="zh-CN"/>
              </w:rPr>
              <w:t>项目西南侧约180m为</w:t>
            </w:r>
            <w:r>
              <w:rPr>
                <w:rFonts w:hint="eastAsia" w:ascii="Times New Roman" w:hAnsi="Times New Roman" w:eastAsia="宋体" w:cs="Times New Roman"/>
                <w:color w:val="000000"/>
                <w:sz w:val="24"/>
                <w:szCs w:val="24"/>
                <w:vertAlign w:val="baseline"/>
                <w:lang w:val="en-US" w:eastAsia="zh-CN" w:bidi="ar-SA"/>
              </w:rPr>
              <w:t>帕底村，但其位于本项目侧上风向，项目运营期间主要污染物为废气、固废、废水和噪声，通过采取一系列的环境保护和污染防治措施，项目废气、噪声可实现达标排放，项目运营期间无生产废水产生，生活废水不外排，固体废弃物100%妥善处理处置，不会改变周围环境功能，对保护目标影响较小，与周边环境基本相容。项目</w:t>
            </w:r>
            <w:r>
              <w:rPr>
                <w:rFonts w:ascii="Times New Roman" w:hAnsi="Times New Roman" w:eastAsia="宋体" w:cs="Times New Roman"/>
                <w:color w:val="000000"/>
                <w:sz w:val="24"/>
                <w:szCs w:val="24"/>
                <w:lang w:val="en-US" w:eastAsia="zh-CN"/>
              </w:rPr>
              <w:t>周边关系如下表所示</w:t>
            </w:r>
            <w:r>
              <w:rPr>
                <w:rFonts w:ascii="Times New Roman" w:hAnsi="Times New Roman" w:eastAsia="宋体" w:cs="Times New Roman"/>
                <w:color w:val="000000"/>
                <w:sz w:val="24"/>
                <w:szCs w:val="24"/>
              </w:rPr>
              <w:t>。</w:t>
            </w:r>
          </w:p>
          <w:p w14:paraId="235A4E3E">
            <w:pPr>
              <w:jc w:val="center"/>
              <w:rPr>
                <w:rFonts w:ascii="Times New Roman" w:hAnsi="Times New Roman" w:eastAsia="宋体" w:cs="Times New Roman"/>
                <w:b/>
                <w:bCs/>
                <w:color w:val="000000"/>
                <w:sz w:val="24"/>
                <w:szCs w:val="32"/>
                <w:lang w:val="en-US" w:eastAsia="zh-CN"/>
              </w:rPr>
            </w:pPr>
            <w:r>
              <w:rPr>
                <w:rFonts w:ascii="Times New Roman" w:hAnsi="Times New Roman" w:eastAsia="宋体" w:cs="Times New Roman"/>
                <w:b/>
                <w:bCs/>
                <w:color w:val="000000"/>
                <w:sz w:val="24"/>
                <w:szCs w:val="32"/>
                <w:lang w:val="en-US" w:eastAsia="zh-CN"/>
              </w:rPr>
              <w:t>表1-</w:t>
            </w:r>
            <w:r>
              <w:rPr>
                <w:rFonts w:hint="eastAsia" w:ascii="Times New Roman" w:hAnsi="Times New Roman" w:eastAsia="宋体" w:cs="Times New Roman"/>
                <w:b/>
                <w:bCs/>
                <w:color w:val="000000"/>
                <w:sz w:val="24"/>
                <w:szCs w:val="32"/>
                <w:lang w:val="en-US" w:eastAsia="zh-CN"/>
              </w:rPr>
              <w:t>3</w:t>
            </w:r>
            <w:r>
              <w:rPr>
                <w:rFonts w:ascii="Times New Roman" w:hAnsi="Times New Roman" w:eastAsia="宋体" w:cs="Times New Roman"/>
                <w:b/>
                <w:bCs/>
                <w:color w:val="000000"/>
                <w:sz w:val="24"/>
                <w:szCs w:val="32"/>
                <w:lang w:val="en-US" w:eastAsia="zh-CN"/>
              </w:rPr>
              <w:t xml:space="preserve">  周边关系一览表</w:t>
            </w:r>
          </w:p>
          <w:tbl>
            <w:tblPr>
              <w:tblStyle w:val="217"/>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3"/>
              <w:gridCol w:w="3152"/>
              <w:gridCol w:w="1981"/>
              <w:gridCol w:w="1519"/>
            </w:tblGrid>
            <w:tr w14:paraId="5152D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0" w:type="dxa"/>
                  <w:noWrap w:val="0"/>
                  <w:vAlign w:val="center"/>
                </w:tcPr>
                <w:p w14:paraId="71297A9E">
                  <w:pPr>
                    <w:keepNext w:val="0"/>
                    <w:keepLines w:val="0"/>
                    <w:pageBreakBefore w:val="0"/>
                    <w:widowControl w:val="0"/>
                    <w:jc w:val="center"/>
                    <w:rPr>
                      <w:rFonts w:ascii="Times New Roman" w:hAnsi="Times New Roman" w:eastAsia="宋体" w:cs="Times New Roman"/>
                      <w:b/>
                      <w:bCs/>
                      <w:color w:val="000000"/>
                      <w:sz w:val="21"/>
                      <w:szCs w:val="24"/>
                      <w:vertAlign w:val="baseline"/>
                      <w:lang w:val="en-US" w:eastAsia="zh-CN"/>
                    </w:rPr>
                  </w:pPr>
                  <w:r>
                    <w:rPr>
                      <w:rFonts w:ascii="Times New Roman" w:hAnsi="Times New Roman" w:eastAsia="宋体" w:cs="Times New Roman"/>
                      <w:b/>
                      <w:bCs/>
                      <w:color w:val="000000"/>
                      <w:sz w:val="21"/>
                      <w:szCs w:val="24"/>
                      <w:vertAlign w:val="baseline"/>
                      <w:lang w:val="en-US" w:eastAsia="zh-CN"/>
                    </w:rPr>
                    <w:t>序号</w:t>
                  </w:r>
                </w:p>
              </w:tc>
              <w:tc>
                <w:tcPr>
                  <w:tcW w:w="2008" w:type="dxa"/>
                  <w:noWrap w:val="0"/>
                  <w:vAlign w:val="center"/>
                </w:tcPr>
                <w:p w14:paraId="202D8840">
                  <w:pPr>
                    <w:keepNext w:val="0"/>
                    <w:keepLines w:val="0"/>
                    <w:pageBreakBefore w:val="0"/>
                    <w:widowControl w:val="0"/>
                    <w:jc w:val="center"/>
                    <w:rPr>
                      <w:rFonts w:ascii="Times New Roman" w:hAnsi="Times New Roman" w:eastAsia="宋体" w:cs="Times New Roman"/>
                      <w:b/>
                      <w:bCs/>
                      <w:color w:val="000000"/>
                      <w:sz w:val="21"/>
                      <w:szCs w:val="24"/>
                      <w:vertAlign w:val="baseline"/>
                      <w:lang w:val="en-US" w:eastAsia="zh-CN"/>
                    </w:rPr>
                  </w:pPr>
                  <w:r>
                    <w:rPr>
                      <w:rFonts w:ascii="Times New Roman" w:hAnsi="Times New Roman" w:eastAsia="宋体" w:cs="Times New Roman"/>
                      <w:b/>
                      <w:bCs/>
                      <w:color w:val="000000"/>
                      <w:sz w:val="21"/>
                      <w:szCs w:val="24"/>
                      <w:vertAlign w:val="baseline"/>
                      <w:lang w:val="en-US" w:eastAsia="zh-CN"/>
                    </w:rPr>
                    <w:t>名称</w:t>
                  </w:r>
                </w:p>
              </w:tc>
              <w:tc>
                <w:tcPr>
                  <w:tcW w:w="1262" w:type="dxa"/>
                  <w:noWrap w:val="0"/>
                  <w:vAlign w:val="center"/>
                </w:tcPr>
                <w:p w14:paraId="1E78BD85">
                  <w:pPr>
                    <w:keepNext w:val="0"/>
                    <w:keepLines w:val="0"/>
                    <w:pageBreakBefore w:val="0"/>
                    <w:widowControl w:val="0"/>
                    <w:jc w:val="center"/>
                    <w:rPr>
                      <w:rFonts w:ascii="Times New Roman" w:hAnsi="Times New Roman" w:eastAsia="宋体" w:cs="Times New Roman"/>
                      <w:b/>
                      <w:bCs/>
                      <w:color w:val="000000"/>
                      <w:sz w:val="21"/>
                      <w:szCs w:val="24"/>
                      <w:vertAlign w:val="baseline"/>
                      <w:lang w:val="en-US" w:eastAsia="zh-CN"/>
                    </w:rPr>
                  </w:pPr>
                  <w:r>
                    <w:rPr>
                      <w:rFonts w:ascii="Times New Roman" w:hAnsi="Times New Roman" w:eastAsia="宋体" w:cs="Times New Roman"/>
                      <w:b/>
                      <w:bCs/>
                      <w:color w:val="000000"/>
                      <w:sz w:val="21"/>
                      <w:szCs w:val="24"/>
                      <w:vertAlign w:val="baseline"/>
                      <w:lang w:val="en-US" w:eastAsia="zh-CN"/>
                    </w:rPr>
                    <w:t>与本项目相对方位</w:t>
                  </w:r>
                </w:p>
              </w:tc>
              <w:tc>
                <w:tcPr>
                  <w:tcW w:w="968" w:type="dxa"/>
                  <w:noWrap w:val="0"/>
                  <w:vAlign w:val="center"/>
                </w:tcPr>
                <w:p w14:paraId="37D50EA8">
                  <w:pPr>
                    <w:keepNext w:val="0"/>
                    <w:keepLines w:val="0"/>
                    <w:pageBreakBefore w:val="0"/>
                    <w:widowControl w:val="0"/>
                    <w:jc w:val="center"/>
                    <w:rPr>
                      <w:rFonts w:ascii="Times New Roman" w:hAnsi="Times New Roman" w:eastAsia="宋体" w:cs="Times New Roman"/>
                      <w:b/>
                      <w:bCs/>
                      <w:color w:val="000000"/>
                      <w:sz w:val="21"/>
                      <w:szCs w:val="24"/>
                      <w:vertAlign w:val="baseline"/>
                      <w:lang w:val="en-US" w:eastAsia="zh-CN"/>
                    </w:rPr>
                  </w:pPr>
                  <w:r>
                    <w:rPr>
                      <w:rFonts w:ascii="Times New Roman" w:hAnsi="Times New Roman" w:eastAsia="宋体" w:cs="Times New Roman"/>
                      <w:b/>
                      <w:bCs/>
                      <w:color w:val="000000"/>
                      <w:sz w:val="21"/>
                      <w:szCs w:val="24"/>
                      <w:vertAlign w:val="baseline"/>
                      <w:lang w:val="en-US" w:eastAsia="zh-CN"/>
                    </w:rPr>
                    <w:t>距离（</w:t>
                  </w:r>
                  <w:r>
                    <w:rPr>
                      <w:rFonts w:hint="eastAsia" w:ascii="Times New Roman" w:hAnsi="Times New Roman" w:eastAsia="宋体" w:cs="Times New Roman"/>
                      <w:b/>
                      <w:bCs/>
                      <w:color w:val="000000"/>
                      <w:sz w:val="21"/>
                      <w:szCs w:val="24"/>
                      <w:vertAlign w:val="baseline"/>
                      <w:lang w:val="en-US" w:eastAsia="zh-CN"/>
                    </w:rPr>
                    <w:t>k</w:t>
                  </w:r>
                  <w:r>
                    <w:rPr>
                      <w:rFonts w:ascii="Times New Roman" w:hAnsi="Times New Roman" w:eastAsia="宋体" w:cs="Times New Roman"/>
                      <w:b/>
                      <w:bCs/>
                      <w:color w:val="000000"/>
                      <w:sz w:val="21"/>
                      <w:szCs w:val="24"/>
                      <w:vertAlign w:val="baseline"/>
                      <w:lang w:val="en-US" w:eastAsia="zh-CN"/>
                    </w:rPr>
                    <w:t>m）</w:t>
                  </w:r>
                </w:p>
              </w:tc>
            </w:tr>
            <w:tr w14:paraId="55A65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0" w:type="dxa"/>
                  <w:noWrap w:val="0"/>
                  <w:vAlign w:val="center"/>
                </w:tcPr>
                <w:p w14:paraId="72893CD3">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bidi="ar-SA"/>
                    </w:rPr>
                  </w:pPr>
                  <w:r>
                    <w:rPr>
                      <w:rFonts w:ascii="Times New Roman" w:hAnsi="Times New Roman" w:eastAsia="宋体" w:cs="Times New Roman"/>
                      <w:color w:val="000000"/>
                      <w:sz w:val="21"/>
                      <w:szCs w:val="24"/>
                      <w:vertAlign w:val="baseline"/>
                      <w:lang w:val="en-US" w:eastAsia="zh-CN"/>
                    </w:rPr>
                    <w:t>1</w:t>
                  </w:r>
                </w:p>
              </w:tc>
              <w:tc>
                <w:tcPr>
                  <w:tcW w:w="2008" w:type="dxa"/>
                  <w:noWrap w:val="0"/>
                  <w:vAlign w:val="center"/>
                </w:tcPr>
                <w:p w14:paraId="44E25DF4">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兴侨村</w:t>
                  </w:r>
                </w:p>
              </w:tc>
              <w:tc>
                <w:tcPr>
                  <w:tcW w:w="1262" w:type="dxa"/>
                  <w:noWrap w:val="0"/>
                  <w:vAlign w:val="center"/>
                </w:tcPr>
                <w:p w14:paraId="476D11E9">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西南侧</w:t>
                  </w:r>
                </w:p>
              </w:tc>
              <w:tc>
                <w:tcPr>
                  <w:tcW w:w="968" w:type="dxa"/>
                  <w:noWrap w:val="0"/>
                  <w:vAlign w:val="center"/>
                </w:tcPr>
                <w:p w14:paraId="2ABEC230">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2.42</w:t>
                  </w:r>
                </w:p>
              </w:tc>
            </w:tr>
            <w:tr w14:paraId="50ED8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0" w:type="dxa"/>
                  <w:noWrap w:val="0"/>
                  <w:vAlign w:val="center"/>
                </w:tcPr>
                <w:p w14:paraId="12777CE6">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rPr>
                  </w:pPr>
                  <w:r>
                    <w:rPr>
                      <w:rFonts w:hint="eastAsia" w:ascii="Times New Roman" w:hAnsi="Times New Roman" w:eastAsia="宋体" w:cs="Times New Roman"/>
                      <w:color w:val="000000"/>
                      <w:sz w:val="21"/>
                      <w:szCs w:val="24"/>
                      <w:vertAlign w:val="baseline"/>
                      <w:lang w:val="en-US" w:eastAsia="zh-CN"/>
                    </w:rPr>
                    <w:t>2</w:t>
                  </w:r>
                </w:p>
              </w:tc>
              <w:tc>
                <w:tcPr>
                  <w:tcW w:w="2008" w:type="dxa"/>
                  <w:noWrap w:val="0"/>
                  <w:vAlign w:val="center"/>
                </w:tcPr>
                <w:p w14:paraId="7A8279DE">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帕底村</w:t>
                  </w:r>
                </w:p>
              </w:tc>
              <w:tc>
                <w:tcPr>
                  <w:tcW w:w="1262" w:type="dxa"/>
                  <w:noWrap w:val="0"/>
                  <w:vAlign w:val="center"/>
                </w:tcPr>
                <w:p w14:paraId="70E168D3">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西南侧</w:t>
                  </w:r>
                </w:p>
              </w:tc>
              <w:tc>
                <w:tcPr>
                  <w:tcW w:w="968" w:type="dxa"/>
                  <w:noWrap w:val="0"/>
                  <w:vAlign w:val="center"/>
                </w:tcPr>
                <w:p w14:paraId="55C8C224">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0.18</w:t>
                  </w:r>
                </w:p>
              </w:tc>
            </w:tr>
            <w:tr w14:paraId="26BAF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0" w:type="dxa"/>
                  <w:noWrap w:val="0"/>
                  <w:vAlign w:val="center"/>
                </w:tcPr>
                <w:p w14:paraId="6202CAC6">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bidi="ar-SA"/>
                    </w:rPr>
                  </w:pPr>
                  <w:r>
                    <w:rPr>
                      <w:rFonts w:hint="eastAsia" w:ascii="Times New Roman" w:hAnsi="Times New Roman" w:eastAsia="宋体" w:cs="Times New Roman"/>
                      <w:color w:val="000000"/>
                      <w:sz w:val="21"/>
                      <w:szCs w:val="24"/>
                      <w:vertAlign w:val="baseline"/>
                      <w:lang w:val="en-US" w:eastAsia="zh-CN"/>
                    </w:rPr>
                    <w:t>3</w:t>
                  </w:r>
                </w:p>
              </w:tc>
              <w:tc>
                <w:tcPr>
                  <w:tcW w:w="2008" w:type="dxa"/>
                  <w:noWrap w:val="0"/>
                  <w:vAlign w:val="center"/>
                </w:tcPr>
                <w:p w14:paraId="2098BBA1">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允门村</w:t>
                  </w:r>
                </w:p>
              </w:tc>
              <w:tc>
                <w:tcPr>
                  <w:tcW w:w="1262" w:type="dxa"/>
                  <w:noWrap w:val="0"/>
                  <w:vAlign w:val="center"/>
                </w:tcPr>
                <w:p w14:paraId="10B1CC99">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西北侧</w:t>
                  </w:r>
                </w:p>
              </w:tc>
              <w:tc>
                <w:tcPr>
                  <w:tcW w:w="968" w:type="dxa"/>
                  <w:noWrap w:val="0"/>
                  <w:vAlign w:val="center"/>
                </w:tcPr>
                <w:p w14:paraId="424D933A">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1.48</w:t>
                  </w:r>
                </w:p>
              </w:tc>
            </w:tr>
            <w:tr w14:paraId="745D3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0" w:type="dxa"/>
                  <w:noWrap w:val="0"/>
                  <w:vAlign w:val="center"/>
                </w:tcPr>
                <w:p w14:paraId="15E4AAC8">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bidi="ar-SA"/>
                    </w:rPr>
                  </w:pPr>
                  <w:r>
                    <w:rPr>
                      <w:rFonts w:hint="eastAsia" w:ascii="Times New Roman" w:hAnsi="Times New Roman" w:eastAsia="宋体" w:cs="Times New Roman"/>
                      <w:color w:val="000000"/>
                      <w:sz w:val="21"/>
                      <w:szCs w:val="24"/>
                      <w:vertAlign w:val="baseline"/>
                      <w:lang w:val="en-US" w:eastAsia="zh-CN"/>
                    </w:rPr>
                    <w:t>4</w:t>
                  </w:r>
                </w:p>
              </w:tc>
              <w:tc>
                <w:tcPr>
                  <w:tcW w:w="2008" w:type="dxa"/>
                  <w:noWrap w:val="0"/>
                  <w:vAlign w:val="center"/>
                </w:tcPr>
                <w:p w14:paraId="4735DADE">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芒波村</w:t>
                  </w:r>
                </w:p>
              </w:tc>
              <w:tc>
                <w:tcPr>
                  <w:tcW w:w="1262" w:type="dxa"/>
                  <w:noWrap w:val="0"/>
                  <w:vAlign w:val="center"/>
                </w:tcPr>
                <w:p w14:paraId="17C76404">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东北侧</w:t>
                  </w:r>
                </w:p>
              </w:tc>
              <w:tc>
                <w:tcPr>
                  <w:tcW w:w="968" w:type="dxa"/>
                  <w:noWrap w:val="0"/>
                  <w:vAlign w:val="center"/>
                </w:tcPr>
                <w:p w14:paraId="50B4B004">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2.57</w:t>
                  </w:r>
                </w:p>
              </w:tc>
            </w:tr>
            <w:tr w14:paraId="3E235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0" w:type="dxa"/>
                  <w:noWrap w:val="0"/>
                  <w:vAlign w:val="center"/>
                </w:tcPr>
                <w:p w14:paraId="24221123">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rPr>
                  </w:pPr>
                  <w:r>
                    <w:rPr>
                      <w:rFonts w:hint="eastAsia" w:ascii="Times New Roman" w:hAnsi="Times New Roman" w:eastAsia="宋体" w:cs="Times New Roman"/>
                      <w:color w:val="000000"/>
                      <w:sz w:val="21"/>
                      <w:szCs w:val="24"/>
                      <w:vertAlign w:val="baseline"/>
                      <w:lang w:val="en-US" w:eastAsia="zh-CN"/>
                    </w:rPr>
                    <w:t>5</w:t>
                  </w:r>
                </w:p>
              </w:tc>
              <w:tc>
                <w:tcPr>
                  <w:tcW w:w="2008" w:type="dxa"/>
                  <w:noWrap w:val="0"/>
                  <w:vAlign w:val="center"/>
                </w:tcPr>
                <w:p w14:paraId="21921E17">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那目村</w:t>
                  </w:r>
                </w:p>
              </w:tc>
              <w:tc>
                <w:tcPr>
                  <w:tcW w:w="1262" w:type="dxa"/>
                  <w:noWrap w:val="0"/>
                  <w:vAlign w:val="center"/>
                </w:tcPr>
                <w:p w14:paraId="7FC65545">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东南侧</w:t>
                  </w:r>
                </w:p>
              </w:tc>
              <w:tc>
                <w:tcPr>
                  <w:tcW w:w="968" w:type="dxa"/>
                  <w:noWrap w:val="0"/>
                  <w:vAlign w:val="center"/>
                </w:tcPr>
                <w:p w14:paraId="51DBC6BA">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2.65</w:t>
                  </w:r>
                </w:p>
              </w:tc>
            </w:tr>
            <w:tr w14:paraId="5691A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0" w:type="dxa"/>
                  <w:noWrap w:val="0"/>
                  <w:vAlign w:val="center"/>
                </w:tcPr>
                <w:p w14:paraId="64EC912A">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rPr>
                  </w:pPr>
                  <w:r>
                    <w:rPr>
                      <w:rFonts w:hint="eastAsia" w:ascii="Times New Roman" w:hAnsi="Times New Roman" w:eastAsia="宋体" w:cs="Times New Roman"/>
                      <w:color w:val="000000"/>
                      <w:sz w:val="21"/>
                      <w:szCs w:val="24"/>
                      <w:vertAlign w:val="baseline"/>
                      <w:lang w:val="en-US" w:eastAsia="zh-CN"/>
                    </w:rPr>
                    <w:t>6</w:t>
                  </w:r>
                </w:p>
              </w:tc>
              <w:tc>
                <w:tcPr>
                  <w:tcW w:w="2008" w:type="dxa"/>
                  <w:noWrap w:val="0"/>
                  <w:vAlign w:val="center"/>
                </w:tcPr>
                <w:p w14:paraId="7BCF8FE8">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弄转村</w:t>
                  </w:r>
                </w:p>
              </w:tc>
              <w:tc>
                <w:tcPr>
                  <w:tcW w:w="1262" w:type="dxa"/>
                  <w:noWrap w:val="0"/>
                  <w:vAlign w:val="center"/>
                </w:tcPr>
                <w:p w14:paraId="44CEAE11">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东南侧</w:t>
                  </w:r>
                </w:p>
              </w:tc>
              <w:tc>
                <w:tcPr>
                  <w:tcW w:w="968" w:type="dxa"/>
                  <w:noWrap w:val="0"/>
                  <w:vAlign w:val="center"/>
                </w:tcPr>
                <w:p w14:paraId="5EE1329B">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2.12</w:t>
                  </w:r>
                </w:p>
              </w:tc>
            </w:tr>
            <w:tr w14:paraId="0C970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0" w:type="dxa"/>
                  <w:noWrap w:val="0"/>
                  <w:vAlign w:val="center"/>
                </w:tcPr>
                <w:p w14:paraId="56D6F197">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rPr>
                  </w:pPr>
                  <w:r>
                    <w:rPr>
                      <w:rFonts w:hint="eastAsia" w:ascii="Times New Roman" w:hAnsi="Times New Roman" w:eastAsia="宋体" w:cs="Times New Roman"/>
                      <w:color w:val="000000"/>
                      <w:sz w:val="21"/>
                      <w:szCs w:val="24"/>
                      <w:vertAlign w:val="baseline"/>
                      <w:lang w:val="en-US" w:eastAsia="zh-CN"/>
                    </w:rPr>
                    <w:t>7</w:t>
                  </w:r>
                </w:p>
              </w:tc>
              <w:tc>
                <w:tcPr>
                  <w:tcW w:w="2008" w:type="dxa"/>
                  <w:noWrap w:val="0"/>
                  <w:vAlign w:val="center"/>
                </w:tcPr>
                <w:p w14:paraId="73EF27D4">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芒市工业园区</w:t>
                  </w:r>
                </w:p>
              </w:tc>
              <w:tc>
                <w:tcPr>
                  <w:tcW w:w="1262" w:type="dxa"/>
                  <w:noWrap w:val="0"/>
                  <w:vAlign w:val="center"/>
                </w:tcPr>
                <w:p w14:paraId="0822511C">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南侧</w:t>
                  </w:r>
                </w:p>
              </w:tc>
              <w:tc>
                <w:tcPr>
                  <w:tcW w:w="968" w:type="dxa"/>
                  <w:noWrap w:val="0"/>
                  <w:vAlign w:val="center"/>
                </w:tcPr>
                <w:p w14:paraId="03DE7035">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1.41</w:t>
                  </w:r>
                </w:p>
              </w:tc>
            </w:tr>
            <w:tr w14:paraId="10812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0" w:type="dxa"/>
                  <w:noWrap w:val="0"/>
                  <w:vAlign w:val="center"/>
                </w:tcPr>
                <w:p w14:paraId="462E0D50">
                  <w:pPr>
                    <w:keepNext w:val="0"/>
                    <w:keepLines w:val="0"/>
                    <w:pageBreakBefore w:val="0"/>
                    <w:widowControl w:val="0"/>
                    <w:jc w:val="center"/>
                    <w:rPr>
                      <w:rFonts w:ascii="Times New Roman" w:hAnsi="Times New Roman" w:eastAsia="宋体" w:cs="Times New Roman"/>
                      <w:color w:val="000000"/>
                      <w:sz w:val="21"/>
                      <w:szCs w:val="24"/>
                      <w:vertAlign w:val="baseline"/>
                      <w:lang w:val="en-US" w:eastAsia="zh-CN"/>
                    </w:rPr>
                  </w:pPr>
                  <w:r>
                    <w:rPr>
                      <w:rFonts w:hint="eastAsia" w:ascii="Times New Roman" w:hAnsi="Times New Roman" w:eastAsia="宋体" w:cs="Times New Roman"/>
                      <w:color w:val="000000"/>
                      <w:sz w:val="21"/>
                      <w:szCs w:val="24"/>
                      <w:vertAlign w:val="baseline"/>
                      <w:lang w:val="en-US" w:eastAsia="zh-CN"/>
                    </w:rPr>
                    <w:t>8</w:t>
                  </w:r>
                </w:p>
              </w:tc>
              <w:tc>
                <w:tcPr>
                  <w:tcW w:w="2008" w:type="dxa"/>
                  <w:noWrap w:val="0"/>
                  <w:vAlign w:val="center"/>
                </w:tcPr>
                <w:p w14:paraId="743896AF">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芒市大河</w:t>
                  </w:r>
                </w:p>
              </w:tc>
              <w:tc>
                <w:tcPr>
                  <w:tcW w:w="1262" w:type="dxa"/>
                  <w:noWrap w:val="0"/>
                  <w:vAlign w:val="center"/>
                </w:tcPr>
                <w:p w14:paraId="2752990A">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北侧</w:t>
                  </w:r>
                </w:p>
              </w:tc>
              <w:tc>
                <w:tcPr>
                  <w:tcW w:w="968" w:type="dxa"/>
                  <w:noWrap w:val="0"/>
                  <w:vAlign w:val="center"/>
                </w:tcPr>
                <w:p w14:paraId="7DC74BF0">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0.41</w:t>
                  </w:r>
                </w:p>
              </w:tc>
            </w:tr>
          </w:tbl>
          <w:p w14:paraId="44063A92">
            <w:pPr>
              <w:keepNext w:val="0"/>
              <w:keepLines w:val="0"/>
              <w:pageBreakBefore w:val="0"/>
              <w:widowControl w:val="0"/>
              <w:spacing w:line="360" w:lineRule="auto"/>
              <w:jc w:val="both"/>
              <w:rPr>
                <w:rFonts w:ascii="Times New Roman" w:hAnsi="Times New Roman" w:eastAsia="宋体" w:cs="Times New Roman"/>
                <w:color w:val="000000"/>
                <w:sz w:val="24"/>
                <w:szCs w:val="24"/>
                <w:highlight w:val="none"/>
                <w:lang w:val="en-US" w:eastAsia="zh-CN"/>
              </w:rPr>
            </w:pPr>
          </w:p>
        </w:tc>
      </w:tr>
    </w:tbl>
    <w:p w14:paraId="076F3F2B">
      <w:pPr>
        <w:spacing w:line="360" w:lineRule="auto"/>
        <w:outlineLvl w:val="9"/>
        <w:rPr>
          <w:rFonts w:ascii="Times New Roman" w:hAnsi="Times New Roman" w:eastAsia="宋体" w:cs="Times New Roman"/>
          <w:color w:val="000000"/>
          <w:sz w:val="30"/>
          <w:highlight w:val="none"/>
        </w:rPr>
        <w:sectPr>
          <w:footerReference r:id="rId5" w:type="default"/>
          <w:pgSz w:w="11906" w:h="16838" w:orient="landscape"/>
          <w:pgMar w:top="1134" w:right="1134" w:bottom="1134" w:left="1134" w:header="851" w:footer="1077" w:gutter="0"/>
          <w:pgNumType w:start="1"/>
          <w:cols w:space="1701" w:num="1"/>
        </w:sectPr>
      </w:pPr>
    </w:p>
    <w:p w14:paraId="11B4990A">
      <w:pPr>
        <w:pStyle w:val="210"/>
        <w:keepNext w:val="0"/>
        <w:keepLines w:val="0"/>
        <w:pageBreakBefore w:val="0"/>
        <w:widowControl/>
        <w:spacing w:before="0" w:beforeAutospacing="0" w:after="0" w:afterAutospacing="0"/>
        <w:jc w:val="center"/>
        <w:outlineLvl w:val="0"/>
        <w:rPr>
          <w:rFonts w:ascii="Times New Roman" w:hAnsi="Times New Roman" w:eastAsia="宋体" w:cs="Times New Roman"/>
          <w:b/>
          <w:bCs/>
          <w:color w:val="000000"/>
          <w:sz w:val="32"/>
          <w:szCs w:val="32"/>
          <w:highlight w:val="none"/>
        </w:rPr>
      </w:pPr>
      <w:bookmarkStart w:id="1" w:name="_Toc6077"/>
      <w:r>
        <w:rPr>
          <w:rFonts w:ascii="Times New Roman" w:hAnsi="Times New Roman" w:eastAsia="宋体" w:cs="Times New Roman"/>
          <w:b/>
          <w:bCs/>
          <w:color w:val="000000"/>
          <w:sz w:val="32"/>
          <w:szCs w:val="32"/>
          <w:highlight w:val="none"/>
        </w:rPr>
        <w:t>二、建设项目工程分析</w:t>
      </w:r>
      <w:bookmarkEnd w:id="1"/>
    </w:p>
    <w:tbl>
      <w:tblPr>
        <w:tblStyle w:val="29"/>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9020"/>
      </w:tblGrid>
      <w:tr w14:paraId="21C64B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21" w:hRule="atLeast"/>
          <w:jc w:val="center"/>
        </w:trPr>
        <w:tc>
          <w:tcPr>
            <w:tcW w:w="754" w:type="dxa"/>
            <w:noWrap w:val="0"/>
            <w:vAlign w:val="center"/>
          </w:tcPr>
          <w:p w14:paraId="04B8978A">
            <w:pPr>
              <w:pStyle w:val="210"/>
              <w:spacing w:before="0" w:beforeAutospacing="0" w:after="0" w:afterAutospacing="0"/>
              <w:jc w:val="center"/>
              <w:rPr>
                <w:rFonts w:ascii="Times New Roman" w:hAnsi="Times New Roman" w:eastAsia="宋体" w:cs="Times New Roman"/>
                <w:b/>
                <w:bCs/>
                <w:color w:val="000000"/>
                <w:sz w:val="24"/>
                <w:szCs w:val="24"/>
                <w:highlight w:val="none"/>
              </w:rPr>
            </w:pPr>
            <w:bookmarkStart w:id="2" w:name="_Toc26230"/>
            <w:r>
              <w:rPr>
                <w:rFonts w:ascii="Times New Roman" w:hAnsi="Times New Roman" w:eastAsia="宋体" w:cs="Times New Roman"/>
                <w:b/>
                <w:bCs/>
                <w:color w:val="000000"/>
                <w:sz w:val="24"/>
                <w:szCs w:val="24"/>
                <w:highlight w:val="none"/>
              </w:rPr>
              <w:t>建设内容</w:t>
            </w:r>
          </w:p>
        </w:tc>
        <w:tc>
          <w:tcPr>
            <w:tcW w:w="9020" w:type="dxa"/>
            <w:noWrap w:val="0"/>
            <w:vAlign w:val="center"/>
          </w:tcPr>
          <w:p w14:paraId="2D69EF02">
            <w:pPr>
              <w:keepNext w:val="0"/>
              <w:keepLines w:val="0"/>
              <w:pageBreakBefore w:val="0"/>
              <w:widowControl w:val="0"/>
              <w:numPr>
                <w:ilvl w:val="0"/>
                <w:numId w:val="2"/>
              </w:numPr>
              <w:spacing w:line="360" w:lineRule="auto"/>
              <w:ind w:left="0" w:right="0" w:firstLine="482"/>
              <w:outlineLvl w:val="0"/>
              <w:rPr>
                <w:rFonts w:ascii="Times New Roman" w:hAnsi="Times New Roman" w:eastAsia="宋体" w:cs="Times New Roman"/>
                <w:b/>
                <w:bCs w:val="0"/>
                <w:color w:val="000000"/>
                <w:sz w:val="24"/>
                <w:szCs w:val="24"/>
                <w:highlight w:val="none"/>
                <w:lang w:val="en-US" w:eastAsia="zh-CN"/>
              </w:rPr>
            </w:pPr>
            <w:r>
              <w:rPr>
                <w:rFonts w:ascii="Times New Roman" w:hAnsi="Times New Roman" w:eastAsia="宋体" w:cs="Times New Roman"/>
                <w:b/>
                <w:bCs w:val="0"/>
                <w:color w:val="000000"/>
                <w:sz w:val="24"/>
                <w:szCs w:val="24"/>
                <w:highlight w:val="none"/>
                <w:lang w:val="en-US" w:eastAsia="zh-CN"/>
              </w:rPr>
              <w:t>项目概况</w:t>
            </w:r>
          </w:p>
          <w:p w14:paraId="14D7815F">
            <w:pPr>
              <w:keepNext w:val="0"/>
              <w:keepLines w:val="0"/>
              <w:pageBreakBefore w:val="0"/>
              <w:widowControl w:val="0"/>
              <w:tabs>
                <w:tab w:val="left" w:pos="2395"/>
              </w:tabs>
              <w:spacing w:line="360" w:lineRule="auto"/>
              <w:ind w:firstLine="482"/>
              <w:rPr>
                <w:rFonts w:hint="eastAsia" w:ascii="Times New Roman" w:hAnsi="Times New Roman" w:eastAsia="宋体" w:cs="Times New Roman"/>
                <w:b/>
                <w:color w:val="000000"/>
                <w:sz w:val="24"/>
                <w:lang w:val="en-US" w:eastAsia="zh-CN"/>
              </w:rPr>
            </w:pPr>
            <w:r>
              <w:rPr>
                <w:rFonts w:hint="eastAsia" w:ascii="Times New Roman" w:hAnsi="Times New Roman" w:eastAsia="宋体" w:cs="Times New Roman"/>
                <w:b/>
                <w:color w:val="000000"/>
                <w:sz w:val="24"/>
                <w:lang w:val="en-US" w:eastAsia="zh-CN"/>
              </w:rPr>
              <w:t>1.1项目由来</w:t>
            </w:r>
          </w:p>
          <w:p w14:paraId="68EF9D75">
            <w:pPr>
              <w:keepNext w:val="0"/>
              <w:keepLines w:val="0"/>
              <w:pageBreakBefore w:val="0"/>
              <w:widowControl w:val="0"/>
              <w:tabs>
                <w:tab w:val="left" w:pos="2395"/>
              </w:tabs>
              <w:spacing w:line="360" w:lineRule="auto"/>
              <w:ind w:left="0" w:right="0" w:firstLine="480"/>
              <w:rPr>
                <w:rFonts w:ascii="Arial" w:hAnsi="Arial" w:eastAsia="宋体" w:cs="Arial"/>
                <w:i w:val="0"/>
                <w:iCs w:val="0"/>
                <w:caps w:val="0"/>
                <w:color w:val="333333"/>
                <w:spacing w:val="0"/>
                <w:sz w:val="24"/>
                <w:szCs w:val="24"/>
                <w:shd w:val="clear" w:color="auto" w:fill="FFFFFF"/>
              </w:rPr>
            </w:pPr>
            <w:r>
              <w:rPr>
                <w:rFonts w:hint="eastAsia" w:ascii="Arial" w:hAnsi="Arial" w:eastAsia="宋体" w:cs="Arial"/>
                <w:i w:val="0"/>
                <w:iCs w:val="0"/>
                <w:caps w:val="0"/>
                <w:color w:val="333333"/>
                <w:spacing w:val="0"/>
                <w:sz w:val="24"/>
                <w:szCs w:val="24"/>
                <w:shd w:val="clear" w:color="auto" w:fill="FFFFFF"/>
                <w:lang w:val="en-US" w:eastAsia="zh-CN"/>
              </w:rPr>
              <w:t>目前我国</w:t>
            </w:r>
            <w:r>
              <w:rPr>
                <w:rFonts w:ascii="Arial" w:hAnsi="Arial" w:eastAsia="宋体" w:cs="Arial"/>
                <w:i w:val="0"/>
                <w:iCs w:val="0"/>
                <w:caps w:val="0"/>
                <w:color w:val="333333"/>
                <w:spacing w:val="0"/>
                <w:sz w:val="24"/>
                <w:szCs w:val="24"/>
                <w:shd w:val="clear" w:color="auto" w:fill="FFFFFF"/>
              </w:rPr>
              <w:t>经济的快速增长，成为促进胶合板市场需求的强劲牵引力</w:t>
            </w:r>
            <w:r>
              <w:rPr>
                <w:rFonts w:hint="eastAsia" w:ascii="Arial" w:hAnsi="Arial" w:eastAsia="宋体" w:cs="Arial"/>
                <w:i w:val="0"/>
                <w:iCs w:val="0"/>
                <w:caps w:val="0"/>
                <w:color w:val="333333"/>
                <w:spacing w:val="0"/>
                <w:sz w:val="24"/>
                <w:szCs w:val="24"/>
                <w:shd w:val="clear" w:color="auto" w:fill="FFFFFF"/>
                <w:lang w:eastAsia="zh-CN"/>
              </w:rPr>
              <w:t>，</w:t>
            </w:r>
            <w:r>
              <w:rPr>
                <w:rFonts w:ascii="Arial" w:hAnsi="Arial" w:eastAsia="宋体" w:cs="Arial"/>
                <w:i w:val="0"/>
                <w:iCs w:val="0"/>
                <w:caps w:val="0"/>
                <w:color w:val="333333"/>
                <w:spacing w:val="0"/>
                <w:sz w:val="24"/>
                <w:szCs w:val="24"/>
                <w:shd w:val="clear" w:color="auto" w:fill="FFFFFF"/>
              </w:rPr>
              <w:t>华北、华东以及长江中下游一带速生丰产林木材大量涌进市场，以及国外优质阔叶木材的不断补充，</w:t>
            </w:r>
            <w:r>
              <w:rPr>
                <w:rFonts w:hint="eastAsia" w:ascii="Arial" w:hAnsi="Arial" w:eastAsia="宋体" w:cs="Arial"/>
                <w:i w:val="0"/>
                <w:iCs w:val="0"/>
                <w:caps w:val="0"/>
                <w:color w:val="333333"/>
                <w:spacing w:val="0"/>
                <w:sz w:val="24"/>
                <w:szCs w:val="24"/>
                <w:shd w:val="clear" w:color="auto" w:fill="FFFFFF"/>
                <w:lang w:val="en-US" w:eastAsia="zh-CN"/>
              </w:rPr>
              <w:t>为</w:t>
            </w:r>
            <w:r>
              <w:rPr>
                <w:rFonts w:ascii="Arial" w:hAnsi="Arial" w:eastAsia="宋体" w:cs="Arial"/>
                <w:i w:val="0"/>
                <w:iCs w:val="0"/>
                <w:caps w:val="0"/>
                <w:color w:val="333333"/>
                <w:spacing w:val="0"/>
                <w:sz w:val="24"/>
                <w:szCs w:val="24"/>
                <w:shd w:val="clear" w:color="auto" w:fill="FFFFFF"/>
              </w:rPr>
              <w:t>中国胶合板工业</w:t>
            </w:r>
            <w:r>
              <w:rPr>
                <w:rFonts w:hint="eastAsia" w:ascii="Arial" w:hAnsi="Arial" w:eastAsia="宋体" w:cs="Arial"/>
                <w:i w:val="0"/>
                <w:iCs w:val="0"/>
                <w:caps w:val="0"/>
                <w:color w:val="333333"/>
                <w:spacing w:val="0"/>
                <w:sz w:val="24"/>
                <w:szCs w:val="24"/>
                <w:shd w:val="clear" w:color="auto" w:fill="FFFFFF"/>
                <w:lang w:val="en-US" w:eastAsia="zh-CN"/>
              </w:rPr>
              <w:t>的</w:t>
            </w:r>
            <w:r>
              <w:rPr>
                <w:rFonts w:ascii="Arial" w:hAnsi="Arial" w:eastAsia="宋体" w:cs="Arial"/>
                <w:i w:val="0"/>
                <w:iCs w:val="0"/>
                <w:caps w:val="0"/>
                <w:color w:val="333333"/>
                <w:spacing w:val="0"/>
                <w:sz w:val="24"/>
                <w:szCs w:val="24"/>
                <w:shd w:val="clear" w:color="auto" w:fill="FFFFFF"/>
              </w:rPr>
              <w:t>不断发展提供源泉。充足的人力资源，也是</w:t>
            </w:r>
            <w:r>
              <w:rPr>
                <w:rFonts w:hint="eastAsia" w:ascii="Arial" w:hAnsi="Arial" w:eastAsia="宋体" w:cs="Arial"/>
                <w:i w:val="0"/>
                <w:iCs w:val="0"/>
                <w:caps w:val="0"/>
                <w:color w:val="333333"/>
                <w:spacing w:val="0"/>
                <w:sz w:val="24"/>
                <w:szCs w:val="24"/>
                <w:shd w:val="clear" w:color="auto" w:fill="FFFFFF"/>
                <w:lang w:val="en-US" w:eastAsia="zh-CN"/>
              </w:rPr>
              <w:t>我国</w:t>
            </w:r>
            <w:r>
              <w:rPr>
                <w:rFonts w:ascii="Arial" w:hAnsi="Arial" w:eastAsia="宋体" w:cs="Arial"/>
                <w:i w:val="0"/>
                <w:iCs w:val="0"/>
                <w:caps w:val="0"/>
                <w:color w:val="333333"/>
                <w:spacing w:val="0"/>
                <w:sz w:val="24"/>
                <w:szCs w:val="24"/>
                <w:shd w:val="clear" w:color="auto" w:fill="FFFFFF"/>
              </w:rPr>
              <w:t>发展胶合板工业与其他胶合板生产国相比占有优势的重要因素。近年来</w:t>
            </w:r>
            <w:r>
              <w:rPr>
                <w:rFonts w:hint="eastAsia" w:ascii="Arial" w:hAnsi="Arial" w:eastAsia="宋体" w:cs="Arial"/>
                <w:i w:val="0"/>
                <w:iCs w:val="0"/>
                <w:caps w:val="0"/>
                <w:color w:val="333333"/>
                <w:spacing w:val="0"/>
                <w:sz w:val="24"/>
                <w:szCs w:val="24"/>
                <w:shd w:val="clear" w:color="auto" w:fill="FFFFFF"/>
                <w:lang w:val="en-US" w:eastAsia="zh-CN"/>
              </w:rPr>
              <w:t>我国</w:t>
            </w:r>
            <w:r>
              <w:rPr>
                <w:rFonts w:ascii="Arial" w:hAnsi="Arial" w:eastAsia="宋体" w:cs="Arial"/>
                <w:i w:val="0"/>
                <w:iCs w:val="0"/>
                <w:caps w:val="0"/>
                <w:color w:val="333333"/>
                <w:spacing w:val="0"/>
                <w:sz w:val="24"/>
                <w:szCs w:val="24"/>
                <w:shd w:val="clear" w:color="auto" w:fill="FFFFFF"/>
              </w:rPr>
              <w:t>胶合板产品质量本身，也有了大幅提升，在国际市场上竞争力越来越强。</w:t>
            </w:r>
            <w:r>
              <w:rPr>
                <w:rFonts w:hint="eastAsia" w:ascii="Arial" w:hAnsi="Arial" w:eastAsia="宋体" w:cs="Arial"/>
                <w:i w:val="0"/>
                <w:iCs w:val="0"/>
                <w:caps w:val="0"/>
                <w:color w:val="333333"/>
                <w:spacing w:val="0"/>
                <w:sz w:val="24"/>
                <w:szCs w:val="24"/>
                <w:shd w:val="clear" w:color="auto" w:fill="FFFFFF"/>
                <w:lang w:val="en-US" w:eastAsia="zh-CN"/>
              </w:rPr>
              <w:t>我国</w:t>
            </w:r>
            <w:r>
              <w:rPr>
                <w:rFonts w:ascii="Arial" w:hAnsi="Arial" w:eastAsia="宋体" w:cs="Arial"/>
                <w:i w:val="0"/>
                <w:iCs w:val="0"/>
                <w:caps w:val="0"/>
                <w:color w:val="333333"/>
                <w:spacing w:val="0"/>
                <w:sz w:val="24"/>
                <w:szCs w:val="24"/>
                <w:shd w:val="clear" w:color="auto" w:fill="FFFFFF"/>
              </w:rPr>
              <w:t>不仅是胶合板出口大国，还是世界第一大胶合板生产国。</w:t>
            </w:r>
          </w:p>
          <w:p w14:paraId="7E40D7F4">
            <w:pPr>
              <w:keepNext w:val="0"/>
              <w:keepLines w:val="0"/>
              <w:pageBreakBefore w:val="0"/>
              <w:widowControl w:val="0"/>
              <w:tabs>
                <w:tab w:val="left" w:pos="2395"/>
              </w:tabs>
              <w:spacing w:line="360" w:lineRule="auto"/>
              <w:ind w:left="0" w:right="0" w:firstLine="480"/>
              <w:rPr>
                <w:rFonts w:ascii="Arial" w:hAnsi="Arial" w:eastAsia="宋体" w:cs="Arial"/>
                <w:i w:val="0"/>
                <w:iCs w:val="0"/>
                <w:caps w:val="0"/>
                <w:color w:val="333333"/>
                <w:spacing w:val="0"/>
                <w:sz w:val="24"/>
                <w:szCs w:val="24"/>
                <w:shd w:val="clear" w:color="auto" w:fill="FFFFFF"/>
                <w:lang w:val="en-US" w:eastAsia="zh-CN"/>
              </w:rPr>
            </w:pPr>
            <w:r>
              <w:rPr>
                <w:rFonts w:hint="eastAsia" w:ascii="Arial" w:hAnsi="Arial" w:eastAsia="宋体" w:cs="Arial"/>
                <w:i w:val="0"/>
                <w:iCs w:val="0"/>
                <w:caps w:val="0"/>
                <w:color w:val="333333"/>
                <w:spacing w:val="0"/>
                <w:sz w:val="24"/>
                <w:szCs w:val="24"/>
                <w:shd w:val="clear" w:color="auto" w:fill="FFFFFF"/>
                <w:lang w:val="en-US" w:eastAsia="zh-CN"/>
              </w:rPr>
              <w:t>胶合板贸易的蓬勃发展，也预示着单板行业的巨大潜力，作为胶合板的原料之一，单板行业近年来，日益增多。</w:t>
            </w:r>
          </w:p>
          <w:p w14:paraId="762788C0">
            <w:pPr>
              <w:keepNext w:val="0"/>
              <w:keepLines w:val="0"/>
              <w:pageBreakBefore w:val="0"/>
              <w:widowControl w:val="0"/>
              <w:tabs>
                <w:tab w:val="left" w:pos="2395"/>
              </w:tabs>
              <w:spacing w:line="360" w:lineRule="auto"/>
              <w:ind w:left="0" w:right="0" w:firstLine="480"/>
              <w:rPr>
                <w:rFonts w:hint="eastAsia" w:ascii="Arial" w:hAnsi="Arial" w:eastAsia="宋体" w:cs="Arial"/>
                <w:i w:val="0"/>
                <w:iCs w:val="0"/>
                <w:caps w:val="0"/>
                <w:color w:val="333333"/>
                <w:spacing w:val="0"/>
                <w:sz w:val="24"/>
                <w:szCs w:val="24"/>
                <w:shd w:val="clear" w:color="auto" w:fill="FFFFFF"/>
                <w:lang w:eastAsia="zh-CN"/>
              </w:rPr>
            </w:pPr>
            <w:r>
              <w:rPr>
                <w:rFonts w:hint="eastAsia" w:ascii="Arial" w:hAnsi="Arial" w:eastAsia="宋体" w:cs="Arial"/>
                <w:i w:val="0"/>
                <w:iCs w:val="0"/>
                <w:caps w:val="0"/>
                <w:color w:val="333333"/>
                <w:spacing w:val="0"/>
                <w:sz w:val="24"/>
                <w:szCs w:val="24"/>
                <w:shd w:val="clear" w:color="auto" w:fill="FFFFFF"/>
                <w:lang w:val="en-US" w:eastAsia="zh-CN"/>
              </w:rPr>
              <w:t>在此背景下芒市杰顺木业有限公司租用德宏滔盛置业有限公司位于芒市风平镇帕底村芒市糖厂的闲置空地用于建设本项目。</w:t>
            </w:r>
          </w:p>
          <w:p w14:paraId="6D063788">
            <w:pPr>
              <w:keepNext w:val="0"/>
              <w:keepLines w:val="0"/>
              <w:pageBreakBefore w:val="0"/>
              <w:widowControl w:val="0"/>
              <w:tabs>
                <w:tab w:val="left" w:pos="2395"/>
              </w:tabs>
              <w:spacing w:line="360" w:lineRule="auto"/>
              <w:ind w:left="0" w:right="0" w:firstLine="480"/>
              <w:rPr>
                <w:rFonts w:ascii="Times New Roman" w:hAnsi="Times New Roman" w:eastAsia="宋体" w:cs="Times New Roman"/>
                <w:i w:val="0"/>
                <w:iCs w:val="0"/>
                <w:caps w:val="0"/>
                <w:color w:val="333333"/>
                <w:spacing w:val="0"/>
                <w:sz w:val="24"/>
                <w:szCs w:val="24"/>
                <w:shd w:val="clear" w:color="auto" w:fill="FFFFFF"/>
                <w:lang w:val="en-US" w:eastAsia="zh-CN"/>
              </w:rPr>
            </w:pPr>
            <w:r>
              <w:rPr>
                <w:rFonts w:ascii="Times New Roman" w:hAnsi="Times New Roman" w:eastAsia="宋体" w:cs="Times New Roman"/>
                <w:i w:val="0"/>
                <w:iCs w:val="0"/>
                <w:caps w:val="0"/>
                <w:color w:val="333333"/>
                <w:spacing w:val="0"/>
                <w:sz w:val="24"/>
                <w:szCs w:val="24"/>
                <w:shd w:val="clear" w:color="auto" w:fill="FFFFFF"/>
                <w:lang w:val="en-US" w:eastAsia="zh-CN"/>
              </w:rPr>
              <w:t>本项目总投资</w:t>
            </w:r>
            <w:r>
              <w:rPr>
                <w:rFonts w:hint="eastAsia" w:ascii="Times New Roman" w:hAnsi="Times New Roman" w:eastAsia="宋体" w:cs="Times New Roman"/>
                <w:i w:val="0"/>
                <w:iCs w:val="0"/>
                <w:caps w:val="0"/>
                <w:color w:val="333333"/>
                <w:spacing w:val="0"/>
                <w:sz w:val="24"/>
                <w:szCs w:val="24"/>
                <w:shd w:val="clear" w:color="auto" w:fill="FFFFFF"/>
                <w:lang w:val="en-US" w:eastAsia="zh-CN"/>
              </w:rPr>
              <w:t>3</w:t>
            </w:r>
            <w:r>
              <w:rPr>
                <w:rFonts w:ascii="Times New Roman" w:hAnsi="Times New Roman" w:eastAsia="宋体" w:cs="Times New Roman"/>
                <w:i w:val="0"/>
                <w:iCs w:val="0"/>
                <w:caps w:val="0"/>
                <w:color w:val="333333"/>
                <w:spacing w:val="0"/>
                <w:sz w:val="24"/>
                <w:szCs w:val="24"/>
                <w:shd w:val="clear" w:color="auto" w:fill="FFFFFF"/>
                <w:lang w:val="en-US" w:eastAsia="zh-CN"/>
              </w:rPr>
              <w:t>00万元，总占地面积17333.33m</w:t>
            </w:r>
            <w:r>
              <w:rPr>
                <w:rFonts w:ascii="Times New Roman" w:hAnsi="Times New Roman" w:eastAsia="宋体" w:cs="Times New Roman"/>
                <w:i w:val="0"/>
                <w:iCs w:val="0"/>
                <w:caps w:val="0"/>
                <w:color w:val="333333"/>
                <w:spacing w:val="0"/>
                <w:sz w:val="24"/>
                <w:szCs w:val="24"/>
                <w:shd w:val="clear" w:color="auto" w:fill="FFFFFF"/>
                <w:vertAlign w:val="superscript"/>
                <w:lang w:val="en-US" w:eastAsia="zh-CN"/>
              </w:rPr>
              <w:t>2</w:t>
            </w:r>
            <w:r>
              <w:rPr>
                <w:rFonts w:ascii="Times New Roman" w:hAnsi="Times New Roman" w:eastAsia="宋体" w:cs="Times New Roman"/>
                <w:i w:val="0"/>
                <w:iCs w:val="0"/>
                <w:caps w:val="0"/>
                <w:color w:val="333333"/>
                <w:spacing w:val="0"/>
                <w:sz w:val="24"/>
                <w:szCs w:val="24"/>
                <w:shd w:val="clear" w:color="auto" w:fill="FFFFFF"/>
                <w:lang w:val="en-US" w:eastAsia="zh-CN"/>
              </w:rPr>
              <w:t>，总建筑面积</w:t>
            </w:r>
            <w:r>
              <w:rPr>
                <w:rFonts w:hint="eastAsia" w:ascii="Times New Roman" w:hAnsi="Times New Roman" w:eastAsia="宋体" w:cs="Times New Roman"/>
                <w:i w:val="0"/>
                <w:iCs w:val="0"/>
                <w:caps w:val="0"/>
                <w:color w:val="333333"/>
                <w:spacing w:val="0"/>
                <w:sz w:val="24"/>
                <w:szCs w:val="24"/>
                <w:shd w:val="clear" w:color="auto" w:fill="FFFFFF"/>
                <w:lang w:val="en-US" w:eastAsia="zh-CN"/>
              </w:rPr>
              <w:t>50</w:t>
            </w:r>
            <w:r>
              <w:rPr>
                <w:rFonts w:ascii="Times New Roman" w:hAnsi="Times New Roman" w:eastAsia="宋体" w:cs="Times New Roman"/>
                <w:i w:val="0"/>
                <w:iCs w:val="0"/>
                <w:caps w:val="0"/>
                <w:color w:val="333333"/>
                <w:spacing w:val="0"/>
                <w:sz w:val="24"/>
                <w:szCs w:val="24"/>
                <w:shd w:val="clear" w:color="auto" w:fill="FFFFFF"/>
                <w:lang w:val="en-US" w:eastAsia="zh-CN"/>
              </w:rPr>
              <w:t>00m</w:t>
            </w:r>
            <w:r>
              <w:rPr>
                <w:rFonts w:ascii="Times New Roman" w:hAnsi="Times New Roman" w:eastAsia="宋体" w:cs="Times New Roman"/>
                <w:i w:val="0"/>
                <w:iCs w:val="0"/>
                <w:caps w:val="0"/>
                <w:color w:val="333333"/>
                <w:spacing w:val="0"/>
                <w:sz w:val="24"/>
                <w:szCs w:val="24"/>
                <w:shd w:val="clear" w:color="auto" w:fill="FFFFFF"/>
                <w:vertAlign w:val="superscript"/>
                <w:lang w:val="en-US" w:eastAsia="zh-CN"/>
              </w:rPr>
              <w:t>2</w:t>
            </w:r>
            <w:r>
              <w:rPr>
                <w:rFonts w:ascii="Times New Roman" w:hAnsi="Times New Roman" w:eastAsia="宋体" w:cs="Times New Roman"/>
                <w:i w:val="0"/>
                <w:iCs w:val="0"/>
                <w:caps w:val="0"/>
                <w:color w:val="333333"/>
                <w:spacing w:val="0"/>
                <w:sz w:val="24"/>
                <w:szCs w:val="24"/>
                <w:shd w:val="clear" w:color="auto" w:fill="FFFFFF"/>
                <w:lang w:val="en-US" w:eastAsia="zh-CN"/>
              </w:rPr>
              <w:t>，主要建设</w:t>
            </w:r>
            <w:r>
              <w:rPr>
                <w:rFonts w:hint="eastAsia" w:ascii="Times New Roman" w:hAnsi="Times New Roman" w:eastAsia="宋体" w:cs="Times New Roman"/>
                <w:i w:val="0"/>
                <w:iCs w:val="0"/>
                <w:caps w:val="0"/>
                <w:color w:val="333333"/>
                <w:spacing w:val="0"/>
                <w:sz w:val="24"/>
                <w:szCs w:val="24"/>
                <w:shd w:val="clear" w:color="auto" w:fill="FFFFFF"/>
                <w:lang w:val="en-US" w:eastAsia="zh-CN"/>
              </w:rPr>
              <w:t>内容为原料预处理车间、</w:t>
            </w:r>
            <w:r>
              <w:rPr>
                <w:rFonts w:ascii="Times New Roman" w:hAnsi="Times New Roman" w:eastAsia="宋体" w:cs="Times New Roman"/>
                <w:i w:val="0"/>
                <w:iCs w:val="0"/>
                <w:caps w:val="0"/>
                <w:color w:val="333333"/>
                <w:spacing w:val="0"/>
                <w:sz w:val="24"/>
                <w:szCs w:val="24"/>
                <w:shd w:val="clear" w:color="auto" w:fill="FFFFFF"/>
                <w:lang w:val="en-US" w:eastAsia="zh-CN"/>
              </w:rPr>
              <w:t>生产车间、办公休息区、</w:t>
            </w:r>
            <w:r>
              <w:rPr>
                <w:rFonts w:hint="eastAsia" w:ascii="Times New Roman" w:hAnsi="Times New Roman" w:eastAsia="宋体" w:cs="Times New Roman"/>
                <w:i w:val="0"/>
                <w:iCs w:val="0"/>
                <w:caps w:val="0"/>
                <w:color w:val="333333"/>
                <w:spacing w:val="0"/>
                <w:sz w:val="24"/>
                <w:szCs w:val="24"/>
                <w:shd w:val="clear" w:color="auto" w:fill="FFFFFF"/>
                <w:lang w:val="en-US" w:eastAsia="zh-CN"/>
              </w:rPr>
              <w:t>成品仓库、</w:t>
            </w:r>
            <w:r>
              <w:rPr>
                <w:rFonts w:ascii="Times New Roman" w:hAnsi="Times New Roman" w:eastAsia="宋体" w:cs="Times New Roman"/>
                <w:i w:val="0"/>
                <w:iCs w:val="0"/>
                <w:caps w:val="0"/>
                <w:color w:val="333333"/>
                <w:spacing w:val="0"/>
                <w:sz w:val="24"/>
                <w:szCs w:val="24"/>
                <w:shd w:val="clear" w:color="auto" w:fill="FFFFFF"/>
                <w:lang w:val="en-US" w:eastAsia="zh-CN"/>
              </w:rPr>
              <w:t>露天停车场、原料堆场、配套辅助设施及相应环保设施等。</w:t>
            </w:r>
            <w:r>
              <w:rPr>
                <w:rFonts w:hint="eastAsia" w:ascii="Times New Roman" w:hAnsi="Times New Roman" w:eastAsia="宋体" w:cs="Times New Roman"/>
                <w:i w:val="0"/>
                <w:iCs w:val="0"/>
                <w:caps w:val="0"/>
                <w:color w:val="333333"/>
                <w:spacing w:val="0"/>
                <w:sz w:val="24"/>
                <w:szCs w:val="24"/>
                <w:shd w:val="clear" w:color="auto" w:fill="FFFFFF"/>
                <w:lang w:val="en-US" w:eastAsia="zh-CN"/>
              </w:rPr>
              <w:t>生产车间内</w:t>
            </w:r>
            <w:r>
              <w:rPr>
                <w:rFonts w:ascii="Times New Roman" w:hAnsi="Times New Roman" w:eastAsia="宋体" w:cs="Times New Roman"/>
                <w:i w:val="0"/>
                <w:iCs w:val="0"/>
                <w:caps w:val="0"/>
                <w:color w:val="333333"/>
                <w:spacing w:val="0"/>
                <w:sz w:val="24"/>
                <w:szCs w:val="24"/>
                <w:shd w:val="clear" w:color="auto" w:fill="FFFFFF"/>
                <w:lang w:val="en-US" w:eastAsia="zh-CN"/>
              </w:rPr>
              <w:t>设置有1条杉木</w:t>
            </w:r>
            <w:r>
              <w:rPr>
                <w:rFonts w:hint="eastAsia" w:ascii="Times New Roman" w:hAnsi="Times New Roman" w:eastAsia="宋体" w:cs="Times New Roman"/>
                <w:i w:val="0"/>
                <w:iCs w:val="0"/>
                <w:caps w:val="0"/>
                <w:color w:val="333333"/>
                <w:spacing w:val="0"/>
                <w:sz w:val="24"/>
                <w:szCs w:val="24"/>
                <w:shd w:val="clear" w:color="auto" w:fill="FFFFFF"/>
                <w:lang w:val="en-US" w:eastAsia="zh-CN"/>
              </w:rPr>
              <w:t>单板</w:t>
            </w:r>
            <w:r>
              <w:rPr>
                <w:rFonts w:ascii="Times New Roman" w:hAnsi="Times New Roman" w:eastAsia="宋体" w:cs="Times New Roman"/>
                <w:i w:val="0"/>
                <w:iCs w:val="0"/>
                <w:caps w:val="0"/>
                <w:color w:val="333333"/>
                <w:spacing w:val="0"/>
                <w:sz w:val="24"/>
                <w:szCs w:val="24"/>
                <w:shd w:val="clear" w:color="auto" w:fill="FFFFFF"/>
                <w:lang w:val="en-US" w:eastAsia="zh-CN"/>
              </w:rPr>
              <w:t>生产线，建成后可年产杉木</w:t>
            </w:r>
            <w:r>
              <w:rPr>
                <w:rFonts w:hint="eastAsia" w:ascii="Times New Roman" w:hAnsi="Times New Roman" w:eastAsia="宋体" w:cs="Times New Roman"/>
                <w:i w:val="0"/>
                <w:iCs w:val="0"/>
                <w:caps w:val="0"/>
                <w:color w:val="333333"/>
                <w:spacing w:val="0"/>
                <w:sz w:val="24"/>
                <w:szCs w:val="24"/>
                <w:shd w:val="clear" w:color="auto" w:fill="FFFFFF"/>
                <w:lang w:val="en-US" w:eastAsia="zh-CN"/>
              </w:rPr>
              <w:t>单板</w:t>
            </w:r>
            <w:r>
              <w:rPr>
                <w:rFonts w:ascii="Times New Roman" w:hAnsi="Times New Roman" w:eastAsia="宋体" w:cs="Times New Roman"/>
                <w:i w:val="0"/>
                <w:iCs w:val="0"/>
                <w:caps w:val="0"/>
                <w:color w:val="333333"/>
                <w:spacing w:val="0"/>
                <w:sz w:val="24"/>
                <w:szCs w:val="24"/>
                <w:shd w:val="clear" w:color="auto" w:fill="FFFFFF"/>
                <w:lang w:val="en-US" w:eastAsia="zh-CN"/>
              </w:rPr>
              <w:t>5</w:t>
            </w:r>
            <w:r>
              <w:rPr>
                <w:rFonts w:hint="eastAsia" w:ascii="Times New Roman" w:hAnsi="Times New Roman" w:eastAsia="宋体" w:cs="Times New Roman"/>
                <w:i w:val="0"/>
                <w:iCs w:val="0"/>
                <w:caps w:val="0"/>
                <w:color w:val="333333"/>
                <w:spacing w:val="0"/>
                <w:sz w:val="24"/>
                <w:szCs w:val="24"/>
                <w:shd w:val="clear" w:color="auto" w:fill="FFFFFF"/>
                <w:lang w:val="en-US" w:eastAsia="zh-CN"/>
              </w:rPr>
              <w:t>00</w:t>
            </w:r>
            <w:r>
              <w:rPr>
                <w:rFonts w:ascii="Times New Roman" w:hAnsi="Times New Roman" w:eastAsia="宋体" w:cs="Times New Roman"/>
                <w:i w:val="0"/>
                <w:iCs w:val="0"/>
                <w:caps w:val="0"/>
                <w:color w:val="333333"/>
                <w:spacing w:val="0"/>
                <w:sz w:val="24"/>
                <w:szCs w:val="24"/>
                <w:shd w:val="clear" w:color="auto" w:fill="FFFFFF"/>
                <w:lang w:val="en-US" w:eastAsia="zh-CN"/>
              </w:rPr>
              <w:t>0m</w:t>
            </w:r>
            <w:r>
              <w:rPr>
                <w:rFonts w:ascii="Times New Roman" w:hAnsi="Times New Roman" w:eastAsia="宋体" w:cs="Times New Roman"/>
                <w:i w:val="0"/>
                <w:iCs w:val="0"/>
                <w:caps w:val="0"/>
                <w:color w:val="333333"/>
                <w:spacing w:val="0"/>
                <w:sz w:val="24"/>
                <w:szCs w:val="24"/>
                <w:shd w:val="clear" w:color="auto" w:fill="FFFFFF"/>
                <w:vertAlign w:val="superscript"/>
                <w:lang w:val="en-US" w:eastAsia="zh-CN"/>
              </w:rPr>
              <w:t>3</w:t>
            </w:r>
            <w:r>
              <w:rPr>
                <w:rFonts w:ascii="Times New Roman" w:hAnsi="Times New Roman" w:eastAsia="宋体" w:cs="Times New Roman"/>
                <w:i w:val="0"/>
                <w:iCs w:val="0"/>
                <w:caps w:val="0"/>
                <w:color w:val="333333"/>
                <w:spacing w:val="0"/>
                <w:sz w:val="24"/>
                <w:szCs w:val="24"/>
                <w:shd w:val="clear" w:color="auto" w:fill="FFFFFF"/>
                <w:lang w:val="en-US" w:eastAsia="zh-CN"/>
              </w:rPr>
              <w:t>。</w:t>
            </w:r>
          </w:p>
          <w:p w14:paraId="1CC00D15">
            <w:pPr>
              <w:keepNext w:val="0"/>
              <w:keepLines w:val="0"/>
              <w:pageBreakBefore w:val="0"/>
              <w:widowControl w:val="0"/>
              <w:tabs>
                <w:tab w:val="left" w:pos="2395"/>
              </w:tabs>
              <w:spacing w:line="360" w:lineRule="auto"/>
              <w:ind w:firstLine="482"/>
              <w:rPr>
                <w:rFonts w:hint="eastAsia" w:ascii="Times New Roman" w:hAnsi="Times New Roman" w:eastAsia="宋体" w:cs="Times New Roman"/>
                <w:b/>
                <w:color w:val="000000"/>
                <w:sz w:val="24"/>
                <w:highlight w:val="none"/>
                <w:lang w:val="en-US" w:eastAsia="zh-CN"/>
              </w:rPr>
            </w:pPr>
            <w:r>
              <w:rPr>
                <w:rFonts w:hint="eastAsia" w:ascii="Times New Roman" w:hAnsi="Times New Roman" w:eastAsia="宋体" w:cs="Times New Roman"/>
                <w:b/>
                <w:color w:val="000000"/>
                <w:sz w:val="24"/>
                <w:highlight w:val="none"/>
                <w:lang w:val="en-US" w:eastAsia="zh-CN"/>
              </w:rPr>
              <w:t>1.2项目用地及手续办理情况</w:t>
            </w:r>
          </w:p>
          <w:p w14:paraId="4415DCD9">
            <w:pPr>
              <w:keepNext w:val="0"/>
              <w:keepLines w:val="0"/>
              <w:pageBreakBefore w:val="0"/>
              <w:widowControl w:val="0"/>
              <w:tabs>
                <w:tab w:val="left" w:pos="2395"/>
              </w:tabs>
              <w:spacing w:line="360" w:lineRule="auto"/>
              <w:ind w:left="0" w:right="0" w:firstLine="480"/>
              <w:rPr>
                <w:rFonts w:hint="eastAsia" w:ascii="Times New Roman" w:hAnsi="Times New Roman" w:eastAsia="宋体" w:cs="Times New Roman"/>
                <w:b w:val="0"/>
                <w:bCs w:val="0"/>
                <w:color w:val="000000"/>
                <w:sz w:val="24"/>
                <w:szCs w:val="24"/>
                <w:highlight w:val="none"/>
                <w:vertAlign w:val="baseline"/>
                <w:lang w:val="en-US" w:eastAsia="zh-CN"/>
              </w:rPr>
            </w:pPr>
            <w:r>
              <w:rPr>
                <w:rFonts w:hint="eastAsia" w:ascii="Arial" w:hAnsi="Arial" w:eastAsia="宋体" w:cs="Arial"/>
                <w:i w:val="0"/>
                <w:iCs w:val="0"/>
                <w:caps w:val="0"/>
                <w:color w:val="333333"/>
                <w:spacing w:val="0"/>
                <w:sz w:val="24"/>
                <w:szCs w:val="24"/>
                <w:shd w:val="clear" w:color="auto" w:fill="FFFFFF"/>
                <w:lang w:val="en-US" w:eastAsia="zh-CN"/>
              </w:rPr>
              <w:t>芒市杰顺木业有限公司</w:t>
            </w:r>
            <w:r>
              <w:rPr>
                <w:rFonts w:hint="eastAsia" w:ascii="Times New Roman" w:hAnsi="Times New Roman" w:eastAsia="宋体" w:cs="Times New Roman"/>
                <w:b w:val="0"/>
                <w:bCs w:val="0"/>
                <w:color w:val="000000"/>
                <w:sz w:val="24"/>
                <w:szCs w:val="24"/>
                <w:highlight w:val="none"/>
                <w:vertAlign w:val="baseline"/>
                <w:lang w:val="en-US" w:eastAsia="zh-CN"/>
              </w:rPr>
              <w:t>于2022年10月28日与德宏滔盛置业有限公司签订了位于芒市风平镇帕底村芒市糖厂的场地租赁合同（详见附件5），根据德宏滔盛置业有限公司提供的土地证（详见附件6），项目用地性质为“工业用地/工业”，可用于本项目的建设。</w:t>
            </w:r>
          </w:p>
          <w:p w14:paraId="66D522B9">
            <w:pPr>
              <w:keepNext w:val="0"/>
              <w:keepLines w:val="0"/>
              <w:pageBreakBefore w:val="0"/>
              <w:widowControl w:val="0"/>
              <w:tabs>
                <w:tab w:val="left" w:pos="2395"/>
              </w:tabs>
              <w:spacing w:line="360" w:lineRule="auto"/>
              <w:ind w:left="0" w:right="0" w:firstLine="480"/>
              <w:rPr>
                <w:rFonts w:ascii="Times New Roman" w:hAnsi="Times New Roman" w:eastAsia="宋体" w:cs="Times New Roman"/>
                <w:b w:val="0"/>
                <w:bCs w:val="0"/>
                <w:color w:val="000000"/>
                <w:sz w:val="24"/>
                <w:szCs w:val="24"/>
                <w:highlight w:val="none"/>
                <w:vertAlign w:val="baseline"/>
                <w:lang w:val="en-US" w:eastAsia="zh-CN"/>
              </w:rPr>
            </w:pPr>
            <w:r>
              <w:rPr>
                <w:rFonts w:ascii="Times New Roman" w:hAnsi="Times New Roman" w:eastAsia="宋体" w:cs="Times New Roman"/>
                <w:i w:val="0"/>
                <w:iCs w:val="0"/>
                <w:caps w:val="0"/>
                <w:color w:val="333333"/>
                <w:spacing w:val="0"/>
                <w:sz w:val="24"/>
                <w:szCs w:val="24"/>
                <w:shd w:val="clear" w:color="auto" w:fill="FFFFFF"/>
                <w:lang w:val="en-US" w:eastAsia="zh-CN"/>
              </w:rPr>
              <w:t>本项目于2023年2月23日取得芒市发展和改革局出具的云南省固定资投资项目备案证，备案号【项目代码】：2302-533103-04-01-459499（详见附件4）</w:t>
            </w:r>
            <w:r>
              <w:rPr>
                <w:rFonts w:hint="eastAsia" w:ascii="Arial" w:hAnsi="Arial" w:eastAsia="宋体" w:cs="Arial"/>
                <w:i w:val="0"/>
                <w:iCs w:val="0"/>
                <w:caps w:val="0"/>
                <w:color w:val="333333"/>
                <w:spacing w:val="0"/>
                <w:sz w:val="24"/>
                <w:szCs w:val="24"/>
                <w:shd w:val="clear" w:color="auto" w:fill="FFFFFF"/>
                <w:lang w:val="en-US" w:eastAsia="zh-CN"/>
              </w:rPr>
              <w:t>。</w:t>
            </w:r>
          </w:p>
          <w:p w14:paraId="605C7C5D">
            <w:pPr>
              <w:keepNext w:val="0"/>
              <w:keepLines w:val="0"/>
              <w:pageBreakBefore w:val="0"/>
              <w:widowControl w:val="0"/>
              <w:tabs>
                <w:tab w:val="left" w:pos="2395"/>
              </w:tabs>
              <w:spacing w:line="360" w:lineRule="auto"/>
              <w:ind w:firstLine="482"/>
              <w:rPr>
                <w:rFonts w:ascii="Times New Roman" w:hAnsi="Times New Roman" w:eastAsia="宋体" w:cs="Times New Roman"/>
                <w:b/>
                <w:color w:val="000000"/>
                <w:sz w:val="24"/>
                <w:highlight w:val="none"/>
                <w:lang w:val="en-US" w:eastAsia="zh-CN"/>
              </w:rPr>
            </w:pPr>
            <w:r>
              <w:rPr>
                <w:rFonts w:hint="eastAsia" w:ascii="Times New Roman" w:hAnsi="Times New Roman" w:eastAsia="宋体" w:cs="Times New Roman"/>
                <w:b/>
                <w:color w:val="000000"/>
                <w:sz w:val="24"/>
                <w:highlight w:val="none"/>
                <w:lang w:val="en-US" w:eastAsia="zh-CN"/>
              </w:rPr>
              <w:t>1.3环评程序</w:t>
            </w:r>
          </w:p>
          <w:p w14:paraId="3F2CB7CF">
            <w:pPr>
              <w:keepNext w:val="0"/>
              <w:keepLines w:val="0"/>
              <w:pageBreakBefore w:val="0"/>
              <w:widowControl w:val="0"/>
              <w:tabs>
                <w:tab w:val="left" w:pos="2395"/>
              </w:tabs>
              <w:spacing w:line="360" w:lineRule="auto"/>
              <w:ind w:left="0" w:right="0" w:firstLine="480"/>
              <w:rPr>
                <w:rFonts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根据《中华人民共和国环境保护法》、《中华人民共和国环境影响评价法》及《建设项目环境保护管理条例》（国务院第682号令）等法律法规相关规定，本项目属于《环境影响评价分类管理名录》（2021版）“十七、木材加工和木、藤、棕、草制品业 20”中“33 木材加工 201”的“</w:t>
            </w:r>
            <w:r>
              <w:rPr>
                <w:rFonts w:hint="eastAsia" w:ascii="Times New Roman" w:hAnsi="Times New Roman" w:eastAsia="宋体" w:cs="Times New Roman"/>
                <w:color w:val="000000"/>
                <w:sz w:val="24"/>
                <w:szCs w:val="24"/>
                <w:lang w:val="en-US" w:eastAsia="zh-CN" w:bidi="ar-SA"/>
              </w:rPr>
              <w:t>含木片烘干、水煮、染色等工艺的</w:t>
            </w:r>
            <w:r>
              <w:rPr>
                <w:rFonts w:hint="eastAsia" w:ascii="Times New Roman" w:hAnsi="Times New Roman" w:eastAsia="宋体" w:cs="Times New Roman"/>
                <w:b w:val="0"/>
                <w:bCs w:val="0"/>
                <w:color w:val="000000"/>
                <w:sz w:val="24"/>
                <w:szCs w:val="24"/>
                <w:highlight w:val="none"/>
                <w:lang w:val="en-US" w:eastAsia="zh-CN"/>
              </w:rPr>
              <w:t>”，需编写环境影响报告表。项目环评类别详见下表。</w:t>
            </w:r>
          </w:p>
          <w:p w14:paraId="157982F1">
            <w:pPr>
              <w:tabs>
                <w:tab w:val="left" w:pos="2395"/>
              </w:tabs>
              <w:spacing w:line="240" w:lineRule="auto"/>
              <w:ind w:firstLine="482"/>
              <w:jc w:val="center"/>
              <w:rPr>
                <w:rFonts w:hint="eastAsia" w:ascii="Times New Roman" w:hAnsi="Times New Roman" w:eastAsia="宋体" w:cs="Times New Roman"/>
                <w:b/>
                <w:bCs/>
                <w:sz w:val="24"/>
                <w:szCs w:val="24"/>
                <w:lang w:val="en-US" w:eastAsia="zh-CN"/>
              </w:rPr>
            </w:pPr>
          </w:p>
          <w:p w14:paraId="7FE883DA">
            <w:pPr>
              <w:tabs>
                <w:tab w:val="left" w:pos="2395"/>
              </w:tabs>
              <w:spacing w:line="240" w:lineRule="auto"/>
              <w:ind w:firstLine="482"/>
              <w:jc w:val="center"/>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表2-1  环评类别一览表</w:t>
            </w:r>
          </w:p>
          <w:tbl>
            <w:tblPr>
              <w:tblStyle w:val="2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9"/>
              <w:gridCol w:w="1759"/>
              <w:gridCol w:w="1759"/>
              <w:gridCol w:w="1759"/>
              <w:gridCol w:w="1759"/>
            </w:tblGrid>
            <w:tr w14:paraId="6C7E3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568" w:hRule="atLeast"/>
                <w:jc w:val="center"/>
              </w:trPr>
              <w:tc>
                <w:tcPr>
                  <w:tcW w:w="2761" w:type="dxa"/>
                  <w:noWrap w:val="0"/>
                  <w:vAlign w:val="center"/>
                </w:tcPr>
                <w:p w14:paraId="688B6106">
                  <w:pPr>
                    <w:keepNext w:val="0"/>
                    <w:keepLines w:val="0"/>
                    <w:pageBreakBefore w:val="0"/>
                    <w:widowControl w:val="0"/>
                    <w:tabs>
                      <w:tab w:val="left" w:pos="2395"/>
                    </w:tabs>
                    <w:spacing w:line="240" w:lineRule="auto"/>
                    <w:ind w:left="1680" w:right="0"/>
                    <w:jc w:val="center"/>
                    <w:rPr>
                      <w:b/>
                      <w:bCs/>
                      <w:lang w:val="en-US" w:eastAsia="zh-CN"/>
                    </w:rPr>
                  </w:pPr>
                  <w:r>
                    <w:rPr>
                      <w:b/>
                      <w:bCs/>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8890</wp:posOffset>
                            </wp:positionV>
                            <wp:extent cx="1744980" cy="342900"/>
                            <wp:effectExtent l="0" t="0" r="0" b="0"/>
                            <wp:wrapNone/>
                            <wp:docPr id="3" name="_x0000_s1071"/>
                            <wp:cNvGraphicFramePr/>
                            <a:graphic xmlns:a="http://schemas.openxmlformats.org/drawingml/2006/main">
                              <a:graphicData uri="http://schemas.microsoft.com/office/word/2010/wordprocessingShape">
                                <wps:wsp>
                                  <wps:cNvCnPr/>
                                  <wps:spPr bwMode="auto">
                                    <a:xfrm>
                                      <a:off x="0" y="0"/>
                                      <a:ext cx="1744980" cy="342900"/>
                                    </a:xfrm>
                                    <a:prstGeom prst="line">
                                      <a:avLst/>
                                    </a:prstGeom>
                                    <a:noFill/>
                                    <a:ln>
                                      <a:solidFill>
                                        <a:srgbClr val="000000"/>
                                      </a:solidFill>
                                    </a:ln>
                                  </wps:spPr>
                                  <wps:bodyPr rot="0">
                                    <a:noAutofit/>
                                  </wps:bodyPr>
                                </wps:wsp>
                              </a:graphicData>
                            </a:graphic>
                          </wp:anchor>
                        </w:drawing>
                      </mc:Choice>
                      <mc:Fallback>
                        <w:pict>
                          <v:line id="_x0000_s1071" o:spid="_x0000_s1026" o:spt="20" style="position:absolute;left:0pt;margin-left:-4.65pt;margin-top:0.7pt;height:27pt;width:137.4pt;z-index:251659264;mso-width-relative:page;mso-height-relative:page;" filled="f" stroked="t" coordsize="21600,21600" o:gfxdata="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ORlEp1QAAAAcBAAAPAAAAAAAAAAEAIAAAACIAAABkcnMvZG93bnJldi54bWxQSwEC&#10;FAAUAAAACACHTuJALenCS74BAACHAwAADgAAAAAAAAABACAAAAAkAQAAZHJzL2Uyb0RvYy54bWxQ&#10;SwUGAAAAAAYABgBZAQAAVAUAAAAA&#10;">
                            <v:fill on="f" focussize="0,0"/>
                            <v:stroke color="#000000" joinstyle="round"/>
                            <v:imagedata o:title=""/>
                            <o:lock v:ext="edit" aspectratio="f"/>
                          </v:line>
                        </w:pict>
                      </mc:Fallback>
                    </mc:AlternateContent>
                  </w:r>
                  <w:r>
                    <w:rPr>
                      <w:rFonts w:hint="eastAsia"/>
                      <w:b/>
                      <w:bCs/>
                      <w:lang w:val="en-US" w:eastAsia="zh-CN"/>
                    </w:rPr>
                    <w:t>环评类别</w:t>
                  </w:r>
                </w:p>
                <w:p w14:paraId="44D0EE18">
                  <w:pPr>
                    <w:pStyle w:val="2"/>
                    <w:ind w:left="0" w:firstLine="0"/>
                    <w:jc w:val="both"/>
                    <w:rPr>
                      <w:b/>
                      <w:bCs/>
                      <w:lang w:val="en-US" w:eastAsia="zh-CN"/>
                    </w:rPr>
                  </w:pPr>
                  <w:r>
                    <w:rPr>
                      <w:rFonts w:hint="eastAsia"/>
                      <w:b/>
                      <w:bCs/>
                      <w:lang w:val="en-US" w:eastAsia="zh-CN"/>
                    </w:rPr>
                    <w:t>项目类别</w:t>
                  </w:r>
                </w:p>
              </w:tc>
              <w:tc>
                <w:tcPr>
                  <w:tcW w:w="3095" w:type="dxa"/>
                  <w:noWrap w:val="0"/>
                  <w:vAlign w:val="center"/>
                </w:tcPr>
                <w:p w14:paraId="34FFE5E2">
                  <w:pPr>
                    <w:keepNext w:val="0"/>
                    <w:keepLines w:val="0"/>
                    <w:pageBreakBefore w:val="0"/>
                    <w:widowControl w:val="0"/>
                    <w:tabs>
                      <w:tab w:val="left" w:pos="2395"/>
                    </w:tabs>
                    <w:spacing w:line="240" w:lineRule="auto"/>
                    <w:ind w:right="0"/>
                    <w:jc w:val="center"/>
                    <w:rPr>
                      <w:rFonts w:ascii="Times New Roman" w:hAnsi="Times New Roman" w:eastAsia="宋体" w:cs="Times New Roman"/>
                      <w:b/>
                      <w:bCs/>
                      <w:color w:val="000000"/>
                      <w:sz w:val="21"/>
                      <w:szCs w:val="21"/>
                      <w:highlight w:val="none"/>
                      <w:vertAlign w:val="baseline"/>
                      <w:lang w:val="en-US" w:eastAsia="zh-CN"/>
                    </w:rPr>
                  </w:pPr>
                  <w:r>
                    <w:rPr>
                      <w:rFonts w:hint="eastAsia" w:ascii="Times New Roman" w:hAnsi="Times New Roman" w:eastAsia="宋体" w:cs="Times New Roman"/>
                      <w:b/>
                      <w:bCs/>
                      <w:color w:val="000000"/>
                      <w:sz w:val="21"/>
                      <w:szCs w:val="21"/>
                      <w:highlight w:val="none"/>
                      <w:vertAlign w:val="baseline"/>
                      <w:lang w:val="en-US" w:eastAsia="zh-CN"/>
                    </w:rPr>
                    <w:t>报告书</w:t>
                  </w:r>
                </w:p>
              </w:tc>
              <w:tc>
                <w:tcPr>
                  <w:tcW w:w="1999" w:type="dxa"/>
                  <w:noWrap w:val="0"/>
                  <w:vAlign w:val="center"/>
                </w:tcPr>
                <w:p w14:paraId="670780EA">
                  <w:pPr>
                    <w:keepNext w:val="0"/>
                    <w:keepLines w:val="0"/>
                    <w:pageBreakBefore w:val="0"/>
                    <w:widowControl w:val="0"/>
                    <w:tabs>
                      <w:tab w:val="left" w:pos="2395"/>
                    </w:tabs>
                    <w:spacing w:line="240" w:lineRule="auto"/>
                    <w:ind w:right="0"/>
                    <w:jc w:val="center"/>
                    <w:rPr>
                      <w:rFonts w:ascii="Times New Roman" w:hAnsi="Times New Roman" w:eastAsia="宋体" w:cs="Times New Roman"/>
                      <w:b/>
                      <w:bCs/>
                      <w:color w:val="000000"/>
                      <w:sz w:val="21"/>
                      <w:szCs w:val="21"/>
                      <w:highlight w:val="none"/>
                      <w:vertAlign w:val="baseline"/>
                      <w:lang w:val="en-US" w:eastAsia="zh-CN"/>
                    </w:rPr>
                  </w:pPr>
                  <w:r>
                    <w:rPr>
                      <w:rFonts w:hint="eastAsia" w:ascii="Times New Roman" w:hAnsi="Times New Roman" w:eastAsia="宋体" w:cs="Times New Roman"/>
                      <w:b/>
                      <w:bCs/>
                      <w:color w:val="000000"/>
                      <w:sz w:val="21"/>
                      <w:szCs w:val="21"/>
                      <w:highlight w:val="none"/>
                      <w:vertAlign w:val="baseline"/>
                      <w:lang w:val="en-US" w:eastAsia="zh-CN"/>
                    </w:rPr>
                    <w:t>报告表</w:t>
                  </w:r>
                </w:p>
              </w:tc>
              <w:tc>
                <w:tcPr>
                  <w:tcW w:w="939" w:type="dxa"/>
                  <w:noWrap w:val="0"/>
                  <w:vAlign w:val="center"/>
                </w:tcPr>
                <w:p w14:paraId="7A49E520">
                  <w:pPr>
                    <w:keepNext w:val="0"/>
                    <w:keepLines w:val="0"/>
                    <w:pageBreakBefore w:val="0"/>
                    <w:widowControl w:val="0"/>
                    <w:tabs>
                      <w:tab w:val="left" w:pos="2395"/>
                    </w:tabs>
                    <w:spacing w:line="240" w:lineRule="auto"/>
                    <w:ind w:right="0"/>
                    <w:jc w:val="center"/>
                    <w:rPr>
                      <w:rFonts w:ascii="Times New Roman" w:hAnsi="Times New Roman" w:eastAsia="宋体" w:cs="Times New Roman"/>
                      <w:b/>
                      <w:bCs/>
                      <w:color w:val="000000"/>
                      <w:sz w:val="21"/>
                      <w:szCs w:val="21"/>
                      <w:highlight w:val="none"/>
                      <w:vertAlign w:val="baseline"/>
                      <w:lang w:val="en-US" w:eastAsia="zh-CN"/>
                    </w:rPr>
                  </w:pPr>
                  <w:r>
                    <w:rPr>
                      <w:rFonts w:hint="eastAsia" w:ascii="Times New Roman" w:hAnsi="Times New Roman" w:eastAsia="宋体" w:cs="Times New Roman"/>
                      <w:b/>
                      <w:bCs/>
                      <w:color w:val="000000"/>
                      <w:sz w:val="21"/>
                      <w:szCs w:val="21"/>
                      <w:highlight w:val="none"/>
                      <w:vertAlign w:val="baseline"/>
                      <w:lang w:val="en-US" w:eastAsia="zh-CN"/>
                    </w:rPr>
                    <w:t>登记表</w:t>
                  </w:r>
                </w:p>
              </w:tc>
            </w:tr>
            <w:tr w14:paraId="6BCE3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jc w:val="center"/>
              </w:trPr>
              <w:tc>
                <w:tcPr>
                  <w:tcW w:w="8794" w:type="dxa"/>
                  <w:gridSpan w:val="4"/>
                  <w:noWrap w:val="0"/>
                  <w:vAlign w:val="center"/>
                </w:tcPr>
                <w:p w14:paraId="2F3BF1D6">
                  <w:pPr>
                    <w:keepNext w:val="0"/>
                    <w:keepLines w:val="0"/>
                    <w:pageBreakBefore w:val="0"/>
                    <w:widowControl w:val="0"/>
                    <w:tabs>
                      <w:tab w:val="left" w:pos="2395"/>
                    </w:tabs>
                    <w:spacing w:line="240" w:lineRule="auto"/>
                    <w:ind w:right="0"/>
                    <w:jc w:val="center"/>
                    <w:rPr>
                      <w:rFonts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十七、木材加工和木、竹、藤、棕、草制品业 20</w:t>
                  </w:r>
                </w:p>
              </w:tc>
            </w:tr>
            <w:tr w14:paraId="365BA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noWrap w:val="0"/>
                  <w:vAlign w:val="center"/>
                </w:tcPr>
                <w:p w14:paraId="3BAD4CB0">
                  <w:pPr>
                    <w:keepNext w:val="0"/>
                    <w:keepLines w:val="0"/>
                    <w:pageBreakBefore w:val="0"/>
                    <w:widowControl w:val="0"/>
                    <w:tabs>
                      <w:tab w:val="left" w:pos="2395"/>
                    </w:tabs>
                    <w:spacing w:line="240" w:lineRule="auto"/>
                    <w:ind w:right="0"/>
                    <w:jc w:val="center"/>
                    <w:rPr>
                      <w:rFonts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33</w:t>
                  </w:r>
                </w:p>
              </w:tc>
              <w:tc>
                <w:tcPr>
                  <w:tcW w:w="1898" w:type="dxa"/>
                  <w:noWrap w:val="0"/>
                  <w:vAlign w:val="center"/>
                </w:tcPr>
                <w:p w14:paraId="475C5D7B">
                  <w:pPr>
                    <w:keepNext w:val="0"/>
                    <w:keepLines w:val="0"/>
                    <w:pageBreakBefore w:val="0"/>
                    <w:widowControl w:val="0"/>
                    <w:tabs>
                      <w:tab w:val="left" w:pos="2395"/>
                    </w:tabs>
                    <w:spacing w:line="240" w:lineRule="auto"/>
                    <w:ind w:right="0"/>
                    <w:jc w:val="center"/>
                    <w:rPr>
                      <w:rFonts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木材加工 201</w:t>
                  </w:r>
                </w:p>
              </w:tc>
              <w:tc>
                <w:tcPr>
                  <w:tcW w:w="3095" w:type="dxa"/>
                  <w:noWrap w:val="0"/>
                  <w:vAlign w:val="center"/>
                </w:tcPr>
                <w:p w14:paraId="691D2D34">
                  <w:pPr>
                    <w:keepNext w:val="0"/>
                    <w:keepLines w:val="0"/>
                    <w:pageBreakBefore w:val="0"/>
                    <w:widowControl w:val="0"/>
                    <w:tabs>
                      <w:tab w:val="left" w:pos="2395"/>
                    </w:tabs>
                    <w:spacing w:line="240" w:lineRule="auto"/>
                    <w:ind w:right="0"/>
                    <w:jc w:val="center"/>
                    <w:rPr>
                      <w:rFonts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有电镀工艺的；年用溶剂型涂料（含稀释剂）10吨及以上的</w:t>
                  </w:r>
                </w:p>
              </w:tc>
              <w:tc>
                <w:tcPr>
                  <w:tcW w:w="1999" w:type="dxa"/>
                  <w:noWrap w:val="0"/>
                  <w:vAlign w:val="center"/>
                </w:tcPr>
                <w:p w14:paraId="78E4A285">
                  <w:pPr>
                    <w:keepNext w:val="0"/>
                    <w:keepLines w:val="0"/>
                    <w:pageBreakBefore w:val="0"/>
                    <w:widowControl w:val="0"/>
                    <w:tabs>
                      <w:tab w:val="left" w:pos="2395"/>
                    </w:tabs>
                    <w:spacing w:line="240" w:lineRule="auto"/>
                    <w:ind w:right="0"/>
                    <w:jc w:val="center"/>
                    <w:rPr>
                      <w:rFonts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含木片烘干、水煮、染色等工艺的</w:t>
                  </w:r>
                </w:p>
              </w:tc>
              <w:tc>
                <w:tcPr>
                  <w:tcW w:w="939" w:type="dxa"/>
                  <w:noWrap w:val="0"/>
                  <w:vAlign w:val="center"/>
                </w:tcPr>
                <w:p w14:paraId="7B764052">
                  <w:pPr>
                    <w:keepNext w:val="0"/>
                    <w:keepLines w:val="0"/>
                    <w:pageBreakBefore w:val="0"/>
                    <w:widowControl w:val="0"/>
                    <w:tabs>
                      <w:tab w:val="left" w:pos="2395"/>
                    </w:tabs>
                    <w:spacing w:line="240" w:lineRule="auto"/>
                    <w:ind w:right="0"/>
                    <w:jc w:val="center"/>
                    <w:rPr>
                      <w:rFonts w:ascii="Times New Roman" w:hAnsi="Times New Roman" w:eastAsia="宋体" w:cs="Times New Roman"/>
                      <w:b w:val="0"/>
                      <w:bCs w:val="0"/>
                      <w:color w:val="000000"/>
                      <w:sz w:val="21"/>
                      <w:szCs w:val="21"/>
                      <w:highlight w:val="none"/>
                      <w:vertAlign w:val="baseline"/>
                      <w:lang w:val="en-US" w:eastAsia="zh-CN"/>
                    </w:rPr>
                  </w:pPr>
                  <w:r>
                    <w:rPr>
                      <w:rFonts w:hint="eastAsia" w:ascii="Times New Roman" w:hAnsi="Times New Roman" w:eastAsia="宋体" w:cs="Times New Roman"/>
                      <w:b w:val="0"/>
                      <w:bCs w:val="0"/>
                      <w:color w:val="000000"/>
                      <w:sz w:val="21"/>
                      <w:szCs w:val="21"/>
                      <w:highlight w:val="none"/>
                      <w:vertAlign w:val="baseline"/>
                      <w:lang w:val="en-US" w:eastAsia="zh-CN"/>
                    </w:rPr>
                    <w:t>/</w:t>
                  </w:r>
                </w:p>
              </w:tc>
            </w:tr>
          </w:tbl>
          <w:p w14:paraId="3C8A2845">
            <w:pPr>
              <w:keepNext w:val="0"/>
              <w:keepLines w:val="0"/>
              <w:pageBreakBefore w:val="0"/>
              <w:widowControl w:val="0"/>
              <w:tabs>
                <w:tab w:val="left" w:pos="2395"/>
              </w:tabs>
              <w:spacing w:before="313" w:line="360" w:lineRule="auto"/>
              <w:ind w:left="0" w:right="0" w:firstLine="480"/>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为此</w:t>
            </w:r>
            <w:r>
              <w:rPr>
                <w:rFonts w:hint="eastAsia" w:ascii="Arial" w:hAnsi="Arial" w:eastAsia="宋体" w:cs="Arial"/>
                <w:i w:val="0"/>
                <w:iCs w:val="0"/>
                <w:caps w:val="0"/>
                <w:color w:val="333333"/>
                <w:spacing w:val="0"/>
                <w:sz w:val="24"/>
                <w:szCs w:val="24"/>
                <w:shd w:val="clear" w:color="auto" w:fill="FFFFFF"/>
                <w:lang w:val="en-US" w:eastAsia="zh-CN"/>
              </w:rPr>
              <w:t>芒市杰顺木业有限公司</w:t>
            </w:r>
            <w:r>
              <w:rPr>
                <w:rFonts w:hint="eastAsia" w:ascii="Times New Roman" w:hAnsi="Times New Roman" w:eastAsia="宋体" w:cs="Times New Roman"/>
                <w:b w:val="0"/>
                <w:bCs w:val="0"/>
                <w:color w:val="000000"/>
                <w:sz w:val="24"/>
                <w:szCs w:val="24"/>
                <w:highlight w:val="none"/>
                <w:lang w:val="en-US" w:eastAsia="zh-CN"/>
              </w:rPr>
              <w:t>委托云南百源众环环保科技有限公司（以下简称“我公司”）进行本项目环境影响报告表的编制工作（委托书见附件1）。我公司接受委托后，立即开展了详细的现场调查及资料收集工作，在对本项目的环境现状和能造成的环境影响进行仔细分析后，依照环境影响评价技术导则的要求编制了《</w:t>
            </w:r>
            <w:r>
              <w:rPr>
                <w:rFonts w:hint="eastAsia" w:ascii="Times New Roman" w:hAnsi="Times New Roman" w:eastAsia="宋体" w:cs="Times New Roman"/>
                <w:color w:val="000000"/>
                <w:sz w:val="24"/>
                <w:szCs w:val="24"/>
                <w:highlight w:val="none"/>
                <w:lang w:val="en-US" w:eastAsia="zh-CN"/>
              </w:rPr>
              <w:t>芒市杰顺木业有限公司木材厂建设项目</w:t>
            </w:r>
            <w:r>
              <w:rPr>
                <w:rFonts w:hint="eastAsia" w:ascii="Times New Roman" w:hAnsi="Times New Roman" w:eastAsia="宋体" w:cs="Times New Roman"/>
                <w:b w:val="0"/>
                <w:bCs w:val="0"/>
                <w:color w:val="000000"/>
                <w:sz w:val="24"/>
                <w:szCs w:val="24"/>
                <w:highlight w:val="none"/>
                <w:lang w:val="en-US" w:eastAsia="zh-CN"/>
              </w:rPr>
              <w:t>环境影响报告表》，待审批后作为开展项目建设环保设计及主管部门环境管理工作的依据。</w:t>
            </w:r>
          </w:p>
          <w:p w14:paraId="3C654892">
            <w:pPr>
              <w:keepNext w:val="0"/>
              <w:keepLines w:val="0"/>
              <w:pageBreakBefore w:val="0"/>
              <w:widowControl w:val="0"/>
              <w:tabs>
                <w:tab w:val="left" w:pos="2395"/>
              </w:tabs>
              <w:spacing w:line="360" w:lineRule="auto"/>
              <w:ind w:firstLine="482"/>
              <w:rPr>
                <w:rFonts w:ascii="Times New Roman" w:hAnsi="Times New Roman" w:eastAsia="宋体" w:cs="Times New Roman"/>
                <w:b/>
                <w:color w:val="000000"/>
                <w:sz w:val="24"/>
                <w:lang w:val="en-US" w:eastAsia="zh-CN"/>
              </w:rPr>
            </w:pPr>
            <w:r>
              <w:rPr>
                <w:rFonts w:hint="eastAsia" w:ascii="Times New Roman" w:hAnsi="Times New Roman" w:eastAsia="宋体" w:cs="Times New Roman"/>
                <w:b/>
                <w:color w:val="000000"/>
                <w:sz w:val="24"/>
                <w:lang w:val="en-US" w:eastAsia="zh-CN"/>
              </w:rPr>
              <w:t>2、建设内容及规模</w:t>
            </w:r>
          </w:p>
          <w:p w14:paraId="59D08C57">
            <w:pPr>
              <w:keepNext w:val="0"/>
              <w:keepLines w:val="0"/>
              <w:pageBreakBefore w:val="0"/>
              <w:widowControl w:val="0"/>
              <w:tabs>
                <w:tab w:val="left" w:pos="2395"/>
              </w:tabs>
              <w:spacing w:line="360" w:lineRule="auto"/>
              <w:ind w:left="0" w:right="0" w:firstLine="482"/>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lang w:val="en-US" w:eastAsia="zh-CN"/>
              </w:rPr>
              <w:t>1</w:t>
            </w: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rPr>
              <w:t>项目名称：</w:t>
            </w:r>
            <w:r>
              <w:rPr>
                <w:rFonts w:hint="eastAsia" w:ascii="Times New Roman" w:hAnsi="Times New Roman" w:eastAsia="宋体" w:cs="Times New Roman"/>
                <w:color w:val="000000"/>
                <w:sz w:val="24"/>
                <w:szCs w:val="24"/>
                <w:highlight w:val="none"/>
                <w:lang w:val="en-US" w:eastAsia="zh-CN"/>
              </w:rPr>
              <w:t>芒市杰顺木业有限公司木材厂建设项目</w:t>
            </w:r>
          </w:p>
          <w:p w14:paraId="25ACD5A2">
            <w:pPr>
              <w:keepNext w:val="0"/>
              <w:keepLines w:val="0"/>
              <w:pageBreakBefore w:val="0"/>
              <w:widowControl w:val="0"/>
              <w:tabs>
                <w:tab w:val="left" w:pos="2395"/>
              </w:tabs>
              <w:spacing w:line="360" w:lineRule="auto"/>
              <w:ind w:left="0" w:right="0" w:firstLine="482"/>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lang w:val="en-US" w:eastAsia="zh-CN"/>
              </w:rPr>
              <w:t>2</w:t>
            </w: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rPr>
              <w:t>建设单位：</w:t>
            </w:r>
            <w:r>
              <w:rPr>
                <w:rFonts w:hint="eastAsia" w:ascii="Times New Roman" w:hAnsi="Times New Roman" w:eastAsia="宋体" w:cs="Times New Roman"/>
                <w:color w:val="000000"/>
                <w:sz w:val="24"/>
                <w:szCs w:val="24"/>
                <w:highlight w:val="none"/>
                <w:lang w:val="en-US" w:eastAsia="zh-CN"/>
              </w:rPr>
              <w:t>芒市杰顺木业有限公司</w:t>
            </w:r>
          </w:p>
          <w:p w14:paraId="658E515F">
            <w:pPr>
              <w:keepNext w:val="0"/>
              <w:keepLines w:val="0"/>
              <w:pageBreakBefore w:val="0"/>
              <w:widowControl w:val="0"/>
              <w:tabs>
                <w:tab w:val="left" w:pos="2395"/>
              </w:tabs>
              <w:spacing w:line="360" w:lineRule="auto"/>
              <w:ind w:left="0" w:right="0" w:firstLine="482"/>
              <w:rPr>
                <w:rFonts w:ascii="Times New Roman" w:hAnsi="Times New Roman" w:eastAsia="宋体" w:cs="Times New Roman"/>
                <w:color w:val="000000"/>
                <w:sz w:val="24"/>
                <w:szCs w:val="24"/>
                <w:highlight w:val="none"/>
                <w:lang w:eastAsia="zh-CN"/>
              </w:rPr>
            </w:pP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lang w:val="en-US" w:eastAsia="zh-CN"/>
              </w:rPr>
              <w:t>3</w:t>
            </w: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rPr>
              <w:t>建设地点：</w:t>
            </w:r>
            <w:r>
              <w:rPr>
                <w:rFonts w:hint="eastAsia" w:ascii="Times New Roman" w:hAnsi="Times New Roman" w:eastAsia="宋体" w:cs="Times New Roman"/>
                <w:color w:val="000000"/>
                <w:sz w:val="24"/>
                <w:szCs w:val="24"/>
                <w:highlight w:val="none"/>
                <w:lang w:eastAsia="zh-CN"/>
              </w:rPr>
              <w:t>云南省德宏州芒市风平镇帕底村芒市糖厂，</w:t>
            </w:r>
            <w:r>
              <w:rPr>
                <w:rFonts w:hint="eastAsia" w:ascii="Times New Roman" w:hAnsi="Times New Roman" w:eastAsia="宋体" w:cs="Times New Roman"/>
                <w:color w:val="000000"/>
                <w:sz w:val="24"/>
                <w:szCs w:val="24"/>
                <w:highlight w:val="none"/>
                <w:lang w:val="en-US" w:eastAsia="zh-CN"/>
              </w:rPr>
              <w:t>厂区中心位置坐标东经</w:t>
            </w:r>
            <w:r>
              <w:rPr>
                <w:rFonts w:ascii="Times New Roman" w:hAnsi="Times New Roman" w:eastAsia="宋体" w:cs="Times New Roman"/>
                <w:color w:val="000000"/>
                <w:sz w:val="24"/>
                <w:szCs w:val="24"/>
                <w:highlight w:val="none"/>
                <w:lang w:val="en-US" w:eastAsia="zh-CN"/>
              </w:rPr>
              <w:t>98°28′43.861″</w:t>
            </w:r>
            <w:r>
              <w:rPr>
                <w:rFonts w:hint="eastAsia" w:ascii="Times New Roman" w:hAnsi="Times New Roman" w:eastAsia="宋体" w:cs="Times New Roman"/>
                <w:color w:val="000000"/>
                <w:sz w:val="24"/>
                <w:szCs w:val="24"/>
                <w:highlight w:val="none"/>
                <w:lang w:val="en-US" w:eastAsia="zh-CN"/>
              </w:rPr>
              <w:t>，北纬</w:t>
            </w:r>
            <w:r>
              <w:rPr>
                <w:rFonts w:ascii="Times New Roman" w:hAnsi="Times New Roman" w:eastAsia="宋体" w:cs="Times New Roman"/>
                <w:color w:val="000000"/>
                <w:sz w:val="24"/>
                <w:szCs w:val="24"/>
                <w:highlight w:val="none"/>
                <w:lang w:val="en-US" w:eastAsia="zh-CN"/>
              </w:rPr>
              <w:t>24°22′50.303″</w:t>
            </w:r>
            <w:r>
              <w:rPr>
                <w:rFonts w:hint="eastAsia" w:ascii="Times New Roman" w:hAnsi="Times New Roman" w:eastAsia="宋体" w:cs="Times New Roman"/>
                <w:color w:val="000000"/>
                <w:sz w:val="24"/>
                <w:szCs w:val="24"/>
                <w:highlight w:val="none"/>
                <w:lang w:val="en-US" w:eastAsia="zh-CN"/>
              </w:rPr>
              <w:t>。</w:t>
            </w:r>
          </w:p>
          <w:p w14:paraId="1A692EE8">
            <w:pPr>
              <w:keepNext w:val="0"/>
              <w:keepLines w:val="0"/>
              <w:pageBreakBefore w:val="0"/>
              <w:widowControl w:val="0"/>
              <w:tabs>
                <w:tab w:val="left" w:pos="2395"/>
              </w:tabs>
              <w:spacing w:line="360" w:lineRule="auto"/>
              <w:ind w:left="0" w:right="0" w:firstLine="482"/>
              <w:rPr>
                <w:rFonts w:hint="eastAsia" w:ascii="Times New Roman" w:hAnsi="Times New Roman" w:eastAsia="宋体" w:cs="Times New Roman"/>
                <w:color w:val="000000"/>
                <w:sz w:val="24"/>
                <w:szCs w:val="24"/>
                <w:highlight w:val="none"/>
                <w:lang w:val="en-US" w:eastAsia="zh-CN"/>
              </w:rPr>
            </w:pP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lang w:val="en-US" w:eastAsia="zh-CN"/>
              </w:rPr>
              <w:t>4</w:t>
            </w: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rPr>
              <w:t>建设性质：</w:t>
            </w:r>
            <w:r>
              <w:rPr>
                <w:rFonts w:hint="eastAsia" w:ascii="Times New Roman" w:hAnsi="Times New Roman" w:eastAsia="宋体" w:cs="Times New Roman"/>
                <w:color w:val="000000"/>
                <w:sz w:val="24"/>
                <w:szCs w:val="24"/>
                <w:highlight w:val="none"/>
                <w:lang w:val="en-US" w:eastAsia="zh-CN"/>
              </w:rPr>
              <w:t>新建</w:t>
            </w:r>
          </w:p>
          <w:p w14:paraId="285BA07D">
            <w:pPr>
              <w:keepNext w:val="0"/>
              <w:keepLines w:val="0"/>
              <w:pageBreakBefore w:val="0"/>
              <w:widowControl w:val="0"/>
              <w:tabs>
                <w:tab w:val="left" w:pos="2395"/>
              </w:tabs>
              <w:spacing w:line="360" w:lineRule="auto"/>
              <w:ind w:left="0" w:right="0" w:firstLine="482"/>
              <w:rPr>
                <w:rFonts w:ascii="Times New Roman" w:hAnsi="Times New Roman" w:eastAsia="宋体" w:cs="Times New Roman"/>
                <w:color w:val="000000"/>
                <w:sz w:val="24"/>
                <w:szCs w:val="24"/>
                <w:highlight w:val="none"/>
              </w:rPr>
            </w:pP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lang w:val="en-US" w:eastAsia="zh-CN"/>
              </w:rPr>
              <w:t>5</w:t>
            </w:r>
            <w:r>
              <w:rPr>
                <w:rFonts w:ascii="Times New Roman" w:hAnsi="Times New Roman" w:eastAsia="宋体" w:cs="Times New Roman"/>
                <w:b/>
                <w:color w:val="000000"/>
                <w:sz w:val="24"/>
                <w:szCs w:val="24"/>
                <w:highlight w:val="none"/>
                <w:lang w:eastAsia="zh-CN"/>
              </w:rPr>
              <w:t>）</w:t>
            </w:r>
            <w:r>
              <w:rPr>
                <w:rFonts w:ascii="Times New Roman" w:hAnsi="Times New Roman" w:eastAsia="宋体" w:cs="Times New Roman"/>
                <w:b/>
                <w:color w:val="000000"/>
                <w:sz w:val="24"/>
                <w:szCs w:val="24"/>
                <w:highlight w:val="none"/>
              </w:rPr>
              <w:t>投资总额：</w:t>
            </w:r>
            <w:r>
              <w:rPr>
                <w:rFonts w:hint="eastAsia" w:ascii="Times New Roman" w:hAnsi="Times New Roman" w:eastAsia="宋体" w:cs="Times New Roman"/>
                <w:color w:val="000000"/>
                <w:sz w:val="24"/>
                <w:szCs w:val="24"/>
                <w:highlight w:val="none"/>
                <w:lang w:val="en-US" w:eastAsia="zh-CN"/>
              </w:rPr>
              <w:t>30</w:t>
            </w:r>
            <w:r>
              <w:rPr>
                <w:rFonts w:ascii="Times New Roman" w:hAnsi="Times New Roman" w:eastAsia="宋体" w:cs="Times New Roman"/>
                <w:color w:val="000000"/>
                <w:sz w:val="24"/>
                <w:szCs w:val="24"/>
                <w:highlight w:val="none"/>
                <w:lang w:val="en-US" w:eastAsia="zh-CN"/>
              </w:rPr>
              <w:t>0</w:t>
            </w:r>
            <w:r>
              <w:rPr>
                <w:rFonts w:ascii="Times New Roman" w:hAnsi="Times New Roman" w:eastAsia="宋体" w:cs="Times New Roman"/>
                <w:color w:val="000000"/>
                <w:sz w:val="24"/>
                <w:szCs w:val="24"/>
                <w:highlight w:val="none"/>
              </w:rPr>
              <w:t>万元</w:t>
            </w:r>
          </w:p>
          <w:p w14:paraId="59B868FB">
            <w:pPr>
              <w:keepNext w:val="0"/>
              <w:keepLines w:val="0"/>
              <w:pageBreakBefore w:val="0"/>
              <w:widowControl w:val="0"/>
              <w:tabs>
                <w:tab w:val="left" w:pos="2395"/>
              </w:tabs>
              <w:spacing w:line="360" w:lineRule="auto"/>
              <w:ind w:left="0" w:right="0" w:firstLine="482"/>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（6）建设规模：</w:t>
            </w:r>
            <w:r>
              <w:rPr>
                <w:rFonts w:ascii="Times New Roman" w:hAnsi="Times New Roman" w:eastAsia="宋体" w:cs="Times New Roman"/>
                <w:color w:val="000000"/>
                <w:sz w:val="24"/>
                <w:szCs w:val="24"/>
                <w:lang w:val="en-US" w:eastAsia="zh-CN" w:bidi="ar"/>
              </w:rPr>
              <w:t>设置1条杉木</w:t>
            </w:r>
            <w:r>
              <w:rPr>
                <w:rFonts w:hint="eastAsia" w:ascii="Times New Roman" w:hAnsi="Times New Roman" w:eastAsia="宋体" w:cs="Times New Roman"/>
                <w:color w:val="000000"/>
                <w:sz w:val="24"/>
                <w:szCs w:val="24"/>
                <w:lang w:val="en-US" w:eastAsia="zh-CN" w:bidi="ar"/>
              </w:rPr>
              <w:t>单板</w:t>
            </w:r>
            <w:r>
              <w:rPr>
                <w:rFonts w:ascii="Times New Roman" w:hAnsi="Times New Roman" w:eastAsia="宋体" w:cs="Times New Roman"/>
                <w:color w:val="000000"/>
                <w:sz w:val="24"/>
                <w:szCs w:val="24"/>
                <w:lang w:val="en-US" w:eastAsia="zh-CN" w:bidi="ar"/>
              </w:rPr>
              <w:t>生产线</w:t>
            </w:r>
            <w:r>
              <w:rPr>
                <w:rFonts w:hint="eastAsia" w:ascii="Times New Roman" w:hAnsi="Times New Roman" w:eastAsia="宋体" w:cs="Times New Roman"/>
                <w:color w:val="000000"/>
                <w:sz w:val="24"/>
                <w:szCs w:val="24"/>
                <w:lang w:val="en-US" w:eastAsia="zh-CN" w:bidi="ar"/>
              </w:rPr>
              <w:t>，建成后年产单板</w:t>
            </w:r>
            <w:r>
              <w:rPr>
                <w:rFonts w:ascii="Times New Roman" w:hAnsi="Times New Roman" w:eastAsia="宋体" w:cs="Times New Roman"/>
                <w:color w:val="000000"/>
                <w:sz w:val="24"/>
                <w:szCs w:val="24"/>
                <w:lang w:val="en-US" w:eastAsia="zh-CN" w:bidi="ar"/>
              </w:rPr>
              <w:t>5</w:t>
            </w:r>
            <w:r>
              <w:rPr>
                <w:rFonts w:hint="eastAsia" w:ascii="Times New Roman" w:hAnsi="Times New Roman" w:eastAsia="宋体" w:cs="Times New Roman"/>
                <w:color w:val="000000"/>
                <w:sz w:val="24"/>
                <w:szCs w:val="24"/>
                <w:lang w:val="en-US" w:eastAsia="zh-CN" w:bidi="ar"/>
              </w:rPr>
              <w:t>00</w:t>
            </w:r>
            <w:r>
              <w:rPr>
                <w:rFonts w:ascii="Times New Roman" w:hAnsi="Times New Roman" w:eastAsia="宋体" w:cs="Times New Roman"/>
                <w:color w:val="000000"/>
                <w:sz w:val="24"/>
                <w:szCs w:val="24"/>
                <w:lang w:val="en-US" w:eastAsia="zh-CN" w:bidi="ar"/>
              </w:rPr>
              <w:t>0m</w:t>
            </w:r>
            <w:r>
              <w:rPr>
                <w:rFonts w:ascii="Times New Roman" w:hAnsi="Times New Roman" w:eastAsia="宋体" w:cs="Times New Roman"/>
                <w:color w:val="000000"/>
                <w:sz w:val="24"/>
                <w:szCs w:val="24"/>
                <w:vertAlign w:val="superscript"/>
                <w:lang w:val="en-US" w:eastAsia="zh-CN" w:bidi="ar"/>
              </w:rPr>
              <w:t>3</w:t>
            </w:r>
            <w:r>
              <w:rPr>
                <w:rFonts w:ascii="Times New Roman" w:hAnsi="Times New Roman" w:eastAsia="宋体" w:cs="Times New Roman"/>
                <w:color w:val="000000"/>
                <w:sz w:val="24"/>
                <w:szCs w:val="24"/>
                <w:lang w:val="en-US" w:eastAsia="zh-CN" w:bidi="ar"/>
              </w:rPr>
              <w:t>。</w:t>
            </w:r>
          </w:p>
          <w:p w14:paraId="6B20842F">
            <w:pPr>
              <w:keepNext w:val="0"/>
              <w:keepLines w:val="0"/>
              <w:pageBreakBefore w:val="0"/>
              <w:widowControl w:val="0"/>
              <w:tabs>
                <w:tab w:val="left" w:pos="2395"/>
              </w:tabs>
              <w:spacing w:line="360" w:lineRule="auto"/>
              <w:ind w:left="0" w:right="0" w:firstLine="482"/>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3</w:t>
            </w:r>
            <w:r>
              <w:rPr>
                <w:rFonts w:ascii="Times New Roman" w:hAnsi="Times New Roman" w:eastAsia="宋体" w:cs="Times New Roman"/>
                <w:b/>
                <w:bCs/>
                <w:color w:val="000000"/>
                <w:sz w:val="24"/>
                <w:szCs w:val="24"/>
                <w:highlight w:val="none"/>
                <w:lang w:val="en-US" w:eastAsia="zh-CN"/>
              </w:rPr>
              <w:t>、项目建设内容</w:t>
            </w:r>
          </w:p>
          <w:p w14:paraId="5D7F9237">
            <w:pPr>
              <w:pStyle w:val="189"/>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lang w:val="en-US" w:eastAsia="zh-CN" w:bidi="ar"/>
              </w:rPr>
              <w:t>总占地面积17333.</w:t>
            </w:r>
            <w:r>
              <w:rPr>
                <w:rFonts w:hint="eastAsia" w:ascii="Times New Roman" w:hAnsi="Times New Roman" w:eastAsia="宋体" w:cs="Times New Roman"/>
                <w:color w:val="000000"/>
                <w:sz w:val="24"/>
                <w:szCs w:val="24"/>
                <w:lang w:val="en-US" w:eastAsia="zh-CN" w:bidi="ar"/>
              </w:rPr>
              <w:t>33</w:t>
            </w:r>
            <w:r>
              <w:rPr>
                <w:rFonts w:ascii="Times New Roman" w:hAnsi="Times New Roman" w:eastAsia="宋体" w:cs="Times New Roman"/>
                <w:color w:val="000000"/>
                <w:sz w:val="24"/>
                <w:szCs w:val="24"/>
                <w:lang w:val="en-US" w:eastAsia="zh-CN" w:bidi="ar"/>
              </w:rPr>
              <w:t>m</w:t>
            </w:r>
            <w:r>
              <w:rPr>
                <w:rFonts w:ascii="Times New Roman" w:hAnsi="Times New Roman" w:eastAsia="宋体" w:cs="Times New Roman"/>
                <w:color w:val="000000"/>
                <w:sz w:val="24"/>
                <w:szCs w:val="24"/>
                <w:vertAlign w:val="superscript"/>
                <w:lang w:val="en-US" w:eastAsia="zh-CN" w:bidi="ar"/>
              </w:rPr>
              <w:t>2</w:t>
            </w:r>
            <w:r>
              <w:rPr>
                <w:rFonts w:ascii="Times New Roman" w:hAnsi="Times New Roman" w:eastAsia="宋体" w:cs="Times New Roman"/>
                <w:color w:val="000000"/>
                <w:sz w:val="24"/>
                <w:szCs w:val="24"/>
                <w:lang w:val="en-US" w:eastAsia="zh-CN" w:bidi="ar"/>
              </w:rPr>
              <w:t>，总建筑面积</w:t>
            </w:r>
            <w:r>
              <w:rPr>
                <w:rFonts w:hint="eastAsia" w:ascii="Times New Roman" w:hAnsi="Times New Roman" w:eastAsia="宋体" w:cs="Times New Roman"/>
                <w:color w:val="000000"/>
                <w:sz w:val="24"/>
                <w:szCs w:val="24"/>
                <w:lang w:val="en-US" w:eastAsia="zh-CN" w:bidi="ar"/>
              </w:rPr>
              <w:t>52</w:t>
            </w:r>
            <w:r>
              <w:rPr>
                <w:rFonts w:ascii="Times New Roman" w:hAnsi="Times New Roman" w:eastAsia="宋体" w:cs="Times New Roman"/>
                <w:color w:val="000000"/>
                <w:sz w:val="24"/>
                <w:szCs w:val="24"/>
                <w:lang w:val="en-US" w:eastAsia="zh-CN" w:bidi="ar"/>
              </w:rPr>
              <w:t>00m</w:t>
            </w:r>
            <w:r>
              <w:rPr>
                <w:rFonts w:ascii="Times New Roman" w:hAnsi="Times New Roman" w:eastAsia="宋体" w:cs="Times New Roman"/>
                <w:color w:val="000000"/>
                <w:sz w:val="24"/>
                <w:szCs w:val="24"/>
                <w:vertAlign w:val="superscript"/>
                <w:lang w:val="en-US" w:eastAsia="zh-CN" w:bidi="ar"/>
              </w:rPr>
              <w:t>2</w:t>
            </w:r>
            <w:r>
              <w:rPr>
                <w:rFonts w:ascii="Times New Roman" w:hAnsi="Times New Roman" w:eastAsia="宋体" w:cs="Times New Roman"/>
                <w:color w:val="000000"/>
                <w:sz w:val="24"/>
                <w:szCs w:val="24"/>
                <w:lang w:val="en-US" w:eastAsia="zh-CN" w:bidi="ar"/>
              </w:rPr>
              <w:t>，主要建设</w:t>
            </w:r>
            <w:r>
              <w:rPr>
                <w:rFonts w:hint="eastAsia" w:ascii="Times New Roman" w:hAnsi="Times New Roman" w:eastAsia="宋体" w:cs="Times New Roman"/>
                <w:i w:val="0"/>
                <w:iCs w:val="0"/>
                <w:caps w:val="0"/>
                <w:color w:val="333333"/>
                <w:spacing w:val="0"/>
                <w:sz w:val="24"/>
                <w:szCs w:val="24"/>
                <w:shd w:val="clear" w:color="auto" w:fill="FFFFFF"/>
                <w:lang w:val="en-US" w:eastAsia="zh-CN"/>
              </w:rPr>
              <w:t>原料预处理车间、</w:t>
            </w:r>
            <w:r>
              <w:rPr>
                <w:rFonts w:ascii="Times New Roman" w:hAnsi="Times New Roman" w:eastAsia="宋体" w:cs="Times New Roman"/>
                <w:i w:val="0"/>
                <w:iCs w:val="0"/>
                <w:caps w:val="0"/>
                <w:color w:val="333333"/>
                <w:spacing w:val="0"/>
                <w:sz w:val="24"/>
                <w:szCs w:val="24"/>
                <w:shd w:val="clear" w:color="auto" w:fill="FFFFFF"/>
                <w:lang w:val="en-US" w:eastAsia="zh-CN"/>
              </w:rPr>
              <w:t>生产车间、办公休息区、</w:t>
            </w:r>
            <w:r>
              <w:rPr>
                <w:rFonts w:hint="eastAsia" w:ascii="Times New Roman" w:hAnsi="Times New Roman" w:eastAsia="宋体" w:cs="Times New Roman"/>
                <w:i w:val="0"/>
                <w:iCs w:val="0"/>
                <w:caps w:val="0"/>
                <w:color w:val="333333"/>
                <w:spacing w:val="0"/>
                <w:sz w:val="24"/>
                <w:szCs w:val="24"/>
                <w:shd w:val="clear" w:color="auto" w:fill="FFFFFF"/>
                <w:lang w:val="en-US" w:eastAsia="zh-CN"/>
              </w:rPr>
              <w:t>成品仓库、</w:t>
            </w:r>
            <w:r>
              <w:rPr>
                <w:rFonts w:ascii="Times New Roman" w:hAnsi="Times New Roman" w:eastAsia="宋体" w:cs="Times New Roman"/>
                <w:i w:val="0"/>
                <w:iCs w:val="0"/>
                <w:caps w:val="0"/>
                <w:color w:val="333333"/>
                <w:spacing w:val="0"/>
                <w:sz w:val="24"/>
                <w:szCs w:val="24"/>
                <w:shd w:val="clear" w:color="auto" w:fill="FFFFFF"/>
                <w:lang w:val="en-US" w:eastAsia="zh-CN"/>
              </w:rPr>
              <w:t>露天停车场、原料堆场、配套辅助设施及相应环保设施等</w:t>
            </w:r>
            <w:r>
              <w:rPr>
                <w:rFonts w:ascii="Times New Roman" w:hAnsi="Times New Roman" w:eastAsia="宋体" w:cs="Times New Roman"/>
                <w:color w:val="000000"/>
                <w:sz w:val="24"/>
                <w:szCs w:val="24"/>
                <w:lang w:val="en-US" w:eastAsia="zh-CN" w:bidi="ar"/>
              </w:rPr>
              <w:t>。项目工程组成及主要建筑指标如下所示</w:t>
            </w:r>
            <w:r>
              <w:rPr>
                <w:rFonts w:ascii="Times New Roman" w:hAnsi="Times New Roman" w:eastAsia="宋体" w:cs="Times New Roman"/>
                <w:color w:val="000000"/>
                <w:sz w:val="24"/>
                <w:szCs w:val="24"/>
                <w:highlight w:val="none"/>
                <w:lang w:val="en-US" w:eastAsia="zh-CN"/>
              </w:rPr>
              <w:t>。</w:t>
            </w:r>
          </w:p>
          <w:p w14:paraId="63BADCC0">
            <w:pPr>
              <w:pStyle w:val="245"/>
              <w:spacing w:before="0" w:after="0" w:line="240" w:lineRule="auto"/>
              <w:ind w:left="105" w:right="105"/>
              <w:jc w:val="center"/>
              <w:rPr>
                <w:rFonts w:ascii="Times New Roman" w:hAnsi="Times New Roman" w:eastAsia="宋体" w:cs="Times New Roman"/>
                <w:b/>
                <w:bCs/>
                <w:color w:val="000000"/>
                <w:sz w:val="24"/>
                <w:highlight w:val="none"/>
              </w:rPr>
            </w:pPr>
            <w:r>
              <w:rPr>
                <w:rFonts w:ascii="Times New Roman" w:hAnsi="Times New Roman" w:eastAsia="宋体" w:cs="Times New Roman"/>
                <w:b/>
                <w:color w:val="000000"/>
                <w:sz w:val="24"/>
                <w:szCs w:val="24"/>
                <w:highlight w:val="none"/>
              </w:rPr>
              <w:t>表</w:t>
            </w:r>
            <w:r>
              <w:rPr>
                <w:rFonts w:ascii="Times New Roman" w:hAnsi="Times New Roman" w:eastAsia="宋体" w:cs="Times New Roman"/>
                <w:b/>
                <w:color w:val="000000"/>
                <w:sz w:val="24"/>
                <w:szCs w:val="24"/>
                <w:highlight w:val="none"/>
                <w:lang w:val="en-US" w:eastAsia="zh-CN"/>
              </w:rPr>
              <w:t>2</w:t>
            </w:r>
            <w:r>
              <w:rPr>
                <w:rFonts w:ascii="Times New Roman" w:hAnsi="Times New Roman" w:eastAsia="宋体" w:cs="Times New Roman"/>
                <w:b/>
                <w:color w:val="000000"/>
                <w:sz w:val="24"/>
                <w:szCs w:val="24"/>
                <w:highlight w:val="none"/>
              </w:rPr>
              <w:t>-</w:t>
            </w:r>
            <w:r>
              <w:rPr>
                <w:rFonts w:hint="eastAsia" w:ascii="Times New Roman" w:hAnsi="Times New Roman" w:eastAsia="宋体" w:cs="Times New Roman"/>
                <w:b/>
                <w:color w:val="000000"/>
                <w:sz w:val="24"/>
                <w:szCs w:val="24"/>
                <w:highlight w:val="none"/>
                <w:lang w:val="en-US" w:eastAsia="zh-CN"/>
              </w:rPr>
              <w:t>2</w:t>
            </w:r>
            <w:r>
              <w:rPr>
                <w:rFonts w:ascii="Times New Roman" w:hAnsi="Times New Roman" w:eastAsia="宋体" w:cs="Times New Roman"/>
                <w:b/>
                <w:color w:val="000000"/>
                <w:sz w:val="24"/>
                <w:szCs w:val="24"/>
                <w:highlight w:val="none"/>
              </w:rPr>
              <w:t xml:space="preserve">  项目</w:t>
            </w:r>
            <w:r>
              <w:rPr>
                <w:rFonts w:ascii="Times New Roman" w:hAnsi="Times New Roman" w:eastAsia="宋体" w:cs="Times New Roman"/>
                <w:b/>
                <w:color w:val="000000"/>
                <w:sz w:val="24"/>
                <w:szCs w:val="24"/>
                <w:highlight w:val="none"/>
                <w:lang w:val="en-US" w:eastAsia="zh-CN"/>
              </w:rPr>
              <w:t>工程组成</w:t>
            </w:r>
            <w:r>
              <w:rPr>
                <w:rFonts w:ascii="Times New Roman" w:hAnsi="Times New Roman" w:eastAsia="宋体" w:cs="Times New Roman"/>
                <w:b/>
                <w:bCs/>
                <w:color w:val="000000"/>
                <w:sz w:val="24"/>
                <w:highlight w:val="none"/>
              </w:rPr>
              <w:t>一览表</w:t>
            </w:r>
          </w:p>
          <w:tbl>
            <w:tblPr>
              <w:tblStyle w:val="217"/>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tblGrid>
            <w:tr w14:paraId="2F3D2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noWrap w:val="0"/>
                  <w:vAlign w:val="center"/>
                </w:tcPr>
                <w:p w14:paraId="02FFFF34">
                  <w:pPr>
                    <w:jc w:val="center"/>
                    <w:rPr>
                      <w:rFonts w:hint="eastAsia" w:eastAsia="宋体"/>
                      <w:b/>
                      <w:bCs/>
                      <w:vertAlign w:val="baseline"/>
                      <w:lang w:val="en-US" w:eastAsia="zh-CN"/>
                    </w:rPr>
                  </w:pPr>
                  <w:r>
                    <w:rPr>
                      <w:rFonts w:hint="eastAsia"/>
                      <w:b/>
                      <w:bCs/>
                      <w:vertAlign w:val="baseline"/>
                      <w:lang w:val="en-US" w:eastAsia="zh-CN"/>
                    </w:rPr>
                    <w:t>工程</w:t>
                  </w:r>
                </w:p>
              </w:tc>
              <w:tc>
                <w:tcPr>
                  <w:tcW w:w="1759" w:type="dxa"/>
                  <w:noWrap w:val="0"/>
                  <w:vAlign w:val="center"/>
                </w:tcPr>
                <w:p w14:paraId="5063C67D">
                  <w:pPr>
                    <w:jc w:val="center"/>
                    <w:rPr>
                      <w:rFonts w:hint="eastAsia" w:eastAsia="宋体"/>
                      <w:b/>
                      <w:bCs/>
                      <w:vertAlign w:val="baseline"/>
                      <w:lang w:val="en-US" w:eastAsia="zh-CN"/>
                    </w:rPr>
                  </w:pPr>
                  <w:r>
                    <w:rPr>
                      <w:rFonts w:hint="eastAsia"/>
                      <w:b/>
                      <w:bCs/>
                      <w:vertAlign w:val="baseline"/>
                      <w:lang w:val="en-US" w:eastAsia="zh-CN"/>
                    </w:rPr>
                    <w:t>工程名称</w:t>
                  </w:r>
                </w:p>
              </w:tc>
              <w:tc>
                <w:tcPr>
                  <w:tcW w:w="6440" w:type="dxa"/>
                  <w:noWrap w:val="0"/>
                  <w:vAlign w:val="center"/>
                </w:tcPr>
                <w:p w14:paraId="1C97A8D3">
                  <w:pPr>
                    <w:jc w:val="center"/>
                    <w:rPr>
                      <w:rFonts w:eastAsia="宋体"/>
                      <w:b/>
                      <w:bCs/>
                      <w:vertAlign w:val="baseline"/>
                      <w:lang w:val="en-US" w:eastAsia="zh-CN"/>
                    </w:rPr>
                  </w:pPr>
                  <w:r>
                    <w:rPr>
                      <w:rFonts w:hint="eastAsia"/>
                      <w:b/>
                      <w:bCs/>
                      <w:vertAlign w:val="baseline"/>
                      <w:lang w:val="en-US" w:eastAsia="zh-CN"/>
                    </w:rPr>
                    <w:t>建设内容及名称</w:t>
                  </w:r>
                </w:p>
              </w:tc>
            </w:tr>
            <w:tr w14:paraId="794F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restart"/>
                  <w:noWrap w:val="0"/>
                  <w:vAlign w:val="center"/>
                </w:tcPr>
                <w:p w14:paraId="720B712D">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主体工程</w:t>
                  </w:r>
                </w:p>
              </w:tc>
              <w:tc>
                <w:tcPr>
                  <w:tcW w:w="1759" w:type="dxa"/>
                  <w:noWrap w:val="0"/>
                  <w:vAlign w:val="center"/>
                </w:tcPr>
                <w:p w14:paraId="0C22D44E">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原料预处理车间</w:t>
                  </w:r>
                </w:p>
              </w:tc>
              <w:tc>
                <w:tcPr>
                  <w:tcW w:w="6440" w:type="dxa"/>
                  <w:noWrap w:val="0"/>
                  <w:vAlign w:val="center"/>
                </w:tcPr>
                <w:p w14:paraId="1EC12A1B">
                  <w:pPr>
                    <w:keepNext w:val="0"/>
                    <w:keepLines w:val="0"/>
                    <w:pageBreakBefore w:val="0"/>
                    <w:widowControl w:val="0"/>
                    <w:ind w:firstLine="420"/>
                    <w:jc w:val="left"/>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位于项目区北侧，占地面积980m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，建筑面积980m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，为1层钢架棚结构标准厂房，产房内地面全部硬化。</w:t>
                  </w:r>
                </w:p>
              </w:tc>
            </w:tr>
            <w:tr w14:paraId="4730F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trPr>
              <w:tc>
                <w:tcPr>
                  <w:tcW w:w="670" w:type="dxa"/>
                  <w:vMerge w:val="continue"/>
                  <w:noWrap w:val="0"/>
                  <w:vAlign w:val="center"/>
                </w:tcPr>
                <w:p w14:paraId="7F981CD8">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709" w:type="dxa"/>
                  <w:vMerge w:val="restart"/>
                  <w:noWrap w:val="0"/>
                  <w:vAlign w:val="center"/>
                </w:tcPr>
                <w:p w14:paraId="5104DBF0">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其中</w:t>
                  </w:r>
                </w:p>
              </w:tc>
              <w:tc>
                <w:tcPr>
                  <w:tcW w:w="1050" w:type="dxa"/>
                  <w:noWrap w:val="0"/>
                  <w:vAlign w:val="center"/>
                </w:tcPr>
                <w:p w14:paraId="0271DD17">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原料分选区</w:t>
                  </w:r>
                </w:p>
              </w:tc>
              <w:tc>
                <w:tcPr>
                  <w:tcW w:w="6440" w:type="dxa"/>
                  <w:noWrap w:val="0"/>
                  <w:vAlign w:val="center"/>
                </w:tcPr>
                <w:p w14:paraId="09B68AC9">
                  <w:pPr>
                    <w:keepNext w:val="0"/>
                    <w:keepLines w:val="0"/>
                    <w:pageBreakBefore w:val="0"/>
                    <w:widowControl w:val="0"/>
                    <w:ind w:firstLine="420"/>
                    <w:jc w:val="left"/>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占地面积约为400m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，位于车间西南侧，主要用于对原料进行分选。</w:t>
                  </w:r>
                </w:p>
              </w:tc>
            </w:tr>
            <w:tr w14:paraId="6907D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0" w:type="dxa"/>
                  <w:vMerge w:val="continue"/>
                  <w:noWrap w:val="0"/>
                  <w:vAlign w:val="center"/>
                </w:tcPr>
                <w:p w14:paraId="348F37DB">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709" w:type="dxa"/>
                  <w:vMerge w:val="continue"/>
                  <w:noWrap w:val="0"/>
                  <w:vAlign w:val="center"/>
                </w:tcPr>
                <w:p w14:paraId="601E4E07">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050" w:type="dxa"/>
                  <w:noWrap w:val="0"/>
                  <w:vAlign w:val="center"/>
                </w:tcPr>
                <w:p w14:paraId="7D40C2D2">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破片区</w:t>
                  </w:r>
                </w:p>
              </w:tc>
              <w:tc>
                <w:tcPr>
                  <w:tcW w:w="6440" w:type="dxa"/>
                  <w:noWrap w:val="0"/>
                  <w:vAlign w:val="center"/>
                </w:tcPr>
                <w:p w14:paraId="697106FF">
                  <w:pPr>
                    <w:keepNext w:val="0"/>
                    <w:keepLines w:val="0"/>
                    <w:pageBreakBefore w:val="0"/>
                    <w:widowControl w:val="0"/>
                    <w:ind w:firstLine="420"/>
                    <w:jc w:val="left"/>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占地面积约为300m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vertAlign w:val="baseline"/>
                      <w:lang w:val="en-US" w:eastAsia="zh-CN"/>
                    </w:rPr>
                    <w:t>，</w:t>
                  </w:r>
                  <w:r>
                    <w:rPr>
                      <w:rFonts w:hint="eastAsia" w:ascii="Times New Roman" w:hAnsi="Times New Roman" w:eastAsia="宋体" w:cs="Times New Roman"/>
                      <w:b w:val="0"/>
                      <w:bCs w:val="0"/>
                      <w:color w:val="000000"/>
                      <w:szCs w:val="21"/>
                      <w:highlight w:val="none"/>
                      <w:lang w:val="en-US" w:eastAsia="zh-CN"/>
                    </w:rPr>
                    <w:t>位于车间中部，原料分选区旁边，主要用于对原木进行破片处理。</w:t>
                  </w:r>
                </w:p>
              </w:tc>
            </w:tr>
            <w:tr w14:paraId="71F96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0" w:type="dxa"/>
                  <w:vMerge w:val="continue"/>
                  <w:noWrap w:val="0"/>
                  <w:vAlign w:val="center"/>
                </w:tcPr>
                <w:p w14:paraId="2AD94C50">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709" w:type="dxa"/>
                  <w:vMerge w:val="continue"/>
                  <w:noWrap w:val="0"/>
                  <w:vAlign w:val="center"/>
                </w:tcPr>
                <w:p w14:paraId="758822BD">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050" w:type="dxa"/>
                  <w:noWrap w:val="0"/>
                  <w:vAlign w:val="center"/>
                </w:tcPr>
                <w:p w14:paraId="57CEA4D2">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清边区</w:t>
                  </w:r>
                </w:p>
              </w:tc>
              <w:tc>
                <w:tcPr>
                  <w:tcW w:w="6440" w:type="dxa"/>
                  <w:noWrap w:val="0"/>
                  <w:vAlign w:val="center"/>
                </w:tcPr>
                <w:p w14:paraId="3E8D44F9">
                  <w:pPr>
                    <w:keepNext w:val="0"/>
                    <w:keepLines w:val="0"/>
                    <w:pageBreakBefore w:val="0"/>
                    <w:widowControl w:val="0"/>
                    <w:ind w:firstLine="420"/>
                    <w:jc w:val="left"/>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占地面积约为280m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，位于车间东北侧，主要布置清边机等，对破片后的木片进行清边处理。</w:t>
                  </w:r>
                </w:p>
              </w:tc>
            </w:tr>
            <w:tr w14:paraId="33664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continue"/>
                  <w:noWrap w:val="0"/>
                  <w:vAlign w:val="center"/>
                </w:tcPr>
                <w:p w14:paraId="17632476">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759" w:type="dxa"/>
                  <w:noWrap w:val="0"/>
                  <w:vAlign w:val="center"/>
                </w:tcPr>
                <w:p w14:paraId="49ECE41D">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生产车间</w:t>
                  </w:r>
                </w:p>
              </w:tc>
              <w:tc>
                <w:tcPr>
                  <w:tcW w:w="6440" w:type="dxa"/>
                  <w:noWrap w:val="0"/>
                  <w:vAlign w:val="center"/>
                </w:tcPr>
                <w:p w14:paraId="014170F0">
                  <w:pPr>
                    <w:keepNext w:val="0"/>
                    <w:keepLines w:val="0"/>
                    <w:pageBreakBefore w:val="0"/>
                    <w:widowControl w:val="0"/>
                    <w:ind w:firstLine="420"/>
                    <w:jc w:val="left"/>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位于项目区东侧，占地面积3000m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，建筑面积3000m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，为1层钢架棚结构标准厂房，车间内地面全部硬化。</w:t>
                  </w:r>
                </w:p>
              </w:tc>
            </w:tr>
            <w:tr w14:paraId="02D7F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trPr>
              <w:tc>
                <w:tcPr>
                  <w:tcW w:w="670" w:type="dxa"/>
                  <w:vMerge w:val="continue"/>
                  <w:noWrap w:val="0"/>
                  <w:vAlign w:val="center"/>
                </w:tcPr>
                <w:p w14:paraId="5AEE3834">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709" w:type="dxa"/>
                  <w:vMerge w:val="restart"/>
                  <w:noWrap w:val="0"/>
                  <w:vAlign w:val="center"/>
                </w:tcPr>
                <w:p w14:paraId="5A3C4EC7">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其中</w:t>
                  </w:r>
                </w:p>
              </w:tc>
              <w:tc>
                <w:tcPr>
                  <w:tcW w:w="1050" w:type="dxa"/>
                  <w:noWrap w:val="0"/>
                  <w:vAlign w:val="center"/>
                </w:tcPr>
                <w:p w14:paraId="2C194A29">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烘干区</w:t>
                  </w:r>
                </w:p>
              </w:tc>
              <w:tc>
                <w:tcPr>
                  <w:tcW w:w="6440" w:type="dxa"/>
                  <w:noWrap w:val="0"/>
                  <w:vAlign w:val="center"/>
                </w:tcPr>
                <w:p w14:paraId="7C1D17EE">
                  <w:pPr>
                    <w:keepNext w:val="0"/>
                    <w:keepLines w:val="0"/>
                    <w:pageBreakBefore w:val="0"/>
                    <w:widowControl w:val="0"/>
                    <w:ind w:firstLine="420"/>
                    <w:jc w:val="left"/>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占地面积约为1000m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，位于车间北侧，用于木片烘干。</w:t>
                  </w:r>
                </w:p>
              </w:tc>
            </w:tr>
            <w:tr w14:paraId="0AE04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0" w:type="dxa"/>
                  <w:vMerge w:val="continue"/>
                  <w:noWrap w:val="0"/>
                  <w:vAlign w:val="center"/>
                </w:tcPr>
                <w:p w14:paraId="0DBDEE9B">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709" w:type="dxa"/>
                  <w:vMerge w:val="continue"/>
                  <w:noWrap w:val="0"/>
                  <w:vAlign w:val="center"/>
                </w:tcPr>
                <w:p w14:paraId="27694412">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050" w:type="dxa"/>
                  <w:noWrap w:val="0"/>
                  <w:vAlign w:val="center"/>
                </w:tcPr>
                <w:p w14:paraId="76B1311B">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涂胶区</w:t>
                  </w:r>
                </w:p>
              </w:tc>
              <w:tc>
                <w:tcPr>
                  <w:tcW w:w="6440" w:type="dxa"/>
                  <w:noWrap w:val="0"/>
                  <w:vAlign w:val="center"/>
                </w:tcPr>
                <w:p w14:paraId="28D43293">
                  <w:pPr>
                    <w:keepNext w:val="0"/>
                    <w:keepLines w:val="0"/>
                    <w:pageBreakBefore w:val="0"/>
                    <w:widowControl w:val="0"/>
                    <w:ind w:firstLine="420"/>
                    <w:jc w:val="left"/>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占地面积约为800m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，位于车间中部，主要布置涂胶机，对木片原料进行涂胶处理。</w:t>
                  </w:r>
                </w:p>
              </w:tc>
            </w:tr>
            <w:tr w14:paraId="47F3B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0" w:type="dxa"/>
                  <w:vMerge w:val="continue"/>
                  <w:noWrap w:val="0"/>
                  <w:vAlign w:val="center"/>
                </w:tcPr>
                <w:p w14:paraId="23385BF3">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709" w:type="dxa"/>
                  <w:vMerge w:val="continue"/>
                  <w:noWrap w:val="0"/>
                  <w:vAlign w:val="center"/>
                </w:tcPr>
                <w:p w14:paraId="28DD9789">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050" w:type="dxa"/>
                  <w:noWrap w:val="0"/>
                  <w:vAlign w:val="center"/>
                </w:tcPr>
                <w:p w14:paraId="4D913991">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拼板区</w:t>
                  </w:r>
                </w:p>
              </w:tc>
              <w:tc>
                <w:tcPr>
                  <w:tcW w:w="6440" w:type="dxa"/>
                  <w:noWrap w:val="0"/>
                  <w:vAlign w:val="center"/>
                </w:tcPr>
                <w:p w14:paraId="43627709">
                  <w:pPr>
                    <w:keepNext w:val="0"/>
                    <w:keepLines w:val="0"/>
                    <w:pageBreakBefore w:val="0"/>
                    <w:widowControl w:val="0"/>
                    <w:ind w:firstLine="420"/>
                    <w:jc w:val="left"/>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占地面积约为1200m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，位于车间南侧，主要用于涂胶后的木片进行排板，拼接成不同规格的单板。</w:t>
                  </w:r>
                </w:p>
              </w:tc>
            </w:tr>
            <w:tr w14:paraId="0E075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continue"/>
                  <w:noWrap w:val="0"/>
                  <w:vAlign w:val="center"/>
                </w:tcPr>
                <w:p w14:paraId="2309EA82">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759" w:type="dxa"/>
                  <w:noWrap w:val="0"/>
                  <w:vAlign w:val="center"/>
                </w:tcPr>
                <w:p w14:paraId="3964F159">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成品仓库</w:t>
                  </w:r>
                </w:p>
              </w:tc>
              <w:tc>
                <w:tcPr>
                  <w:tcW w:w="6440" w:type="dxa"/>
                  <w:noWrap w:val="0"/>
                  <w:vAlign w:val="center"/>
                </w:tcPr>
                <w:p w14:paraId="71008AEC">
                  <w:pPr>
                    <w:keepNext w:val="0"/>
                    <w:keepLines w:val="0"/>
                    <w:pageBreakBefore w:val="0"/>
                    <w:widowControl w:val="0"/>
                    <w:ind w:firstLine="420"/>
                    <w:jc w:val="left"/>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占地面积900m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，建筑面积900m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，位于厂区南侧中部，为1层钢架棚结构标准厂房，产房内地面全部硬化，主要用于堆放成品单板及质检堆垛。</w:t>
                  </w:r>
                </w:p>
              </w:tc>
            </w:tr>
            <w:tr w14:paraId="07F7C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continue"/>
                  <w:noWrap w:val="0"/>
                  <w:vAlign w:val="center"/>
                </w:tcPr>
                <w:p w14:paraId="01D48451">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759" w:type="dxa"/>
                  <w:noWrap w:val="0"/>
                  <w:vAlign w:val="center"/>
                </w:tcPr>
                <w:p w14:paraId="3E7143AD">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原料堆场</w:t>
                  </w:r>
                </w:p>
              </w:tc>
              <w:tc>
                <w:tcPr>
                  <w:tcW w:w="6440" w:type="dxa"/>
                  <w:noWrap w:val="0"/>
                  <w:vAlign w:val="center"/>
                </w:tcPr>
                <w:p w14:paraId="346167BE">
                  <w:pPr>
                    <w:keepNext w:val="0"/>
                    <w:keepLines w:val="0"/>
                    <w:pageBreakBefore w:val="0"/>
                    <w:widowControl w:val="0"/>
                    <w:ind w:firstLine="420"/>
                    <w:jc w:val="left"/>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占地面积为2000m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，位于项目区西北角，地面采取混凝土硬化，用于木材原料存放。</w:t>
                  </w:r>
                </w:p>
              </w:tc>
            </w:tr>
            <w:tr w14:paraId="27E1C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continue"/>
                  <w:noWrap w:val="0"/>
                  <w:vAlign w:val="center"/>
                </w:tcPr>
                <w:p w14:paraId="7D91A2EA">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759" w:type="dxa"/>
                  <w:noWrap w:val="0"/>
                  <w:vAlign w:val="center"/>
                </w:tcPr>
                <w:p w14:paraId="648BE175">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晾晒场</w:t>
                  </w:r>
                </w:p>
              </w:tc>
              <w:tc>
                <w:tcPr>
                  <w:tcW w:w="6440" w:type="dxa"/>
                  <w:noWrap w:val="0"/>
                  <w:vAlign w:val="center"/>
                </w:tcPr>
                <w:p w14:paraId="52671747">
                  <w:pPr>
                    <w:keepNext w:val="0"/>
                    <w:keepLines w:val="0"/>
                    <w:pageBreakBefore w:val="0"/>
                    <w:widowControl w:val="0"/>
                    <w:ind w:firstLine="420"/>
                    <w:jc w:val="left"/>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占地面积为500m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，位于项目区东北侧，地面采取混凝土硬化，用于水分较大的原料，破片之后进行晾晒。</w:t>
                  </w:r>
                </w:p>
              </w:tc>
            </w:tr>
            <w:tr w14:paraId="3CD5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continue"/>
                  <w:noWrap w:val="0"/>
                  <w:vAlign w:val="center"/>
                </w:tcPr>
                <w:p w14:paraId="38E5C742">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759" w:type="dxa"/>
                  <w:noWrap w:val="0"/>
                  <w:vAlign w:val="center"/>
                </w:tcPr>
                <w:p w14:paraId="73304BA2">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锅炉房</w:t>
                  </w:r>
                </w:p>
              </w:tc>
              <w:tc>
                <w:tcPr>
                  <w:tcW w:w="6440" w:type="dxa"/>
                  <w:noWrap w:val="0"/>
                  <w:vAlign w:val="center"/>
                </w:tcPr>
                <w:p w14:paraId="0C672020">
                  <w:pPr>
                    <w:keepNext w:val="0"/>
                    <w:keepLines w:val="0"/>
                    <w:pageBreakBefore w:val="0"/>
                    <w:widowControl w:val="0"/>
                    <w:ind w:firstLine="420"/>
                    <w:jc w:val="left"/>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占地面积为120m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，建筑面积120m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，位于项目区东北角，为1层钢架棚结构标准厂房，厂房内地面全部硬化，主要布置一台2t/h的生物质锅炉及配套除尘装置，用于烘干木材。</w:t>
                  </w:r>
                </w:p>
              </w:tc>
            </w:tr>
            <w:tr w14:paraId="645CA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restart"/>
                  <w:noWrap w:val="0"/>
                  <w:vAlign w:val="center"/>
                </w:tcPr>
                <w:p w14:paraId="44198AF1">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辅助工程</w:t>
                  </w:r>
                </w:p>
              </w:tc>
              <w:tc>
                <w:tcPr>
                  <w:tcW w:w="1759" w:type="dxa"/>
                  <w:noWrap w:val="0"/>
                  <w:vAlign w:val="center"/>
                </w:tcPr>
                <w:p w14:paraId="4CB40780">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办公及员工休息区</w:t>
                  </w:r>
                </w:p>
              </w:tc>
              <w:tc>
                <w:tcPr>
                  <w:tcW w:w="6440" w:type="dxa"/>
                  <w:noWrap w:val="0"/>
                  <w:vAlign w:val="center"/>
                </w:tcPr>
                <w:p w14:paraId="5E8AE17F">
                  <w:pPr>
                    <w:keepNext w:val="0"/>
                    <w:keepLines w:val="0"/>
                    <w:pageBreakBefore w:val="0"/>
                    <w:tabs>
                      <w:tab w:val="left" w:pos="405"/>
                    </w:tabs>
                    <w:ind w:right="0" w:firstLine="420"/>
                    <w:jc w:val="left"/>
                    <w:outlineLvl w:val="9"/>
                    <w:rPr>
                      <w:rFonts w:hint="eastAsia" w:ascii="Times New Roman" w:hAnsi="Times New Roman" w:eastAsia="宋体" w:cs="Times New Roman"/>
                      <w:b w:val="0"/>
                      <w:bCs w:val="0"/>
                      <w:color w:val="000000"/>
                      <w:szCs w:val="21"/>
                      <w:highlight w:val="none"/>
                      <w:lang w:val="en-US" w:eastAsia="zh-CN"/>
                    </w:rPr>
                  </w:pPr>
                  <w:r>
                    <w:rPr>
                      <w:rFonts w:ascii="Times New Roman" w:hAnsi="Times New Roman" w:eastAsia="宋体" w:cs="Times New Roman"/>
                      <w:b w:val="0"/>
                      <w:bCs w:val="0"/>
                      <w:color w:val="000000"/>
                      <w:szCs w:val="21"/>
                      <w:highlight w:val="none"/>
                    </w:rPr>
                    <w:t>位于项目区</w:t>
                  </w:r>
                  <w:r>
                    <w:rPr>
                      <w:rFonts w:hint="eastAsia" w:ascii="Times New Roman" w:hAnsi="Times New Roman" w:eastAsia="宋体" w:cs="Times New Roman"/>
                      <w:b w:val="0"/>
                      <w:bCs w:val="0"/>
                      <w:color w:val="000000"/>
                      <w:szCs w:val="21"/>
                      <w:highlight w:val="none"/>
                      <w:lang w:val="en-US" w:eastAsia="zh-CN"/>
                    </w:rPr>
                    <w:t>出入口南面</w:t>
                  </w:r>
                  <w:r>
                    <w:rPr>
                      <w:rFonts w:ascii="Times New Roman" w:hAnsi="Times New Roman" w:eastAsia="宋体" w:cs="Times New Roman"/>
                      <w:b w:val="0"/>
                      <w:bCs w:val="0"/>
                      <w:color w:val="000000"/>
                      <w:szCs w:val="21"/>
                      <w:highlight w:val="none"/>
                    </w:rPr>
                    <w:t>，</w:t>
                  </w:r>
                  <w:r>
                    <w:rPr>
                      <w:rFonts w:hint="eastAsia" w:ascii="Times New Roman" w:hAnsi="Times New Roman" w:eastAsia="宋体" w:cs="Times New Roman"/>
                      <w:b w:val="0"/>
                      <w:bCs w:val="0"/>
                      <w:color w:val="000000"/>
                      <w:szCs w:val="21"/>
                      <w:highlight w:val="none"/>
                      <w:lang w:val="en-US" w:eastAsia="zh-CN"/>
                    </w:rPr>
                    <w:t>为</w:t>
                  </w:r>
                  <w:r>
                    <w:rPr>
                      <w:rFonts w:ascii="Times New Roman" w:hAnsi="Times New Roman" w:eastAsia="宋体" w:cs="Times New Roman"/>
                      <w:b w:val="0"/>
                      <w:bCs w:val="0"/>
                      <w:color w:val="000000"/>
                      <w:szCs w:val="21"/>
                      <w:highlight w:val="none"/>
                      <w:lang w:val="en-US" w:eastAsia="zh-CN"/>
                    </w:rPr>
                    <w:t>1层钢架结构，占地</w:t>
                  </w:r>
                  <w:r>
                    <w:rPr>
                      <w:rFonts w:ascii="Times New Roman" w:hAnsi="Times New Roman" w:eastAsia="宋体" w:cs="Times New Roman"/>
                      <w:b w:val="0"/>
                      <w:bCs w:val="0"/>
                      <w:color w:val="000000"/>
                      <w:szCs w:val="21"/>
                      <w:highlight w:val="none"/>
                    </w:rPr>
                    <w:t>面积</w:t>
                  </w:r>
                  <w:r>
                    <w:rPr>
                      <w:rFonts w:ascii="Times New Roman" w:hAnsi="Times New Roman" w:eastAsia="宋体" w:cs="Times New Roman"/>
                      <w:b w:val="0"/>
                      <w:bCs w:val="0"/>
                      <w:color w:val="000000"/>
                      <w:szCs w:val="21"/>
                      <w:highlight w:val="none"/>
                      <w:lang w:val="en-US" w:eastAsia="zh-CN"/>
                    </w:rPr>
                    <w:t>约</w:t>
                  </w:r>
                  <w:r>
                    <w:rPr>
                      <w:rFonts w:ascii="Times New Roman" w:hAnsi="Times New Roman" w:eastAsia="宋体" w:cs="Times New Roman"/>
                      <w:b w:val="0"/>
                      <w:bCs w:val="0"/>
                      <w:color w:val="000000"/>
                      <w:szCs w:val="21"/>
                      <w:highlight w:val="none"/>
                    </w:rPr>
                    <w:t>为</w:t>
                  </w:r>
                  <w:r>
                    <w:rPr>
                      <w:rFonts w:hint="eastAsia" w:ascii="Times New Roman" w:hAnsi="Times New Roman" w:eastAsia="宋体" w:cs="Times New Roman"/>
                      <w:b w:val="0"/>
                      <w:bCs w:val="0"/>
                      <w:color w:val="000000"/>
                      <w:szCs w:val="21"/>
                      <w:highlight w:val="none"/>
                      <w:lang w:val="en-US" w:eastAsia="zh-CN"/>
                    </w:rPr>
                    <w:t>200</w:t>
                  </w:r>
                  <w:r>
                    <w:rPr>
                      <w:rFonts w:ascii="Times New Roman" w:hAnsi="Times New Roman" w:eastAsia="宋体" w:cs="Times New Roman"/>
                      <w:b w:val="0"/>
                      <w:bCs w:val="0"/>
                      <w:color w:val="000000"/>
                      <w:szCs w:val="21"/>
                      <w:highlight w:val="none"/>
                    </w:rPr>
                    <w:t>m</w:t>
                  </w:r>
                  <w:r>
                    <w:rPr>
                      <w:rFonts w:ascii="Times New Roman" w:hAnsi="Times New Roman" w:eastAsia="宋体" w:cs="Times New Roman"/>
                      <w:b w:val="0"/>
                      <w:bCs w:val="0"/>
                      <w:color w:val="000000"/>
                      <w:szCs w:val="21"/>
                      <w:highlight w:val="none"/>
                      <w:vertAlign w:val="superscript"/>
                    </w:rPr>
                    <w:t>2</w:t>
                  </w:r>
                  <w:r>
                    <w:rPr>
                      <w:rFonts w:hint="eastAsia" w:ascii="Times New Roman" w:hAnsi="Times New Roman" w:eastAsia="宋体" w:cs="Times New Roman"/>
                      <w:b w:val="0"/>
                      <w:bCs w:val="0"/>
                      <w:color w:val="000000"/>
                      <w:szCs w:val="21"/>
                      <w:highlight w:val="none"/>
                      <w:lang w:eastAsia="zh-CN"/>
                    </w:rPr>
                    <w:t>，</w:t>
                  </w:r>
                  <w:r>
                    <w:rPr>
                      <w:rFonts w:hint="eastAsia" w:ascii="Times New Roman" w:hAnsi="Times New Roman" w:eastAsia="宋体" w:cs="Times New Roman"/>
                      <w:b w:val="0"/>
                      <w:bCs w:val="0"/>
                      <w:color w:val="000000"/>
                      <w:szCs w:val="21"/>
                      <w:highlight w:val="none"/>
                      <w:lang w:val="en-US" w:eastAsia="zh-CN"/>
                    </w:rPr>
                    <w:t>建筑面积200</w:t>
                  </w:r>
                  <w:r>
                    <w:rPr>
                      <w:rFonts w:ascii="Times New Roman" w:hAnsi="Times New Roman" w:eastAsia="宋体" w:cs="Times New Roman"/>
                      <w:b w:val="0"/>
                      <w:bCs w:val="0"/>
                      <w:color w:val="000000"/>
                      <w:szCs w:val="21"/>
                      <w:highlight w:val="none"/>
                    </w:rPr>
                    <w:t>m</w:t>
                  </w:r>
                  <w:r>
                    <w:rPr>
                      <w:rFonts w:ascii="Times New Roman" w:hAnsi="Times New Roman" w:eastAsia="宋体" w:cs="Times New Roman"/>
                      <w:b w:val="0"/>
                      <w:bCs w:val="0"/>
                      <w:color w:val="000000"/>
                      <w:szCs w:val="21"/>
                      <w:highlight w:val="none"/>
                      <w:vertAlign w:val="superscript"/>
                    </w:rPr>
                    <w:t>2</w:t>
                  </w:r>
                  <w:r>
                    <w:rPr>
                      <w:rFonts w:hint="eastAsia" w:ascii="Times New Roman" w:hAnsi="Times New Roman" w:eastAsia="宋体" w:cs="Times New Roman"/>
                      <w:b w:val="0"/>
                      <w:bCs w:val="0"/>
                      <w:color w:val="000000"/>
                      <w:szCs w:val="21"/>
                      <w:highlight w:val="none"/>
                      <w:lang w:eastAsia="zh-CN"/>
                    </w:rPr>
                    <w:t>，</w:t>
                  </w:r>
                  <w:r>
                    <w:rPr>
                      <w:rFonts w:hint="eastAsia" w:ascii="Times New Roman" w:hAnsi="Times New Roman" w:eastAsia="宋体" w:cs="Times New Roman"/>
                      <w:b w:val="0"/>
                      <w:bCs w:val="0"/>
                      <w:color w:val="000000"/>
                      <w:szCs w:val="21"/>
                      <w:highlight w:val="none"/>
                      <w:lang w:val="en-US" w:eastAsia="zh-CN"/>
                    </w:rPr>
                    <w:t>地面采取混凝土硬化；包括办公室、休息室等。</w:t>
                  </w:r>
                </w:p>
              </w:tc>
            </w:tr>
            <w:tr w14:paraId="60E13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continue"/>
                  <w:noWrap w:val="0"/>
                  <w:vAlign w:val="center"/>
                </w:tcPr>
                <w:p w14:paraId="403C034F">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759" w:type="dxa"/>
                  <w:noWrap w:val="0"/>
                  <w:vAlign w:val="center"/>
                </w:tcPr>
                <w:p w14:paraId="726F1EAC">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过磅处</w:t>
                  </w:r>
                </w:p>
              </w:tc>
              <w:tc>
                <w:tcPr>
                  <w:tcW w:w="6440" w:type="dxa"/>
                  <w:noWrap w:val="0"/>
                  <w:vAlign w:val="center"/>
                </w:tcPr>
                <w:p w14:paraId="68370362">
                  <w:pPr>
                    <w:keepNext w:val="0"/>
                    <w:keepLines w:val="0"/>
                    <w:pageBreakBefore w:val="0"/>
                    <w:tabs>
                      <w:tab w:val="left" w:pos="405"/>
                    </w:tabs>
                    <w:ind w:right="0" w:firstLine="420"/>
                    <w:jc w:val="left"/>
                    <w:outlineLvl w:val="9"/>
                    <w:rPr>
                      <w:rFonts w:hint="eastAsia" w:ascii="Times New Roman" w:hAnsi="Times New Roman" w:eastAsia="宋体" w:cs="Times New Roman"/>
                      <w:b w:val="0"/>
                      <w:bCs w:val="0"/>
                      <w:color w:val="000000"/>
                      <w:szCs w:val="21"/>
                      <w:highlight w:val="none"/>
                      <w:lang w:val="en-US" w:eastAsia="zh-CN"/>
                    </w:rPr>
                  </w:pPr>
                  <w:r>
                    <w:rPr>
                      <w:rFonts w:ascii="Times New Roman" w:hAnsi="Times New Roman" w:eastAsia="宋体" w:cs="Times New Roman"/>
                      <w:b w:val="0"/>
                      <w:bCs w:val="0"/>
                      <w:color w:val="000000"/>
                      <w:szCs w:val="21"/>
                      <w:highlight w:val="none"/>
                    </w:rPr>
                    <w:t>位于</w:t>
                  </w:r>
                  <w:r>
                    <w:rPr>
                      <w:rFonts w:hint="eastAsia" w:ascii="Times New Roman" w:hAnsi="Times New Roman" w:eastAsia="宋体" w:cs="Times New Roman"/>
                      <w:color w:val="000000"/>
                      <w:sz w:val="21"/>
                      <w:szCs w:val="21"/>
                      <w:highlight w:val="none"/>
                      <w:lang w:val="en-US" w:eastAsia="zh-CN"/>
                    </w:rPr>
                    <w:t>办公</w:t>
                  </w:r>
                  <w:r>
                    <w:rPr>
                      <w:rFonts w:hint="eastAsia" w:ascii="Times New Roman" w:hAnsi="Times New Roman" w:eastAsia="宋体" w:cs="Times New Roman"/>
                      <w:b w:val="0"/>
                      <w:bCs w:val="0"/>
                      <w:color w:val="000000"/>
                      <w:szCs w:val="21"/>
                      <w:highlight w:val="none"/>
                      <w:lang w:val="en-US" w:eastAsia="zh-CN"/>
                    </w:rPr>
                    <w:t>东面</w:t>
                  </w:r>
                  <w:r>
                    <w:rPr>
                      <w:rFonts w:ascii="Times New Roman" w:hAnsi="Times New Roman" w:eastAsia="宋体" w:cs="Times New Roman"/>
                      <w:b w:val="0"/>
                      <w:bCs w:val="0"/>
                      <w:color w:val="000000"/>
                      <w:szCs w:val="21"/>
                      <w:highlight w:val="none"/>
                    </w:rPr>
                    <w:t>，</w:t>
                  </w:r>
                  <w:r>
                    <w:rPr>
                      <w:rFonts w:ascii="Times New Roman" w:hAnsi="Times New Roman" w:eastAsia="宋体" w:cs="Times New Roman"/>
                      <w:b w:val="0"/>
                      <w:bCs w:val="0"/>
                      <w:color w:val="000000"/>
                      <w:szCs w:val="21"/>
                      <w:highlight w:val="none"/>
                      <w:lang w:val="en-US" w:eastAsia="zh-CN"/>
                    </w:rPr>
                    <w:t>占地</w:t>
                  </w:r>
                  <w:r>
                    <w:rPr>
                      <w:rFonts w:ascii="Times New Roman" w:hAnsi="Times New Roman" w:eastAsia="宋体" w:cs="Times New Roman"/>
                      <w:b w:val="0"/>
                      <w:bCs w:val="0"/>
                      <w:color w:val="000000"/>
                      <w:szCs w:val="21"/>
                      <w:highlight w:val="none"/>
                    </w:rPr>
                    <w:t>面积</w:t>
                  </w:r>
                  <w:r>
                    <w:rPr>
                      <w:rFonts w:ascii="Times New Roman" w:hAnsi="Times New Roman" w:eastAsia="宋体" w:cs="Times New Roman"/>
                      <w:b w:val="0"/>
                      <w:bCs w:val="0"/>
                      <w:color w:val="000000"/>
                      <w:szCs w:val="21"/>
                      <w:highlight w:val="none"/>
                      <w:lang w:val="en-US" w:eastAsia="zh-CN"/>
                    </w:rPr>
                    <w:t>约</w:t>
                  </w:r>
                  <w:r>
                    <w:rPr>
                      <w:rFonts w:ascii="Times New Roman" w:hAnsi="Times New Roman" w:eastAsia="宋体" w:cs="Times New Roman"/>
                      <w:b w:val="0"/>
                      <w:bCs w:val="0"/>
                      <w:color w:val="000000"/>
                      <w:szCs w:val="21"/>
                      <w:highlight w:val="none"/>
                    </w:rPr>
                    <w:t>为</w:t>
                  </w:r>
                  <w:r>
                    <w:rPr>
                      <w:rFonts w:hint="eastAsia" w:ascii="Times New Roman" w:hAnsi="Times New Roman" w:eastAsia="宋体" w:cs="Times New Roman"/>
                      <w:b w:val="0"/>
                      <w:bCs w:val="0"/>
                      <w:color w:val="000000"/>
                      <w:szCs w:val="21"/>
                      <w:highlight w:val="none"/>
                      <w:lang w:val="en-US" w:eastAsia="zh-CN"/>
                    </w:rPr>
                    <w:t>3</w:t>
                  </w:r>
                  <w:r>
                    <w:rPr>
                      <w:rFonts w:ascii="Times New Roman" w:hAnsi="Times New Roman" w:eastAsia="宋体" w:cs="Times New Roman"/>
                      <w:b w:val="0"/>
                      <w:bCs w:val="0"/>
                      <w:color w:val="000000"/>
                      <w:szCs w:val="21"/>
                      <w:highlight w:val="none"/>
                      <w:lang w:val="en-US" w:eastAsia="zh-CN"/>
                    </w:rPr>
                    <w:t>0</w:t>
                  </w:r>
                  <w:r>
                    <w:rPr>
                      <w:rFonts w:ascii="Times New Roman" w:hAnsi="Times New Roman" w:eastAsia="宋体" w:cs="Times New Roman"/>
                      <w:b w:val="0"/>
                      <w:bCs w:val="0"/>
                      <w:color w:val="000000"/>
                      <w:szCs w:val="21"/>
                      <w:highlight w:val="none"/>
                    </w:rPr>
                    <w:t>m</w:t>
                  </w:r>
                  <w:r>
                    <w:rPr>
                      <w:rFonts w:ascii="Times New Roman" w:hAnsi="Times New Roman" w:eastAsia="宋体" w:cs="Times New Roman"/>
                      <w:b w:val="0"/>
                      <w:bCs w:val="0"/>
                      <w:color w:val="000000"/>
                      <w:szCs w:val="21"/>
                      <w:highlight w:val="none"/>
                      <w:vertAlign w:val="superscript"/>
                    </w:rPr>
                    <w:t>2</w:t>
                  </w:r>
                  <w:r>
                    <w:rPr>
                      <w:rFonts w:ascii="Times New Roman" w:hAnsi="Times New Roman" w:eastAsia="宋体" w:cs="Times New Roman"/>
                      <w:b w:val="0"/>
                      <w:bCs w:val="0"/>
                      <w:color w:val="000000"/>
                      <w:szCs w:val="21"/>
                      <w:highlight w:val="none"/>
                    </w:rPr>
                    <w:t>，</w:t>
                  </w:r>
                  <w:r>
                    <w:rPr>
                      <w:rFonts w:hint="eastAsia" w:ascii="Times New Roman" w:hAnsi="Times New Roman" w:eastAsia="宋体" w:cs="Times New Roman"/>
                      <w:b w:val="0"/>
                      <w:bCs w:val="0"/>
                      <w:color w:val="000000"/>
                      <w:szCs w:val="21"/>
                      <w:highlight w:val="none"/>
                      <w:lang w:val="en-US" w:eastAsia="zh-CN"/>
                    </w:rPr>
                    <w:t>主要用于原料及成品过磅。</w:t>
                  </w:r>
                </w:p>
              </w:tc>
            </w:tr>
            <w:tr w14:paraId="5496B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continue"/>
                  <w:noWrap w:val="0"/>
                  <w:vAlign w:val="center"/>
                </w:tcPr>
                <w:p w14:paraId="4320477F">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759" w:type="dxa"/>
                  <w:noWrap w:val="0"/>
                  <w:vAlign w:val="center"/>
                </w:tcPr>
                <w:p w14:paraId="00215365">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停车场</w:t>
                  </w:r>
                </w:p>
              </w:tc>
              <w:tc>
                <w:tcPr>
                  <w:tcW w:w="6440" w:type="dxa"/>
                  <w:noWrap w:val="0"/>
                  <w:vAlign w:val="center"/>
                </w:tcPr>
                <w:p w14:paraId="652F1CFD">
                  <w:pPr>
                    <w:keepNext w:val="0"/>
                    <w:keepLines w:val="0"/>
                    <w:pageBreakBefore w:val="0"/>
                    <w:tabs>
                      <w:tab w:val="left" w:pos="405"/>
                    </w:tabs>
                    <w:ind w:right="0" w:firstLine="420"/>
                    <w:jc w:val="left"/>
                    <w:outlineLvl w:val="9"/>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位于办公区东南，占地面积500m</w:t>
                  </w:r>
                  <w:r>
                    <w:rPr>
                      <w:rFonts w:hint="eastAsia" w:ascii="Times New Roman" w:hAnsi="Times New Roman" w:eastAsia="宋体" w:cs="Times New Roman"/>
                      <w:b w:val="0"/>
                      <w:bCs w:val="0"/>
                      <w:color w:val="000000"/>
                      <w:szCs w:val="21"/>
                      <w:highlight w:val="none"/>
                      <w:vertAlign w:val="superscript"/>
                      <w:lang w:val="en-US" w:eastAsia="zh-CN"/>
                    </w:rPr>
                    <w:t>2</w:t>
                  </w:r>
                  <w:r>
                    <w:rPr>
                      <w:rFonts w:hint="eastAsia" w:ascii="Times New Roman" w:hAnsi="Times New Roman" w:eastAsia="宋体" w:cs="Times New Roman"/>
                      <w:b w:val="0"/>
                      <w:bCs w:val="0"/>
                      <w:color w:val="000000"/>
                      <w:szCs w:val="21"/>
                      <w:highlight w:val="none"/>
                      <w:lang w:val="en-US" w:eastAsia="zh-CN"/>
                    </w:rPr>
                    <w:t>。</w:t>
                  </w:r>
                </w:p>
              </w:tc>
            </w:tr>
            <w:tr w14:paraId="049AB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restart"/>
                  <w:noWrap w:val="0"/>
                  <w:vAlign w:val="center"/>
                </w:tcPr>
                <w:p w14:paraId="1E381D24">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公用工程</w:t>
                  </w:r>
                </w:p>
              </w:tc>
              <w:tc>
                <w:tcPr>
                  <w:tcW w:w="1759" w:type="dxa"/>
                  <w:noWrap w:val="0"/>
                  <w:vAlign w:val="center"/>
                </w:tcPr>
                <w:p w14:paraId="2DF72859">
                  <w:pPr>
                    <w:pStyle w:val="262"/>
                    <w:keepNext w:val="0"/>
                    <w:keepLines w:val="0"/>
                    <w:pageBreakBefore w:val="0"/>
                    <w:widowControl w:val="0"/>
                    <w:spacing w:line="240" w:lineRule="auto"/>
                    <w:ind w:left="0" w:right="0" w:firstLine="0"/>
                    <w:jc w:val="center"/>
                    <w:rPr>
                      <w:rFonts w:hint="eastAsia" w:ascii="Times New Roman" w:hAnsi="Times New Roman" w:eastAsia="宋体" w:cs="Times New Roman"/>
                      <w:b w:val="0"/>
                      <w:bCs w:val="0"/>
                      <w:color w:val="000000"/>
                      <w:szCs w:val="21"/>
                      <w:highlight w:val="none"/>
                      <w:lang w:val="en-US" w:eastAsia="zh-CN"/>
                    </w:rPr>
                  </w:pPr>
                  <w:r>
                    <w:rPr>
                      <w:rFonts w:ascii="Times New Roman" w:hAnsi="Times New Roman" w:eastAsia="宋体" w:cs="Times New Roman"/>
                      <w:color w:val="000000"/>
                      <w:sz w:val="21"/>
                      <w:szCs w:val="21"/>
                      <w:lang w:val="en-US" w:eastAsia="zh-CN"/>
                    </w:rPr>
                    <w:t>给水</w:t>
                  </w:r>
                </w:p>
              </w:tc>
              <w:tc>
                <w:tcPr>
                  <w:tcW w:w="6440" w:type="dxa"/>
                  <w:noWrap w:val="0"/>
                  <w:vAlign w:val="center"/>
                </w:tcPr>
                <w:p w14:paraId="7FF85131">
                  <w:pPr>
                    <w:pStyle w:val="262"/>
                    <w:keepNext w:val="0"/>
                    <w:keepLines w:val="0"/>
                    <w:pageBreakBefore w:val="0"/>
                    <w:widowControl w:val="0"/>
                    <w:spacing w:line="240" w:lineRule="auto"/>
                    <w:ind w:left="0" w:right="0" w:firstLine="420"/>
                    <w:jc w:val="left"/>
                    <w:rPr>
                      <w:rFonts w:ascii="Times New Roman" w:hAnsi="Times New Roman" w:eastAsia="宋体" w:cs="Times New Roman"/>
                      <w:b w:val="0"/>
                      <w:bCs w:val="0"/>
                      <w:color w:val="000000"/>
                      <w:szCs w:val="21"/>
                      <w:highlight w:val="none"/>
                    </w:rPr>
                  </w:pPr>
                  <w:r>
                    <w:rPr>
                      <w:rFonts w:ascii="Times New Roman" w:hAnsi="Times New Roman" w:eastAsia="宋体" w:cs="Times New Roman"/>
                      <w:color w:val="000000"/>
                      <w:sz w:val="21"/>
                      <w:szCs w:val="21"/>
                      <w:highlight w:val="none"/>
                      <w:lang w:val="en-US" w:eastAsia="zh-CN"/>
                    </w:rPr>
                    <w:t>由</w:t>
                  </w:r>
                  <w:r>
                    <w:rPr>
                      <w:rFonts w:hint="eastAsia" w:ascii="Times New Roman" w:hAnsi="Times New Roman" w:eastAsia="宋体" w:cs="Times New Roman"/>
                      <w:color w:val="000000"/>
                      <w:sz w:val="21"/>
                      <w:szCs w:val="21"/>
                      <w:highlight w:val="none"/>
                      <w:lang w:val="en-US" w:eastAsia="zh-CN"/>
                    </w:rPr>
                    <w:t>市政</w:t>
                  </w:r>
                  <w:r>
                    <w:rPr>
                      <w:rFonts w:ascii="Times New Roman" w:hAnsi="Times New Roman" w:eastAsia="宋体" w:cs="Times New Roman"/>
                      <w:color w:val="000000"/>
                      <w:sz w:val="21"/>
                      <w:szCs w:val="21"/>
                      <w:highlight w:val="none"/>
                      <w:lang w:val="en-US" w:eastAsia="zh-CN"/>
                    </w:rPr>
                    <w:t>自来水管网供给。</w:t>
                  </w:r>
                </w:p>
              </w:tc>
            </w:tr>
            <w:tr w14:paraId="6704C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continue"/>
                  <w:noWrap w:val="0"/>
                  <w:vAlign w:val="center"/>
                </w:tcPr>
                <w:p w14:paraId="5AD86359">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759" w:type="dxa"/>
                  <w:noWrap w:val="0"/>
                  <w:vAlign w:val="center"/>
                </w:tcPr>
                <w:p w14:paraId="79424D55">
                  <w:pPr>
                    <w:pStyle w:val="262"/>
                    <w:keepNext w:val="0"/>
                    <w:keepLines w:val="0"/>
                    <w:pageBreakBefore w:val="0"/>
                    <w:widowControl w:val="0"/>
                    <w:spacing w:line="240" w:lineRule="auto"/>
                    <w:ind w:left="0" w:right="0" w:firstLine="0"/>
                    <w:jc w:val="center"/>
                    <w:rPr>
                      <w:rFonts w:hint="eastAsia" w:ascii="Times New Roman" w:hAnsi="Times New Roman" w:eastAsia="宋体" w:cs="Times New Roman"/>
                      <w:b w:val="0"/>
                      <w:bCs w:val="0"/>
                      <w:color w:val="000000"/>
                      <w:szCs w:val="21"/>
                      <w:highlight w:val="none"/>
                      <w:lang w:val="en-US" w:eastAsia="zh-CN"/>
                    </w:rPr>
                  </w:pPr>
                  <w:r>
                    <w:rPr>
                      <w:rFonts w:ascii="Times New Roman" w:hAnsi="Times New Roman" w:eastAsia="宋体" w:cs="Times New Roman"/>
                      <w:color w:val="000000"/>
                      <w:sz w:val="21"/>
                      <w:szCs w:val="21"/>
                    </w:rPr>
                    <w:t>供电</w:t>
                  </w:r>
                </w:p>
              </w:tc>
              <w:tc>
                <w:tcPr>
                  <w:tcW w:w="6440" w:type="dxa"/>
                  <w:noWrap w:val="0"/>
                  <w:vAlign w:val="center"/>
                </w:tcPr>
                <w:p w14:paraId="6D856E28">
                  <w:pPr>
                    <w:pStyle w:val="262"/>
                    <w:keepNext w:val="0"/>
                    <w:keepLines w:val="0"/>
                    <w:pageBreakBefore w:val="0"/>
                    <w:widowControl w:val="0"/>
                    <w:spacing w:line="240" w:lineRule="auto"/>
                    <w:ind w:left="0" w:right="0" w:firstLine="420"/>
                    <w:jc w:val="left"/>
                    <w:rPr>
                      <w:rFonts w:hint="eastAsia" w:ascii="Times New Roman" w:hAnsi="Times New Roman" w:eastAsia="宋体" w:cs="Times New Roman"/>
                      <w:b w:val="0"/>
                      <w:bCs w:val="0"/>
                      <w:color w:val="000000"/>
                      <w:szCs w:val="21"/>
                      <w:highlight w:val="none"/>
                      <w:lang w:val="en-US" w:eastAsia="zh-CN"/>
                    </w:rPr>
                  </w:pPr>
                  <w:r>
                    <w:rPr>
                      <w:rFonts w:ascii="Times New Roman" w:hAnsi="Times New Roman" w:eastAsia="宋体" w:cs="Times New Roman"/>
                      <w:color w:val="000000"/>
                      <w:sz w:val="21"/>
                      <w:szCs w:val="21"/>
                    </w:rPr>
                    <w:t>由</w:t>
                  </w:r>
                  <w:r>
                    <w:rPr>
                      <w:rFonts w:hint="eastAsia" w:ascii="Times New Roman" w:hAnsi="Times New Roman" w:eastAsia="宋体" w:cs="Times New Roman"/>
                      <w:color w:val="000000"/>
                      <w:sz w:val="21"/>
                      <w:szCs w:val="21"/>
                      <w:highlight w:val="none"/>
                      <w:lang w:val="en-US" w:eastAsia="zh-CN"/>
                    </w:rPr>
                    <w:t>市政</w:t>
                  </w:r>
                  <w:r>
                    <w:rPr>
                      <w:rFonts w:ascii="Times New Roman" w:hAnsi="Times New Roman" w:eastAsia="宋体" w:cs="Times New Roman"/>
                      <w:color w:val="000000"/>
                      <w:sz w:val="21"/>
                      <w:szCs w:val="21"/>
                      <w:lang w:val="en-US" w:eastAsia="zh-CN"/>
                    </w:rPr>
                    <w:t>电网</w:t>
                  </w:r>
                  <w:r>
                    <w:rPr>
                      <w:rFonts w:ascii="Times New Roman" w:hAnsi="Times New Roman" w:eastAsia="宋体" w:cs="Times New Roman"/>
                      <w:color w:val="000000"/>
                      <w:sz w:val="21"/>
                      <w:szCs w:val="21"/>
                    </w:rPr>
                    <w:t>供给</w:t>
                  </w:r>
                  <w:r>
                    <w:rPr>
                      <w:rFonts w:ascii="Times New Roman" w:hAnsi="Times New Roman" w:eastAsia="宋体" w:cs="Times New Roman"/>
                      <w:color w:val="000000"/>
                      <w:sz w:val="21"/>
                      <w:szCs w:val="21"/>
                      <w:lang w:eastAsia="zh-CN"/>
                    </w:rPr>
                    <w:t>。</w:t>
                  </w:r>
                </w:p>
              </w:tc>
            </w:tr>
            <w:tr w14:paraId="13139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continue"/>
                  <w:noWrap w:val="0"/>
                  <w:vAlign w:val="center"/>
                </w:tcPr>
                <w:p w14:paraId="5EA5848C">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759" w:type="dxa"/>
                  <w:noWrap w:val="0"/>
                  <w:vAlign w:val="center"/>
                </w:tcPr>
                <w:p w14:paraId="7D62906F">
                  <w:pPr>
                    <w:pStyle w:val="262"/>
                    <w:keepNext w:val="0"/>
                    <w:keepLines w:val="0"/>
                    <w:pageBreakBefore w:val="0"/>
                    <w:widowControl w:val="0"/>
                    <w:spacing w:line="240" w:lineRule="auto"/>
                    <w:ind w:left="0" w:right="0" w:firstLine="0"/>
                    <w:jc w:val="center"/>
                    <w:rPr>
                      <w:rFonts w:hint="eastAsia" w:ascii="Times New Roman" w:hAnsi="Times New Roman" w:eastAsia="宋体" w:cs="Times New Roman"/>
                      <w:b w:val="0"/>
                      <w:bCs w:val="0"/>
                      <w:color w:val="000000"/>
                      <w:szCs w:val="21"/>
                      <w:highlight w:val="none"/>
                      <w:lang w:val="en-US" w:eastAsia="zh-CN"/>
                    </w:rPr>
                  </w:pPr>
                  <w:r>
                    <w:rPr>
                      <w:rFonts w:ascii="Times New Roman" w:hAnsi="Times New Roman" w:eastAsia="宋体" w:cs="Times New Roman"/>
                      <w:color w:val="000000"/>
                      <w:sz w:val="21"/>
                      <w:szCs w:val="21"/>
                    </w:rPr>
                    <w:t>排水</w:t>
                  </w:r>
                </w:p>
              </w:tc>
              <w:tc>
                <w:tcPr>
                  <w:tcW w:w="6440" w:type="dxa"/>
                  <w:noWrap w:val="0"/>
                  <w:vAlign w:val="center"/>
                </w:tcPr>
                <w:p w14:paraId="35CB528E">
                  <w:pPr>
                    <w:pStyle w:val="262"/>
                    <w:keepNext w:val="0"/>
                    <w:keepLines w:val="0"/>
                    <w:pageBreakBefore w:val="0"/>
                    <w:widowControl w:val="0"/>
                    <w:spacing w:line="240" w:lineRule="auto"/>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项目场地实行雨污分流；</w:t>
                  </w:r>
                </w:p>
                <w:p w14:paraId="78BA7C48">
                  <w:pPr>
                    <w:pStyle w:val="262"/>
                    <w:keepNext w:val="0"/>
                    <w:keepLines w:val="0"/>
                    <w:pageBreakBefore w:val="0"/>
                    <w:widowControl w:val="0"/>
                    <w:spacing w:line="240" w:lineRule="auto"/>
                    <w:ind w:left="0" w:right="0" w:firstLine="420"/>
                    <w:jc w:val="both"/>
                  </w:pPr>
                  <w:r>
                    <w:rPr>
                      <w:rFonts w:hint="eastAsia" w:ascii="Times New Roman" w:hAnsi="Times New Roman" w:eastAsia="宋体" w:cs="Times New Roman"/>
                      <w:b w:val="0"/>
                      <w:bCs w:val="0"/>
                      <w:color w:val="000000"/>
                      <w:sz w:val="21"/>
                      <w:szCs w:val="21"/>
                      <w:highlight w:val="none"/>
                      <w:vertAlign w:val="baseline"/>
                      <w:lang w:val="en-US" w:eastAsia="zh-CN"/>
                    </w:rPr>
                    <w:t>雨水：设置</w:t>
                  </w:r>
                  <w:r>
                    <w:rPr>
                      <w:rFonts w:ascii="Times New Roman" w:hAnsi="Times New Roman" w:eastAsia="宋体" w:cs="Times New Roman"/>
                      <w:color w:val="000000"/>
                      <w:sz w:val="21"/>
                      <w:szCs w:val="21"/>
                      <w:highlight w:val="none"/>
                    </w:rPr>
                    <w:t>排水沟</w:t>
                  </w:r>
                  <w:r>
                    <w:rPr>
                      <w:rFonts w:hint="eastAsia" w:ascii="Times New Roman" w:hAnsi="Times New Roman" w:eastAsia="宋体" w:cs="Times New Roman"/>
                      <w:color w:val="000000"/>
                      <w:sz w:val="21"/>
                      <w:szCs w:val="21"/>
                      <w:highlight w:val="none"/>
                      <w:lang w:val="en-US" w:eastAsia="zh-CN"/>
                    </w:rPr>
                    <w:t>及初期</w:t>
                  </w:r>
                  <w:r>
                    <w:rPr>
                      <w:rFonts w:ascii="Times New Roman" w:hAnsi="Times New Roman" w:eastAsia="宋体" w:cs="Times New Roman"/>
                      <w:color w:val="000000"/>
                      <w:sz w:val="21"/>
                      <w:szCs w:val="21"/>
                      <w:highlight w:val="none"/>
                      <w:lang w:val="en-US" w:eastAsia="zh-CN"/>
                    </w:rPr>
                    <w:t>雨水</w:t>
                  </w:r>
                  <w:r>
                    <w:rPr>
                      <w:rFonts w:hint="eastAsia" w:ascii="Times New Roman" w:hAnsi="Times New Roman" w:eastAsia="宋体" w:cs="Times New Roman"/>
                      <w:color w:val="000000"/>
                      <w:sz w:val="21"/>
                      <w:szCs w:val="21"/>
                      <w:highlight w:val="none"/>
                      <w:lang w:val="en-US" w:eastAsia="zh-CN"/>
                    </w:rPr>
                    <w:t>池（50</w:t>
                  </w:r>
                  <w:r>
                    <w:t>m</w:t>
                  </w:r>
                  <w:r>
                    <w:rPr>
                      <w:rFonts w:hint="eastAsia"/>
                      <w:vertAlign w:val="superscript"/>
                      <w:lang w:val="en-US" w:eastAsia="zh-CN"/>
                    </w:rPr>
                    <w:t>3</w:t>
                  </w:r>
                  <w:r>
                    <w:rPr>
                      <w:rFonts w:hint="eastAsia" w:ascii="Times New Roman" w:hAnsi="Times New Roman" w:eastAsia="宋体" w:cs="Times New Roman"/>
                      <w:color w:val="000000"/>
                      <w:sz w:val="21"/>
                      <w:szCs w:val="21"/>
                      <w:highlight w:val="none"/>
                      <w:lang w:val="en-US" w:eastAsia="zh-CN"/>
                    </w:rPr>
                    <w:t>），初期雨水</w:t>
                  </w:r>
                  <w:r>
                    <w:rPr>
                      <w:rFonts w:ascii="Times New Roman" w:hAnsi="Times New Roman" w:eastAsia="宋体" w:cs="Times New Roman"/>
                      <w:color w:val="000000"/>
                      <w:sz w:val="21"/>
                      <w:szCs w:val="21"/>
                      <w:highlight w:val="none"/>
                      <w:lang w:val="en-US" w:eastAsia="zh-CN"/>
                    </w:rPr>
                    <w:t>经排水沟</w:t>
                  </w:r>
                  <w:r>
                    <w:rPr>
                      <w:rFonts w:hint="eastAsia" w:ascii="Times New Roman" w:hAnsi="Times New Roman" w:eastAsia="宋体" w:cs="Times New Roman"/>
                      <w:color w:val="000000"/>
                      <w:sz w:val="21"/>
                      <w:szCs w:val="21"/>
                      <w:highlight w:val="none"/>
                      <w:lang w:val="en-US" w:eastAsia="zh-CN"/>
                    </w:rPr>
                    <w:t>统一进行收集，然后由初期雨水收集池进行沉淀处理，处理后的初期雨水回用于</w:t>
                  </w:r>
                  <w:r>
                    <w:rPr>
                      <w:rFonts w:hint="eastAsia" w:ascii="Times New Roman" w:hAnsi="Times New Roman" w:eastAsia="宋体" w:cs="Times New Roman"/>
                      <w:b w:val="0"/>
                      <w:bCs w:val="0"/>
                      <w:color w:val="000000"/>
                      <w:sz w:val="21"/>
                      <w:szCs w:val="21"/>
                      <w:highlight w:val="none"/>
                      <w:vertAlign w:val="baseline"/>
                      <w:lang w:val="en-US" w:eastAsia="zh-CN"/>
                    </w:rPr>
                    <w:t>厂区域</w:t>
                  </w:r>
                  <w:r>
                    <w:rPr>
                      <w:rFonts w:ascii="Times New Roman" w:hAnsi="Times New Roman" w:eastAsia="宋体" w:cs="Times New Roman"/>
                      <w:bCs/>
                      <w:color w:val="000000"/>
                      <w:sz w:val="21"/>
                      <w:szCs w:val="21"/>
                      <w:highlight w:val="none"/>
                    </w:rPr>
                    <w:t>洒水降尘</w:t>
                  </w:r>
                  <w:r>
                    <w:rPr>
                      <w:rFonts w:ascii="Times New Roman" w:hAnsi="Times New Roman" w:eastAsia="宋体" w:cs="Times New Roman"/>
                      <w:b w:val="0"/>
                      <w:bCs w:val="0"/>
                      <w:color w:val="000000"/>
                      <w:sz w:val="21"/>
                      <w:szCs w:val="21"/>
                      <w:highlight w:val="none"/>
                    </w:rPr>
                    <w:t>，</w:t>
                  </w:r>
                  <w:r>
                    <w:rPr>
                      <w:rFonts w:hint="eastAsia" w:ascii="Times New Roman" w:hAnsi="Times New Roman" w:eastAsia="宋体" w:cs="Times New Roman"/>
                      <w:b w:val="0"/>
                      <w:bCs w:val="0"/>
                      <w:color w:val="000000"/>
                      <w:sz w:val="21"/>
                      <w:szCs w:val="21"/>
                      <w:highlight w:val="none"/>
                      <w:lang w:val="en-US" w:eastAsia="zh-CN"/>
                    </w:rPr>
                    <w:t>雨水则</w:t>
                  </w:r>
                  <w:r>
                    <w:rPr>
                      <w:rFonts w:ascii="Times New Roman" w:hAnsi="Times New Roman" w:eastAsia="宋体" w:cs="Times New Roman"/>
                      <w:b w:val="0"/>
                      <w:bCs w:val="0"/>
                      <w:color w:val="000000"/>
                      <w:sz w:val="21"/>
                      <w:szCs w:val="21"/>
                      <w:highlight w:val="none"/>
                    </w:rPr>
                    <w:t>外排至周边雨水沟</w:t>
                  </w:r>
                  <w:r>
                    <w:rPr>
                      <w:rFonts w:hint="eastAsia" w:ascii="Times New Roman" w:hAnsi="Times New Roman" w:eastAsia="宋体" w:cs="Times New Roman"/>
                      <w:color w:val="000000"/>
                      <w:sz w:val="21"/>
                      <w:szCs w:val="21"/>
                      <w:highlight w:val="none"/>
                      <w:lang w:val="en-US" w:eastAsia="zh-CN"/>
                    </w:rPr>
                    <w:t>。</w:t>
                  </w:r>
                </w:p>
                <w:p w14:paraId="0F5FE63B">
                  <w:pPr>
                    <w:keepNext w:val="0"/>
                    <w:keepLines w:val="0"/>
                    <w:pageBreakBefore w:val="0"/>
                    <w:widowControl w:val="0"/>
                    <w:spacing w:line="240" w:lineRule="auto"/>
                    <w:ind w:firstLine="420"/>
                    <w:rPr>
                      <w:sz w:val="21"/>
                      <w:szCs w:val="21"/>
                    </w:rPr>
                  </w:pPr>
                  <w:r>
                    <w:rPr>
                      <w:sz w:val="21"/>
                      <w:szCs w:val="21"/>
                    </w:rPr>
                    <w:t>生活废水：</w:t>
                  </w:r>
                  <w:r>
                    <w:rPr>
                      <w:rFonts w:hint="eastAsia"/>
                      <w:sz w:val="21"/>
                      <w:szCs w:val="21"/>
                      <w:lang w:val="en-US" w:eastAsia="zh-CN"/>
                    </w:rPr>
                    <w:t>排入项目区的化粪池（30</w:t>
                  </w:r>
                  <w:r>
                    <w:t>m</w:t>
                  </w:r>
                  <w:r>
                    <w:rPr>
                      <w:rFonts w:hint="eastAsia"/>
                      <w:vertAlign w:val="superscript"/>
                      <w:lang w:val="en-US" w:eastAsia="zh-CN"/>
                    </w:rPr>
                    <w:t>3</w:t>
                  </w:r>
                  <w:r>
                    <w:rPr>
                      <w:rFonts w:hint="eastAsia"/>
                      <w:sz w:val="21"/>
                      <w:szCs w:val="21"/>
                      <w:lang w:val="en-US" w:eastAsia="zh-CN"/>
                    </w:rPr>
                    <w:t>）处理，处理后定期清掏用作农肥，不外排</w:t>
                  </w:r>
                  <w:r>
                    <w:rPr>
                      <w:sz w:val="21"/>
                      <w:szCs w:val="21"/>
                    </w:rPr>
                    <w:t>。</w:t>
                  </w:r>
                </w:p>
                <w:p w14:paraId="42A10F21">
                  <w:pPr>
                    <w:pStyle w:val="262"/>
                    <w:keepNext w:val="0"/>
                    <w:keepLines w:val="0"/>
                    <w:pageBreakBefore w:val="0"/>
                    <w:widowControl w:val="0"/>
                    <w:spacing w:line="240" w:lineRule="auto"/>
                    <w:ind w:left="0" w:right="0" w:firstLine="420"/>
                    <w:jc w:val="both"/>
                    <w:rPr>
                      <w:rFonts w:hint="eastAsia" w:ascii="Times New Roman" w:hAnsi="Times New Roman" w:eastAsia="宋体" w:cs="Times New Roman"/>
                      <w:b w:val="0"/>
                      <w:bCs w:val="0"/>
                      <w:color w:val="000000"/>
                      <w:szCs w:val="21"/>
                      <w:highlight w:val="none"/>
                      <w:lang w:val="en-US" w:eastAsia="zh-CN"/>
                    </w:rPr>
                  </w:pPr>
                  <w:r>
                    <w:rPr>
                      <w:sz w:val="21"/>
                      <w:szCs w:val="21"/>
                      <w:lang w:val="en-US" w:eastAsia="zh-CN"/>
                    </w:rPr>
                    <w:t>生产废水：</w:t>
                  </w:r>
                  <w:r>
                    <w:rPr>
                      <w:rFonts w:hint="eastAsia"/>
                      <w:sz w:val="21"/>
                      <w:szCs w:val="21"/>
                      <w:lang w:val="en-US" w:eastAsia="zh-CN"/>
                    </w:rPr>
                    <w:t>项目运营期间不产生生产废水</w:t>
                  </w:r>
                  <w:r>
                    <w:t>。</w:t>
                  </w:r>
                </w:p>
              </w:tc>
            </w:tr>
            <w:tr w14:paraId="6DDD8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continue"/>
                  <w:noWrap w:val="0"/>
                  <w:vAlign w:val="center"/>
                </w:tcPr>
                <w:p w14:paraId="320443DF">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759" w:type="dxa"/>
                  <w:noWrap w:val="0"/>
                  <w:vAlign w:val="center"/>
                </w:tcPr>
                <w:p w14:paraId="3C07203F">
                  <w:pPr>
                    <w:pStyle w:val="262"/>
                    <w:keepNext w:val="0"/>
                    <w:keepLines w:val="0"/>
                    <w:pageBreakBefore w:val="0"/>
                    <w:widowControl w:val="0"/>
                    <w:spacing w:line="240" w:lineRule="auto"/>
                    <w:ind w:left="0" w:right="0" w:firstLine="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供热</w:t>
                  </w:r>
                </w:p>
              </w:tc>
              <w:tc>
                <w:tcPr>
                  <w:tcW w:w="6440" w:type="dxa"/>
                  <w:noWrap w:val="0"/>
                  <w:vAlign w:val="center"/>
                </w:tcPr>
                <w:p w14:paraId="64A1DBF1">
                  <w:pPr>
                    <w:pStyle w:val="262"/>
                    <w:keepNext w:val="0"/>
                    <w:keepLines w:val="0"/>
                    <w:pageBreakBefore w:val="0"/>
                    <w:widowControl w:val="0"/>
                    <w:spacing w:line="240" w:lineRule="auto"/>
                    <w:ind w:left="0" w:right="0" w:firstLine="420"/>
                    <w:jc w:val="left"/>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由1台2t/h的生物质锅炉供给。</w:t>
                  </w:r>
                </w:p>
              </w:tc>
            </w:tr>
            <w:tr w14:paraId="2FEBB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restart"/>
                  <w:noWrap w:val="0"/>
                  <w:vAlign w:val="center"/>
                </w:tcPr>
                <w:p w14:paraId="18A9D822">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环保工程</w:t>
                  </w:r>
                </w:p>
              </w:tc>
              <w:tc>
                <w:tcPr>
                  <w:tcW w:w="1759" w:type="dxa"/>
                  <w:noWrap w:val="0"/>
                  <w:vAlign w:val="center"/>
                </w:tcPr>
                <w:p w14:paraId="49A8F496">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废水</w:t>
                  </w:r>
                </w:p>
              </w:tc>
              <w:tc>
                <w:tcPr>
                  <w:tcW w:w="6440" w:type="dxa"/>
                  <w:noWrap w:val="0"/>
                  <w:vAlign w:val="center"/>
                </w:tcPr>
                <w:p w14:paraId="01A5DD87">
                  <w:pPr>
                    <w:pStyle w:val="262"/>
                    <w:keepNext w:val="0"/>
                    <w:keepLines w:val="0"/>
                    <w:pageBreakBefore w:val="0"/>
                    <w:widowControl w:val="0"/>
                    <w:spacing w:line="240" w:lineRule="auto"/>
                    <w:ind w:left="0" w:right="0" w:firstLine="420"/>
                    <w:jc w:val="lef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项目场地实行雨污分流</w:t>
                  </w:r>
                  <w:r>
                    <w:rPr>
                      <w:rFonts w:hint="eastAsia" w:ascii="Times New Roman" w:hAnsi="Times New Roman" w:eastAsia="宋体" w:cs="Times New Roman"/>
                      <w:color w:val="000000"/>
                      <w:sz w:val="21"/>
                      <w:szCs w:val="21"/>
                      <w:lang w:eastAsia="zh-CN"/>
                    </w:rPr>
                    <w:t>，</w:t>
                  </w:r>
                  <w:r>
                    <w:rPr>
                      <w:rFonts w:hint="eastAsia" w:ascii="Times New Roman" w:hAnsi="Times New Roman" w:eastAsia="宋体" w:cs="Times New Roman"/>
                      <w:color w:val="000000"/>
                      <w:sz w:val="21"/>
                      <w:szCs w:val="21"/>
                      <w:lang w:val="en-US" w:eastAsia="zh-CN"/>
                    </w:rPr>
                    <w:t>地面硬化</w:t>
                  </w:r>
                  <w:r>
                    <w:rPr>
                      <w:rFonts w:ascii="Times New Roman" w:hAnsi="Times New Roman" w:eastAsia="宋体" w:cs="Times New Roman"/>
                      <w:color w:val="000000"/>
                      <w:sz w:val="21"/>
                      <w:szCs w:val="21"/>
                    </w:rPr>
                    <w:t>；</w:t>
                  </w:r>
                </w:p>
                <w:p w14:paraId="0BC3B383">
                  <w:pPr>
                    <w:spacing w:line="240" w:lineRule="auto"/>
                    <w:ind w:firstLine="422"/>
                    <w:rPr>
                      <w:rFonts w:hint="eastAsia" w:eastAsia="宋体"/>
                      <w:lang w:eastAsia="zh-CN"/>
                    </w:rPr>
                  </w:pPr>
                  <w:r>
                    <w:t>生活废水：</w:t>
                  </w:r>
                  <w:r>
                    <w:rPr>
                      <w:rFonts w:hint="eastAsia"/>
                      <w:sz w:val="21"/>
                      <w:szCs w:val="21"/>
                      <w:lang w:val="en-US" w:eastAsia="zh-CN"/>
                    </w:rPr>
                    <w:t>排入项目区的化粪池（30</w:t>
                  </w:r>
                  <w:r>
                    <w:t>m</w:t>
                  </w:r>
                  <w:r>
                    <w:rPr>
                      <w:rFonts w:hint="eastAsia"/>
                      <w:vertAlign w:val="superscript"/>
                      <w:lang w:val="en-US" w:eastAsia="zh-CN"/>
                    </w:rPr>
                    <w:t>3</w:t>
                  </w:r>
                  <w:r>
                    <w:rPr>
                      <w:rFonts w:hint="eastAsia"/>
                      <w:sz w:val="21"/>
                      <w:szCs w:val="21"/>
                      <w:lang w:val="en-US" w:eastAsia="zh-CN"/>
                    </w:rPr>
                    <w:t>）处理，处理后定期清掏用作农肥，不外排</w:t>
                  </w:r>
                  <w:r>
                    <w:rPr>
                      <w:rFonts w:hint="eastAsia"/>
                      <w:lang w:eastAsia="zh-CN"/>
                    </w:rPr>
                    <w:t>；</w:t>
                  </w:r>
                </w:p>
                <w:p w14:paraId="1DCA4042">
                  <w:pPr>
                    <w:keepNext w:val="0"/>
                    <w:keepLines w:val="0"/>
                    <w:pageBreakBefore w:val="0"/>
                    <w:widowControl w:val="0"/>
                    <w:spacing w:line="240" w:lineRule="auto"/>
                    <w:ind w:left="0" w:right="0" w:firstLine="420"/>
                    <w:jc w:val="left"/>
                    <w:rPr>
                      <w:rFonts w:hint="eastAsia" w:ascii="Times New Roman" w:hAnsi="Times New Roman" w:eastAsia="宋体" w:cs="Times New Roman"/>
                      <w:b w:val="0"/>
                      <w:bCs w:val="0"/>
                      <w:color w:val="000000"/>
                      <w:szCs w:val="21"/>
                      <w:highlight w:val="none"/>
                      <w:lang w:val="en-US" w:eastAsia="zh-CN"/>
                    </w:rPr>
                  </w:pPr>
                  <w:r>
                    <w:rPr>
                      <w:lang w:val="en-US" w:eastAsia="zh-CN"/>
                    </w:rPr>
                    <w:t>生产废水：</w:t>
                  </w:r>
                  <w:r>
                    <w:rPr>
                      <w:rFonts w:hint="eastAsia"/>
                      <w:lang w:val="en-US" w:eastAsia="zh-CN"/>
                    </w:rPr>
                    <w:t>项目运营期间不产生生产废水</w:t>
                  </w:r>
                  <w:r>
                    <w:rPr>
                      <w:rFonts w:ascii="Times New Roman" w:hAnsi="Times New Roman" w:eastAsia="宋体" w:cs="Times New Roman"/>
                      <w:bCs/>
                      <w:color w:val="000000"/>
                      <w:sz w:val="21"/>
                      <w:szCs w:val="21"/>
                      <w:highlight w:val="none"/>
                    </w:rPr>
                    <w:t>。</w:t>
                  </w:r>
                </w:p>
              </w:tc>
            </w:tr>
            <w:tr w14:paraId="124F6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continue"/>
                  <w:noWrap w:val="0"/>
                  <w:vAlign w:val="center"/>
                </w:tcPr>
                <w:p w14:paraId="5AE56CBF">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759" w:type="dxa"/>
                  <w:noWrap w:val="0"/>
                  <w:vAlign w:val="center"/>
                </w:tcPr>
                <w:p w14:paraId="39383113">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废气</w:t>
                  </w:r>
                </w:p>
              </w:tc>
              <w:tc>
                <w:tcPr>
                  <w:tcW w:w="6440" w:type="dxa"/>
                  <w:noWrap w:val="0"/>
                  <w:vAlign w:val="center"/>
                </w:tcPr>
                <w:p w14:paraId="113B25F8">
                  <w:pPr>
                    <w:pStyle w:val="207"/>
                    <w:keepNext w:val="0"/>
                    <w:keepLines w:val="0"/>
                    <w:pageBreakBefore w:val="0"/>
                    <w:widowControl w:val="0"/>
                    <w:spacing w:line="240" w:lineRule="auto"/>
                    <w:ind w:right="0" w:firstLine="422"/>
                    <w:outlineLvl w:val="9"/>
                    <w:rPr>
                      <w:rFonts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lang w:val="en-US" w:eastAsia="zh-CN"/>
                    </w:rPr>
                    <w:t>有</w:t>
                  </w:r>
                  <w:r>
                    <w:rPr>
                      <w:rFonts w:ascii="Times New Roman" w:hAnsi="Times New Roman" w:eastAsia="宋体" w:cs="Times New Roman"/>
                      <w:color w:val="000000"/>
                      <w:sz w:val="21"/>
                      <w:szCs w:val="21"/>
                      <w:highlight w:val="none"/>
                    </w:rPr>
                    <w:t>组织废气：</w:t>
                  </w:r>
                </w:p>
                <w:p w14:paraId="3DC2E8D5">
                  <w:pPr>
                    <w:pStyle w:val="207"/>
                    <w:keepNext w:val="0"/>
                    <w:keepLines w:val="0"/>
                    <w:pageBreakBefore w:val="0"/>
                    <w:widowControl w:val="0"/>
                    <w:spacing w:line="240" w:lineRule="auto"/>
                    <w:ind w:right="0" w:firstLine="422"/>
                    <w:outlineLvl w:val="9"/>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①断料、破片、清边、裁边粉尘：</w:t>
                  </w:r>
                  <w:r>
                    <w:rPr>
                      <w:rFonts w:hint="eastAsia" w:ascii="Times New Roman" w:hAnsi="Times New Roman" w:eastAsia="宋体" w:cs="Times New Roman"/>
                      <w:b w:val="0"/>
                      <w:bCs/>
                      <w:color w:val="000000"/>
                      <w:sz w:val="21"/>
                      <w:szCs w:val="21"/>
                      <w:lang w:val="en-US" w:eastAsia="zh-CN"/>
                    </w:rPr>
                    <w:t>在断料分选、破片、清边工段分别设置集气罩</w:t>
                  </w:r>
                  <w:r>
                    <w:rPr>
                      <w:rFonts w:hint="eastAsia" w:ascii="Times New Roman" w:hAnsi="Times New Roman" w:eastAsia="宋体" w:cs="Times New Roman"/>
                      <w:b w:val="0"/>
                      <w:bCs w:val="0"/>
                      <w:color w:val="000000"/>
                      <w:sz w:val="21"/>
                      <w:szCs w:val="21"/>
                      <w:highlight w:val="none"/>
                      <w:lang w:val="en-US" w:eastAsia="zh-CN"/>
                    </w:rPr>
                    <w:t>（集气罩尺寸大于工段尺寸，罩口距离废气源高度约0.4m），各废气源分别收集后统一汇集到一套布袋除尘器（处理效率90%）处理，处理后通过一根15m高排气筒（DA001）排放。</w:t>
                  </w:r>
                </w:p>
                <w:p w14:paraId="162481F3">
                  <w:pPr>
                    <w:pStyle w:val="207"/>
                    <w:keepNext w:val="0"/>
                    <w:keepLines w:val="0"/>
                    <w:pageBreakBefore w:val="0"/>
                    <w:widowControl w:val="0"/>
                    <w:spacing w:line="240" w:lineRule="auto"/>
                    <w:ind w:right="0" w:firstLine="422"/>
                    <w:jc w:val="both"/>
                    <w:outlineLvl w:val="9"/>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②</w:t>
                  </w:r>
                  <w:r>
                    <w:rPr>
                      <w:rFonts w:ascii="Times New Roman" w:hAnsi="Times New Roman" w:eastAsia="宋体" w:cs="Times New Roman"/>
                      <w:b/>
                      <w:color w:val="000000"/>
                      <w:sz w:val="21"/>
                      <w:szCs w:val="21"/>
                      <w:lang w:val="en-US" w:eastAsia="zh-CN"/>
                    </w:rPr>
                    <w:t>烘干</w:t>
                  </w:r>
                  <w:r>
                    <w:rPr>
                      <w:rFonts w:hint="eastAsia" w:ascii="Times New Roman" w:hAnsi="Times New Roman" w:eastAsia="宋体" w:cs="Times New Roman"/>
                      <w:b/>
                      <w:color w:val="000000"/>
                      <w:sz w:val="21"/>
                      <w:szCs w:val="21"/>
                      <w:lang w:val="en-US" w:eastAsia="zh-CN"/>
                    </w:rPr>
                    <w:t>产生的</w:t>
                  </w:r>
                  <w:r>
                    <w:rPr>
                      <w:rFonts w:ascii="Times New Roman" w:hAnsi="Times New Roman" w:eastAsia="宋体" w:cs="Times New Roman"/>
                      <w:b/>
                      <w:color w:val="000000"/>
                      <w:sz w:val="21"/>
                      <w:szCs w:val="21"/>
                      <w:lang w:val="en-US" w:eastAsia="zh-CN"/>
                    </w:rPr>
                    <w:t>非甲烷总烃</w:t>
                  </w:r>
                  <w:r>
                    <w:rPr>
                      <w:rFonts w:hint="eastAsia" w:ascii="Times New Roman" w:hAnsi="Times New Roman" w:eastAsia="宋体" w:cs="Times New Roman"/>
                      <w:b/>
                      <w:color w:val="000000"/>
                      <w:sz w:val="21"/>
                      <w:szCs w:val="21"/>
                      <w:lang w:val="en-US" w:eastAsia="zh-CN"/>
                    </w:rPr>
                    <w:t>及涂胶产生的甲醛、非甲烷总烃：</w:t>
                  </w:r>
                  <w:r>
                    <w:rPr>
                      <w:rFonts w:ascii="Times New Roman" w:hAnsi="Times New Roman" w:eastAsia="宋体" w:cs="Times New Roman"/>
                      <w:b w:val="0"/>
                      <w:bCs w:val="0"/>
                      <w:sz w:val="21"/>
                      <w:szCs w:val="21"/>
                      <w:lang w:val="en-US" w:eastAsia="zh-CN"/>
                    </w:rPr>
                    <w:t>项目烘干房为全密闭式，设置集气管直接连接烘干房，并在涂胶工段设置集气罩（集气罩尺寸大于工段尺寸，罩口距离废气源高度约0.4m），木料烘干、涂胶过程产生的废气分别收集后统一汇集到一套活性炭吸附装置</w:t>
                  </w:r>
                  <w:r>
                    <w:rPr>
                      <w:rFonts w:hint="eastAsia" w:ascii="Times New Roman" w:hAnsi="Times New Roman" w:eastAsia="宋体" w:cs="Times New Roman"/>
                      <w:b w:val="0"/>
                      <w:bCs w:val="0"/>
                      <w:sz w:val="21"/>
                      <w:szCs w:val="21"/>
                      <w:lang w:val="en-US" w:eastAsia="zh-CN"/>
                    </w:rPr>
                    <w:t>（</w:t>
                  </w:r>
                  <w:r>
                    <w:rPr>
                      <w:rFonts w:hint="eastAsia" w:ascii="Times New Roman" w:hAnsi="Times New Roman" w:eastAsia="宋体" w:cs="Times New Roman"/>
                      <w:b w:val="0"/>
                      <w:bCs w:val="0"/>
                      <w:color w:val="000000"/>
                      <w:sz w:val="21"/>
                      <w:szCs w:val="21"/>
                      <w:highlight w:val="none"/>
                      <w:lang w:val="en-US" w:eastAsia="zh-CN"/>
                    </w:rPr>
                    <w:t>处理效率70%</w:t>
                  </w:r>
                  <w:r>
                    <w:rPr>
                      <w:rFonts w:hint="eastAsia" w:ascii="Times New Roman" w:hAnsi="Times New Roman" w:eastAsia="宋体" w:cs="Times New Roman"/>
                      <w:b w:val="0"/>
                      <w:bCs w:val="0"/>
                      <w:sz w:val="21"/>
                      <w:szCs w:val="21"/>
                      <w:lang w:val="en-US" w:eastAsia="zh-CN"/>
                    </w:rPr>
                    <w:t>）</w:t>
                  </w:r>
                  <w:r>
                    <w:rPr>
                      <w:rFonts w:ascii="Times New Roman" w:hAnsi="Times New Roman" w:eastAsia="宋体" w:cs="Times New Roman"/>
                      <w:b w:val="0"/>
                      <w:bCs w:val="0"/>
                      <w:sz w:val="21"/>
                      <w:szCs w:val="21"/>
                      <w:lang w:val="en-US" w:eastAsia="zh-CN"/>
                    </w:rPr>
                    <w:t>处理</w:t>
                  </w:r>
                  <w:r>
                    <w:rPr>
                      <w:rFonts w:hint="eastAsia" w:ascii="Times New Roman" w:hAnsi="Times New Roman" w:eastAsia="宋体" w:cs="Times New Roman"/>
                      <w:b w:val="0"/>
                      <w:bCs w:val="0"/>
                      <w:sz w:val="21"/>
                      <w:szCs w:val="21"/>
                      <w:lang w:val="en-US" w:eastAsia="zh-CN"/>
                    </w:rPr>
                    <w:t>，处理</w:t>
                  </w:r>
                  <w:r>
                    <w:rPr>
                      <w:rFonts w:ascii="Times New Roman" w:hAnsi="Times New Roman" w:eastAsia="宋体" w:cs="Times New Roman"/>
                      <w:b w:val="0"/>
                      <w:bCs w:val="0"/>
                      <w:sz w:val="21"/>
                      <w:szCs w:val="21"/>
                      <w:lang w:val="en-US" w:eastAsia="zh-CN"/>
                    </w:rPr>
                    <w:t>后通过一根15m高的排气筒（DA002）排放</w:t>
                  </w:r>
                  <w:r>
                    <w:rPr>
                      <w:rFonts w:hint="eastAsia" w:ascii="Times New Roman" w:hAnsi="Times New Roman" w:eastAsia="宋体" w:cs="Times New Roman"/>
                      <w:b w:val="0"/>
                      <w:bCs/>
                      <w:color w:val="000000"/>
                      <w:sz w:val="21"/>
                      <w:szCs w:val="21"/>
                      <w:lang w:val="en-US" w:eastAsia="zh-CN"/>
                    </w:rPr>
                    <w:t>。</w:t>
                  </w:r>
                </w:p>
                <w:p w14:paraId="4E7CD0DA">
                  <w:pPr>
                    <w:pStyle w:val="207"/>
                    <w:keepNext w:val="0"/>
                    <w:keepLines w:val="0"/>
                    <w:pageBreakBefore w:val="0"/>
                    <w:widowControl w:val="0"/>
                    <w:spacing w:line="240" w:lineRule="auto"/>
                    <w:ind w:right="0" w:firstLine="422"/>
                    <w:outlineLvl w:val="9"/>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③</w:t>
                  </w:r>
                  <w:r>
                    <w:rPr>
                      <w:rFonts w:hint="eastAsia" w:ascii="Times New Roman" w:hAnsi="Times New Roman" w:eastAsia="宋体" w:cs="Times New Roman"/>
                      <w:b/>
                      <w:color w:val="000000"/>
                      <w:sz w:val="21"/>
                      <w:szCs w:val="21"/>
                      <w:lang w:val="en-US" w:eastAsia="zh-CN"/>
                    </w:rPr>
                    <w:t>锅炉烟气：</w:t>
                  </w:r>
                  <w:r>
                    <w:rPr>
                      <w:rFonts w:hint="eastAsia" w:ascii="Times New Roman" w:hAnsi="Times New Roman" w:eastAsia="宋体" w:cs="Times New Roman"/>
                      <w:b w:val="0"/>
                      <w:bCs/>
                      <w:color w:val="000000"/>
                      <w:sz w:val="21"/>
                      <w:szCs w:val="21"/>
                      <w:lang w:val="en-US" w:eastAsia="zh-CN"/>
                    </w:rPr>
                    <w:t>锅炉生物质燃烧烟气通过一套布袋</w:t>
                  </w:r>
                  <w:r>
                    <w:rPr>
                      <w:rFonts w:ascii="Times New Roman" w:hAnsi="Times New Roman" w:eastAsia="宋体" w:cs="Times New Roman"/>
                      <w:b w:val="0"/>
                      <w:bCs/>
                      <w:color w:val="000000"/>
                      <w:sz w:val="21"/>
                      <w:szCs w:val="21"/>
                      <w:lang w:val="en-US" w:eastAsia="zh-CN"/>
                    </w:rPr>
                    <w:t>除尘器</w:t>
                  </w:r>
                  <w:r>
                    <w:rPr>
                      <w:rFonts w:ascii="Times New Roman" w:hAnsi="Times New Roman" w:eastAsia="宋体" w:cs="Times New Roman"/>
                      <w:b w:val="0"/>
                      <w:bCs/>
                      <w:color w:val="000000"/>
                      <w:sz w:val="21"/>
                      <w:szCs w:val="21"/>
                    </w:rPr>
                    <w:t>对</w:t>
                  </w:r>
                  <w:r>
                    <w:rPr>
                      <w:rFonts w:ascii="Times New Roman" w:hAnsi="Times New Roman" w:eastAsia="宋体" w:cs="Times New Roman"/>
                      <w:b w:val="0"/>
                      <w:bCs/>
                      <w:color w:val="000000"/>
                      <w:sz w:val="21"/>
                      <w:szCs w:val="21"/>
                      <w:lang w:val="en-US" w:eastAsia="zh-CN"/>
                    </w:rPr>
                    <w:t>锅炉烟气</w:t>
                  </w:r>
                  <w:r>
                    <w:rPr>
                      <w:rFonts w:ascii="Times New Roman" w:hAnsi="Times New Roman" w:eastAsia="宋体" w:cs="Times New Roman"/>
                      <w:b w:val="0"/>
                      <w:bCs/>
                      <w:color w:val="000000"/>
                      <w:sz w:val="21"/>
                      <w:szCs w:val="21"/>
                    </w:rPr>
                    <w:t>进</w:t>
                  </w:r>
                  <w:r>
                    <w:rPr>
                      <w:rFonts w:ascii="Times New Roman" w:hAnsi="Times New Roman" w:eastAsia="宋体" w:cs="Times New Roman"/>
                      <w:b w:val="0"/>
                      <w:bCs/>
                      <w:color w:val="000000"/>
                      <w:sz w:val="21"/>
                      <w:szCs w:val="21"/>
                      <w:lang w:val="en-US" w:eastAsia="zh-CN"/>
                    </w:rPr>
                    <w:t>行</w:t>
                  </w:r>
                  <w:r>
                    <w:rPr>
                      <w:rFonts w:ascii="Times New Roman" w:hAnsi="Times New Roman" w:eastAsia="宋体" w:cs="Times New Roman"/>
                      <w:b w:val="0"/>
                      <w:bCs/>
                      <w:color w:val="000000"/>
                      <w:sz w:val="21"/>
                      <w:szCs w:val="21"/>
                    </w:rPr>
                    <w:t>处理，</w:t>
                  </w:r>
                  <w:r>
                    <w:rPr>
                      <w:rFonts w:hint="eastAsia" w:ascii="Times New Roman" w:hAnsi="Times New Roman" w:eastAsia="宋体" w:cs="Times New Roman"/>
                      <w:b w:val="0"/>
                      <w:bCs/>
                      <w:color w:val="000000"/>
                      <w:sz w:val="21"/>
                      <w:szCs w:val="21"/>
                      <w:lang w:val="en-US" w:eastAsia="zh-CN"/>
                    </w:rPr>
                    <w:t>处理后通过</w:t>
                  </w:r>
                  <w:r>
                    <w:rPr>
                      <w:rFonts w:ascii="Times New Roman" w:hAnsi="Times New Roman" w:eastAsia="宋体" w:cs="Times New Roman"/>
                      <w:b w:val="0"/>
                      <w:bCs/>
                      <w:color w:val="000000"/>
                      <w:sz w:val="21"/>
                      <w:szCs w:val="21"/>
                    </w:rPr>
                    <w:t>一根</w:t>
                  </w:r>
                  <w:r>
                    <w:rPr>
                      <w:rFonts w:hint="eastAsia" w:ascii="Times New Roman" w:hAnsi="Times New Roman" w:eastAsia="宋体" w:cs="Times New Roman"/>
                      <w:b w:val="0"/>
                      <w:bCs/>
                      <w:color w:val="000000"/>
                      <w:sz w:val="21"/>
                      <w:szCs w:val="21"/>
                      <w:lang w:val="en-US" w:eastAsia="zh-CN"/>
                    </w:rPr>
                    <w:t>30</w:t>
                  </w:r>
                  <w:r>
                    <w:rPr>
                      <w:rFonts w:ascii="Times New Roman" w:hAnsi="Times New Roman" w:eastAsia="宋体" w:cs="Times New Roman"/>
                      <w:b w:val="0"/>
                      <w:bCs/>
                      <w:color w:val="000000"/>
                      <w:sz w:val="21"/>
                      <w:szCs w:val="21"/>
                    </w:rPr>
                    <w:t>m</w:t>
                  </w:r>
                  <w:r>
                    <w:rPr>
                      <w:rFonts w:hint="eastAsia" w:ascii="Times New Roman" w:hAnsi="Times New Roman" w:eastAsia="宋体" w:cs="Times New Roman"/>
                      <w:b w:val="0"/>
                      <w:bCs/>
                      <w:color w:val="000000"/>
                      <w:sz w:val="21"/>
                      <w:szCs w:val="21"/>
                      <w:lang w:val="en-US" w:eastAsia="zh-CN"/>
                    </w:rPr>
                    <w:t>高</w:t>
                  </w:r>
                  <w:r>
                    <w:rPr>
                      <w:rFonts w:ascii="Times New Roman" w:hAnsi="Times New Roman" w:eastAsia="宋体" w:cs="Times New Roman"/>
                      <w:b w:val="0"/>
                      <w:bCs/>
                      <w:color w:val="000000"/>
                      <w:sz w:val="21"/>
                      <w:szCs w:val="21"/>
                    </w:rPr>
                    <w:t>的</w:t>
                  </w:r>
                  <w:r>
                    <w:rPr>
                      <w:rFonts w:ascii="Times New Roman" w:hAnsi="Times New Roman" w:eastAsia="宋体" w:cs="Times New Roman"/>
                      <w:b w:val="0"/>
                      <w:bCs/>
                      <w:color w:val="000000"/>
                      <w:sz w:val="21"/>
                      <w:szCs w:val="21"/>
                      <w:lang w:val="en-US" w:eastAsia="zh-CN"/>
                    </w:rPr>
                    <w:t>排气筒</w:t>
                  </w:r>
                  <w:r>
                    <w:rPr>
                      <w:rFonts w:ascii="Times New Roman" w:hAnsi="Times New Roman" w:eastAsia="宋体" w:cs="Times New Roman"/>
                      <w:b w:val="0"/>
                      <w:bCs/>
                      <w:color w:val="000000"/>
                      <w:sz w:val="21"/>
                      <w:szCs w:val="21"/>
                      <w:lang w:eastAsia="zh-CN"/>
                    </w:rPr>
                    <w:t>（</w:t>
                  </w:r>
                  <w:r>
                    <w:rPr>
                      <w:rFonts w:ascii="Times New Roman" w:hAnsi="Times New Roman" w:eastAsia="宋体" w:cs="Times New Roman"/>
                      <w:b w:val="0"/>
                      <w:bCs/>
                      <w:color w:val="000000"/>
                      <w:sz w:val="21"/>
                      <w:szCs w:val="21"/>
                      <w:lang w:val="en-US" w:eastAsia="zh-CN"/>
                    </w:rPr>
                    <w:t>DA00</w:t>
                  </w:r>
                  <w:r>
                    <w:rPr>
                      <w:rFonts w:hint="eastAsia" w:ascii="Times New Roman" w:hAnsi="Times New Roman" w:eastAsia="宋体" w:cs="Times New Roman"/>
                      <w:b w:val="0"/>
                      <w:bCs/>
                      <w:color w:val="000000"/>
                      <w:sz w:val="21"/>
                      <w:szCs w:val="21"/>
                      <w:lang w:val="en-US" w:eastAsia="zh-CN"/>
                    </w:rPr>
                    <w:t>3</w:t>
                  </w:r>
                  <w:r>
                    <w:rPr>
                      <w:rFonts w:ascii="Times New Roman" w:hAnsi="Times New Roman" w:eastAsia="宋体" w:cs="Times New Roman"/>
                      <w:b w:val="0"/>
                      <w:bCs/>
                      <w:color w:val="000000"/>
                      <w:sz w:val="21"/>
                      <w:szCs w:val="21"/>
                      <w:lang w:eastAsia="zh-CN"/>
                    </w:rPr>
                    <w:t>）排放</w:t>
                  </w:r>
                  <w:r>
                    <w:rPr>
                      <w:rFonts w:ascii="Times New Roman" w:hAnsi="Times New Roman" w:eastAsia="宋体" w:cs="Times New Roman"/>
                      <w:b w:val="0"/>
                      <w:bCs/>
                      <w:color w:val="000000"/>
                      <w:sz w:val="21"/>
                      <w:szCs w:val="21"/>
                    </w:rPr>
                    <w:t>。</w:t>
                  </w:r>
                </w:p>
                <w:p w14:paraId="513D2F3C">
                  <w:pPr>
                    <w:pStyle w:val="207"/>
                    <w:keepNext w:val="0"/>
                    <w:keepLines w:val="0"/>
                    <w:pageBreakBefore w:val="0"/>
                    <w:widowControl w:val="0"/>
                    <w:spacing w:line="240" w:lineRule="auto"/>
                    <w:ind w:right="0" w:firstLine="422"/>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无组织废气：</w:t>
                  </w:r>
                </w:p>
                <w:p w14:paraId="03909325">
                  <w:pPr>
                    <w:pStyle w:val="207"/>
                    <w:keepNext w:val="0"/>
                    <w:keepLines w:val="0"/>
                    <w:pageBreakBefore w:val="0"/>
                    <w:widowControl w:val="0"/>
                    <w:spacing w:line="240" w:lineRule="auto"/>
                    <w:ind w:right="0" w:firstLine="420"/>
                    <w:outlineLvl w:val="9"/>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sz w:val="21"/>
                      <w:szCs w:val="21"/>
                      <w:lang w:val="en-US" w:eastAsia="zh-CN"/>
                    </w:rPr>
                    <w:t>未被收集的粉尘颗粒物在生产车间内无组织排放，因颗粒物以大直径木屑为主，大部分在车间内自然沉降，少部分无组织排放。木料烘干、涂胶过程未被收集的废气通过加强通风，减小对环境的影响</w:t>
                  </w:r>
                  <w:r>
                    <w:rPr>
                      <w:rFonts w:hint="eastAsia" w:ascii="Times New Roman" w:hAnsi="Times New Roman" w:eastAsia="宋体" w:cs="Times New Roman"/>
                      <w:b w:val="0"/>
                      <w:bCs/>
                      <w:color w:val="000000"/>
                      <w:sz w:val="21"/>
                      <w:szCs w:val="21"/>
                      <w:highlight w:val="none"/>
                      <w:lang w:val="en-US" w:eastAsia="zh-CN" w:bidi="ar-SA"/>
                    </w:rPr>
                    <w:t>。</w:t>
                  </w:r>
                </w:p>
              </w:tc>
            </w:tr>
            <w:tr w14:paraId="6B751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continue"/>
                  <w:noWrap w:val="0"/>
                  <w:vAlign w:val="center"/>
                </w:tcPr>
                <w:p w14:paraId="66212F49">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759" w:type="dxa"/>
                  <w:noWrap w:val="0"/>
                  <w:vAlign w:val="center"/>
                </w:tcPr>
                <w:p w14:paraId="535BA7BE">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噪声</w:t>
                  </w:r>
                </w:p>
              </w:tc>
              <w:tc>
                <w:tcPr>
                  <w:tcW w:w="6440" w:type="dxa"/>
                  <w:noWrap w:val="0"/>
                  <w:vAlign w:val="center"/>
                </w:tcPr>
                <w:p w14:paraId="75B1D57F">
                  <w:pPr>
                    <w:pStyle w:val="207"/>
                    <w:keepNext w:val="0"/>
                    <w:keepLines w:val="0"/>
                    <w:pageBreakBefore w:val="0"/>
                    <w:widowControl w:val="0"/>
                    <w:spacing w:line="240" w:lineRule="auto"/>
                    <w:ind w:right="0" w:firstLine="420"/>
                    <w:outlineLvl w:val="9"/>
                    <w:rPr>
                      <w:rFonts w:ascii="Times New Roman" w:hAnsi="Times New Roman" w:eastAsia="宋体" w:cs="Times New Roman"/>
                      <w:b w:val="0"/>
                      <w:bCs w:val="0"/>
                      <w:color w:val="000000"/>
                      <w:sz w:val="21"/>
                      <w:szCs w:val="21"/>
                      <w:highlight w:val="none"/>
                      <w:lang w:eastAsia="zh-CN"/>
                    </w:rPr>
                  </w:pPr>
                  <w:r>
                    <w:rPr>
                      <w:rFonts w:hint="eastAsia" w:ascii="Times New Roman" w:hAnsi="Times New Roman" w:eastAsia="宋体" w:cs="Times New Roman"/>
                      <w:b w:val="0"/>
                      <w:bCs/>
                      <w:color w:val="000000"/>
                      <w:sz w:val="21"/>
                      <w:szCs w:val="21"/>
                      <w:highlight w:val="none"/>
                      <w:lang w:val="en-US" w:eastAsia="zh-CN" w:bidi="ar-SA"/>
                    </w:rPr>
                    <w:t>生产设备：</w:t>
                  </w:r>
                  <w:r>
                    <w:rPr>
                      <w:rFonts w:ascii="Times New Roman" w:hAnsi="Times New Roman" w:eastAsia="宋体" w:cs="Times New Roman"/>
                      <w:b w:val="0"/>
                      <w:bCs w:val="0"/>
                      <w:color w:val="000000"/>
                      <w:sz w:val="21"/>
                      <w:szCs w:val="21"/>
                      <w:highlight w:val="none"/>
                      <w:lang w:eastAsia="zh-CN"/>
                    </w:rPr>
                    <w:t>设备基础减震、合理布局、厂房隔声等。</w:t>
                  </w:r>
                </w:p>
                <w:p w14:paraId="11AD610E">
                  <w:pPr>
                    <w:pStyle w:val="207"/>
                    <w:keepNext w:val="0"/>
                    <w:keepLines w:val="0"/>
                    <w:pageBreakBefore w:val="0"/>
                    <w:widowControl w:val="0"/>
                    <w:spacing w:line="240" w:lineRule="auto"/>
                    <w:ind w:right="0" w:firstLine="420"/>
                    <w:outlineLvl w:val="9"/>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车辆：</w:t>
                  </w:r>
                  <w:r>
                    <w:rPr>
                      <w:rFonts w:ascii="Times New Roman" w:hAnsi="Times New Roman" w:eastAsia="宋体" w:cs="Times New Roman"/>
                      <w:b w:val="0"/>
                      <w:bCs/>
                      <w:color w:val="000000"/>
                      <w:sz w:val="21"/>
                      <w:szCs w:val="21"/>
                      <w:highlight w:val="none"/>
                    </w:rPr>
                    <w:t>强化行车管理制度，设置降噪标志，严禁鸣号，进入厂区低速行驶等</w:t>
                  </w:r>
                  <w:r>
                    <w:rPr>
                      <w:rFonts w:hint="eastAsia" w:ascii="Times New Roman" w:hAnsi="Times New Roman" w:eastAsia="宋体" w:cs="Times New Roman"/>
                      <w:b w:val="0"/>
                      <w:bCs/>
                      <w:color w:val="000000"/>
                      <w:sz w:val="21"/>
                      <w:szCs w:val="21"/>
                      <w:highlight w:val="none"/>
                      <w:lang w:eastAsia="zh-CN"/>
                    </w:rPr>
                    <w:t>。</w:t>
                  </w:r>
                  <w:r>
                    <w:rPr>
                      <w:rFonts w:hint="eastAsia" w:ascii="Times New Roman" w:hAnsi="Times New Roman" w:eastAsia="宋体" w:cs="Times New Roman"/>
                      <w:b w:val="0"/>
                      <w:bCs/>
                      <w:color w:val="000000"/>
                      <w:sz w:val="21"/>
                      <w:szCs w:val="21"/>
                      <w:highlight w:val="none"/>
                      <w:lang w:val="en-US" w:eastAsia="zh-CN"/>
                    </w:rPr>
                    <w:t xml:space="preserve"> </w:t>
                  </w:r>
                </w:p>
              </w:tc>
            </w:tr>
            <w:tr w14:paraId="32706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Pr>
              <w:tc>
                <w:tcPr>
                  <w:tcW w:w="670" w:type="dxa"/>
                  <w:vMerge w:val="continue"/>
                  <w:noWrap w:val="0"/>
                  <w:vAlign w:val="center"/>
                </w:tcPr>
                <w:p w14:paraId="31F85DDE">
                  <w:pPr>
                    <w:keepNext w:val="0"/>
                    <w:keepLines w:val="0"/>
                    <w:pageBreakBefore w:val="0"/>
                    <w:widowControl w:val="0"/>
                    <w:jc w:val="center"/>
                    <w:rPr>
                      <w:rFonts w:hint="eastAsia" w:ascii="Times New Roman" w:hAnsi="Times New Roman" w:eastAsia="宋体" w:cs="Times New Roman"/>
                      <w:b w:val="0"/>
                      <w:bCs w:val="0"/>
                      <w:color w:val="000000"/>
                      <w:szCs w:val="21"/>
                      <w:highlight w:val="none"/>
                      <w:lang w:val="en-US" w:eastAsia="zh-CN"/>
                    </w:rPr>
                  </w:pPr>
                </w:p>
              </w:tc>
              <w:tc>
                <w:tcPr>
                  <w:tcW w:w="1759" w:type="dxa"/>
                  <w:noWrap w:val="0"/>
                  <w:vAlign w:val="center"/>
                </w:tcPr>
                <w:p w14:paraId="053A3A4E">
                  <w:pPr>
                    <w:keepNext w:val="0"/>
                    <w:keepLines w:val="0"/>
                    <w:pageBreakBefore w:val="0"/>
                    <w:widowControl w:val="0"/>
                    <w:jc w:val="center"/>
                    <w:rPr>
                      <w:rFonts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固废</w:t>
                  </w:r>
                </w:p>
              </w:tc>
              <w:tc>
                <w:tcPr>
                  <w:tcW w:w="6440" w:type="dxa"/>
                  <w:noWrap w:val="0"/>
                  <w:vAlign w:val="center"/>
                </w:tcPr>
                <w:p w14:paraId="51C64659">
                  <w:pPr>
                    <w:pStyle w:val="262"/>
                    <w:keepNext w:val="0"/>
                    <w:keepLines w:val="0"/>
                    <w:pageBreakBefore w:val="0"/>
                    <w:widowControl w:val="0"/>
                    <w:spacing w:line="240" w:lineRule="auto"/>
                    <w:ind w:left="0" w:right="0" w:firstLine="420"/>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①</w:t>
                  </w:r>
                  <w:r>
                    <w:rPr>
                      <w:rFonts w:ascii="Times New Roman" w:hAnsi="Times New Roman" w:eastAsia="宋体" w:cs="Times New Roman"/>
                      <w:color w:val="000000"/>
                      <w:sz w:val="21"/>
                      <w:szCs w:val="21"/>
                    </w:rPr>
                    <w:t>生活垃圾</w:t>
                  </w:r>
                  <w:r>
                    <w:rPr>
                      <w:rFonts w:ascii="Times New Roman" w:hAnsi="Times New Roman" w:eastAsia="宋体" w:cs="Times New Roman"/>
                      <w:color w:val="000000"/>
                      <w:sz w:val="21"/>
                      <w:szCs w:val="21"/>
                      <w:lang w:eastAsia="zh-CN"/>
                    </w:rPr>
                    <w:t>：</w:t>
                  </w:r>
                  <w:r>
                    <w:rPr>
                      <w:rFonts w:ascii="Times New Roman" w:hAnsi="Times New Roman" w:eastAsia="宋体" w:cs="Times New Roman"/>
                      <w:color w:val="000000"/>
                      <w:sz w:val="21"/>
                      <w:szCs w:val="21"/>
                    </w:rPr>
                    <w:t>设生活垃圾收集桶若干</w:t>
                  </w:r>
                  <w:r>
                    <w:rPr>
                      <w:rFonts w:ascii="Times New Roman" w:hAnsi="Times New Roman" w:eastAsia="宋体" w:cs="Times New Roman"/>
                      <w:color w:val="000000"/>
                      <w:sz w:val="21"/>
                      <w:szCs w:val="21"/>
                      <w:lang w:eastAsia="zh-CN"/>
                    </w:rPr>
                    <w:t>，</w:t>
                  </w:r>
                  <w:r>
                    <w:rPr>
                      <w:rFonts w:ascii="Times New Roman" w:hAnsi="Times New Roman" w:eastAsia="宋体" w:cs="Times New Roman"/>
                      <w:color w:val="000000"/>
                      <w:sz w:val="21"/>
                      <w:szCs w:val="21"/>
                      <w:lang w:val="en-US" w:eastAsia="zh-CN"/>
                    </w:rPr>
                    <w:t>用于收集生活垃圾</w:t>
                  </w:r>
                  <w:r>
                    <w:rPr>
                      <w:rFonts w:ascii="Times New Roman" w:hAnsi="Times New Roman" w:eastAsia="宋体" w:cs="Times New Roman"/>
                      <w:color w:val="000000"/>
                      <w:sz w:val="21"/>
                      <w:szCs w:val="21"/>
                    </w:rPr>
                    <w:t>。</w:t>
                  </w:r>
                </w:p>
                <w:p w14:paraId="6EEB1A06">
                  <w:pPr>
                    <w:pStyle w:val="262"/>
                    <w:keepNext w:val="0"/>
                    <w:keepLines w:val="0"/>
                    <w:pageBreakBefore w:val="0"/>
                    <w:widowControl w:val="0"/>
                    <w:spacing w:line="240" w:lineRule="auto"/>
                    <w:ind w:left="0" w:right="0" w:firstLine="420"/>
                    <w:jc w:val="both"/>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②一般固废：设1间一般固废暂存间，建筑</w:t>
                  </w:r>
                  <w:r>
                    <w:rPr>
                      <w:rFonts w:ascii="Times New Roman" w:hAnsi="Times New Roman" w:eastAsia="宋体" w:cs="Times New Roman"/>
                      <w:color w:val="000000"/>
                      <w:spacing w:val="-6"/>
                      <w:sz w:val="21"/>
                      <w:szCs w:val="21"/>
                      <w:highlight w:val="none"/>
                    </w:rPr>
                    <w:t>面积</w:t>
                  </w:r>
                  <w:r>
                    <w:rPr>
                      <w:rFonts w:hint="eastAsia" w:ascii="Times New Roman" w:hAnsi="Times New Roman" w:eastAsia="宋体" w:cs="Times New Roman"/>
                      <w:color w:val="000000"/>
                      <w:spacing w:val="-6"/>
                      <w:sz w:val="21"/>
                      <w:szCs w:val="21"/>
                      <w:highlight w:val="none"/>
                      <w:lang w:val="en-US" w:eastAsia="zh-CN"/>
                    </w:rPr>
                    <w:t>50</w:t>
                  </w:r>
                  <w:r>
                    <w:rPr>
                      <w:rFonts w:ascii="Times New Roman" w:hAnsi="Times New Roman" w:eastAsia="宋体" w:cs="Times New Roman"/>
                      <w:color w:val="000000"/>
                      <w:spacing w:val="-6"/>
                      <w:sz w:val="21"/>
                      <w:szCs w:val="21"/>
                      <w:highlight w:val="none"/>
                    </w:rPr>
                    <w:t>m</w:t>
                  </w:r>
                  <w:r>
                    <w:rPr>
                      <w:rFonts w:ascii="Times New Roman" w:hAnsi="Times New Roman" w:eastAsia="宋体" w:cs="Times New Roman"/>
                      <w:color w:val="000000"/>
                      <w:spacing w:val="-6"/>
                      <w:sz w:val="21"/>
                      <w:szCs w:val="21"/>
                      <w:highlight w:val="none"/>
                      <w:vertAlign w:val="superscript"/>
                    </w:rPr>
                    <w:t>2</w:t>
                  </w:r>
                  <w:r>
                    <w:rPr>
                      <w:rFonts w:hint="eastAsia" w:ascii="Times New Roman" w:hAnsi="Times New Roman" w:eastAsia="宋体" w:cs="Times New Roman"/>
                      <w:color w:val="000000"/>
                      <w:sz w:val="21"/>
                      <w:szCs w:val="21"/>
                      <w:lang w:val="en-US" w:eastAsia="zh-CN" w:bidi="ar-SA"/>
                    </w:rPr>
                    <w:t>，按照《一般工业固体废物贮存和填埋污染控制标准》（GB18599-2020）要求进行设计、施工，做到防渗漏、防雨淋、防散失处理，避免对环境造成二次污染。</w:t>
                  </w:r>
                </w:p>
                <w:p w14:paraId="2199BC0E">
                  <w:pPr>
                    <w:pStyle w:val="262"/>
                    <w:keepNext w:val="0"/>
                    <w:keepLines w:val="0"/>
                    <w:pageBreakBefore w:val="0"/>
                    <w:widowControl w:val="0"/>
                    <w:spacing w:line="240" w:lineRule="auto"/>
                    <w:ind w:left="0" w:right="0" w:firstLine="420"/>
                    <w:jc w:val="both"/>
                    <w:rPr>
                      <w:rFonts w:hint="eastAsia"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color w:val="000000"/>
                      <w:sz w:val="21"/>
                      <w:szCs w:val="21"/>
                      <w:lang w:val="en-US" w:eastAsia="zh-CN" w:bidi="ar-SA"/>
                    </w:rPr>
                    <w:t>③危废：设1间危险废物暂存间，建筑</w:t>
                  </w:r>
                  <w:r>
                    <w:rPr>
                      <w:rFonts w:ascii="Times New Roman" w:hAnsi="Times New Roman" w:eastAsia="宋体" w:cs="Times New Roman"/>
                      <w:color w:val="000000"/>
                      <w:spacing w:val="-6"/>
                      <w:sz w:val="21"/>
                      <w:szCs w:val="21"/>
                      <w:highlight w:val="none"/>
                    </w:rPr>
                    <w:t>面积</w:t>
                  </w:r>
                  <w:r>
                    <w:rPr>
                      <w:rFonts w:hint="eastAsia" w:ascii="Times New Roman" w:hAnsi="Times New Roman" w:eastAsia="宋体" w:cs="Times New Roman"/>
                      <w:color w:val="000000"/>
                      <w:spacing w:val="-6"/>
                      <w:sz w:val="21"/>
                      <w:szCs w:val="21"/>
                      <w:highlight w:val="none"/>
                      <w:lang w:val="en-US" w:eastAsia="zh-CN"/>
                    </w:rPr>
                    <w:t>10</w:t>
                  </w:r>
                  <w:r>
                    <w:rPr>
                      <w:rFonts w:ascii="Times New Roman" w:hAnsi="Times New Roman" w:eastAsia="宋体" w:cs="Times New Roman"/>
                      <w:color w:val="000000"/>
                      <w:spacing w:val="-6"/>
                      <w:sz w:val="21"/>
                      <w:szCs w:val="21"/>
                      <w:highlight w:val="none"/>
                    </w:rPr>
                    <w:t>m</w:t>
                  </w:r>
                  <w:r>
                    <w:rPr>
                      <w:rFonts w:ascii="Times New Roman" w:hAnsi="Times New Roman" w:eastAsia="宋体" w:cs="Times New Roman"/>
                      <w:color w:val="000000"/>
                      <w:spacing w:val="-6"/>
                      <w:sz w:val="21"/>
                      <w:szCs w:val="21"/>
                      <w:highlight w:val="none"/>
                      <w:vertAlign w:val="superscript"/>
                    </w:rPr>
                    <w:t>2</w:t>
                  </w:r>
                  <w:r>
                    <w:rPr>
                      <w:rFonts w:hint="eastAsia" w:ascii="Times New Roman" w:hAnsi="Times New Roman" w:eastAsia="宋体" w:cs="Times New Roman"/>
                      <w:color w:val="000000"/>
                      <w:sz w:val="21"/>
                      <w:szCs w:val="21"/>
                      <w:lang w:val="en-US" w:eastAsia="zh-CN" w:bidi="ar-SA"/>
                    </w:rPr>
                    <w:t>，按照《危险废物贮存污染控制标准》（GB18597-2001）要求进行设计、施工，做到防渗漏，防雨淋、放散失处理，避免对环境造成二次污染。</w:t>
                  </w:r>
                </w:p>
              </w:tc>
            </w:tr>
          </w:tbl>
          <w:p w14:paraId="23A0907C">
            <w:pPr>
              <w:keepNext w:val="0"/>
              <w:keepLines w:val="0"/>
              <w:pageBreakBefore w:val="0"/>
              <w:widowControl w:val="0"/>
              <w:spacing w:before="157" w:line="240" w:lineRule="auto"/>
              <w:ind w:firstLine="0"/>
              <w:jc w:val="center"/>
            </w:pPr>
            <w:r>
              <w:rPr>
                <w:b/>
                <w:bCs/>
                <w:sz w:val="24"/>
                <w:szCs w:val="24"/>
              </w:rPr>
              <w:t>表</w:t>
            </w:r>
            <w:r>
              <w:rPr>
                <w:b/>
                <w:bCs/>
                <w:sz w:val="24"/>
                <w:szCs w:val="24"/>
                <w:lang w:val="en-US" w:eastAsia="zh-CN"/>
              </w:rPr>
              <w:t>2</w:t>
            </w:r>
            <w:r>
              <w:rPr>
                <w:b/>
                <w:bCs/>
                <w:sz w:val="24"/>
                <w:szCs w:val="24"/>
              </w:rPr>
              <w:t>-3  项目</w:t>
            </w:r>
            <w:r>
              <w:rPr>
                <w:b/>
                <w:bCs/>
                <w:sz w:val="24"/>
                <w:szCs w:val="24"/>
                <w:lang w:val="en-US" w:eastAsia="zh-CN"/>
              </w:rPr>
              <w:t>主要建筑</w:t>
            </w:r>
            <w:r>
              <w:rPr>
                <w:b/>
                <w:bCs/>
                <w:sz w:val="24"/>
                <w:szCs w:val="24"/>
              </w:rPr>
              <w:t>指标</w:t>
            </w:r>
            <w:r>
              <w:rPr>
                <w:b/>
                <w:bCs/>
                <w:sz w:val="24"/>
                <w:szCs w:val="24"/>
                <w:lang w:val="en-US" w:eastAsia="zh-CN"/>
              </w:rPr>
              <w:t>一览</w:t>
            </w:r>
            <w:r>
              <w:rPr>
                <w:b/>
                <w:bCs/>
                <w:sz w:val="24"/>
                <w:szCs w:val="24"/>
              </w:rPr>
              <w:t>表</w:t>
            </w:r>
          </w:p>
          <w:tbl>
            <w:tblPr>
              <w:tblStyle w:val="29"/>
              <w:tblW w:w="498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1"/>
              <w:gridCol w:w="1461"/>
              <w:gridCol w:w="1461"/>
              <w:gridCol w:w="1461"/>
              <w:gridCol w:w="1461"/>
              <w:gridCol w:w="1461"/>
            </w:tblGrid>
            <w:tr w14:paraId="71045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285" w:hRule="atLeast"/>
                <w:jc w:val="center"/>
              </w:trPr>
              <w:tc>
                <w:tcPr>
                  <w:tcW w:w="2125" w:type="dxa"/>
                  <w:noWrap w:val="0"/>
                  <w:vAlign w:val="center"/>
                </w:tcPr>
                <w:p w14:paraId="650750DE">
                  <w:pPr>
                    <w:widowControl/>
                    <w:spacing w:line="240" w:lineRule="auto"/>
                    <w:ind w:firstLine="0"/>
                    <w:jc w:val="center"/>
                    <w:rPr>
                      <w:b/>
                      <w:bCs/>
                    </w:rPr>
                  </w:pPr>
                  <w:r>
                    <w:rPr>
                      <w:b/>
                      <w:bCs/>
                    </w:rPr>
                    <w:t>项目名称</w:t>
                  </w:r>
                </w:p>
              </w:tc>
              <w:tc>
                <w:tcPr>
                  <w:tcW w:w="634" w:type="dxa"/>
                  <w:noWrap w:val="0"/>
                  <w:vAlign w:val="center"/>
                </w:tcPr>
                <w:p w14:paraId="1AC1C6DC">
                  <w:pPr>
                    <w:widowControl/>
                    <w:spacing w:line="240" w:lineRule="auto"/>
                    <w:ind w:firstLine="0"/>
                    <w:jc w:val="center"/>
                    <w:rPr>
                      <w:b/>
                      <w:bCs/>
                    </w:rPr>
                  </w:pPr>
                  <w:r>
                    <w:rPr>
                      <w:b/>
                      <w:bCs/>
                    </w:rPr>
                    <w:t>单位</w:t>
                  </w:r>
                </w:p>
              </w:tc>
              <w:tc>
                <w:tcPr>
                  <w:tcW w:w="962" w:type="dxa"/>
                  <w:noWrap w:val="0"/>
                  <w:vAlign w:val="top"/>
                </w:tcPr>
                <w:p w14:paraId="0B81613A">
                  <w:pPr>
                    <w:widowControl/>
                    <w:spacing w:line="240" w:lineRule="auto"/>
                    <w:ind w:firstLine="0"/>
                    <w:jc w:val="center"/>
                    <w:rPr>
                      <w:b/>
                      <w:bCs/>
                    </w:rPr>
                  </w:pPr>
                  <w:r>
                    <w:rPr>
                      <w:b/>
                      <w:bCs/>
                    </w:rPr>
                    <w:t>占地面积</w:t>
                  </w:r>
                </w:p>
              </w:tc>
              <w:tc>
                <w:tcPr>
                  <w:tcW w:w="1277" w:type="dxa"/>
                  <w:noWrap w:val="0"/>
                  <w:vAlign w:val="center"/>
                </w:tcPr>
                <w:p w14:paraId="4199F9AD">
                  <w:pPr>
                    <w:spacing w:line="240" w:lineRule="auto"/>
                    <w:ind w:firstLine="0"/>
                    <w:jc w:val="center"/>
                    <w:rPr>
                      <w:b/>
                      <w:bCs/>
                    </w:rPr>
                  </w:pPr>
                  <w:r>
                    <w:rPr>
                      <w:b/>
                      <w:bCs/>
                    </w:rPr>
                    <w:t>备注</w:t>
                  </w:r>
                </w:p>
              </w:tc>
            </w:tr>
            <w:tr w14:paraId="399E0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285" w:hRule="atLeast"/>
                <w:jc w:val="center"/>
              </w:trPr>
              <w:tc>
                <w:tcPr>
                  <w:tcW w:w="2125" w:type="dxa"/>
                  <w:noWrap w:val="0"/>
                  <w:vAlign w:val="center"/>
                </w:tcPr>
                <w:p w14:paraId="6478A4A9">
                  <w:pPr>
                    <w:widowControl/>
                    <w:spacing w:line="240" w:lineRule="auto"/>
                    <w:ind w:firstLine="0"/>
                    <w:jc w:val="center"/>
                  </w:pPr>
                  <w:r>
                    <w:t>总用地面积</w:t>
                  </w:r>
                </w:p>
              </w:tc>
              <w:tc>
                <w:tcPr>
                  <w:tcW w:w="634" w:type="dxa"/>
                  <w:noWrap w:val="0"/>
                  <w:vAlign w:val="center"/>
                </w:tcPr>
                <w:p w14:paraId="28FACE5C">
                  <w:pPr>
                    <w:spacing w:line="240" w:lineRule="auto"/>
                    <w:ind w:firstLine="0"/>
                    <w:jc w:val="center"/>
                  </w:pPr>
                  <w:r>
                    <w:t>m</w:t>
                  </w:r>
                  <w:r>
                    <w:rPr>
                      <w:vertAlign w:val="superscript"/>
                    </w:rPr>
                    <w:t>2</w:t>
                  </w:r>
                </w:p>
              </w:tc>
              <w:tc>
                <w:tcPr>
                  <w:tcW w:w="962" w:type="dxa"/>
                  <w:noWrap w:val="0"/>
                  <w:vAlign w:val="center"/>
                </w:tcPr>
                <w:p w14:paraId="0091EBBE">
                  <w:pPr>
                    <w:spacing w:line="240" w:lineRule="auto"/>
                    <w:ind w:firstLine="0"/>
                    <w:jc w:val="center"/>
                    <w:rPr>
                      <w:lang w:val="en-US" w:eastAsia="zh-CN"/>
                    </w:rPr>
                  </w:pPr>
                  <w:r>
                    <w:rPr>
                      <w:rFonts w:hint="eastAsia"/>
                      <w:lang w:val="en-US" w:eastAsia="zh-CN"/>
                    </w:rPr>
                    <w:t>17333.33</w:t>
                  </w:r>
                </w:p>
              </w:tc>
              <w:tc>
                <w:tcPr>
                  <w:tcW w:w="1277" w:type="dxa"/>
                  <w:noWrap w:val="0"/>
                  <w:vAlign w:val="center"/>
                </w:tcPr>
                <w:p w14:paraId="155C43A0">
                  <w:pPr>
                    <w:spacing w:line="240" w:lineRule="auto"/>
                    <w:ind w:firstLine="0"/>
                    <w:jc w:val="center"/>
                    <w:rPr>
                      <w:rFonts w:hint="eastAsia"/>
                      <w:lang w:val="en-US" w:eastAsia="zh-CN"/>
                    </w:rPr>
                  </w:pPr>
                  <w:r>
                    <w:rPr>
                      <w:rFonts w:hint="eastAsia"/>
                      <w:lang w:val="en-US" w:eastAsia="zh-CN"/>
                    </w:rPr>
                    <w:t>/</w:t>
                  </w:r>
                </w:p>
              </w:tc>
            </w:tr>
            <w:tr w14:paraId="66C08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285" w:hRule="atLeast"/>
                <w:jc w:val="center"/>
              </w:trPr>
              <w:tc>
                <w:tcPr>
                  <w:tcW w:w="2125" w:type="dxa"/>
                  <w:noWrap w:val="0"/>
                  <w:vAlign w:val="center"/>
                </w:tcPr>
                <w:p w14:paraId="7B14BF0E">
                  <w:pPr>
                    <w:widowControl/>
                    <w:spacing w:line="240" w:lineRule="auto"/>
                    <w:ind w:firstLine="0"/>
                    <w:jc w:val="center"/>
                    <w:rPr>
                      <w:rFonts w:hint="eastAsia" w:eastAsia="宋体"/>
                      <w:lang w:val="en-US" w:eastAsia="zh-CN"/>
                    </w:rPr>
                  </w:pPr>
                  <w:r>
                    <w:rPr>
                      <w:rFonts w:hint="eastAsia"/>
                      <w:lang w:val="en-US" w:eastAsia="zh-CN"/>
                    </w:rPr>
                    <w:t>总建筑面积</w:t>
                  </w:r>
                </w:p>
              </w:tc>
              <w:tc>
                <w:tcPr>
                  <w:tcW w:w="634" w:type="dxa"/>
                  <w:noWrap w:val="0"/>
                  <w:vAlign w:val="center"/>
                </w:tcPr>
                <w:p w14:paraId="0FF6AF65">
                  <w:pPr>
                    <w:spacing w:line="240" w:lineRule="auto"/>
                    <w:ind w:firstLine="0"/>
                    <w:jc w:val="center"/>
                  </w:pPr>
                  <w:r>
                    <w:t>m</w:t>
                  </w:r>
                  <w:r>
                    <w:rPr>
                      <w:vertAlign w:val="superscript"/>
                    </w:rPr>
                    <w:t>2</w:t>
                  </w:r>
                </w:p>
              </w:tc>
              <w:tc>
                <w:tcPr>
                  <w:tcW w:w="962" w:type="dxa"/>
                  <w:noWrap w:val="0"/>
                  <w:vAlign w:val="center"/>
                </w:tcPr>
                <w:p w14:paraId="010BB811">
                  <w:pPr>
                    <w:spacing w:line="240" w:lineRule="auto"/>
                    <w:ind w:firstLine="0"/>
                    <w:jc w:val="center"/>
                    <w:rPr>
                      <w:lang w:val="en-US" w:eastAsia="zh-CN"/>
                    </w:rPr>
                  </w:pPr>
                  <w:r>
                    <w:rPr>
                      <w:rFonts w:hint="eastAsia"/>
                      <w:lang w:val="en-US" w:eastAsia="zh-CN"/>
                    </w:rPr>
                    <w:t>5200</w:t>
                  </w:r>
                </w:p>
              </w:tc>
              <w:tc>
                <w:tcPr>
                  <w:tcW w:w="1277" w:type="dxa"/>
                  <w:noWrap w:val="0"/>
                  <w:vAlign w:val="center"/>
                </w:tcPr>
                <w:p w14:paraId="070102C8">
                  <w:pPr>
                    <w:spacing w:line="240" w:lineRule="auto"/>
                    <w:ind w:firstLine="0"/>
                    <w:jc w:val="center"/>
                    <w:rPr>
                      <w:rFonts w:hint="eastAsia"/>
                      <w:lang w:val="en-US" w:eastAsia="zh-CN"/>
                    </w:rPr>
                  </w:pPr>
                  <w:r>
                    <w:rPr>
                      <w:rFonts w:hint="eastAsia"/>
                      <w:lang w:val="en-US" w:eastAsia="zh-CN"/>
                    </w:rPr>
                    <w:t>/</w:t>
                  </w:r>
                </w:p>
              </w:tc>
            </w:tr>
            <w:tr w14:paraId="06FA8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134" w:type="dxa"/>
                <w:trHeight w:val="285" w:hRule="atLeast"/>
                <w:jc w:val="center"/>
              </w:trPr>
              <w:tc>
                <w:tcPr>
                  <w:tcW w:w="384" w:type="dxa"/>
                  <w:vMerge w:val="restart"/>
                  <w:noWrap w:val="0"/>
                  <w:vAlign w:val="center"/>
                </w:tcPr>
                <w:p w14:paraId="1853CB9A">
                  <w:pPr>
                    <w:spacing w:line="240" w:lineRule="auto"/>
                    <w:ind w:firstLine="0"/>
                    <w:jc w:val="center"/>
                    <w:rPr>
                      <w:lang w:val="en-US" w:eastAsia="zh-CN"/>
                    </w:rPr>
                  </w:pPr>
                  <w:r>
                    <w:rPr>
                      <w:rFonts w:hint="eastAsia"/>
                      <w:lang w:val="en-US" w:eastAsia="zh-CN"/>
                    </w:rPr>
                    <w:t>其中</w:t>
                  </w:r>
                </w:p>
              </w:tc>
              <w:tc>
                <w:tcPr>
                  <w:tcW w:w="1740" w:type="dxa"/>
                  <w:noWrap w:val="0"/>
                  <w:vAlign w:val="center"/>
                </w:tcPr>
                <w:p w14:paraId="13D1BF66">
                  <w:pPr>
                    <w:spacing w:line="240" w:lineRule="auto"/>
                    <w:ind w:firstLine="0"/>
                    <w:jc w:val="center"/>
                  </w:pPr>
                  <w:r>
                    <w:rPr>
                      <w:rFonts w:hint="eastAsia"/>
                      <w:lang w:val="en-US" w:eastAsia="zh-CN"/>
                    </w:rPr>
                    <w:t>原料预处理车间</w:t>
                  </w:r>
                  <w:r>
                    <w:t>总建筑面积</w:t>
                  </w:r>
                </w:p>
              </w:tc>
              <w:tc>
                <w:tcPr>
                  <w:tcW w:w="634" w:type="dxa"/>
                  <w:noWrap w:val="0"/>
                  <w:vAlign w:val="center"/>
                </w:tcPr>
                <w:p w14:paraId="40058115">
                  <w:pPr>
                    <w:spacing w:line="240" w:lineRule="auto"/>
                    <w:ind w:firstLine="0"/>
                    <w:jc w:val="center"/>
                  </w:pPr>
                  <w:r>
                    <w:t>m</w:t>
                  </w:r>
                  <w:r>
                    <w:rPr>
                      <w:vertAlign w:val="superscript"/>
                    </w:rPr>
                    <w:t>2</w:t>
                  </w:r>
                </w:p>
              </w:tc>
              <w:tc>
                <w:tcPr>
                  <w:tcW w:w="962" w:type="dxa"/>
                  <w:noWrap w:val="0"/>
                  <w:vAlign w:val="center"/>
                </w:tcPr>
                <w:p w14:paraId="0F42750E">
                  <w:pPr>
                    <w:spacing w:line="240" w:lineRule="auto"/>
                    <w:ind w:firstLine="0"/>
                    <w:jc w:val="center"/>
                    <w:rPr>
                      <w:lang w:val="en-US" w:eastAsia="zh-CN"/>
                    </w:rPr>
                  </w:pPr>
                  <w:r>
                    <w:rPr>
                      <w:rFonts w:hint="eastAsia"/>
                      <w:lang w:val="en-US" w:eastAsia="zh-CN"/>
                    </w:rPr>
                    <w:t>980</w:t>
                  </w:r>
                </w:p>
              </w:tc>
              <w:tc>
                <w:tcPr>
                  <w:tcW w:w="1277" w:type="dxa"/>
                  <w:noWrap w:val="0"/>
                  <w:vAlign w:val="center"/>
                </w:tcPr>
                <w:p w14:paraId="03F179C6">
                  <w:pPr>
                    <w:spacing w:line="240" w:lineRule="auto"/>
                    <w:ind w:firstLine="0"/>
                    <w:jc w:val="center"/>
                  </w:pPr>
                  <w:r>
                    <w:t>/</w:t>
                  </w:r>
                </w:p>
              </w:tc>
            </w:tr>
            <w:tr w14:paraId="7F0E3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84" w:type="dxa"/>
                  <w:vMerge w:val="continue"/>
                  <w:noWrap w:val="0"/>
                  <w:vAlign w:val="center"/>
                </w:tcPr>
                <w:p w14:paraId="2B9F601F">
                  <w:pPr>
                    <w:widowControl/>
                    <w:spacing w:line="240" w:lineRule="auto"/>
                    <w:ind w:firstLine="0"/>
                    <w:jc w:val="center"/>
                    <w:rPr>
                      <w:lang w:val="en-US" w:eastAsia="zh-CN"/>
                    </w:rPr>
                  </w:pPr>
                </w:p>
              </w:tc>
              <w:tc>
                <w:tcPr>
                  <w:tcW w:w="422" w:type="dxa"/>
                  <w:vMerge w:val="restart"/>
                  <w:noWrap w:val="0"/>
                  <w:vAlign w:val="center"/>
                </w:tcPr>
                <w:p w14:paraId="5ED9185A">
                  <w:pPr>
                    <w:widowControl/>
                    <w:spacing w:line="240" w:lineRule="auto"/>
                    <w:ind w:firstLine="0"/>
                    <w:jc w:val="center"/>
                    <w:rPr>
                      <w:lang w:val="en-US" w:eastAsia="zh-CN"/>
                    </w:rPr>
                  </w:pPr>
                  <w:r>
                    <w:rPr>
                      <w:lang w:val="en-US" w:eastAsia="zh-CN"/>
                    </w:rPr>
                    <w:t>其中</w:t>
                  </w:r>
                </w:p>
              </w:tc>
              <w:tc>
                <w:tcPr>
                  <w:tcW w:w="1318" w:type="dxa"/>
                  <w:noWrap w:val="0"/>
                  <w:vAlign w:val="center"/>
                </w:tcPr>
                <w:p w14:paraId="01926CB4">
                  <w:pPr>
                    <w:spacing w:line="240" w:lineRule="auto"/>
                    <w:ind w:firstLine="0"/>
                    <w:jc w:val="center"/>
                    <w:rPr>
                      <w:lang w:val="en-US" w:eastAsia="zh-CN"/>
                    </w:rPr>
                  </w:pPr>
                  <w:r>
                    <w:rPr>
                      <w:rFonts w:hint="eastAsia"/>
                      <w:lang w:val="en-US" w:eastAsia="zh-CN"/>
                    </w:rPr>
                    <w:t>原料分选区</w:t>
                  </w:r>
                </w:p>
              </w:tc>
              <w:tc>
                <w:tcPr>
                  <w:tcW w:w="634" w:type="dxa"/>
                  <w:noWrap w:val="0"/>
                  <w:vAlign w:val="center"/>
                </w:tcPr>
                <w:p w14:paraId="48E92573">
                  <w:pPr>
                    <w:spacing w:line="240" w:lineRule="auto"/>
                    <w:ind w:firstLine="0"/>
                    <w:jc w:val="center"/>
                  </w:pPr>
                  <w:r>
                    <w:t>m</w:t>
                  </w:r>
                  <w:r>
                    <w:rPr>
                      <w:vertAlign w:val="superscript"/>
                    </w:rPr>
                    <w:t>2</w:t>
                  </w:r>
                </w:p>
              </w:tc>
              <w:tc>
                <w:tcPr>
                  <w:tcW w:w="962" w:type="dxa"/>
                  <w:noWrap w:val="0"/>
                  <w:vAlign w:val="center"/>
                </w:tcPr>
                <w:p w14:paraId="0D5CBCBF">
                  <w:pPr>
                    <w:spacing w:line="240" w:lineRule="auto"/>
                    <w:ind w:firstLine="0"/>
                    <w:jc w:val="center"/>
                    <w:rPr>
                      <w:lang w:val="en-US" w:eastAsia="zh-CN"/>
                    </w:rPr>
                  </w:pPr>
                  <w:r>
                    <w:rPr>
                      <w:rFonts w:hint="eastAsia"/>
                      <w:lang w:val="en-US" w:eastAsia="zh-CN"/>
                    </w:rPr>
                    <w:t>400</w:t>
                  </w:r>
                </w:p>
              </w:tc>
              <w:tc>
                <w:tcPr>
                  <w:tcW w:w="1277" w:type="dxa"/>
                  <w:noWrap w:val="0"/>
                  <w:vAlign w:val="center"/>
                </w:tcPr>
                <w:p w14:paraId="53F0D715">
                  <w:pPr>
                    <w:widowControl/>
                    <w:spacing w:line="240" w:lineRule="auto"/>
                    <w:ind w:firstLine="0"/>
                    <w:jc w:val="center"/>
                  </w:pPr>
                  <w:r>
                    <w:rPr>
                      <w:lang w:val="en-US" w:eastAsia="zh-CN"/>
                    </w:rPr>
                    <w:t>1</w:t>
                  </w:r>
                  <w:r>
                    <w:t>F</w:t>
                  </w:r>
                </w:p>
              </w:tc>
            </w:tr>
            <w:tr w14:paraId="7B43A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84" w:type="dxa"/>
                  <w:vMerge w:val="continue"/>
                  <w:noWrap w:val="0"/>
                  <w:vAlign w:val="center"/>
                </w:tcPr>
                <w:p w14:paraId="7715D966">
                  <w:pPr>
                    <w:widowControl/>
                    <w:spacing w:line="240" w:lineRule="auto"/>
                    <w:ind w:firstLine="0"/>
                    <w:jc w:val="center"/>
                  </w:pPr>
                </w:p>
              </w:tc>
              <w:tc>
                <w:tcPr>
                  <w:tcW w:w="422" w:type="dxa"/>
                  <w:vMerge w:val="continue"/>
                  <w:noWrap w:val="0"/>
                  <w:vAlign w:val="center"/>
                </w:tcPr>
                <w:p w14:paraId="07C691A1">
                  <w:pPr>
                    <w:widowControl/>
                    <w:spacing w:line="240" w:lineRule="auto"/>
                    <w:ind w:firstLine="0"/>
                    <w:jc w:val="center"/>
                  </w:pPr>
                </w:p>
              </w:tc>
              <w:tc>
                <w:tcPr>
                  <w:tcW w:w="1318" w:type="dxa"/>
                  <w:noWrap w:val="0"/>
                  <w:vAlign w:val="center"/>
                </w:tcPr>
                <w:p w14:paraId="68C9200E">
                  <w:pPr>
                    <w:widowControl/>
                    <w:spacing w:line="240" w:lineRule="auto"/>
                    <w:ind w:firstLine="0"/>
                    <w:jc w:val="center"/>
                    <w:rPr>
                      <w:lang w:val="en-US" w:eastAsia="zh-CN"/>
                    </w:rPr>
                  </w:pPr>
                  <w:r>
                    <w:rPr>
                      <w:rFonts w:hint="eastAsia"/>
                      <w:lang w:val="en-US" w:eastAsia="zh-CN"/>
                    </w:rPr>
                    <w:t>破片区</w:t>
                  </w:r>
                </w:p>
              </w:tc>
              <w:tc>
                <w:tcPr>
                  <w:tcW w:w="634" w:type="dxa"/>
                  <w:noWrap w:val="0"/>
                  <w:vAlign w:val="center"/>
                </w:tcPr>
                <w:p w14:paraId="40A7FA09">
                  <w:pPr>
                    <w:spacing w:line="240" w:lineRule="auto"/>
                    <w:ind w:firstLine="0"/>
                    <w:jc w:val="center"/>
                  </w:pPr>
                  <w:r>
                    <w:t>m</w:t>
                  </w:r>
                  <w:r>
                    <w:rPr>
                      <w:vertAlign w:val="superscript"/>
                    </w:rPr>
                    <w:t>2</w:t>
                  </w:r>
                </w:p>
              </w:tc>
              <w:tc>
                <w:tcPr>
                  <w:tcW w:w="962" w:type="dxa"/>
                  <w:noWrap w:val="0"/>
                  <w:vAlign w:val="center"/>
                </w:tcPr>
                <w:p w14:paraId="669847F3">
                  <w:pPr>
                    <w:spacing w:line="240" w:lineRule="auto"/>
                    <w:ind w:firstLine="0"/>
                    <w:jc w:val="center"/>
                    <w:rPr>
                      <w:lang w:val="en-US" w:eastAsia="zh-CN"/>
                    </w:rPr>
                  </w:pPr>
                  <w:r>
                    <w:rPr>
                      <w:rFonts w:hint="eastAsia"/>
                      <w:lang w:val="en-US" w:eastAsia="zh-CN"/>
                    </w:rPr>
                    <w:t>300</w:t>
                  </w:r>
                </w:p>
              </w:tc>
              <w:tc>
                <w:tcPr>
                  <w:tcW w:w="1277" w:type="dxa"/>
                  <w:noWrap w:val="0"/>
                  <w:vAlign w:val="center"/>
                </w:tcPr>
                <w:p w14:paraId="72ECAF0D">
                  <w:pPr>
                    <w:widowControl/>
                    <w:spacing w:line="240" w:lineRule="auto"/>
                    <w:ind w:firstLine="0"/>
                    <w:jc w:val="center"/>
                  </w:pPr>
                  <w:r>
                    <w:t>1F</w:t>
                  </w:r>
                </w:p>
              </w:tc>
            </w:tr>
            <w:tr w14:paraId="4A9A5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hRule="atLeast"/>
                <w:jc w:val="center"/>
              </w:trPr>
              <w:tc>
                <w:tcPr>
                  <w:tcW w:w="384" w:type="dxa"/>
                  <w:vMerge w:val="continue"/>
                  <w:noWrap w:val="0"/>
                  <w:vAlign w:val="center"/>
                </w:tcPr>
                <w:p w14:paraId="7146A609">
                  <w:pPr>
                    <w:widowControl/>
                    <w:spacing w:line="240" w:lineRule="auto"/>
                    <w:ind w:firstLine="0"/>
                    <w:jc w:val="center"/>
                  </w:pPr>
                </w:p>
              </w:tc>
              <w:tc>
                <w:tcPr>
                  <w:tcW w:w="422" w:type="dxa"/>
                  <w:vMerge w:val="continue"/>
                  <w:noWrap w:val="0"/>
                  <w:vAlign w:val="center"/>
                </w:tcPr>
                <w:p w14:paraId="0DA2643C">
                  <w:pPr>
                    <w:widowControl/>
                    <w:spacing w:line="240" w:lineRule="auto"/>
                    <w:ind w:firstLine="0"/>
                    <w:jc w:val="center"/>
                  </w:pPr>
                </w:p>
              </w:tc>
              <w:tc>
                <w:tcPr>
                  <w:tcW w:w="1318" w:type="dxa"/>
                  <w:noWrap w:val="0"/>
                  <w:vAlign w:val="center"/>
                </w:tcPr>
                <w:p w14:paraId="6A5F762D">
                  <w:pPr>
                    <w:widowControl/>
                    <w:spacing w:line="240" w:lineRule="auto"/>
                    <w:ind w:firstLine="0"/>
                    <w:jc w:val="center"/>
                    <w:rPr>
                      <w:lang w:val="en-US" w:eastAsia="zh-CN"/>
                    </w:rPr>
                  </w:pPr>
                  <w:r>
                    <w:rPr>
                      <w:rFonts w:hint="eastAsia"/>
                      <w:lang w:val="en-US" w:eastAsia="zh-CN"/>
                    </w:rPr>
                    <w:t>清边区</w:t>
                  </w:r>
                </w:p>
              </w:tc>
              <w:tc>
                <w:tcPr>
                  <w:tcW w:w="634" w:type="dxa"/>
                  <w:noWrap w:val="0"/>
                  <w:vAlign w:val="center"/>
                </w:tcPr>
                <w:p w14:paraId="4B746FE0">
                  <w:pPr>
                    <w:spacing w:line="240" w:lineRule="auto"/>
                    <w:ind w:firstLine="0"/>
                    <w:jc w:val="center"/>
                  </w:pPr>
                  <w:r>
                    <w:t>m</w:t>
                  </w:r>
                  <w:r>
                    <w:rPr>
                      <w:vertAlign w:val="superscript"/>
                    </w:rPr>
                    <w:t>2</w:t>
                  </w:r>
                </w:p>
              </w:tc>
              <w:tc>
                <w:tcPr>
                  <w:tcW w:w="962" w:type="dxa"/>
                  <w:noWrap w:val="0"/>
                  <w:vAlign w:val="center"/>
                </w:tcPr>
                <w:p w14:paraId="7ACC0750">
                  <w:pPr>
                    <w:spacing w:line="240" w:lineRule="auto"/>
                    <w:ind w:firstLine="0"/>
                    <w:jc w:val="center"/>
                    <w:rPr>
                      <w:lang w:val="en-US" w:eastAsia="zh-CN"/>
                    </w:rPr>
                  </w:pPr>
                  <w:r>
                    <w:rPr>
                      <w:rFonts w:hint="eastAsia"/>
                      <w:lang w:val="en-US" w:eastAsia="zh-CN"/>
                    </w:rPr>
                    <w:t>280</w:t>
                  </w:r>
                </w:p>
              </w:tc>
              <w:tc>
                <w:tcPr>
                  <w:tcW w:w="1277" w:type="dxa"/>
                  <w:noWrap w:val="0"/>
                  <w:vAlign w:val="center"/>
                </w:tcPr>
                <w:p w14:paraId="7C661F93">
                  <w:pPr>
                    <w:widowControl/>
                    <w:spacing w:line="240" w:lineRule="auto"/>
                    <w:ind w:firstLine="0"/>
                    <w:jc w:val="center"/>
                  </w:pPr>
                  <w:r>
                    <w:t>1F</w:t>
                  </w:r>
                </w:p>
              </w:tc>
            </w:tr>
            <w:tr w14:paraId="2A4BA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85" w:hRule="atLeast"/>
                <w:jc w:val="center"/>
              </w:trPr>
              <w:tc>
                <w:tcPr>
                  <w:tcW w:w="384" w:type="dxa"/>
                  <w:vMerge w:val="continue"/>
                  <w:noWrap w:val="0"/>
                  <w:vAlign w:val="center"/>
                </w:tcPr>
                <w:p w14:paraId="7CCAEC37">
                  <w:pPr>
                    <w:widowControl/>
                    <w:spacing w:line="240" w:lineRule="auto"/>
                    <w:ind w:firstLine="0"/>
                    <w:jc w:val="center"/>
                    <w:rPr>
                      <w:rFonts w:hint="eastAsia"/>
                      <w:lang w:val="en-US" w:eastAsia="zh-CN"/>
                    </w:rPr>
                  </w:pPr>
                </w:p>
              </w:tc>
              <w:tc>
                <w:tcPr>
                  <w:tcW w:w="1740" w:type="dxa"/>
                  <w:noWrap w:val="0"/>
                  <w:vAlign w:val="center"/>
                </w:tcPr>
                <w:p w14:paraId="51202963">
                  <w:pPr>
                    <w:widowControl/>
                    <w:spacing w:line="240" w:lineRule="auto"/>
                    <w:ind w:firstLine="0"/>
                    <w:jc w:val="center"/>
                    <w:rPr>
                      <w:rFonts w:hint="eastAsia"/>
                      <w:lang w:val="en-US" w:eastAsia="zh-CN"/>
                    </w:rPr>
                  </w:pPr>
                  <w:r>
                    <w:rPr>
                      <w:rFonts w:hint="eastAsia"/>
                      <w:lang w:val="en-US" w:eastAsia="zh-CN"/>
                    </w:rPr>
                    <w:t>生产车间</w:t>
                  </w:r>
                  <w:r>
                    <w:t>总建筑面积</w:t>
                  </w:r>
                </w:p>
              </w:tc>
              <w:tc>
                <w:tcPr>
                  <w:tcW w:w="634" w:type="dxa"/>
                  <w:noWrap w:val="0"/>
                  <w:vAlign w:val="center"/>
                </w:tcPr>
                <w:p w14:paraId="4266BB2D">
                  <w:pPr>
                    <w:spacing w:line="240" w:lineRule="auto"/>
                    <w:ind w:firstLine="0"/>
                    <w:jc w:val="center"/>
                  </w:pPr>
                  <w:r>
                    <w:t>m</w:t>
                  </w:r>
                  <w:r>
                    <w:rPr>
                      <w:vertAlign w:val="superscript"/>
                    </w:rPr>
                    <w:t>2</w:t>
                  </w:r>
                </w:p>
              </w:tc>
              <w:tc>
                <w:tcPr>
                  <w:tcW w:w="962" w:type="dxa"/>
                  <w:noWrap w:val="0"/>
                  <w:vAlign w:val="center"/>
                </w:tcPr>
                <w:p w14:paraId="2582EDB2">
                  <w:pPr>
                    <w:spacing w:line="240" w:lineRule="auto"/>
                    <w:ind w:firstLine="0"/>
                    <w:jc w:val="center"/>
                    <w:rPr>
                      <w:lang w:val="en-US" w:eastAsia="zh-CN"/>
                    </w:rPr>
                  </w:pPr>
                  <w:r>
                    <w:rPr>
                      <w:rFonts w:hint="eastAsia"/>
                      <w:lang w:val="en-US" w:eastAsia="zh-CN"/>
                    </w:rPr>
                    <w:t>3000</w:t>
                  </w:r>
                </w:p>
              </w:tc>
              <w:tc>
                <w:tcPr>
                  <w:tcW w:w="1277" w:type="dxa"/>
                  <w:noWrap w:val="0"/>
                  <w:vAlign w:val="center"/>
                </w:tcPr>
                <w:p w14:paraId="09FE1A6A">
                  <w:pPr>
                    <w:widowControl/>
                    <w:spacing w:line="240" w:lineRule="auto"/>
                    <w:ind w:firstLine="0"/>
                    <w:jc w:val="center"/>
                    <w:rPr>
                      <w:lang w:val="en-US" w:eastAsia="zh-CN"/>
                    </w:rPr>
                  </w:pPr>
                  <w:r>
                    <w:t>1F</w:t>
                  </w:r>
                </w:p>
              </w:tc>
            </w:tr>
            <w:tr w14:paraId="6AE9C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84" w:type="dxa"/>
                  <w:vMerge w:val="continue"/>
                  <w:noWrap w:val="0"/>
                  <w:vAlign w:val="center"/>
                </w:tcPr>
                <w:p w14:paraId="373E0C22">
                  <w:pPr>
                    <w:widowControl/>
                    <w:spacing w:line="240" w:lineRule="auto"/>
                    <w:ind w:firstLine="0"/>
                    <w:jc w:val="center"/>
                    <w:rPr>
                      <w:lang w:val="en-US" w:eastAsia="zh-CN"/>
                    </w:rPr>
                  </w:pPr>
                </w:p>
              </w:tc>
              <w:tc>
                <w:tcPr>
                  <w:tcW w:w="422" w:type="dxa"/>
                  <w:vMerge w:val="restart"/>
                  <w:noWrap w:val="0"/>
                  <w:vAlign w:val="center"/>
                </w:tcPr>
                <w:p w14:paraId="1DD415F3">
                  <w:pPr>
                    <w:widowControl/>
                    <w:spacing w:line="240" w:lineRule="auto"/>
                    <w:ind w:firstLine="0"/>
                    <w:jc w:val="center"/>
                    <w:rPr>
                      <w:lang w:val="en-US" w:eastAsia="zh-CN"/>
                    </w:rPr>
                  </w:pPr>
                  <w:r>
                    <w:rPr>
                      <w:lang w:val="en-US" w:eastAsia="zh-CN"/>
                    </w:rPr>
                    <w:t>其中</w:t>
                  </w:r>
                </w:p>
              </w:tc>
              <w:tc>
                <w:tcPr>
                  <w:tcW w:w="1318" w:type="dxa"/>
                  <w:noWrap w:val="0"/>
                  <w:vAlign w:val="center"/>
                </w:tcPr>
                <w:p w14:paraId="504C07E9">
                  <w:pPr>
                    <w:widowControl/>
                    <w:spacing w:line="240" w:lineRule="auto"/>
                    <w:ind w:firstLine="0"/>
                    <w:jc w:val="center"/>
                    <w:rPr>
                      <w:lang w:val="en-US" w:eastAsia="zh-CN"/>
                    </w:rPr>
                  </w:pPr>
                  <w:r>
                    <w:rPr>
                      <w:rFonts w:hint="eastAsia"/>
                      <w:lang w:val="en-US" w:eastAsia="zh-CN"/>
                    </w:rPr>
                    <w:t>烘干区</w:t>
                  </w:r>
                </w:p>
              </w:tc>
              <w:tc>
                <w:tcPr>
                  <w:tcW w:w="634" w:type="dxa"/>
                  <w:noWrap w:val="0"/>
                  <w:vAlign w:val="center"/>
                </w:tcPr>
                <w:p w14:paraId="39BCC080">
                  <w:pPr>
                    <w:spacing w:line="240" w:lineRule="auto"/>
                    <w:ind w:firstLine="0"/>
                    <w:jc w:val="center"/>
                  </w:pPr>
                  <w:r>
                    <w:t>m</w:t>
                  </w:r>
                  <w:r>
                    <w:rPr>
                      <w:vertAlign w:val="superscript"/>
                    </w:rPr>
                    <w:t>2</w:t>
                  </w:r>
                </w:p>
              </w:tc>
              <w:tc>
                <w:tcPr>
                  <w:tcW w:w="962" w:type="dxa"/>
                  <w:noWrap w:val="0"/>
                  <w:vAlign w:val="center"/>
                </w:tcPr>
                <w:p w14:paraId="63AA5C84">
                  <w:pPr>
                    <w:spacing w:line="240" w:lineRule="auto"/>
                    <w:ind w:firstLine="0"/>
                    <w:jc w:val="center"/>
                    <w:rPr>
                      <w:lang w:val="en-US" w:eastAsia="zh-CN"/>
                    </w:rPr>
                  </w:pPr>
                  <w:r>
                    <w:rPr>
                      <w:rFonts w:hint="eastAsia"/>
                      <w:lang w:val="en-US" w:eastAsia="zh-CN"/>
                    </w:rPr>
                    <w:t>1000</w:t>
                  </w:r>
                </w:p>
              </w:tc>
              <w:tc>
                <w:tcPr>
                  <w:tcW w:w="1277" w:type="dxa"/>
                  <w:noWrap w:val="0"/>
                  <w:vAlign w:val="center"/>
                </w:tcPr>
                <w:p w14:paraId="3725181A">
                  <w:pPr>
                    <w:widowControl/>
                    <w:spacing w:line="240" w:lineRule="auto"/>
                    <w:ind w:firstLine="0"/>
                    <w:jc w:val="center"/>
                    <w:rPr>
                      <w:lang w:val="en-US" w:eastAsia="zh-CN"/>
                    </w:rPr>
                  </w:pPr>
                  <w:r>
                    <w:rPr>
                      <w:rFonts w:hint="eastAsia"/>
                      <w:lang w:val="en-US" w:eastAsia="zh-CN"/>
                    </w:rPr>
                    <w:t>1</w:t>
                  </w:r>
                  <w:r>
                    <w:rPr>
                      <w:lang w:val="en-US" w:eastAsia="zh-CN"/>
                    </w:rPr>
                    <w:t>F</w:t>
                  </w:r>
                </w:p>
              </w:tc>
            </w:tr>
            <w:tr w14:paraId="4BFB2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84" w:type="dxa"/>
                  <w:vMerge w:val="continue"/>
                  <w:noWrap w:val="0"/>
                  <w:vAlign w:val="center"/>
                </w:tcPr>
                <w:p w14:paraId="238B7D91">
                  <w:pPr>
                    <w:widowControl/>
                    <w:spacing w:line="240" w:lineRule="auto"/>
                    <w:ind w:firstLine="0"/>
                    <w:jc w:val="center"/>
                    <w:rPr>
                      <w:lang w:val="en-US" w:eastAsia="zh-CN"/>
                    </w:rPr>
                  </w:pPr>
                </w:p>
              </w:tc>
              <w:tc>
                <w:tcPr>
                  <w:tcW w:w="422" w:type="dxa"/>
                  <w:vMerge w:val="continue"/>
                  <w:noWrap w:val="0"/>
                  <w:vAlign w:val="center"/>
                </w:tcPr>
                <w:p w14:paraId="758D5E36">
                  <w:pPr>
                    <w:widowControl/>
                    <w:spacing w:line="240" w:lineRule="auto"/>
                    <w:ind w:firstLine="0"/>
                    <w:jc w:val="center"/>
                    <w:rPr>
                      <w:lang w:val="en-US" w:eastAsia="zh-CN"/>
                    </w:rPr>
                  </w:pPr>
                </w:p>
              </w:tc>
              <w:tc>
                <w:tcPr>
                  <w:tcW w:w="1318" w:type="dxa"/>
                  <w:noWrap w:val="0"/>
                  <w:vAlign w:val="center"/>
                </w:tcPr>
                <w:p w14:paraId="3FDBC442">
                  <w:pPr>
                    <w:widowControl/>
                    <w:spacing w:line="240" w:lineRule="auto"/>
                    <w:ind w:firstLine="0"/>
                    <w:jc w:val="center"/>
                    <w:rPr>
                      <w:lang w:val="en-US" w:eastAsia="zh-CN"/>
                    </w:rPr>
                  </w:pPr>
                  <w:r>
                    <w:rPr>
                      <w:rFonts w:hint="eastAsia"/>
                      <w:lang w:val="en-US" w:eastAsia="zh-CN"/>
                    </w:rPr>
                    <w:t>涂胶区</w:t>
                  </w:r>
                </w:p>
              </w:tc>
              <w:tc>
                <w:tcPr>
                  <w:tcW w:w="634" w:type="dxa"/>
                  <w:noWrap w:val="0"/>
                  <w:vAlign w:val="center"/>
                </w:tcPr>
                <w:p w14:paraId="146C9814">
                  <w:pPr>
                    <w:spacing w:line="240" w:lineRule="auto"/>
                    <w:ind w:firstLine="0"/>
                    <w:jc w:val="center"/>
                  </w:pPr>
                  <w:r>
                    <w:t>m</w:t>
                  </w:r>
                  <w:r>
                    <w:rPr>
                      <w:vertAlign w:val="superscript"/>
                    </w:rPr>
                    <w:t>2</w:t>
                  </w:r>
                </w:p>
              </w:tc>
              <w:tc>
                <w:tcPr>
                  <w:tcW w:w="962" w:type="dxa"/>
                  <w:noWrap w:val="0"/>
                  <w:vAlign w:val="center"/>
                </w:tcPr>
                <w:p w14:paraId="7AEBAE4E">
                  <w:pPr>
                    <w:spacing w:line="240" w:lineRule="auto"/>
                    <w:ind w:firstLine="0"/>
                    <w:jc w:val="center"/>
                    <w:rPr>
                      <w:lang w:val="en-US" w:eastAsia="zh-CN"/>
                    </w:rPr>
                  </w:pPr>
                  <w:r>
                    <w:rPr>
                      <w:rFonts w:hint="eastAsia"/>
                      <w:lang w:val="en-US" w:eastAsia="zh-CN"/>
                    </w:rPr>
                    <w:t>800</w:t>
                  </w:r>
                </w:p>
              </w:tc>
              <w:tc>
                <w:tcPr>
                  <w:tcW w:w="1277" w:type="dxa"/>
                  <w:noWrap w:val="0"/>
                  <w:vAlign w:val="center"/>
                </w:tcPr>
                <w:p w14:paraId="6748373D">
                  <w:pPr>
                    <w:widowControl/>
                    <w:spacing w:line="240" w:lineRule="auto"/>
                    <w:ind w:firstLine="0"/>
                    <w:jc w:val="center"/>
                    <w:rPr>
                      <w:lang w:val="en-US" w:eastAsia="zh-CN"/>
                    </w:rPr>
                  </w:pPr>
                  <w:r>
                    <w:rPr>
                      <w:lang w:val="en-US" w:eastAsia="zh-CN"/>
                    </w:rPr>
                    <w:t>1</w:t>
                  </w:r>
                  <w:r>
                    <w:t>F</w:t>
                  </w:r>
                </w:p>
              </w:tc>
            </w:tr>
            <w:tr w14:paraId="0B240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384" w:type="dxa"/>
                  <w:vMerge w:val="continue"/>
                  <w:noWrap w:val="0"/>
                  <w:vAlign w:val="center"/>
                </w:tcPr>
                <w:p w14:paraId="38BA5A03">
                  <w:pPr>
                    <w:widowControl/>
                    <w:spacing w:line="240" w:lineRule="auto"/>
                    <w:ind w:firstLine="0"/>
                    <w:jc w:val="center"/>
                    <w:rPr>
                      <w:lang w:val="en-US" w:eastAsia="zh-CN"/>
                    </w:rPr>
                  </w:pPr>
                </w:p>
              </w:tc>
              <w:tc>
                <w:tcPr>
                  <w:tcW w:w="422" w:type="dxa"/>
                  <w:vMerge w:val="continue"/>
                  <w:noWrap w:val="0"/>
                  <w:vAlign w:val="center"/>
                </w:tcPr>
                <w:p w14:paraId="1B39A30C">
                  <w:pPr>
                    <w:widowControl/>
                    <w:spacing w:line="240" w:lineRule="auto"/>
                    <w:ind w:firstLine="0"/>
                    <w:jc w:val="center"/>
                    <w:rPr>
                      <w:lang w:val="en-US" w:eastAsia="zh-CN"/>
                    </w:rPr>
                  </w:pPr>
                </w:p>
              </w:tc>
              <w:tc>
                <w:tcPr>
                  <w:tcW w:w="1318" w:type="dxa"/>
                  <w:noWrap w:val="0"/>
                  <w:vAlign w:val="center"/>
                </w:tcPr>
                <w:p w14:paraId="23F385AC">
                  <w:pPr>
                    <w:widowControl/>
                    <w:spacing w:line="240" w:lineRule="auto"/>
                    <w:ind w:firstLine="0"/>
                    <w:jc w:val="center"/>
                    <w:rPr>
                      <w:lang w:val="en-US" w:eastAsia="zh-CN"/>
                    </w:rPr>
                  </w:pPr>
                  <w:r>
                    <w:rPr>
                      <w:rFonts w:hint="eastAsia"/>
                      <w:lang w:val="en-US" w:eastAsia="zh-CN"/>
                    </w:rPr>
                    <w:t>拼版区</w:t>
                  </w:r>
                </w:p>
              </w:tc>
              <w:tc>
                <w:tcPr>
                  <w:tcW w:w="634" w:type="dxa"/>
                  <w:noWrap w:val="0"/>
                  <w:vAlign w:val="center"/>
                </w:tcPr>
                <w:p w14:paraId="5F821807">
                  <w:pPr>
                    <w:spacing w:line="240" w:lineRule="auto"/>
                    <w:ind w:firstLine="0"/>
                    <w:jc w:val="center"/>
                  </w:pPr>
                  <w:r>
                    <w:t>m</w:t>
                  </w:r>
                  <w:r>
                    <w:rPr>
                      <w:vertAlign w:val="superscript"/>
                    </w:rPr>
                    <w:t>2</w:t>
                  </w:r>
                </w:p>
              </w:tc>
              <w:tc>
                <w:tcPr>
                  <w:tcW w:w="962" w:type="dxa"/>
                  <w:noWrap w:val="0"/>
                  <w:vAlign w:val="center"/>
                </w:tcPr>
                <w:p w14:paraId="6289DD07">
                  <w:pPr>
                    <w:spacing w:line="240" w:lineRule="auto"/>
                    <w:ind w:firstLine="0"/>
                    <w:jc w:val="center"/>
                    <w:rPr>
                      <w:lang w:val="en-US" w:eastAsia="zh-CN"/>
                    </w:rPr>
                  </w:pPr>
                  <w:r>
                    <w:rPr>
                      <w:rFonts w:hint="eastAsia"/>
                      <w:lang w:val="en-US" w:eastAsia="zh-CN"/>
                    </w:rPr>
                    <w:t>1200</w:t>
                  </w:r>
                </w:p>
              </w:tc>
              <w:tc>
                <w:tcPr>
                  <w:tcW w:w="1277" w:type="dxa"/>
                  <w:noWrap w:val="0"/>
                  <w:vAlign w:val="center"/>
                </w:tcPr>
                <w:p w14:paraId="4AC49591">
                  <w:pPr>
                    <w:widowControl/>
                    <w:spacing w:line="240" w:lineRule="auto"/>
                    <w:ind w:firstLine="0"/>
                    <w:jc w:val="center"/>
                    <w:rPr>
                      <w:lang w:val="en-US" w:eastAsia="zh-CN"/>
                    </w:rPr>
                  </w:pPr>
                  <w:r>
                    <w:t>1F</w:t>
                  </w:r>
                </w:p>
              </w:tc>
            </w:tr>
            <w:tr w14:paraId="4262F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85" w:hRule="atLeast"/>
                <w:jc w:val="center"/>
              </w:trPr>
              <w:tc>
                <w:tcPr>
                  <w:tcW w:w="384" w:type="dxa"/>
                  <w:vMerge w:val="continue"/>
                  <w:noWrap w:val="0"/>
                  <w:vAlign w:val="center"/>
                </w:tcPr>
                <w:p w14:paraId="56FF4744">
                  <w:pPr>
                    <w:widowControl/>
                    <w:spacing w:line="240" w:lineRule="auto"/>
                    <w:ind w:firstLine="0"/>
                    <w:jc w:val="center"/>
                    <w:rPr>
                      <w:rFonts w:hint="eastAsia"/>
                      <w:lang w:val="en-US" w:eastAsia="zh-CN"/>
                    </w:rPr>
                  </w:pPr>
                </w:p>
              </w:tc>
              <w:tc>
                <w:tcPr>
                  <w:tcW w:w="1740" w:type="dxa"/>
                  <w:noWrap w:val="0"/>
                  <w:vAlign w:val="center"/>
                </w:tcPr>
                <w:p w14:paraId="34BD639D">
                  <w:pPr>
                    <w:widowControl/>
                    <w:spacing w:line="240" w:lineRule="auto"/>
                    <w:ind w:firstLine="0"/>
                    <w:jc w:val="center"/>
                    <w:rPr>
                      <w:lang w:val="en-US" w:eastAsia="zh-CN"/>
                    </w:rPr>
                  </w:pPr>
                  <w:r>
                    <w:rPr>
                      <w:rFonts w:hint="eastAsia"/>
                      <w:lang w:val="en-US" w:eastAsia="zh-CN"/>
                    </w:rPr>
                    <w:t>成品仓库</w:t>
                  </w:r>
                </w:p>
              </w:tc>
              <w:tc>
                <w:tcPr>
                  <w:tcW w:w="634" w:type="dxa"/>
                  <w:noWrap w:val="0"/>
                  <w:vAlign w:val="center"/>
                </w:tcPr>
                <w:p w14:paraId="3134C1CA">
                  <w:pPr>
                    <w:spacing w:line="240" w:lineRule="auto"/>
                    <w:ind w:firstLine="0"/>
                    <w:jc w:val="center"/>
                  </w:pPr>
                  <w:r>
                    <w:t>m</w:t>
                  </w:r>
                  <w:r>
                    <w:rPr>
                      <w:vertAlign w:val="superscript"/>
                    </w:rPr>
                    <w:t>2</w:t>
                  </w:r>
                </w:p>
              </w:tc>
              <w:tc>
                <w:tcPr>
                  <w:tcW w:w="962" w:type="dxa"/>
                  <w:noWrap w:val="0"/>
                  <w:vAlign w:val="center"/>
                </w:tcPr>
                <w:p w14:paraId="78AB4277">
                  <w:pPr>
                    <w:spacing w:line="240" w:lineRule="auto"/>
                    <w:ind w:firstLine="0"/>
                    <w:jc w:val="center"/>
                    <w:rPr>
                      <w:lang w:val="en-US" w:eastAsia="zh-CN"/>
                    </w:rPr>
                  </w:pPr>
                  <w:r>
                    <w:rPr>
                      <w:rFonts w:hint="eastAsia"/>
                      <w:lang w:val="en-US" w:eastAsia="zh-CN"/>
                    </w:rPr>
                    <w:t>900</w:t>
                  </w:r>
                </w:p>
              </w:tc>
              <w:tc>
                <w:tcPr>
                  <w:tcW w:w="1277" w:type="dxa"/>
                  <w:noWrap w:val="0"/>
                  <w:vAlign w:val="center"/>
                </w:tcPr>
                <w:p w14:paraId="2F84A6A9">
                  <w:pPr>
                    <w:widowControl/>
                    <w:spacing w:line="240" w:lineRule="auto"/>
                    <w:ind w:firstLine="0"/>
                    <w:jc w:val="center"/>
                    <w:rPr>
                      <w:rFonts w:eastAsia="宋体"/>
                      <w:lang w:val="en-US" w:eastAsia="zh-CN"/>
                    </w:rPr>
                  </w:pPr>
                  <w:r>
                    <w:t>1F</w:t>
                  </w:r>
                </w:p>
              </w:tc>
            </w:tr>
            <w:tr w14:paraId="7D825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85" w:hRule="atLeast"/>
                <w:jc w:val="center"/>
              </w:trPr>
              <w:tc>
                <w:tcPr>
                  <w:tcW w:w="384" w:type="dxa"/>
                  <w:vMerge w:val="continue"/>
                  <w:noWrap w:val="0"/>
                  <w:vAlign w:val="center"/>
                </w:tcPr>
                <w:p w14:paraId="622FE10F">
                  <w:pPr>
                    <w:widowControl/>
                    <w:spacing w:line="240" w:lineRule="auto"/>
                    <w:ind w:firstLine="0"/>
                    <w:jc w:val="center"/>
                    <w:rPr>
                      <w:rFonts w:hint="eastAsia"/>
                      <w:lang w:val="en-US" w:eastAsia="zh-CN"/>
                    </w:rPr>
                  </w:pPr>
                </w:p>
              </w:tc>
              <w:tc>
                <w:tcPr>
                  <w:tcW w:w="1740" w:type="dxa"/>
                  <w:noWrap w:val="0"/>
                  <w:vAlign w:val="center"/>
                </w:tcPr>
                <w:p w14:paraId="347E09F2">
                  <w:pPr>
                    <w:widowControl/>
                    <w:spacing w:line="240" w:lineRule="auto"/>
                    <w:ind w:firstLine="0"/>
                    <w:jc w:val="center"/>
                    <w:rPr>
                      <w:lang w:val="en-US" w:eastAsia="zh-CN"/>
                    </w:rPr>
                  </w:pPr>
                  <w:r>
                    <w:rPr>
                      <w:rFonts w:hint="eastAsia"/>
                      <w:lang w:val="en-US" w:eastAsia="zh-CN"/>
                    </w:rPr>
                    <w:t>锅炉房</w:t>
                  </w:r>
                </w:p>
              </w:tc>
              <w:tc>
                <w:tcPr>
                  <w:tcW w:w="634" w:type="dxa"/>
                  <w:noWrap w:val="0"/>
                  <w:vAlign w:val="center"/>
                </w:tcPr>
                <w:p w14:paraId="56787EC5">
                  <w:pPr>
                    <w:spacing w:line="240" w:lineRule="auto"/>
                    <w:ind w:firstLine="0"/>
                    <w:jc w:val="center"/>
                  </w:pPr>
                  <w:r>
                    <w:t>m</w:t>
                  </w:r>
                  <w:r>
                    <w:rPr>
                      <w:vertAlign w:val="superscript"/>
                    </w:rPr>
                    <w:t>2</w:t>
                  </w:r>
                </w:p>
              </w:tc>
              <w:tc>
                <w:tcPr>
                  <w:tcW w:w="962" w:type="dxa"/>
                  <w:noWrap w:val="0"/>
                  <w:vAlign w:val="center"/>
                </w:tcPr>
                <w:p w14:paraId="6CF56850">
                  <w:pPr>
                    <w:spacing w:line="240" w:lineRule="auto"/>
                    <w:ind w:firstLine="0"/>
                    <w:jc w:val="center"/>
                    <w:rPr>
                      <w:lang w:val="en-US" w:eastAsia="zh-CN"/>
                    </w:rPr>
                  </w:pPr>
                  <w:r>
                    <w:rPr>
                      <w:rFonts w:hint="eastAsia"/>
                      <w:lang w:val="en-US" w:eastAsia="zh-CN"/>
                    </w:rPr>
                    <w:t>120</w:t>
                  </w:r>
                </w:p>
              </w:tc>
              <w:tc>
                <w:tcPr>
                  <w:tcW w:w="1277" w:type="dxa"/>
                  <w:noWrap w:val="0"/>
                  <w:vAlign w:val="center"/>
                </w:tcPr>
                <w:p w14:paraId="01F66C3B">
                  <w:pPr>
                    <w:widowControl/>
                    <w:spacing w:line="240" w:lineRule="auto"/>
                    <w:ind w:firstLine="0"/>
                    <w:jc w:val="center"/>
                  </w:pPr>
                  <w:r>
                    <w:t>1F</w:t>
                  </w:r>
                </w:p>
              </w:tc>
            </w:tr>
            <w:tr w14:paraId="44C60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85" w:hRule="atLeast"/>
                <w:jc w:val="center"/>
              </w:trPr>
              <w:tc>
                <w:tcPr>
                  <w:tcW w:w="384" w:type="dxa"/>
                  <w:vMerge w:val="continue"/>
                  <w:noWrap w:val="0"/>
                  <w:vAlign w:val="center"/>
                </w:tcPr>
                <w:p w14:paraId="1A8FFFFE">
                  <w:pPr>
                    <w:widowControl/>
                    <w:spacing w:line="240" w:lineRule="auto"/>
                    <w:ind w:firstLine="0"/>
                    <w:jc w:val="center"/>
                    <w:rPr>
                      <w:rFonts w:hint="eastAsia"/>
                      <w:lang w:val="en-US" w:eastAsia="zh-CN"/>
                    </w:rPr>
                  </w:pPr>
                </w:p>
              </w:tc>
              <w:tc>
                <w:tcPr>
                  <w:tcW w:w="1740" w:type="dxa"/>
                  <w:noWrap w:val="0"/>
                  <w:vAlign w:val="center"/>
                </w:tcPr>
                <w:p w14:paraId="237A2765">
                  <w:pPr>
                    <w:widowControl/>
                    <w:spacing w:line="240" w:lineRule="auto"/>
                    <w:ind w:firstLine="0"/>
                    <w:jc w:val="center"/>
                    <w:rPr>
                      <w:rFonts w:hint="eastAsia"/>
                      <w:lang w:val="en-US" w:eastAsia="zh-CN"/>
                    </w:rPr>
                  </w:pPr>
                  <w:r>
                    <w:rPr>
                      <w:rFonts w:hint="eastAsia"/>
                      <w:lang w:val="en-US" w:eastAsia="zh-CN"/>
                    </w:rPr>
                    <w:t>办公、休息区</w:t>
                  </w:r>
                </w:p>
              </w:tc>
              <w:tc>
                <w:tcPr>
                  <w:tcW w:w="634" w:type="dxa"/>
                  <w:noWrap w:val="0"/>
                  <w:vAlign w:val="center"/>
                </w:tcPr>
                <w:p w14:paraId="73DCEFEA">
                  <w:pPr>
                    <w:spacing w:line="240" w:lineRule="auto"/>
                    <w:ind w:firstLine="0"/>
                    <w:jc w:val="center"/>
                  </w:pPr>
                  <w:r>
                    <w:t>m</w:t>
                  </w:r>
                  <w:r>
                    <w:rPr>
                      <w:vertAlign w:val="superscript"/>
                    </w:rPr>
                    <w:t>2</w:t>
                  </w:r>
                </w:p>
              </w:tc>
              <w:tc>
                <w:tcPr>
                  <w:tcW w:w="962" w:type="dxa"/>
                  <w:noWrap w:val="0"/>
                  <w:vAlign w:val="center"/>
                </w:tcPr>
                <w:p w14:paraId="6BD0B6C9">
                  <w:pPr>
                    <w:spacing w:line="240" w:lineRule="auto"/>
                    <w:ind w:firstLine="0"/>
                    <w:jc w:val="center"/>
                    <w:rPr>
                      <w:rFonts w:hint="eastAsia"/>
                      <w:lang w:val="en-US" w:eastAsia="zh-CN"/>
                    </w:rPr>
                  </w:pPr>
                  <w:r>
                    <w:rPr>
                      <w:rFonts w:hint="eastAsia"/>
                      <w:lang w:val="en-US" w:eastAsia="zh-CN"/>
                    </w:rPr>
                    <w:t>200</w:t>
                  </w:r>
                </w:p>
              </w:tc>
              <w:tc>
                <w:tcPr>
                  <w:tcW w:w="1277" w:type="dxa"/>
                  <w:noWrap w:val="0"/>
                  <w:vAlign w:val="center"/>
                </w:tcPr>
                <w:p w14:paraId="5AA3642C">
                  <w:pPr>
                    <w:widowControl/>
                    <w:spacing w:line="240" w:lineRule="auto"/>
                    <w:ind w:firstLine="0"/>
                    <w:jc w:val="center"/>
                    <w:rPr>
                      <w:rFonts w:hint="eastAsia"/>
                      <w:lang w:val="en-US" w:eastAsia="zh-CN"/>
                    </w:rPr>
                  </w:pPr>
                  <w:r>
                    <w:t>1F</w:t>
                  </w:r>
                </w:p>
              </w:tc>
            </w:tr>
            <w:tr w14:paraId="0D33C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90" w:hRule="atLeast"/>
                <w:jc w:val="center"/>
              </w:trPr>
              <w:tc>
                <w:tcPr>
                  <w:tcW w:w="2125" w:type="dxa"/>
                  <w:noWrap w:val="0"/>
                  <w:vAlign w:val="center"/>
                </w:tcPr>
                <w:p w14:paraId="14077301">
                  <w:pPr>
                    <w:spacing w:line="240" w:lineRule="auto"/>
                    <w:ind w:firstLine="0"/>
                    <w:jc w:val="center"/>
                    <w:rPr>
                      <w:lang w:val="en-US"/>
                    </w:rPr>
                  </w:pPr>
                  <w:r>
                    <w:rPr>
                      <w:rFonts w:hint="eastAsia"/>
                      <w:lang w:val="en-US" w:eastAsia="zh-CN"/>
                    </w:rPr>
                    <w:t>原料堆场</w:t>
                  </w:r>
                </w:p>
              </w:tc>
              <w:tc>
                <w:tcPr>
                  <w:tcW w:w="634" w:type="dxa"/>
                  <w:noWrap w:val="0"/>
                  <w:vAlign w:val="center"/>
                </w:tcPr>
                <w:p w14:paraId="00B460BD">
                  <w:pPr>
                    <w:spacing w:line="240" w:lineRule="auto"/>
                    <w:ind w:firstLine="0"/>
                    <w:jc w:val="center"/>
                  </w:pPr>
                  <w:r>
                    <w:t>m</w:t>
                  </w:r>
                  <w:r>
                    <w:rPr>
                      <w:vertAlign w:val="superscript"/>
                    </w:rPr>
                    <w:t>2</w:t>
                  </w:r>
                </w:p>
              </w:tc>
              <w:tc>
                <w:tcPr>
                  <w:tcW w:w="962" w:type="dxa"/>
                  <w:noWrap w:val="0"/>
                  <w:vAlign w:val="center"/>
                </w:tcPr>
                <w:p w14:paraId="22A9AC16">
                  <w:pPr>
                    <w:spacing w:line="240" w:lineRule="auto"/>
                    <w:ind w:firstLine="0"/>
                    <w:jc w:val="center"/>
                    <w:rPr>
                      <w:lang w:val="en-US" w:eastAsia="zh-CN"/>
                    </w:rPr>
                  </w:pPr>
                  <w:r>
                    <w:rPr>
                      <w:rFonts w:hint="eastAsia"/>
                      <w:lang w:val="en-US" w:eastAsia="zh-CN"/>
                    </w:rPr>
                    <w:t>2000</w:t>
                  </w:r>
                </w:p>
              </w:tc>
              <w:tc>
                <w:tcPr>
                  <w:tcW w:w="1277" w:type="dxa"/>
                  <w:noWrap w:val="0"/>
                  <w:vAlign w:val="center"/>
                </w:tcPr>
                <w:p w14:paraId="63ABA30B">
                  <w:pPr>
                    <w:widowControl/>
                    <w:spacing w:line="240" w:lineRule="auto"/>
                    <w:ind w:firstLine="0"/>
                    <w:jc w:val="center"/>
                    <w:rPr>
                      <w:lang w:val="en-US" w:eastAsia="zh-CN"/>
                    </w:rPr>
                  </w:pPr>
                  <w:r>
                    <w:rPr>
                      <w:lang w:val="en-US" w:eastAsia="zh-CN"/>
                    </w:rPr>
                    <w:t>均为硬化</w:t>
                  </w:r>
                  <w:r>
                    <w:rPr>
                      <w:rFonts w:hint="eastAsia"/>
                      <w:lang w:val="en-US" w:eastAsia="zh-CN"/>
                    </w:rPr>
                    <w:t>防渗</w:t>
                  </w:r>
                  <w:r>
                    <w:rPr>
                      <w:lang w:val="en-US" w:eastAsia="zh-CN"/>
                    </w:rPr>
                    <w:t>地面</w:t>
                  </w:r>
                </w:p>
              </w:tc>
            </w:tr>
            <w:tr w14:paraId="1A485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285" w:hRule="atLeast"/>
                <w:jc w:val="center"/>
              </w:trPr>
              <w:tc>
                <w:tcPr>
                  <w:tcW w:w="2125" w:type="dxa"/>
                  <w:noWrap w:val="0"/>
                  <w:vAlign w:val="center"/>
                </w:tcPr>
                <w:p w14:paraId="24E1AD5A">
                  <w:pPr>
                    <w:spacing w:line="240" w:lineRule="auto"/>
                    <w:ind w:firstLine="0"/>
                    <w:jc w:val="center"/>
                    <w:rPr>
                      <w:lang w:val="en-US" w:eastAsia="zh-CN"/>
                    </w:rPr>
                  </w:pPr>
                  <w:r>
                    <w:rPr>
                      <w:rFonts w:hint="eastAsia"/>
                      <w:lang w:val="en-US" w:eastAsia="zh-CN"/>
                    </w:rPr>
                    <w:t>过磅处</w:t>
                  </w:r>
                </w:p>
              </w:tc>
              <w:tc>
                <w:tcPr>
                  <w:tcW w:w="634" w:type="dxa"/>
                  <w:noWrap w:val="0"/>
                  <w:vAlign w:val="center"/>
                </w:tcPr>
                <w:p w14:paraId="690EE1FD">
                  <w:pPr>
                    <w:spacing w:line="240" w:lineRule="auto"/>
                    <w:ind w:firstLine="0"/>
                    <w:jc w:val="center"/>
                  </w:pPr>
                  <w:r>
                    <w:t>m</w:t>
                  </w:r>
                  <w:r>
                    <w:rPr>
                      <w:vertAlign w:val="superscript"/>
                    </w:rPr>
                    <w:t>2</w:t>
                  </w:r>
                </w:p>
              </w:tc>
              <w:tc>
                <w:tcPr>
                  <w:tcW w:w="962" w:type="dxa"/>
                  <w:noWrap w:val="0"/>
                  <w:vAlign w:val="center"/>
                </w:tcPr>
                <w:p w14:paraId="644D387A">
                  <w:pPr>
                    <w:spacing w:line="240" w:lineRule="auto"/>
                    <w:ind w:firstLine="0"/>
                    <w:jc w:val="center"/>
                    <w:rPr>
                      <w:lang w:val="en-US" w:eastAsia="zh-CN"/>
                    </w:rPr>
                  </w:pPr>
                  <w:r>
                    <w:rPr>
                      <w:rFonts w:hint="eastAsia"/>
                      <w:lang w:val="en-US" w:eastAsia="zh-CN"/>
                    </w:rPr>
                    <w:t>30</w:t>
                  </w:r>
                </w:p>
              </w:tc>
              <w:tc>
                <w:tcPr>
                  <w:tcW w:w="1277" w:type="dxa"/>
                  <w:noWrap w:val="0"/>
                  <w:vAlign w:val="center"/>
                </w:tcPr>
                <w:p w14:paraId="01C290F9">
                  <w:pPr>
                    <w:widowControl/>
                    <w:spacing w:line="240" w:lineRule="auto"/>
                    <w:ind w:firstLine="0"/>
                    <w:jc w:val="center"/>
                    <w:rPr>
                      <w:lang w:val="en-US" w:eastAsia="zh-CN"/>
                    </w:rPr>
                  </w:pPr>
                  <w:r>
                    <w:t>/</w:t>
                  </w:r>
                </w:p>
              </w:tc>
            </w:tr>
            <w:tr w14:paraId="70B8C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285" w:hRule="atLeast"/>
                <w:jc w:val="center"/>
              </w:trPr>
              <w:tc>
                <w:tcPr>
                  <w:tcW w:w="2125" w:type="dxa"/>
                  <w:noWrap w:val="0"/>
                  <w:vAlign w:val="center"/>
                </w:tcPr>
                <w:p w14:paraId="3157A8F6">
                  <w:pPr>
                    <w:spacing w:line="240" w:lineRule="auto"/>
                    <w:ind w:firstLine="0"/>
                    <w:jc w:val="center"/>
                    <w:rPr>
                      <w:lang w:val="en-US" w:eastAsia="zh-CN"/>
                    </w:rPr>
                  </w:pPr>
                  <w:r>
                    <w:rPr>
                      <w:rFonts w:hint="eastAsia"/>
                      <w:lang w:val="en-US" w:eastAsia="zh-CN"/>
                    </w:rPr>
                    <w:t>停车场</w:t>
                  </w:r>
                </w:p>
              </w:tc>
              <w:tc>
                <w:tcPr>
                  <w:tcW w:w="634" w:type="dxa"/>
                  <w:noWrap w:val="0"/>
                  <w:vAlign w:val="center"/>
                </w:tcPr>
                <w:p w14:paraId="0519DF39">
                  <w:pPr>
                    <w:spacing w:line="240" w:lineRule="auto"/>
                    <w:ind w:firstLine="0"/>
                    <w:jc w:val="center"/>
                  </w:pPr>
                  <w:r>
                    <w:t>m</w:t>
                  </w:r>
                  <w:r>
                    <w:rPr>
                      <w:vertAlign w:val="superscript"/>
                    </w:rPr>
                    <w:t>2</w:t>
                  </w:r>
                </w:p>
              </w:tc>
              <w:tc>
                <w:tcPr>
                  <w:tcW w:w="962" w:type="dxa"/>
                  <w:noWrap w:val="0"/>
                  <w:vAlign w:val="center"/>
                </w:tcPr>
                <w:p w14:paraId="64F7C0C3">
                  <w:pPr>
                    <w:spacing w:line="240" w:lineRule="auto"/>
                    <w:ind w:firstLine="0"/>
                    <w:jc w:val="center"/>
                    <w:rPr>
                      <w:lang w:val="en-US" w:eastAsia="zh-CN"/>
                    </w:rPr>
                  </w:pPr>
                  <w:r>
                    <w:rPr>
                      <w:rFonts w:hint="eastAsia"/>
                      <w:lang w:val="en-US" w:eastAsia="zh-CN"/>
                    </w:rPr>
                    <w:t>500</w:t>
                  </w:r>
                </w:p>
              </w:tc>
              <w:tc>
                <w:tcPr>
                  <w:tcW w:w="1277" w:type="dxa"/>
                  <w:noWrap w:val="0"/>
                  <w:vAlign w:val="center"/>
                </w:tcPr>
                <w:p w14:paraId="004CCF5F">
                  <w:pPr>
                    <w:widowControl/>
                    <w:spacing w:line="240" w:lineRule="auto"/>
                    <w:ind w:firstLine="0"/>
                    <w:jc w:val="center"/>
                    <w:rPr>
                      <w:lang w:val="en-US" w:eastAsia="zh-CN"/>
                    </w:rPr>
                  </w:pPr>
                  <w:r>
                    <w:t>/</w:t>
                  </w:r>
                </w:p>
              </w:tc>
            </w:tr>
            <w:tr w14:paraId="4D9AC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305" w:hRule="atLeast"/>
                <w:jc w:val="center"/>
              </w:trPr>
              <w:tc>
                <w:tcPr>
                  <w:tcW w:w="2125" w:type="dxa"/>
                  <w:noWrap w:val="0"/>
                  <w:vAlign w:val="center"/>
                </w:tcPr>
                <w:p w14:paraId="42CF37A2">
                  <w:pPr>
                    <w:spacing w:line="240" w:lineRule="auto"/>
                    <w:ind w:firstLine="0"/>
                    <w:jc w:val="center"/>
                    <w:rPr>
                      <w:rFonts w:hint="eastAsia"/>
                      <w:lang w:val="en-US" w:eastAsia="zh-CN"/>
                    </w:rPr>
                  </w:pPr>
                  <w:r>
                    <w:rPr>
                      <w:rFonts w:hint="eastAsia"/>
                      <w:lang w:val="en-US" w:eastAsia="zh-CN"/>
                    </w:rPr>
                    <w:t>厂区内</w:t>
                  </w:r>
                  <w:r>
                    <w:t>道路</w:t>
                  </w:r>
                  <w:r>
                    <w:rPr>
                      <w:rFonts w:hint="eastAsia"/>
                      <w:lang w:val="en-US" w:eastAsia="zh-CN"/>
                    </w:rPr>
                    <w:t>及空地</w:t>
                  </w:r>
                  <w:r>
                    <w:t>占地面积</w:t>
                  </w:r>
                </w:p>
              </w:tc>
              <w:tc>
                <w:tcPr>
                  <w:tcW w:w="634" w:type="dxa"/>
                  <w:noWrap w:val="0"/>
                  <w:vAlign w:val="center"/>
                </w:tcPr>
                <w:p w14:paraId="6174699F">
                  <w:pPr>
                    <w:spacing w:line="240" w:lineRule="auto"/>
                    <w:ind w:firstLine="0"/>
                    <w:jc w:val="center"/>
                  </w:pPr>
                  <w:r>
                    <w:t>m</w:t>
                  </w:r>
                  <w:r>
                    <w:rPr>
                      <w:vertAlign w:val="superscript"/>
                    </w:rPr>
                    <w:t>2</w:t>
                  </w:r>
                </w:p>
              </w:tc>
              <w:tc>
                <w:tcPr>
                  <w:tcW w:w="962" w:type="dxa"/>
                  <w:noWrap w:val="0"/>
                  <w:vAlign w:val="center"/>
                </w:tcPr>
                <w:p w14:paraId="66236876">
                  <w:pPr>
                    <w:spacing w:line="240" w:lineRule="auto"/>
                    <w:ind w:firstLine="0"/>
                    <w:jc w:val="center"/>
                    <w:rPr>
                      <w:lang w:val="en-US" w:eastAsia="zh-CN"/>
                    </w:rPr>
                  </w:pPr>
                  <w:r>
                    <w:rPr>
                      <w:rFonts w:hint="eastAsia"/>
                      <w:lang w:val="en-US" w:eastAsia="zh-CN"/>
                    </w:rPr>
                    <w:t>9603.33</w:t>
                  </w:r>
                </w:p>
              </w:tc>
              <w:tc>
                <w:tcPr>
                  <w:tcW w:w="1277" w:type="dxa"/>
                  <w:noWrap w:val="0"/>
                  <w:vAlign w:val="center"/>
                </w:tcPr>
                <w:p w14:paraId="011A3A0C">
                  <w:pPr>
                    <w:widowControl/>
                    <w:spacing w:line="240" w:lineRule="auto"/>
                    <w:ind w:firstLine="0"/>
                    <w:jc w:val="center"/>
                    <w:rPr>
                      <w:lang w:val="en-US" w:eastAsia="zh-CN"/>
                    </w:rPr>
                  </w:pPr>
                  <w:r>
                    <w:t>/</w:t>
                  </w:r>
                </w:p>
              </w:tc>
            </w:tr>
          </w:tbl>
          <w:p w14:paraId="2FEF496C">
            <w:pPr>
              <w:keepNext w:val="0"/>
              <w:keepLines w:val="0"/>
              <w:pageBreakBefore w:val="0"/>
              <w:widowControl w:val="0"/>
              <w:spacing w:before="157" w:line="360" w:lineRule="auto"/>
              <w:ind w:firstLine="482"/>
              <w:rPr>
                <w:rFonts w:ascii="Times New Roman" w:hAnsi="Times New Roman" w:eastAsia="宋体" w:cs="Times New Roman"/>
                <w:b/>
                <w:color w:val="000000"/>
                <w:sz w:val="24"/>
                <w:szCs w:val="24"/>
                <w:highlight w:val="none"/>
                <w:lang w:val="en-US" w:eastAsia="zh-CN"/>
              </w:rPr>
            </w:pPr>
            <w:r>
              <w:rPr>
                <w:rFonts w:hint="eastAsia" w:ascii="Times New Roman" w:hAnsi="Times New Roman" w:eastAsia="宋体" w:cs="Times New Roman"/>
                <w:b/>
                <w:color w:val="000000"/>
                <w:sz w:val="24"/>
                <w:szCs w:val="24"/>
                <w:highlight w:val="none"/>
                <w:lang w:val="en-US" w:eastAsia="zh-CN"/>
              </w:rPr>
              <w:t>4</w:t>
            </w:r>
            <w:r>
              <w:rPr>
                <w:rFonts w:ascii="Times New Roman" w:hAnsi="Times New Roman" w:eastAsia="宋体" w:cs="Times New Roman"/>
                <w:b/>
                <w:color w:val="000000"/>
                <w:sz w:val="24"/>
                <w:szCs w:val="24"/>
                <w:highlight w:val="none"/>
              </w:rPr>
              <w:t>、</w:t>
            </w:r>
            <w:r>
              <w:rPr>
                <w:rFonts w:ascii="Times New Roman" w:hAnsi="Times New Roman" w:eastAsia="宋体" w:cs="Times New Roman"/>
                <w:b/>
                <w:color w:val="000000"/>
                <w:sz w:val="24"/>
                <w:szCs w:val="24"/>
                <w:highlight w:val="none"/>
                <w:lang w:val="en-US" w:eastAsia="zh-CN"/>
              </w:rPr>
              <w:t>主要产品及产能</w:t>
            </w:r>
          </w:p>
          <w:p w14:paraId="3380D59B">
            <w:pPr>
              <w:spacing w:line="360" w:lineRule="auto"/>
              <w:ind w:firstLine="480"/>
              <w:rPr>
                <w:rFonts w:ascii="Times New Roman" w:hAnsi="Times New Roman" w:eastAsia="宋体" w:cs="Times New Roman"/>
                <w:color w:val="000000"/>
                <w:sz w:val="24"/>
                <w:highlight w:val="none"/>
              </w:rPr>
            </w:pPr>
            <w:bookmarkStart w:id="3" w:name="_Toc48148621"/>
            <w:r>
              <w:rPr>
                <w:rFonts w:hint="eastAsia" w:ascii="Times New Roman" w:hAnsi="Times New Roman" w:eastAsia="宋体" w:cs="Times New Roman"/>
                <w:b w:val="0"/>
                <w:bCs/>
                <w:color w:val="000000"/>
                <w:sz w:val="24"/>
                <w:szCs w:val="24"/>
                <w:highlight w:val="none"/>
                <w:lang w:val="en-US" w:eastAsia="zh-CN"/>
              </w:rPr>
              <w:t>根据建设单位提供资料，项目</w:t>
            </w:r>
            <w:r>
              <w:rPr>
                <w:rFonts w:ascii="Times New Roman" w:hAnsi="Times New Roman" w:eastAsia="宋体" w:cs="Times New Roman"/>
                <w:color w:val="000000"/>
                <w:sz w:val="24"/>
                <w:highlight w:val="none"/>
              </w:rPr>
              <w:t>产品方案</w:t>
            </w:r>
            <w:r>
              <w:rPr>
                <w:rFonts w:ascii="Times New Roman" w:hAnsi="Times New Roman" w:eastAsia="宋体" w:cs="Times New Roman"/>
                <w:color w:val="000000"/>
                <w:sz w:val="24"/>
                <w:highlight w:val="none"/>
                <w:lang w:val="en-US" w:eastAsia="zh-CN"/>
              </w:rPr>
              <w:t>详</w:t>
            </w:r>
            <w:r>
              <w:rPr>
                <w:rFonts w:ascii="Times New Roman" w:hAnsi="Times New Roman" w:eastAsia="宋体" w:cs="Times New Roman"/>
                <w:color w:val="000000"/>
                <w:sz w:val="24"/>
                <w:highlight w:val="none"/>
              </w:rPr>
              <w:t>见</w:t>
            </w:r>
            <w:r>
              <w:rPr>
                <w:rFonts w:ascii="Times New Roman" w:hAnsi="Times New Roman" w:eastAsia="宋体" w:cs="Times New Roman"/>
                <w:color w:val="000000"/>
                <w:sz w:val="24"/>
                <w:highlight w:val="none"/>
                <w:lang w:val="en-US" w:eastAsia="zh-CN"/>
              </w:rPr>
              <w:t>下表</w:t>
            </w:r>
            <w:r>
              <w:rPr>
                <w:rFonts w:ascii="Times New Roman" w:hAnsi="Times New Roman" w:eastAsia="宋体" w:cs="Times New Roman"/>
                <w:color w:val="000000"/>
                <w:sz w:val="24"/>
                <w:highlight w:val="none"/>
              </w:rPr>
              <w:t>。</w:t>
            </w:r>
            <w:bookmarkEnd w:id="2"/>
          </w:p>
          <w:p w14:paraId="61763F9B">
            <w:pPr>
              <w:pStyle w:val="245"/>
              <w:spacing w:before="0" w:after="0" w:line="240" w:lineRule="auto"/>
              <w:ind w:left="105" w:right="105"/>
              <w:jc w:val="center"/>
              <w:rPr>
                <w:rFonts w:ascii="Times New Roman" w:hAnsi="Times New Roman" w:eastAsia="宋体" w:cs="Times New Roman"/>
                <w:b/>
                <w:bCs/>
                <w:color w:val="000000"/>
                <w:sz w:val="24"/>
                <w:highlight w:val="none"/>
              </w:rPr>
            </w:pPr>
            <w:r>
              <w:rPr>
                <w:rFonts w:ascii="Times New Roman" w:hAnsi="Times New Roman" w:eastAsia="宋体" w:cs="Times New Roman"/>
                <w:b/>
                <w:color w:val="000000"/>
                <w:sz w:val="24"/>
                <w:szCs w:val="24"/>
                <w:highlight w:val="none"/>
              </w:rPr>
              <w:t>表</w:t>
            </w:r>
            <w:r>
              <w:rPr>
                <w:rFonts w:ascii="Times New Roman" w:hAnsi="Times New Roman" w:eastAsia="宋体" w:cs="Times New Roman"/>
                <w:b/>
                <w:color w:val="000000"/>
                <w:sz w:val="24"/>
                <w:szCs w:val="24"/>
                <w:highlight w:val="none"/>
                <w:lang w:val="en-US" w:eastAsia="zh-CN"/>
              </w:rPr>
              <w:t>2</w:t>
            </w:r>
            <w:r>
              <w:rPr>
                <w:rFonts w:ascii="Times New Roman" w:hAnsi="Times New Roman" w:eastAsia="宋体" w:cs="Times New Roman"/>
                <w:b/>
                <w:color w:val="000000"/>
                <w:sz w:val="24"/>
                <w:szCs w:val="24"/>
                <w:highlight w:val="none"/>
              </w:rPr>
              <w:t>-</w:t>
            </w:r>
            <w:r>
              <w:rPr>
                <w:rFonts w:hint="eastAsia" w:ascii="Times New Roman" w:hAnsi="Times New Roman" w:eastAsia="宋体" w:cs="Times New Roman"/>
                <w:b/>
                <w:color w:val="000000"/>
                <w:sz w:val="24"/>
                <w:szCs w:val="24"/>
                <w:highlight w:val="none"/>
                <w:lang w:val="en-US" w:eastAsia="zh-CN"/>
              </w:rPr>
              <w:t>4</w:t>
            </w:r>
            <w:r>
              <w:rPr>
                <w:rFonts w:ascii="Times New Roman" w:hAnsi="Times New Roman" w:eastAsia="宋体" w:cs="Times New Roman"/>
                <w:b/>
                <w:color w:val="000000"/>
                <w:sz w:val="24"/>
                <w:szCs w:val="24"/>
                <w:highlight w:val="none"/>
              </w:rPr>
              <w:t xml:space="preserve">  项目产品及</w:t>
            </w:r>
            <w:r>
              <w:rPr>
                <w:rFonts w:ascii="Times New Roman" w:hAnsi="Times New Roman" w:eastAsia="宋体" w:cs="Times New Roman"/>
                <w:b/>
                <w:color w:val="000000"/>
                <w:sz w:val="24"/>
                <w:szCs w:val="24"/>
                <w:highlight w:val="none"/>
                <w:lang w:val="en-US" w:eastAsia="zh-CN"/>
              </w:rPr>
              <w:t>产能</w:t>
            </w:r>
            <w:r>
              <w:rPr>
                <w:rFonts w:ascii="Times New Roman" w:hAnsi="Times New Roman" w:eastAsia="宋体" w:cs="Times New Roman"/>
                <w:b/>
                <w:bCs/>
                <w:color w:val="000000"/>
                <w:sz w:val="24"/>
                <w:highlight w:val="none"/>
              </w:rPr>
              <w:t>一览表</w:t>
            </w:r>
          </w:p>
          <w:tbl>
            <w:tblPr>
              <w:tblStyle w:val="2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0"/>
              <w:gridCol w:w="1340"/>
              <w:gridCol w:w="1952"/>
              <w:gridCol w:w="3787"/>
            </w:tblGrid>
            <w:tr w14:paraId="780DB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972" w:type="dxa"/>
                  <w:noWrap w:val="0"/>
                  <w:vAlign w:val="center"/>
                </w:tcPr>
                <w:p w14:paraId="31F9DD34">
                  <w:pPr>
                    <w:jc w:val="center"/>
                    <w:rPr>
                      <w:rFonts w:ascii="Times New Roman" w:hAnsi="Times New Roman" w:eastAsia="宋体" w:cs="Times New Roman"/>
                      <w:b/>
                      <w:color w:val="000000"/>
                      <w:highlight w:val="none"/>
                    </w:rPr>
                  </w:pPr>
                  <w:r>
                    <w:rPr>
                      <w:rFonts w:ascii="Times New Roman" w:hAnsi="Times New Roman" w:eastAsia="宋体" w:cs="Times New Roman"/>
                      <w:b/>
                      <w:color w:val="000000"/>
                      <w:highlight w:val="none"/>
                    </w:rPr>
                    <w:t>产品名称</w:t>
                  </w:r>
                </w:p>
              </w:tc>
              <w:tc>
                <w:tcPr>
                  <w:tcW w:w="762" w:type="dxa"/>
                  <w:noWrap w:val="0"/>
                  <w:vAlign w:val="center"/>
                </w:tcPr>
                <w:p w14:paraId="72A6348F">
                  <w:pPr>
                    <w:jc w:val="center"/>
                    <w:rPr>
                      <w:rFonts w:ascii="Times New Roman" w:hAnsi="Times New Roman" w:eastAsia="宋体" w:cs="Times New Roman"/>
                      <w:b/>
                      <w:color w:val="000000"/>
                      <w:sz w:val="21"/>
                      <w:szCs w:val="24"/>
                      <w:highlight w:val="none"/>
                      <w:lang w:val="en-US" w:eastAsia="zh-CN" w:bidi="ar-SA"/>
                    </w:rPr>
                  </w:pPr>
                  <w:r>
                    <w:rPr>
                      <w:rFonts w:ascii="Times New Roman" w:hAnsi="Times New Roman" w:eastAsia="宋体" w:cs="Times New Roman"/>
                      <w:b/>
                      <w:color w:val="000000"/>
                      <w:highlight w:val="none"/>
                      <w:lang w:val="en-US" w:eastAsia="zh-CN"/>
                    </w:rPr>
                    <w:t>单位</w:t>
                  </w:r>
                </w:p>
              </w:tc>
              <w:tc>
                <w:tcPr>
                  <w:tcW w:w="1110" w:type="dxa"/>
                  <w:noWrap w:val="0"/>
                  <w:vAlign w:val="center"/>
                </w:tcPr>
                <w:p w14:paraId="5B53B8FC">
                  <w:pPr>
                    <w:jc w:val="center"/>
                    <w:rPr>
                      <w:rFonts w:ascii="Times New Roman" w:hAnsi="Times New Roman" w:eastAsia="宋体" w:cs="Times New Roman"/>
                      <w:b/>
                      <w:color w:val="000000"/>
                      <w:sz w:val="21"/>
                      <w:szCs w:val="24"/>
                      <w:highlight w:val="none"/>
                      <w:lang w:val="en-US" w:eastAsia="zh-CN" w:bidi="ar-SA"/>
                    </w:rPr>
                  </w:pPr>
                  <w:r>
                    <w:rPr>
                      <w:rFonts w:ascii="Times New Roman" w:hAnsi="Times New Roman" w:eastAsia="宋体" w:cs="Times New Roman"/>
                      <w:b/>
                      <w:color w:val="000000"/>
                      <w:highlight w:val="none"/>
                      <w:lang w:val="en-US" w:eastAsia="zh-CN"/>
                    </w:rPr>
                    <w:t>产能</w:t>
                  </w:r>
                </w:p>
              </w:tc>
              <w:tc>
                <w:tcPr>
                  <w:tcW w:w="2154" w:type="dxa"/>
                  <w:noWrap w:val="0"/>
                  <w:vAlign w:val="center"/>
                </w:tcPr>
                <w:p w14:paraId="27017FEA">
                  <w:pPr>
                    <w:jc w:val="center"/>
                    <w:rPr>
                      <w:rFonts w:ascii="Times New Roman" w:hAnsi="Times New Roman" w:eastAsia="宋体" w:cs="Times New Roman"/>
                      <w:b/>
                      <w:color w:val="000000"/>
                      <w:highlight w:val="none"/>
                      <w:lang w:val="en-US" w:eastAsia="zh-CN"/>
                    </w:rPr>
                  </w:pPr>
                  <w:r>
                    <w:rPr>
                      <w:rFonts w:hint="eastAsia" w:ascii="Times New Roman" w:hAnsi="Times New Roman" w:eastAsia="宋体" w:cs="Times New Roman"/>
                      <w:b/>
                      <w:color w:val="000000"/>
                      <w:highlight w:val="none"/>
                      <w:lang w:val="en-US" w:eastAsia="zh-CN"/>
                    </w:rPr>
                    <w:t>备注</w:t>
                  </w:r>
                </w:p>
              </w:tc>
            </w:tr>
            <w:tr w14:paraId="1DE05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72" w:type="dxa"/>
                  <w:noWrap w:val="0"/>
                  <w:vAlign w:val="center"/>
                </w:tcPr>
                <w:p w14:paraId="77F2F24F">
                  <w:pPr>
                    <w:jc w:val="center"/>
                    <w:rPr>
                      <w:rFonts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杉木单板</w:t>
                  </w:r>
                </w:p>
              </w:tc>
              <w:tc>
                <w:tcPr>
                  <w:tcW w:w="762" w:type="dxa"/>
                  <w:noWrap w:val="0"/>
                  <w:vAlign w:val="center"/>
                </w:tcPr>
                <w:p w14:paraId="2452043F">
                  <w:pPr>
                    <w:jc w:val="center"/>
                    <w:rPr>
                      <w:rFonts w:hint="eastAsia" w:ascii="Times New Roman" w:hAnsi="Times New Roman" w:eastAsia="宋体" w:cs="Times New Roman"/>
                      <w:color w:val="000000"/>
                      <w:sz w:val="21"/>
                      <w:szCs w:val="24"/>
                      <w:highlight w:val="none"/>
                      <w:vertAlign w:val="baseline"/>
                      <w:lang w:val="en-US" w:eastAsia="zh-CN" w:bidi="ar-SA"/>
                    </w:rPr>
                  </w:pPr>
                  <w:r>
                    <w:rPr>
                      <w:rFonts w:hint="eastAsia"/>
                      <w:lang w:val="en-US" w:eastAsia="zh-CN"/>
                    </w:rPr>
                    <w:t>m</w:t>
                  </w:r>
                  <w:r>
                    <w:rPr>
                      <w:rFonts w:hint="eastAsia"/>
                      <w:vertAlign w:val="superscript"/>
                      <w:lang w:val="en-US" w:eastAsia="zh-CN"/>
                    </w:rPr>
                    <w:t>3</w:t>
                  </w:r>
                </w:p>
              </w:tc>
              <w:tc>
                <w:tcPr>
                  <w:tcW w:w="1110" w:type="dxa"/>
                  <w:noWrap w:val="0"/>
                  <w:vAlign w:val="center"/>
                </w:tcPr>
                <w:p w14:paraId="2D08622D">
                  <w:pPr>
                    <w:jc w:val="center"/>
                    <w:rPr>
                      <w:rFonts w:ascii="Times New Roman" w:hAnsi="Times New Roman" w:eastAsia="宋体" w:cs="Times New Roman"/>
                      <w:color w:val="000000"/>
                      <w:sz w:val="21"/>
                      <w:szCs w:val="24"/>
                      <w:highlight w:val="none"/>
                      <w:lang w:val="en-US" w:eastAsia="zh-CN" w:bidi="ar-SA"/>
                    </w:rPr>
                  </w:pPr>
                  <w:r>
                    <w:rPr>
                      <w:rFonts w:hint="eastAsia" w:ascii="Times New Roman" w:hAnsi="Times New Roman" w:eastAsia="宋体" w:cs="Times New Roman"/>
                      <w:color w:val="000000"/>
                      <w:sz w:val="21"/>
                      <w:szCs w:val="24"/>
                      <w:highlight w:val="none"/>
                      <w:lang w:val="en-US" w:eastAsia="zh-CN" w:bidi="ar-SA"/>
                    </w:rPr>
                    <w:t>5000</w:t>
                  </w:r>
                </w:p>
              </w:tc>
              <w:tc>
                <w:tcPr>
                  <w:tcW w:w="2154" w:type="dxa"/>
                  <w:noWrap w:val="0"/>
                  <w:vAlign w:val="center"/>
                </w:tcPr>
                <w:p w14:paraId="184E98F8">
                  <w:pPr>
                    <w:keepNext w:val="0"/>
                    <w:keepLines w:val="0"/>
                    <w:pageBreakBefore w:val="0"/>
                    <w:widowControl w:val="0"/>
                    <w:ind w:firstLine="420"/>
                    <w:jc w:val="left"/>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根据客户要求生产不同规格的单板进行出售。</w:t>
                  </w:r>
                </w:p>
              </w:tc>
            </w:tr>
          </w:tbl>
          <w:p w14:paraId="6D0356E8">
            <w:pPr>
              <w:keepNext w:val="0"/>
              <w:keepLines w:val="0"/>
              <w:pageBreakBefore w:val="0"/>
              <w:widowControl w:val="0"/>
              <w:numPr>
                <w:ilvl w:val="0"/>
                <w:numId w:val="0"/>
              </w:numPr>
              <w:spacing w:before="157" w:line="360" w:lineRule="auto"/>
              <w:ind w:firstLine="482"/>
              <w:rPr>
                <w:rFonts w:ascii="Times New Roman" w:hAnsi="Times New Roman" w:eastAsia="宋体" w:cs="Times New Roman"/>
                <w:b/>
                <w:bCs w:val="0"/>
                <w:color w:val="000000"/>
                <w:sz w:val="24"/>
                <w:szCs w:val="24"/>
                <w:highlight w:val="none"/>
                <w:lang w:val="en-US" w:eastAsia="zh-CN"/>
              </w:rPr>
            </w:pPr>
            <w:r>
              <w:rPr>
                <w:rFonts w:hint="eastAsia" w:ascii="Times New Roman" w:hAnsi="Times New Roman" w:eastAsia="宋体" w:cs="Times New Roman"/>
                <w:b/>
                <w:bCs w:val="0"/>
                <w:color w:val="000000"/>
                <w:sz w:val="24"/>
                <w:szCs w:val="24"/>
                <w:highlight w:val="none"/>
                <w:lang w:val="en-US" w:eastAsia="zh-CN"/>
              </w:rPr>
              <w:t>5</w:t>
            </w:r>
            <w:r>
              <w:rPr>
                <w:rFonts w:ascii="Times New Roman" w:hAnsi="Times New Roman" w:eastAsia="宋体" w:cs="Times New Roman"/>
                <w:b/>
                <w:bCs w:val="0"/>
                <w:color w:val="000000"/>
                <w:sz w:val="24"/>
                <w:szCs w:val="24"/>
                <w:highlight w:val="none"/>
                <w:lang w:val="en-US" w:eastAsia="zh-CN"/>
              </w:rPr>
              <w:t>、</w:t>
            </w:r>
            <w:r>
              <w:rPr>
                <w:rFonts w:ascii="Times New Roman" w:hAnsi="Times New Roman" w:eastAsia="宋体" w:cs="Times New Roman"/>
                <w:b/>
                <w:color w:val="000000"/>
                <w:sz w:val="24"/>
              </w:rPr>
              <w:t>项目原辅料及能源消耗</w:t>
            </w:r>
          </w:p>
          <w:p w14:paraId="4EDBA5CA">
            <w:pPr>
              <w:spacing w:line="360" w:lineRule="auto"/>
              <w:ind w:firstLine="480"/>
              <w:rPr>
                <w:rFonts w:ascii="Times New Roman" w:hAnsi="Times New Roman" w:eastAsia="宋体" w:cs="Times New Roman"/>
                <w:b/>
                <w:color w:val="000000"/>
                <w:sz w:val="24"/>
                <w:szCs w:val="24"/>
                <w:highlight w:val="none"/>
              </w:rPr>
            </w:pPr>
            <w:r>
              <w:rPr>
                <w:rFonts w:ascii="Times New Roman" w:hAnsi="Times New Roman" w:eastAsia="宋体" w:cs="Times New Roman"/>
                <w:bCs/>
                <w:color w:val="000000"/>
                <w:sz w:val="24"/>
                <w:szCs w:val="24"/>
                <w:highlight w:val="none"/>
                <w:lang w:val="en-US" w:eastAsia="zh-CN"/>
              </w:rPr>
              <w:t>本项目</w:t>
            </w:r>
            <w:r>
              <w:rPr>
                <w:rFonts w:ascii="Times New Roman" w:hAnsi="Times New Roman" w:eastAsia="宋体" w:cs="Times New Roman"/>
                <w:color w:val="000000"/>
                <w:sz w:val="24"/>
              </w:rPr>
              <w:t>主要原辅料及能源消耗</w:t>
            </w:r>
            <w:r>
              <w:rPr>
                <w:rFonts w:ascii="Times New Roman" w:hAnsi="Times New Roman" w:eastAsia="宋体" w:cs="Times New Roman"/>
                <w:color w:val="000000"/>
                <w:sz w:val="24"/>
                <w:lang w:val="en-US" w:eastAsia="zh-CN"/>
              </w:rPr>
              <w:t>详见下表</w:t>
            </w:r>
            <w:r>
              <w:rPr>
                <w:rFonts w:ascii="Times New Roman" w:hAnsi="Times New Roman" w:eastAsia="宋体" w:cs="Times New Roman"/>
                <w:color w:val="000000"/>
                <w:sz w:val="24"/>
              </w:rPr>
              <w:t>。</w:t>
            </w:r>
          </w:p>
          <w:p w14:paraId="33908D65">
            <w:pPr>
              <w:keepNext w:val="0"/>
              <w:keepLines w:val="0"/>
              <w:pageBreakBefore w:val="0"/>
              <w:widowControl w:val="0"/>
              <w:spacing w:line="240" w:lineRule="auto"/>
              <w:ind w:firstLine="0"/>
              <w:jc w:val="center"/>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表</w:t>
            </w:r>
            <w:r>
              <w:rPr>
                <w:rFonts w:ascii="Times New Roman" w:hAnsi="Times New Roman" w:eastAsia="宋体" w:cs="Times New Roman"/>
                <w:b/>
                <w:color w:val="000000"/>
                <w:sz w:val="24"/>
                <w:szCs w:val="24"/>
                <w:highlight w:val="none"/>
                <w:lang w:val="en-US" w:eastAsia="zh-CN"/>
              </w:rPr>
              <w:t>2-</w:t>
            </w:r>
            <w:r>
              <w:rPr>
                <w:rFonts w:hint="eastAsia" w:ascii="Times New Roman" w:hAnsi="Times New Roman" w:eastAsia="宋体" w:cs="Times New Roman"/>
                <w:b/>
                <w:color w:val="000000"/>
                <w:sz w:val="24"/>
                <w:szCs w:val="24"/>
                <w:highlight w:val="none"/>
                <w:lang w:val="en-US" w:eastAsia="zh-CN"/>
              </w:rPr>
              <w:t>5</w:t>
            </w:r>
            <w:r>
              <w:rPr>
                <w:rFonts w:ascii="Times New Roman" w:hAnsi="Times New Roman" w:eastAsia="宋体" w:cs="Times New Roman"/>
                <w:b/>
                <w:color w:val="000000"/>
                <w:sz w:val="24"/>
                <w:szCs w:val="24"/>
                <w:highlight w:val="none"/>
              </w:rPr>
              <w:t xml:space="preserve">  项目原辅料用量</w:t>
            </w:r>
            <w:r>
              <w:rPr>
                <w:rFonts w:hint="eastAsia" w:ascii="Times New Roman" w:hAnsi="Times New Roman" w:eastAsia="宋体" w:cs="Times New Roman"/>
                <w:b/>
                <w:color w:val="000000"/>
                <w:sz w:val="24"/>
                <w:szCs w:val="24"/>
                <w:highlight w:val="none"/>
                <w:lang w:val="en-US" w:eastAsia="zh-CN"/>
              </w:rPr>
              <w:t>一览</w:t>
            </w:r>
            <w:r>
              <w:rPr>
                <w:rFonts w:ascii="Times New Roman" w:hAnsi="Times New Roman" w:eastAsia="宋体" w:cs="Times New Roman"/>
                <w:b/>
                <w:color w:val="000000"/>
                <w:sz w:val="24"/>
                <w:szCs w:val="24"/>
                <w:highlight w:val="none"/>
              </w:rPr>
              <w:t>表</w:t>
            </w:r>
          </w:p>
          <w:tbl>
            <w:tblPr>
              <w:tblStyle w:val="2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85" w:type="dxa"/>
                <w:bottom w:w="28" w:type="dxa"/>
                <w:right w:w="85" w:type="dxa"/>
              </w:tblCellMar>
            </w:tblPr>
            <w:tblGrid>
              <w:gridCol w:w="682"/>
              <w:gridCol w:w="1800"/>
              <w:gridCol w:w="912"/>
              <w:gridCol w:w="1350"/>
              <w:gridCol w:w="1738"/>
              <w:gridCol w:w="2307"/>
            </w:tblGrid>
            <w:tr w14:paraId="77BFF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85" w:type="dxa"/>
                  <w:bottom w:w="28" w:type="dxa"/>
                  <w:right w:w="85" w:type="dxa"/>
                </w:tblCellMar>
              </w:tblPrEx>
              <w:trPr>
                <w:cantSplit/>
                <w:trHeight w:val="23" w:hRule="atLeast"/>
                <w:jc w:val="center"/>
              </w:trPr>
              <w:tc>
                <w:tcPr>
                  <w:tcW w:w="387" w:type="dxa"/>
                  <w:noWrap w:val="0"/>
                  <w:vAlign w:val="center"/>
                </w:tcPr>
                <w:p w14:paraId="44007D29">
                  <w:pPr>
                    <w:spacing w:line="240" w:lineRule="auto"/>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序号</w:t>
                  </w:r>
                </w:p>
              </w:tc>
              <w:tc>
                <w:tcPr>
                  <w:tcW w:w="1024" w:type="dxa"/>
                  <w:noWrap w:val="0"/>
                  <w:vAlign w:val="center"/>
                </w:tcPr>
                <w:p w14:paraId="50C25F3A">
                  <w:pPr>
                    <w:spacing w:line="240" w:lineRule="auto"/>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名称</w:t>
                  </w:r>
                </w:p>
              </w:tc>
              <w:tc>
                <w:tcPr>
                  <w:tcW w:w="518" w:type="dxa"/>
                  <w:noWrap w:val="0"/>
                  <w:vAlign w:val="center"/>
                </w:tcPr>
                <w:p w14:paraId="7056B973">
                  <w:pPr>
                    <w:spacing w:line="240" w:lineRule="auto"/>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单位</w:t>
                  </w:r>
                </w:p>
              </w:tc>
              <w:tc>
                <w:tcPr>
                  <w:tcW w:w="768" w:type="dxa"/>
                  <w:noWrap w:val="0"/>
                  <w:vAlign w:val="center"/>
                </w:tcPr>
                <w:p w14:paraId="6573A867">
                  <w:pPr>
                    <w:spacing w:line="240" w:lineRule="auto"/>
                    <w:jc w:val="center"/>
                    <w:rPr>
                      <w:rFonts w:hint="eastAsia" w:ascii="Times New Roman" w:hAnsi="Times New Roman" w:eastAsia="宋体" w:cs="Times New Roman"/>
                      <w:b/>
                      <w:color w:val="000000"/>
                      <w:szCs w:val="21"/>
                      <w:highlight w:val="none"/>
                      <w:lang w:eastAsia="zh-CN"/>
                    </w:rPr>
                  </w:pPr>
                  <w:r>
                    <w:rPr>
                      <w:rFonts w:ascii="Times New Roman" w:hAnsi="Times New Roman" w:eastAsia="宋体" w:cs="Times New Roman"/>
                      <w:b/>
                      <w:color w:val="000000"/>
                      <w:szCs w:val="21"/>
                      <w:highlight w:val="none"/>
                    </w:rPr>
                    <w:t>年消耗量</w:t>
                  </w:r>
                </w:p>
              </w:tc>
              <w:tc>
                <w:tcPr>
                  <w:tcW w:w="988" w:type="dxa"/>
                  <w:noWrap w:val="0"/>
                  <w:vAlign w:val="center"/>
                </w:tcPr>
                <w:p w14:paraId="39B25D36">
                  <w:pPr>
                    <w:spacing w:line="240" w:lineRule="auto"/>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来源</w:t>
                  </w:r>
                </w:p>
              </w:tc>
              <w:tc>
                <w:tcPr>
                  <w:tcW w:w="1312" w:type="dxa"/>
                  <w:noWrap w:val="0"/>
                  <w:vAlign w:val="center"/>
                </w:tcPr>
                <w:p w14:paraId="384C7CB8">
                  <w:pPr>
                    <w:spacing w:line="240" w:lineRule="auto"/>
                    <w:jc w:val="center"/>
                    <w:rPr>
                      <w:rFonts w:hint="eastAsia" w:ascii="Times New Roman" w:hAnsi="Times New Roman" w:eastAsia="宋体" w:cs="Times New Roman"/>
                      <w:b/>
                      <w:color w:val="000000"/>
                      <w:szCs w:val="21"/>
                      <w:highlight w:val="none"/>
                      <w:lang w:val="en-US" w:eastAsia="zh-CN"/>
                    </w:rPr>
                  </w:pPr>
                  <w:r>
                    <w:rPr>
                      <w:rFonts w:hint="eastAsia" w:ascii="Times New Roman" w:hAnsi="Times New Roman" w:eastAsia="宋体" w:cs="Times New Roman"/>
                      <w:b/>
                      <w:color w:val="000000"/>
                      <w:szCs w:val="21"/>
                      <w:highlight w:val="none"/>
                      <w:lang w:val="en-US" w:eastAsia="zh-CN"/>
                    </w:rPr>
                    <w:t>备注</w:t>
                  </w:r>
                </w:p>
              </w:tc>
            </w:tr>
            <w:tr w14:paraId="4F0D0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85" w:type="dxa"/>
                  <w:bottom w:w="28" w:type="dxa"/>
                  <w:right w:w="85" w:type="dxa"/>
                </w:tblCellMar>
              </w:tblPrEx>
              <w:trPr>
                <w:cantSplit/>
                <w:trHeight w:val="90" w:hRule="atLeast"/>
                <w:jc w:val="center"/>
              </w:trPr>
              <w:tc>
                <w:tcPr>
                  <w:tcW w:w="387" w:type="dxa"/>
                  <w:noWrap w:val="0"/>
                  <w:vAlign w:val="center"/>
                </w:tcPr>
                <w:p w14:paraId="0EDF5719">
                  <w:pPr>
                    <w:spacing w:line="240" w:lineRule="auto"/>
                    <w:jc w:val="center"/>
                    <w:rPr>
                      <w:rFonts w:hint="eastAsia"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1</w:t>
                  </w:r>
                </w:p>
              </w:tc>
              <w:tc>
                <w:tcPr>
                  <w:tcW w:w="1024" w:type="dxa"/>
                  <w:noWrap w:val="0"/>
                  <w:vAlign w:val="center"/>
                </w:tcPr>
                <w:p w14:paraId="07B5EC50">
                  <w:pPr>
                    <w:spacing w:line="240" w:lineRule="auto"/>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杉木原木</w:t>
                  </w:r>
                </w:p>
              </w:tc>
              <w:tc>
                <w:tcPr>
                  <w:tcW w:w="518" w:type="dxa"/>
                  <w:noWrap w:val="0"/>
                  <w:vAlign w:val="center"/>
                </w:tcPr>
                <w:p w14:paraId="6339DAC8">
                  <w:pPr>
                    <w:spacing w:line="240" w:lineRule="auto"/>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 w:val="24"/>
                      <w:szCs w:val="24"/>
                      <w:lang w:val="en-US" w:eastAsia="zh-CN" w:bidi="ar"/>
                    </w:rPr>
                    <w:t>m</w:t>
                  </w:r>
                  <w:r>
                    <w:rPr>
                      <w:rFonts w:ascii="Times New Roman" w:hAnsi="Times New Roman" w:eastAsia="宋体" w:cs="Times New Roman"/>
                      <w:color w:val="000000"/>
                      <w:sz w:val="24"/>
                      <w:szCs w:val="24"/>
                      <w:vertAlign w:val="superscript"/>
                      <w:lang w:val="en-US" w:eastAsia="zh-CN" w:bidi="ar"/>
                    </w:rPr>
                    <w:t>3</w:t>
                  </w:r>
                </w:p>
              </w:tc>
              <w:tc>
                <w:tcPr>
                  <w:tcW w:w="768" w:type="dxa"/>
                  <w:noWrap w:val="0"/>
                  <w:vAlign w:val="center"/>
                </w:tcPr>
                <w:p w14:paraId="17C135E9">
                  <w:pPr>
                    <w:spacing w:line="240" w:lineRule="auto"/>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 w:val="24"/>
                      <w:szCs w:val="24"/>
                      <w:lang w:val="en-US" w:eastAsia="zh-CN" w:bidi="ar"/>
                    </w:rPr>
                    <w:t>8000</w:t>
                  </w:r>
                </w:p>
              </w:tc>
              <w:tc>
                <w:tcPr>
                  <w:tcW w:w="988" w:type="dxa"/>
                  <w:noWrap w:val="0"/>
                  <w:vAlign w:val="center"/>
                </w:tcPr>
                <w:p w14:paraId="53B51962">
                  <w:pPr>
                    <w:spacing w:line="240" w:lineRule="auto"/>
                    <w:jc w:val="center"/>
                    <w:rPr>
                      <w:rFonts w:ascii="Times New Roman" w:hAnsi="Times New Roman" w:eastAsia="宋体" w:cs="Times New Roman"/>
                      <w:color w:val="000000"/>
                      <w:szCs w:val="21"/>
                      <w:highlight w:val="none"/>
                      <w:lang w:val="en-US"/>
                    </w:rPr>
                  </w:pPr>
                  <w:r>
                    <w:rPr>
                      <w:rFonts w:hint="eastAsia" w:ascii="Times New Roman" w:hAnsi="Times New Roman" w:eastAsia="宋体" w:cs="Times New Roman"/>
                      <w:color w:val="000000"/>
                      <w:szCs w:val="21"/>
                      <w:highlight w:val="none"/>
                      <w:lang w:val="en-US" w:eastAsia="zh-CN"/>
                    </w:rPr>
                    <w:t>外购</w:t>
                  </w:r>
                </w:p>
              </w:tc>
              <w:tc>
                <w:tcPr>
                  <w:tcW w:w="1312" w:type="dxa"/>
                  <w:noWrap w:val="0"/>
                  <w:vAlign w:val="center"/>
                </w:tcPr>
                <w:p w14:paraId="72DBB0F7">
                  <w:pPr>
                    <w:spacing w:line="240" w:lineRule="auto"/>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含水率为60%左右</w:t>
                  </w:r>
                </w:p>
              </w:tc>
            </w:tr>
            <w:tr w14:paraId="35978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85" w:type="dxa"/>
                  <w:bottom w:w="28" w:type="dxa"/>
                  <w:right w:w="85" w:type="dxa"/>
                </w:tblCellMar>
              </w:tblPrEx>
              <w:trPr>
                <w:cantSplit/>
                <w:trHeight w:val="90" w:hRule="atLeast"/>
                <w:jc w:val="center"/>
              </w:trPr>
              <w:tc>
                <w:tcPr>
                  <w:tcW w:w="387" w:type="dxa"/>
                  <w:noWrap w:val="0"/>
                  <w:vAlign w:val="center"/>
                </w:tcPr>
                <w:p w14:paraId="313F5E6F">
                  <w:pPr>
                    <w:spacing w:line="240" w:lineRule="auto"/>
                    <w:jc w:val="center"/>
                    <w:rPr>
                      <w:rFonts w:hint="eastAsia"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2</w:t>
                  </w:r>
                </w:p>
              </w:tc>
              <w:tc>
                <w:tcPr>
                  <w:tcW w:w="1024" w:type="dxa"/>
                  <w:noWrap w:val="0"/>
                  <w:vAlign w:val="center"/>
                </w:tcPr>
                <w:p w14:paraId="4BB45434">
                  <w:pPr>
                    <w:spacing w:line="240" w:lineRule="auto"/>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生态木材氨基胶胶粉</w:t>
                  </w:r>
                </w:p>
              </w:tc>
              <w:tc>
                <w:tcPr>
                  <w:tcW w:w="518" w:type="dxa"/>
                  <w:noWrap w:val="0"/>
                  <w:vAlign w:val="center"/>
                </w:tcPr>
                <w:p w14:paraId="1D96CBF7">
                  <w:pPr>
                    <w:spacing w:line="240" w:lineRule="auto"/>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t/a</w:t>
                  </w:r>
                </w:p>
              </w:tc>
              <w:tc>
                <w:tcPr>
                  <w:tcW w:w="768" w:type="dxa"/>
                  <w:noWrap w:val="0"/>
                  <w:vAlign w:val="center"/>
                </w:tcPr>
                <w:p w14:paraId="59B382D8">
                  <w:pPr>
                    <w:spacing w:line="240" w:lineRule="auto"/>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5</w:t>
                  </w:r>
                </w:p>
              </w:tc>
              <w:tc>
                <w:tcPr>
                  <w:tcW w:w="988" w:type="dxa"/>
                  <w:noWrap w:val="0"/>
                  <w:vAlign w:val="center"/>
                </w:tcPr>
                <w:p w14:paraId="44D81A39">
                  <w:pPr>
                    <w:spacing w:line="240" w:lineRule="auto"/>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外购</w:t>
                  </w:r>
                </w:p>
              </w:tc>
              <w:tc>
                <w:tcPr>
                  <w:tcW w:w="1312" w:type="dxa"/>
                  <w:noWrap w:val="0"/>
                  <w:vAlign w:val="center"/>
                </w:tcPr>
                <w:p w14:paraId="7D1B9B26">
                  <w:pPr>
                    <w:spacing w:line="240" w:lineRule="auto"/>
                    <w:jc w:val="center"/>
                    <w:rPr>
                      <w:rFonts w:hint="eastAsia"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本项目购买的是胶粉，使用时还需兑水调胶。</w:t>
                  </w:r>
                </w:p>
              </w:tc>
            </w:tr>
            <w:tr w14:paraId="666BE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85" w:type="dxa"/>
                  <w:bottom w:w="28" w:type="dxa"/>
                  <w:right w:w="85" w:type="dxa"/>
                </w:tblCellMar>
              </w:tblPrEx>
              <w:trPr>
                <w:cantSplit/>
                <w:trHeight w:val="90" w:hRule="atLeast"/>
                <w:jc w:val="center"/>
              </w:trPr>
              <w:tc>
                <w:tcPr>
                  <w:tcW w:w="387" w:type="dxa"/>
                  <w:noWrap w:val="0"/>
                  <w:vAlign w:val="center"/>
                </w:tcPr>
                <w:p w14:paraId="7AD170F9">
                  <w:pPr>
                    <w:spacing w:line="240" w:lineRule="auto"/>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3</w:t>
                  </w:r>
                </w:p>
              </w:tc>
              <w:tc>
                <w:tcPr>
                  <w:tcW w:w="1024" w:type="dxa"/>
                  <w:noWrap w:val="0"/>
                  <w:vAlign w:val="center"/>
                </w:tcPr>
                <w:p w14:paraId="2F488211">
                  <w:pPr>
                    <w:spacing w:line="240" w:lineRule="auto"/>
                    <w:jc w:val="center"/>
                    <w:rPr>
                      <w:rFonts w:ascii="Times New Roman" w:hAnsi="Times New Roman" w:eastAsia="宋体" w:cs="Times New Roman"/>
                      <w:color w:val="000000"/>
                      <w:szCs w:val="21"/>
                      <w:highlight w:val="none"/>
                      <w:lang w:val="en-US" w:eastAsia="zh-CN"/>
                    </w:rPr>
                  </w:pPr>
                  <w:r>
                    <w:rPr>
                      <w:rFonts w:ascii="Times New Roman" w:hAnsi="Times New Roman" w:eastAsia="宋体" w:cs="Times New Roman"/>
                      <w:color w:val="000000"/>
                      <w:sz w:val="21"/>
                      <w:szCs w:val="21"/>
                      <w:highlight w:val="none"/>
                      <w:lang w:val="en-US" w:eastAsia="zh-CN" w:bidi="ar-SA"/>
                    </w:rPr>
                    <w:t>成型生物质燃料</w:t>
                  </w:r>
                </w:p>
              </w:tc>
              <w:tc>
                <w:tcPr>
                  <w:tcW w:w="518" w:type="dxa"/>
                  <w:noWrap w:val="0"/>
                  <w:vAlign w:val="center"/>
                </w:tcPr>
                <w:p w14:paraId="6FB23797">
                  <w:pPr>
                    <w:spacing w:line="240" w:lineRule="auto"/>
                    <w:jc w:val="center"/>
                    <w:rPr>
                      <w:rFonts w:hint="eastAsia" w:ascii="Times New Roman" w:hAnsi="Times New Roman" w:eastAsia="宋体" w:cs="Times New Roman"/>
                      <w:color w:val="000000"/>
                      <w:szCs w:val="21"/>
                      <w:highlight w:val="none"/>
                      <w:lang w:val="en-US" w:eastAsia="zh-CN"/>
                    </w:rPr>
                  </w:pPr>
                  <w:r>
                    <w:rPr>
                      <w:rFonts w:ascii="Times New Roman" w:hAnsi="Times New Roman" w:eastAsia="宋体" w:cs="Times New Roman"/>
                      <w:color w:val="000000"/>
                      <w:sz w:val="21"/>
                      <w:szCs w:val="21"/>
                      <w:highlight w:val="none"/>
                      <w:lang w:val="en-US" w:eastAsia="zh-CN"/>
                    </w:rPr>
                    <w:t>t/a</w:t>
                  </w:r>
                </w:p>
              </w:tc>
              <w:tc>
                <w:tcPr>
                  <w:tcW w:w="768" w:type="dxa"/>
                  <w:noWrap w:val="0"/>
                  <w:vAlign w:val="center"/>
                </w:tcPr>
                <w:p w14:paraId="0902B02A">
                  <w:pPr>
                    <w:spacing w:line="240" w:lineRule="auto"/>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 w:val="21"/>
                      <w:szCs w:val="21"/>
                      <w:highlight w:val="none"/>
                      <w:lang w:val="en-US" w:eastAsia="zh-CN" w:bidi="ar-SA"/>
                    </w:rPr>
                    <w:t>4</w:t>
                  </w:r>
                  <w:r>
                    <w:rPr>
                      <w:rFonts w:ascii="Times New Roman" w:hAnsi="Times New Roman" w:eastAsia="宋体" w:cs="Times New Roman"/>
                      <w:color w:val="000000"/>
                      <w:sz w:val="21"/>
                      <w:szCs w:val="21"/>
                      <w:highlight w:val="none"/>
                      <w:lang w:val="en-US" w:eastAsia="zh-CN" w:bidi="ar-SA"/>
                    </w:rPr>
                    <w:t>00</w:t>
                  </w:r>
                </w:p>
              </w:tc>
              <w:tc>
                <w:tcPr>
                  <w:tcW w:w="988" w:type="dxa"/>
                  <w:noWrap w:val="0"/>
                  <w:vAlign w:val="center"/>
                </w:tcPr>
                <w:p w14:paraId="410EF9A8">
                  <w:pPr>
                    <w:spacing w:line="240" w:lineRule="auto"/>
                    <w:jc w:val="center"/>
                    <w:rPr>
                      <w:rFonts w:hint="eastAsia" w:ascii="Times New Roman" w:hAnsi="Times New Roman" w:eastAsia="宋体" w:cs="Times New Roman"/>
                      <w:color w:val="000000"/>
                      <w:szCs w:val="21"/>
                      <w:highlight w:val="none"/>
                      <w:lang w:val="en-US" w:eastAsia="zh-CN"/>
                    </w:rPr>
                  </w:pPr>
                  <w:r>
                    <w:rPr>
                      <w:rFonts w:ascii="Times New Roman" w:hAnsi="Times New Roman" w:eastAsia="宋体" w:cs="Times New Roman"/>
                      <w:color w:val="000000"/>
                      <w:sz w:val="21"/>
                      <w:szCs w:val="21"/>
                      <w:highlight w:val="none"/>
                      <w:lang w:val="en-US" w:eastAsia="zh-CN"/>
                    </w:rPr>
                    <w:t>盈江碧蓝生物科技有限公司</w:t>
                  </w:r>
                </w:p>
              </w:tc>
              <w:tc>
                <w:tcPr>
                  <w:tcW w:w="1312" w:type="dxa"/>
                  <w:noWrap w:val="0"/>
                  <w:vAlign w:val="center"/>
                </w:tcPr>
                <w:p w14:paraId="0CE434C4">
                  <w:pPr>
                    <w:spacing w:line="240" w:lineRule="auto"/>
                    <w:jc w:val="center"/>
                    <w:rPr>
                      <w:rFonts w:hint="eastAsia"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w:t>
                  </w:r>
                </w:p>
              </w:tc>
            </w:tr>
          </w:tbl>
          <w:p w14:paraId="3A64389F">
            <w:pPr>
              <w:keepNext w:val="0"/>
              <w:keepLines w:val="0"/>
              <w:pageBreakBefore w:val="0"/>
              <w:widowControl w:val="0"/>
              <w:tabs>
                <w:tab w:val="left" w:pos="2395"/>
              </w:tabs>
              <w:spacing w:before="157" w:line="360" w:lineRule="auto"/>
              <w:ind w:firstLine="493"/>
              <w:rPr>
                <w:rFonts w:ascii="Times New Roman" w:hAnsi="Times New Roman" w:eastAsia="宋体" w:cs="Times New Roman"/>
                <w:b/>
                <w:color w:val="000000"/>
                <w:sz w:val="24"/>
              </w:rPr>
            </w:pPr>
            <w:r>
              <w:rPr>
                <w:rFonts w:hint="eastAsia" w:ascii="Times New Roman" w:hAnsi="Times New Roman" w:eastAsia="宋体" w:cs="Times New Roman"/>
                <w:b/>
                <w:color w:val="000000"/>
                <w:sz w:val="24"/>
                <w:lang w:val="en-US" w:eastAsia="zh-CN"/>
              </w:rPr>
              <w:t>5</w:t>
            </w:r>
            <w:r>
              <w:rPr>
                <w:rFonts w:ascii="Times New Roman" w:hAnsi="Times New Roman" w:eastAsia="宋体" w:cs="Times New Roman"/>
                <w:b/>
                <w:color w:val="000000"/>
                <w:sz w:val="24"/>
              </w:rPr>
              <w:t>.1、生物质燃料</w:t>
            </w:r>
          </w:p>
          <w:p w14:paraId="41E75363">
            <w:pPr>
              <w:keepNext w:val="0"/>
              <w:keepLines w:val="0"/>
              <w:pageBreakBefore w:val="0"/>
              <w:widowControl w:val="0"/>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（1）生物质燃料品质控制标准</w:t>
            </w:r>
          </w:p>
          <w:p w14:paraId="114F7A5C">
            <w:pPr>
              <w:keepNext w:val="0"/>
              <w:keepLines w:val="0"/>
              <w:pageBreakBefore w:val="0"/>
              <w:widowControl w:val="0"/>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生物质燃料品质控制标准参照《生物质固体成型燃料技术条件》（NY/T1878-2010）及《工业</w:t>
            </w:r>
            <w:r>
              <w:rPr>
                <w:rFonts w:ascii="Times New Roman" w:hAnsi="Times New Roman" w:eastAsia="宋体" w:cs="Times New Roman"/>
                <w:color w:val="000000"/>
                <w:sz w:val="24"/>
                <w:lang w:val="en-US" w:eastAsia="zh-CN"/>
              </w:rPr>
              <w:t>锅炉</w:t>
            </w:r>
            <w:r>
              <w:rPr>
                <w:rFonts w:ascii="Times New Roman" w:hAnsi="Times New Roman" w:eastAsia="宋体" w:cs="Times New Roman"/>
                <w:color w:val="000000"/>
                <w:sz w:val="24"/>
              </w:rPr>
              <w:t>用生物质成型燃料》（DB44/T1052-2012）中对应指标中最严要求，详见下表。</w:t>
            </w:r>
          </w:p>
          <w:p w14:paraId="03E59D95">
            <w:pPr>
              <w:jc w:val="center"/>
              <w:rPr>
                <w:rFonts w:ascii="Times New Roman" w:hAnsi="Times New Roman" w:eastAsia="宋体" w:cs="Times New Roman"/>
                <w:b/>
                <w:bCs/>
                <w:color w:val="000000"/>
                <w:sz w:val="24"/>
                <w:szCs w:val="28"/>
              </w:rPr>
            </w:pPr>
            <w:r>
              <w:rPr>
                <w:rFonts w:ascii="Times New Roman" w:hAnsi="Times New Roman" w:eastAsia="宋体" w:cs="Times New Roman"/>
                <w:b/>
                <w:bCs/>
                <w:color w:val="000000"/>
                <w:sz w:val="24"/>
                <w:szCs w:val="28"/>
              </w:rPr>
              <w:t>表</w:t>
            </w:r>
            <w:r>
              <w:rPr>
                <w:rFonts w:ascii="Times New Roman" w:hAnsi="Times New Roman" w:eastAsia="宋体" w:cs="Times New Roman"/>
                <w:b/>
                <w:bCs/>
                <w:color w:val="000000"/>
                <w:sz w:val="24"/>
                <w:szCs w:val="28"/>
                <w:lang w:val="en-US" w:eastAsia="zh-CN"/>
              </w:rPr>
              <w:t>2</w:t>
            </w:r>
            <w:r>
              <w:rPr>
                <w:rFonts w:ascii="Times New Roman" w:hAnsi="Times New Roman" w:eastAsia="宋体" w:cs="Times New Roman"/>
                <w:b/>
                <w:bCs/>
                <w:color w:val="000000"/>
                <w:sz w:val="24"/>
                <w:szCs w:val="28"/>
              </w:rPr>
              <w:t>-</w:t>
            </w:r>
            <w:r>
              <w:rPr>
                <w:rFonts w:hint="eastAsia" w:ascii="Times New Roman" w:hAnsi="Times New Roman" w:eastAsia="宋体" w:cs="Times New Roman"/>
                <w:b/>
                <w:bCs/>
                <w:color w:val="000000"/>
                <w:sz w:val="24"/>
                <w:szCs w:val="28"/>
                <w:lang w:val="en-US" w:eastAsia="zh-CN"/>
              </w:rPr>
              <w:t>6</w:t>
            </w:r>
            <w:r>
              <w:rPr>
                <w:rFonts w:ascii="Times New Roman" w:hAnsi="Times New Roman" w:eastAsia="宋体" w:cs="Times New Roman"/>
                <w:b/>
                <w:bCs/>
                <w:color w:val="000000"/>
                <w:sz w:val="24"/>
                <w:szCs w:val="28"/>
              </w:rPr>
              <w:t xml:space="preserve">  生物质成型颗粒燃料性能指标</w:t>
            </w:r>
          </w:p>
          <w:tbl>
            <w:tblPr>
              <w:tblStyle w:val="29"/>
              <w:tblW w:w="4997" w:type="pct"/>
              <w:tblInd w:w="5" w:type="dxa"/>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Layout w:type="fixed"/>
              <w:tblCellMar>
                <w:top w:w="0" w:type="dxa"/>
                <w:left w:w="0" w:type="dxa"/>
                <w:bottom w:w="0" w:type="dxa"/>
                <w:right w:w="0" w:type="dxa"/>
              </w:tblCellMar>
            </w:tblPr>
            <w:tblGrid>
              <w:gridCol w:w="2197"/>
              <w:gridCol w:w="2197"/>
              <w:gridCol w:w="2197"/>
              <w:gridCol w:w="2197"/>
            </w:tblGrid>
            <w:tr w14:paraId="395B493F">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gridAfter w:val="1"/>
                <w:wAfter w:w="1134" w:type="dxa"/>
                <w:trHeight w:val="23" w:hRule="atLeast"/>
              </w:trPr>
              <w:tc>
                <w:tcPr>
                  <w:tcW w:w="1513" w:type="dxa"/>
                  <w:noWrap w:val="0"/>
                  <w:vAlign w:val="center"/>
                </w:tcPr>
                <w:p w14:paraId="78FA5C07">
                  <w:pPr>
                    <w:pStyle w:val="261"/>
                    <w:keepNext w:val="0"/>
                    <w:keepLines w:val="0"/>
                    <w:pageBreakBefore w:val="0"/>
                    <w:widowControl w:val="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项目</w:t>
                  </w:r>
                </w:p>
              </w:tc>
              <w:tc>
                <w:tcPr>
                  <w:tcW w:w="1699" w:type="dxa"/>
                  <w:noWrap w:val="0"/>
                  <w:vAlign w:val="center"/>
                </w:tcPr>
                <w:p w14:paraId="2EE71942">
                  <w:pPr>
                    <w:pStyle w:val="261"/>
                    <w:keepNext w:val="0"/>
                    <w:keepLines w:val="0"/>
                    <w:pageBreakBefore w:val="0"/>
                    <w:widowControl w:val="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单位</w:t>
                  </w:r>
                </w:p>
              </w:tc>
              <w:tc>
                <w:tcPr>
                  <w:tcW w:w="1783" w:type="dxa"/>
                  <w:noWrap w:val="0"/>
                  <w:vAlign w:val="center"/>
                </w:tcPr>
                <w:p w14:paraId="750C457F">
                  <w:pPr>
                    <w:pStyle w:val="261"/>
                    <w:keepNext w:val="0"/>
                    <w:keepLines w:val="0"/>
                    <w:pageBreakBefore w:val="0"/>
                    <w:widowControl w:val="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成型燃料产品指标</w:t>
                  </w:r>
                </w:p>
              </w:tc>
            </w:tr>
            <w:tr w14:paraId="269B8727">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gridAfter w:val="1"/>
                <w:wAfter w:w="1134" w:type="dxa"/>
                <w:trHeight w:val="23" w:hRule="atLeast"/>
              </w:trPr>
              <w:tc>
                <w:tcPr>
                  <w:tcW w:w="1513" w:type="dxa"/>
                  <w:noWrap w:val="0"/>
                  <w:vAlign w:val="center"/>
                </w:tcPr>
                <w:p w14:paraId="3AAC3681">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全水分（Mt）</w:t>
                  </w:r>
                </w:p>
              </w:tc>
              <w:tc>
                <w:tcPr>
                  <w:tcW w:w="1699" w:type="dxa"/>
                  <w:noWrap w:val="0"/>
                  <w:vAlign w:val="center"/>
                </w:tcPr>
                <w:p w14:paraId="1B8AE2EA">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783" w:type="dxa"/>
                  <w:noWrap w:val="0"/>
                  <w:vAlign w:val="center"/>
                </w:tcPr>
                <w:p w14:paraId="0BC1B82F">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≤13</w:t>
                  </w:r>
                </w:p>
              </w:tc>
            </w:tr>
            <w:tr w14:paraId="7C262B3D">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gridAfter w:val="1"/>
                <w:wAfter w:w="1134" w:type="dxa"/>
                <w:trHeight w:val="23" w:hRule="atLeast"/>
              </w:trPr>
              <w:tc>
                <w:tcPr>
                  <w:tcW w:w="1513" w:type="dxa"/>
                  <w:noWrap w:val="0"/>
                  <w:vAlign w:val="center"/>
                </w:tcPr>
                <w:p w14:paraId="63DB46AD">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灰分（Ad）</w:t>
                  </w:r>
                </w:p>
              </w:tc>
              <w:tc>
                <w:tcPr>
                  <w:tcW w:w="1699" w:type="dxa"/>
                  <w:noWrap w:val="0"/>
                  <w:vAlign w:val="center"/>
                </w:tcPr>
                <w:p w14:paraId="500B4DA4">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783" w:type="dxa"/>
                  <w:noWrap w:val="0"/>
                  <w:vAlign w:val="center"/>
                </w:tcPr>
                <w:p w14:paraId="5F8C8B68">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r>
            <w:tr w14:paraId="0FFCD2A6">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gridAfter w:val="1"/>
                <w:wAfter w:w="1134" w:type="dxa"/>
                <w:trHeight w:val="23" w:hRule="atLeast"/>
              </w:trPr>
              <w:tc>
                <w:tcPr>
                  <w:tcW w:w="1513" w:type="dxa"/>
                  <w:noWrap w:val="0"/>
                  <w:vAlign w:val="center"/>
                </w:tcPr>
                <w:p w14:paraId="68DD053D">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挥发分（Vd）</w:t>
                  </w:r>
                </w:p>
              </w:tc>
              <w:tc>
                <w:tcPr>
                  <w:tcW w:w="1699" w:type="dxa"/>
                  <w:noWrap w:val="0"/>
                  <w:vAlign w:val="center"/>
                </w:tcPr>
                <w:p w14:paraId="7B43D45A">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783" w:type="dxa"/>
                  <w:noWrap w:val="0"/>
                  <w:vAlign w:val="center"/>
                </w:tcPr>
                <w:p w14:paraId="79C20E5A">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≥70</w:t>
                  </w:r>
                </w:p>
              </w:tc>
            </w:tr>
            <w:tr w14:paraId="0B212E93">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gridAfter w:val="1"/>
                <w:wAfter w:w="1134" w:type="dxa"/>
                <w:trHeight w:val="23" w:hRule="atLeast"/>
              </w:trPr>
              <w:tc>
                <w:tcPr>
                  <w:tcW w:w="1513" w:type="dxa"/>
                  <w:noWrap w:val="0"/>
                  <w:vAlign w:val="center"/>
                </w:tcPr>
                <w:p w14:paraId="790ACA1B">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全硫（St，d）</w:t>
                  </w:r>
                </w:p>
              </w:tc>
              <w:tc>
                <w:tcPr>
                  <w:tcW w:w="1699" w:type="dxa"/>
                  <w:noWrap w:val="0"/>
                  <w:vAlign w:val="center"/>
                </w:tcPr>
                <w:p w14:paraId="236D20D9">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783" w:type="dxa"/>
                  <w:noWrap w:val="0"/>
                  <w:vAlign w:val="center"/>
                </w:tcPr>
                <w:p w14:paraId="0F4418F2">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≤0.1</w:t>
                  </w:r>
                </w:p>
              </w:tc>
            </w:tr>
            <w:tr w14:paraId="31E17923">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gridAfter w:val="1"/>
                <w:wAfter w:w="1134" w:type="dxa"/>
                <w:trHeight w:val="23" w:hRule="atLeast"/>
              </w:trPr>
              <w:tc>
                <w:tcPr>
                  <w:tcW w:w="1513" w:type="dxa"/>
                  <w:noWrap w:val="0"/>
                  <w:vAlign w:val="center"/>
                </w:tcPr>
                <w:p w14:paraId="5413DA7E">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氮（Nt，d）</w:t>
                  </w:r>
                </w:p>
              </w:tc>
              <w:tc>
                <w:tcPr>
                  <w:tcW w:w="1699" w:type="dxa"/>
                  <w:noWrap w:val="0"/>
                  <w:vAlign w:val="center"/>
                </w:tcPr>
                <w:p w14:paraId="3699EE33">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783" w:type="dxa"/>
                  <w:noWrap w:val="0"/>
                  <w:vAlign w:val="center"/>
                </w:tcPr>
                <w:p w14:paraId="2596FDA9">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≤0.5</w:t>
                  </w:r>
                </w:p>
              </w:tc>
            </w:tr>
            <w:tr w14:paraId="3465D64B">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2666" w:type="dxa"/>
                  <w:gridSpan w:val="2"/>
                  <w:noWrap w:val="0"/>
                  <w:vAlign w:val="center"/>
                </w:tcPr>
                <w:p w14:paraId="55FAD985">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氯（Clt，d）</w:t>
                  </w:r>
                </w:p>
              </w:tc>
              <w:tc>
                <w:tcPr>
                  <w:tcW w:w="1699" w:type="dxa"/>
                  <w:noWrap w:val="0"/>
                  <w:vAlign w:val="center"/>
                </w:tcPr>
                <w:p w14:paraId="2892A4EA">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3135" w:type="dxa"/>
                  <w:noWrap w:val="0"/>
                  <w:vAlign w:val="center"/>
                </w:tcPr>
                <w:p w14:paraId="00814D82">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≤0.8</w:t>
                  </w:r>
                </w:p>
              </w:tc>
            </w:tr>
            <w:tr w14:paraId="38457AF0">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2666" w:type="dxa"/>
                  <w:gridSpan w:val="2"/>
                  <w:noWrap w:val="0"/>
                  <w:vAlign w:val="center"/>
                </w:tcPr>
                <w:p w14:paraId="3F87DEF7">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钾（Kt，d）</w:t>
                  </w:r>
                </w:p>
              </w:tc>
              <w:tc>
                <w:tcPr>
                  <w:tcW w:w="1699" w:type="dxa"/>
                  <w:noWrap w:val="0"/>
                  <w:vAlign w:val="center"/>
                </w:tcPr>
                <w:p w14:paraId="35143C14">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3135" w:type="dxa"/>
                  <w:noWrap w:val="0"/>
                  <w:vAlign w:val="center"/>
                </w:tcPr>
                <w:p w14:paraId="56ACD750">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p>
              </w:tc>
            </w:tr>
            <w:tr w14:paraId="431862F3">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2666" w:type="dxa"/>
                  <w:gridSpan w:val="2"/>
                  <w:noWrap w:val="0"/>
                  <w:vAlign w:val="center"/>
                </w:tcPr>
                <w:p w14:paraId="305A99F8">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成型燃料密度（ρ）</w:t>
                  </w:r>
                </w:p>
              </w:tc>
              <w:tc>
                <w:tcPr>
                  <w:tcW w:w="1699" w:type="dxa"/>
                  <w:noWrap w:val="0"/>
                  <w:vAlign w:val="center"/>
                </w:tcPr>
                <w:p w14:paraId="6C34DB5A">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g/cm</w:t>
                  </w:r>
                  <w:r>
                    <w:rPr>
                      <w:rFonts w:ascii="Times New Roman" w:hAnsi="Times New Roman" w:eastAsia="宋体" w:cs="Times New Roman"/>
                      <w:color w:val="000000"/>
                      <w:sz w:val="21"/>
                      <w:szCs w:val="21"/>
                      <w:vertAlign w:val="superscript"/>
                    </w:rPr>
                    <w:t>3</w:t>
                  </w:r>
                </w:p>
              </w:tc>
              <w:tc>
                <w:tcPr>
                  <w:tcW w:w="3135" w:type="dxa"/>
                  <w:noWrap w:val="0"/>
                  <w:vAlign w:val="center"/>
                </w:tcPr>
                <w:p w14:paraId="32F18874">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w:t>
                  </w:r>
                </w:p>
              </w:tc>
            </w:tr>
            <w:tr w14:paraId="70C0BA9A">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2666" w:type="dxa"/>
                  <w:gridSpan w:val="2"/>
                  <w:noWrap w:val="0"/>
                  <w:vAlign w:val="center"/>
                </w:tcPr>
                <w:p w14:paraId="0E3C96DC">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截面尺寸（D）</w:t>
                  </w:r>
                </w:p>
              </w:tc>
              <w:tc>
                <w:tcPr>
                  <w:tcW w:w="1699" w:type="dxa"/>
                  <w:noWrap w:val="0"/>
                  <w:vAlign w:val="center"/>
                </w:tcPr>
                <w:p w14:paraId="69260185">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Mm</w:t>
                  </w:r>
                </w:p>
              </w:tc>
              <w:tc>
                <w:tcPr>
                  <w:tcW w:w="3135" w:type="dxa"/>
                  <w:noWrap w:val="0"/>
                  <w:vAlign w:val="center"/>
                </w:tcPr>
                <w:p w14:paraId="388367C8">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≤25</w:t>
                  </w:r>
                </w:p>
              </w:tc>
            </w:tr>
            <w:tr w14:paraId="074B59BF">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2666" w:type="dxa"/>
                  <w:gridSpan w:val="2"/>
                  <w:noWrap w:val="0"/>
                  <w:vAlign w:val="center"/>
                </w:tcPr>
                <w:p w14:paraId="10F00D41">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长度（L）</w:t>
                  </w:r>
                </w:p>
              </w:tc>
              <w:tc>
                <w:tcPr>
                  <w:tcW w:w="1699" w:type="dxa"/>
                  <w:noWrap w:val="0"/>
                  <w:vAlign w:val="center"/>
                </w:tcPr>
                <w:p w14:paraId="29779465">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Mm</w:t>
                  </w:r>
                </w:p>
              </w:tc>
              <w:tc>
                <w:tcPr>
                  <w:tcW w:w="3135" w:type="dxa"/>
                  <w:noWrap w:val="0"/>
                  <w:vAlign w:val="center"/>
                </w:tcPr>
                <w:p w14:paraId="7D64D66A">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≤4D</w:t>
                  </w:r>
                </w:p>
              </w:tc>
            </w:tr>
            <w:tr w14:paraId="3BFC98EF">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2666" w:type="dxa"/>
                  <w:gridSpan w:val="2"/>
                  <w:noWrap w:val="0"/>
                  <w:vAlign w:val="center"/>
                </w:tcPr>
                <w:p w14:paraId="5B517BBF">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抗碎强度（As）</w:t>
                  </w:r>
                </w:p>
              </w:tc>
              <w:tc>
                <w:tcPr>
                  <w:tcW w:w="1699" w:type="dxa"/>
                  <w:noWrap w:val="0"/>
                  <w:vAlign w:val="center"/>
                </w:tcPr>
                <w:p w14:paraId="08139C1C">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3135" w:type="dxa"/>
                  <w:noWrap w:val="0"/>
                  <w:vAlign w:val="center"/>
                </w:tcPr>
                <w:p w14:paraId="3863E707">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≥95.0</w:t>
                  </w:r>
                </w:p>
              </w:tc>
            </w:tr>
            <w:tr w14:paraId="6878E8BD">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2666" w:type="dxa"/>
                  <w:gridSpan w:val="2"/>
                  <w:noWrap w:val="0"/>
                  <w:vAlign w:val="center"/>
                </w:tcPr>
                <w:p w14:paraId="05F617C2">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破碎率（SR）</w:t>
                  </w:r>
                </w:p>
              </w:tc>
              <w:tc>
                <w:tcPr>
                  <w:tcW w:w="1699" w:type="dxa"/>
                  <w:noWrap w:val="0"/>
                  <w:vAlign w:val="center"/>
                </w:tcPr>
                <w:p w14:paraId="08363C58">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3135" w:type="dxa"/>
                  <w:noWrap w:val="0"/>
                  <w:vAlign w:val="center"/>
                </w:tcPr>
                <w:p w14:paraId="73CD81C1">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r>
            <w:tr w14:paraId="7E98EF62">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2666" w:type="dxa"/>
                  <w:gridSpan w:val="2"/>
                  <w:noWrap w:val="0"/>
                  <w:vAlign w:val="center"/>
                </w:tcPr>
                <w:p w14:paraId="1E04C44B">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干基低位发热量（Qnet.v,d）</w:t>
                  </w:r>
                </w:p>
              </w:tc>
              <w:tc>
                <w:tcPr>
                  <w:tcW w:w="1699" w:type="dxa"/>
                  <w:noWrap w:val="0"/>
                  <w:vAlign w:val="center"/>
                </w:tcPr>
                <w:p w14:paraId="7B395781">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MJ/kg</w:t>
                  </w:r>
                </w:p>
              </w:tc>
              <w:tc>
                <w:tcPr>
                  <w:tcW w:w="3135" w:type="dxa"/>
                  <w:noWrap w:val="0"/>
                  <w:vAlign w:val="center"/>
                </w:tcPr>
                <w:p w14:paraId="638A6A14">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草木类≥13.4木本类≥16.9</w:t>
                  </w:r>
                </w:p>
              </w:tc>
            </w:tr>
            <w:tr w14:paraId="78E92CE8">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2666" w:type="dxa"/>
                  <w:gridSpan w:val="2"/>
                  <w:noWrap w:val="0"/>
                  <w:vAlign w:val="center"/>
                </w:tcPr>
                <w:p w14:paraId="3E216645">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添加剂含量（ADt，d）</w:t>
                  </w:r>
                </w:p>
              </w:tc>
              <w:tc>
                <w:tcPr>
                  <w:tcW w:w="1699" w:type="dxa"/>
                  <w:noWrap w:val="0"/>
                  <w:vAlign w:val="center"/>
                </w:tcPr>
                <w:p w14:paraId="61B033AE">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3135" w:type="dxa"/>
                  <w:noWrap w:val="0"/>
                  <w:vAlign w:val="center"/>
                </w:tcPr>
                <w:p w14:paraId="1DB32B0D">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≤2，无毒无害无异味，不产生二次污染</w:t>
                  </w:r>
                </w:p>
              </w:tc>
            </w:tr>
          </w:tbl>
          <w:p w14:paraId="1038C416">
            <w:pPr>
              <w:keepNext w:val="0"/>
              <w:keepLines w:val="0"/>
              <w:pageBreakBefore w:val="0"/>
              <w:widowControl w:val="0"/>
              <w:tabs>
                <w:tab w:val="left" w:pos="2395"/>
              </w:tabs>
              <w:spacing w:before="157" w:line="360" w:lineRule="auto"/>
              <w:ind w:firstLine="493"/>
              <w:rPr>
                <w:rFonts w:ascii="Times New Roman" w:hAnsi="Times New Roman" w:eastAsia="宋体" w:cs="Times New Roman"/>
                <w:b/>
                <w:color w:val="000000"/>
                <w:sz w:val="24"/>
              </w:rPr>
            </w:pPr>
            <w:r>
              <w:rPr>
                <w:rFonts w:ascii="Times New Roman" w:hAnsi="Times New Roman" w:eastAsia="宋体" w:cs="Times New Roman"/>
                <w:b/>
                <w:color w:val="000000"/>
                <w:sz w:val="24"/>
              </w:rPr>
              <w:t>（2）本项目生物质成分质量分析</w:t>
            </w:r>
          </w:p>
          <w:p w14:paraId="3EF95BE6">
            <w:pPr>
              <w:keepNext w:val="0"/>
              <w:keepLines w:val="0"/>
              <w:pageBreakBefore w:val="0"/>
              <w:widowControl w:val="0"/>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根据建设单位提供</w:t>
            </w:r>
            <w:r>
              <w:rPr>
                <w:rFonts w:ascii="Times New Roman" w:hAnsi="Times New Roman" w:eastAsia="宋体" w:cs="Times New Roman"/>
                <w:color w:val="000000"/>
                <w:sz w:val="24"/>
                <w:lang w:val="en-US" w:eastAsia="zh-CN"/>
              </w:rPr>
              <w:t>资料</w:t>
            </w:r>
            <w:r>
              <w:rPr>
                <w:rFonts w:ascii="Times New Roman" w:hAnsi="Times New Roman" w:eastAsia="宋体" w:cs="Times New Roman"/>
                <w:color w:val="000000"/>
                <w:sz w:val="24"/>
              </w:rPr>
              <w:t>，本项目生物质燃料来自盈江碧蓝生物科技有限公司，根据盈江碧蓝生物科技有限公司提供的生物质成型燃料成分分析报告（见附件</w:t>
            </w:r>
            <w:r>
              <w:rPr>
                <w:rFonts w:hint="eastAsia" w:ascii="Times New Roman" w:hAnsi="Times New Roman" w:eastAsia="宋体" w:cs="Times New Roman"/>
                <w:color w:val="000000"/>
                <w:sz w:val="24"/>
                <w:lang w:val="en-US" w:eastAsia="zh-CN"/>
              </w:rPr>
              <w:t>9</w:t>
            </w:r>
            <w:r>
              <w:rPr>
                <w:rFonts w:ascii="Times New Roman" w:hAnsi="Times New Roman" w:eastAsia="宋体" w:cs="Times New Roman"/>
                <w:color w:val="000000"/>
                <w:sz w:val="24"/>
              </w:rPr>
              <w:t>），本项目生物质成分分析见下表。</w:t>
            </w:r>
          </w:p>
          <w:p w14:paraId="336F029B">
            <w:pPr>
              <w:spacing w:line="240" w:lineRule="auto"/>
              <w:jc w:val="center"/>
              <w:rPr>
                <w:rFonts w:ascii="Times New Roman" w:hAnsi="Times New Roman" w:eastAsia="宋体" w:cs="Times New Roman"/>
                <w:b/>
                <w:bCs/>
                <w:color w:val="000000"/>
                <w:sz w:val="24"/>
                <w:szCs w:val="28"/>
              </w:rPr>
            </w:pPr>
            <w:r>
              <w:rPr>
                <w:rFonts w:ascii="Times New Roman" w:hAnsi="Times New Roman" w:eastAsia="宋体" w:cs="Times New Roman"/>
                <w:b/>
                <w:bCs/>
                <w:color w:val="000000"/>
                <w:sz w:val="24"/>
                <w:szCs w:val="28"/>
              </w:rPr>
              <w:t>表</w:t>
            </w:r>
            <w:r>
              <w:rPr>
                <w:rFonts w:ascii="Times New Roman" w:hAnsi="Times New Roman" w:eastAsia="宋体" w:cs="Times New Roman"/>
                <w:b/>
                <w:bCs/>
                <w:color w:val="000000"/>
                <w:sz w:val="24"/>
                <w:szCs w:val="28"/>
                <w:lang w:val="en-US" w:eastAsia="zh-CN"/>
              </w:rPr>
              <w:t>2</w:t>
            </w:r>
            <w:r>
              <w:rPr>
                <w:rFonts w:ascii="Times New Roman" w:hAnsi="Times New Roman" w:eastAsia="宋体" w:cs="Times New Roman"/>
                <w:b/>
                <w:bCs/>
                <w:color w:val="000000"/>
                <w:sz w:val="24"/>
                <w:szCs w:val="28"/>
              </w:rPr>
              <w:t>-</w:t>
            </w:r>
            <w:r>
              <w:rPr>
                <w:rFonts w:hint="eastAsia" w:ascii="Times New Roman" w:hAnsi="Times New Roman" w:eastAsia="宋体" w:cs="Times New Roman"/>
                <w:b/>
                <w:bCs/>
                <w:color w:val="000000"/>
                <w:sz w:val="24"/>
                <w:szCs w:val="28"/>
                <w:lang w:val="en-US" w:eastAsia="zh-CN"/>
              </w:rPr>
              <w:t>7</w:t>
            </w:r>
            <w:r>
              <w:rPr>
                <w:rFonts w:ascii="Times New Roman" w:hAnsi="Times New Roman" w:eastAsia="宋体" w:cs="Times New Roman"/>
                <w:b/>
                <w:bCs/>
                <w:color w:val="000000"/>
                <w:sz w:val="24"/>
                <w:szCs w:val="28"/>
              </w:rPr>
              <w:t xml:space="preserve">  项目生物质成分分析表</w:t>
            </w:r>
          </w:p>
          <w:tbl>
            <w:tblPr>
              <w:tblStyle w:val="29"/>
              <w:tblW w:w="4999" w:type="pct"/>
              <w:jc w:val="center"/>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Layout w:type="fixed"/>
              <w:tblCellMar>
                <w:top w:w="0" w:type="dxa"/>
                <w:left w:w="0" w:type="dxa"/>
                <w:bottom w:w="0" w:type="dxa"/>
                <w:right w:w="0" w:type="dxa"/>
              </w:tblCellMar>
            </w:tblPr>
            <w:tblGrid>
              <w:gridCol w:w="2010"/>
              <w:gridCol w:w="2012"/>
              <w:gridCol w:w="2081"/>
              <w:gridCol w:w="2689"/>
            </w:tblGrid>
            <w:tr w14:paraId="541AE2EF">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PrEx>
              <w:trPr>
                <w:trHeight w:val="23" w:hRule="atLeast"/>
                <w:jc w:val="center"/>
              </w:trPr>
              <w:tc>
                <w:tcPr>
                  <w:tcW w:w="1143" w:type="dxa"/>
                  <w:noWrap w:val="0"/>
                  <w:vAlign w:val="center"/>
                </w:tcPr>
                <w:p w14:paraId="4F17793F">
                  <w:pPr>
                    <w:pStyle w:val="261"/>
                    <w:keepNext w:val="0"/>
                    <w:keepLines w:val="0"/>
                    <w:pageBreakBefore w:val="0"/>
                    <w:widowControl w:val="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成分</w:t>
                  </w:r>
                </w:p>
              </w:tc>
              <w:tc>
                <w:tcPr>
                  <w:tcW w:w="1144" w:type="dxa"/>
                  <w:noWrap w:val="0"/>
                  <w:vAlign w:val="center"/>
                </w:tcPr>
                <w:p w14:paraId="3B84D82A">
                  <w:pPr>
                    <w:pStyle w:val="261"/>
                    <w:keepNext w:val="0"/>
                    <w:keepLines w:val="0"/>
                    <w:pageBreakBefore w:val="0"/>
                    <w:widowControl w:val="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单位</w:t>
                  </w:r>
                </w:p>
              </w:tc>
              <w:tc>
                <w:tcPr>
                  <w:tcW w:w="1183" w:type="dxa"/>
                  <w:noWrap w:val="0"/>
                  <w:vAlign w:val="center"/>
                </w:tcPr>
                <w:p w14:paraId="79117DC4">
                  <w:pPr>
                    <w:pStyle w:val="261"/>
                    <w:keepNext w:val="0"/>
                    <w:keepLines w:val="0"/>
                    <w:pageBreakBefore w:val="0"/>
                    <w:widowControl w:val="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成型燃料成品指标</w:t>
                  </w:r>
                </w:p>
              </w:tc>
              <w:tc>
                <w:tcPr>
                  <w:tcW w:w="1529" w:type="dxa"/>
                  <w:noWrap w:val="0"/>
                  <w:vAlign w:val="center"/>
                </w:tcPr>
                <w:p w14:paraId="0EDE9CA8">
                  <w:pPr>
                    <w:pStyle w:val="261"/>
                    <w:keepNext w:val="0"/>
                    <w:keepLines w:val="0"/>
                    <w:pageBreakBefore w:val="0"/>
                    <w:widowControl w:val="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本项目生物质产品指标</w:t>
                  </w:r>
                </w:p>
              </w:tc>
            </w:tr>
            <w:tr w14:paraId="250B6614">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1143" w:type="dxa"/>
                  <w:noWrap w:val="0"/>
                  <w:vAlign w:val="center"/>
                </w:tcPr>
                <w:p w14:paraId="0B18761D">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全水分</w:t>
                  </w:r>
                </w:p>
              </w:tc>
              <w:tc>
                <w:tcPr>
                  <w:tcW w:w="1144" w:type="dxa"/>
                  <w:noWrap w:val="0"/>
                  <w:vAlign w:val="center"/>
                </w:tcPr>
                <w:p w14:paraId="1582B1C0">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183" w:type="dxa"/>
                  <w:noWrap w:val="0"/>
                  <w:vAlign w:val="center"/>
                </w:tcPr>
                <w:p w14:paraId="6C71914D">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≤13</w:t>
                  </w:r>
                </w:p>
              </w:tc>
              <w:tc>
                <w:tcPr>
                  <w:tcW w:w="1529" w:type="dxa"/>
                  <w:noWrap w:val="0"/>
                  <w:vAlign w:val="center"/>
                </w:tcPr>
                <w:p w14:paraId="26935EB0">
                  <w:pPr>
                    <w:pStyle w:val="261"/>
                    <w:keepNext w:val="0"/>
                    <w:keepLines w:val="0"/>
                    <w:pageBreakBefore w:val="0"/>
                    <w:widowControl w:val="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7.12</w:t>
                  </w:r>
                </w:p>
              </w:tc>
            </w:tr>
            <w:tr w14:paraId="7E17A21D">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1143" w:type="dxa"/>
                  <w:noWrap w:val="0"/>
                  <w:vAlign w:val="center"/>
                </w:tcPr>
                <w:p w14:paraId="3DB0B38B">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灰分</w:t>
                  </w:r>
                </w:p>
              </w:tc>
              <w:tc>
                <w:tcPr>
                  <w:tcW w:w="1144" w:type="dxa"/>
                  <w:noWrap w:val="0"/>
                  <w:vAlign w:val="center"/>
                </w:tcPr>
                <w:p w14:paraId="47A8BA83">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183" w:type="dxa"/>
                  <w:noWrap w:val="0"/>
                  <w:vAlign w:val="center"/>
                </w:tcPr>
                <w:p w14:paraId="44AB3174">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c>
                <w:tcPr>
                  <w:tcW w:w="1529" w:type="dxa"/>
                  <w:noWrap w:val="0"/>
                  <w:vAlign w:val="center"/>
                </w:tcPr>
                <w:p w14:paraId="18031BDB">
                  <w:pPr>
                    <w:pStyle w:val="261"/>
                    <w:keepNext w:val="0"/>
                    <w:keepLines w:val="0"/>
                    <w:pageBreakBefore w:val="0"/>
                    <w:widowControl w:val="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2.63</w:t>
                  </w:r>
                </w:p>
              </w:tc>
            </w:tr>
            <w:tr w14:paraId="4796D421">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1143" w:type="dxa"/>
                  <w:noWrap w:val="0"/>
                  <w:vAlign w:val="center"/>
                </w:tcPr>
                <w:p w14:paraId="0C71012E">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挥发分</w:t>
                  </w:r>
                </w:p>
              </w:tc>
              <w:tc>
                <w:tcPr>
                  <w:tcW w:w="1144" w:type="dxa"/>
                  <w:noWrap w:val="0"/>
                  <w:vAlign w:val="center"/>
                </w:tcPr>
                <w:p w14:paraId="183EF186">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183" w:type="dxa"/>
                  <w:noWrap w:val="0"/>
                  <w:vAlign w:val="center"/>
                </w:tcPr>
                <w:p w14:paraId="1598D38E">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≥70</w:t>
                  </w:r>
                </w:p>
              </w:tc>
              <w:tc>
                <w:tcPr>
                  <w:tcW w:w="1529" w:type="dxa"/>
                  <w:noWrap w:val="0"/>
                  <w:vAlign w:val="center"/>
                </w:tcPr>
                <w:p w14:paraId="161097DD">
                  <w:pPr>
                    <w:pStyle w:val="261"/>
                    <w:keepNext w:val="0"/>
                    <w:keepLines w:val="0"/>
                    <w:pageBreakBefore w:val="0"/>
                    <w:widowControl w:val="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79.94</w:t>
                  </w:r>
                </w:p>
              </w:tc>
            </w:tr>
            <w:tr w14:paraId="1A046635">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1143" w:type="dxa"/>
                  <w:noWrap w:val="0"/>
                  <w:vAlign w:val="center"/>
                </w:tcPr>
                <w:p w14:paraId="55DBA943">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固定碳</w:t>
                  </w:r>
                </w:p>
              </w:tc>
              <w:tc>
                <w:tcPr>
                  <w:tcW w:w="1144" w:type="dxa"/>
                  <w:noWrap w:val="0"/>
                  <w:vAlign w:val="center"/>
                </w:tcPr>
                <w:p w14:paraId="0EDA9A3A">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183" w:type="dxa"/>
                  <w:noWrap w:val="0"/>
                  <w:vAlign w:val="center"/>
                </w:tcPr>
                <w:p w14:paraId="18C90655">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529" w:type="dxa"/>
                  <w:noWrap w:val="0"/>
                  <w:vAlign w:val="center"/>
                </w:tcPr>
                <w:p w14:paraId="0FBF915F">
                  <w:pPr>
                    <w:pStyle w:val="261"/>
                    <w:keepNext w:val="0"/>
                    <w:keepLines w:val="0"/>
                    <w:pageBreakBefore w:val="0"/>
                    <w:widowControl w:val="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17.43</w:t>
                  </w:r>
                </w:p>
              </w:tc>
            </w:tr>
            <w:tr w14:paraId="7F578F41">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1143" w:type="dxa"/>
                  <w:noWrap w:val="0"/>
                  <w:vAlign w:val="center"/>
                </w:tcPr>
                <w:p w14:paraId="23BFBD47">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全硫</w:t>
                  </w:r>
                </w:p>
              </w:tc>
              <w:tc>
                <w:tcPr>
                  <w:tcW w:w="1144" w:type="dxa"/>
                  <w:noWrap w:val="0"/>
                  <w:vAlign w:val="center"/>
                </w:tcPr>
                <w:p w14:paraId="183AE569">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183" w:type="dxa"/>
                  <w:noWrap w:val="0"/>
                  <w:vAlign w:val="center"/>
                </w:tcPr>
                <w:p w14:paraId="5ADA7D57">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≤0.1</w:t>
                  </w:r>
                </w:p>
              </w:tc>
              <w:tc>
                <w:tcPr>
                  <w:tcW w:w="1529" w:type="dxa"/>
                  <w:noWrap w:val="0"/>
                  <w:vAlign w:val="center"/>
                </w:tcPr>
                <w:p w14:paraId="730E3E02">
                  <w:pPr>
                    <w:pStyle w:val="261"/>
                    <w:keepNext w:val="0"/>
                    <w:keepLines w:val="0"/>
                    <w:pageBreakBefore w:val="0"/>
                    <w:widowControl w:val="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0.039</w:t>
                  </w:r>
                </w:p>
              </w:tc>
            </w:tr>
            <w:tr w14:paraId="5727D1DD">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1143" w:type="dxa"/>
                  <w:noWrap w:val="0"/>
                  <w:vAlign w:val="center"/>
                </w:tcPr>
                <w:p w14:paraId="1032BB02">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低位发热量</w:t>
                  </w:r>
                </w:p>
              </w:tc>
              <w:tc>
                <w:tcPr>
                  <w:tcW w:w="1144" w:type="dxa"/>
                  <w:noWrap w:val="0"/>
                  <w:vAlign w:val="center"/>
                </w:tcPr>
                <w:p w14:paraId="38058D38">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MJ/kg</w:t>
                  </w:r>
                </w:p>
              </w:tc>
              <w:tc>
                <w:tcPr>
                  <w:tcW w:w="1183" w:type="dxa"/>
                  <w:noWrap w:val="0"/>
                  <w:vAlign w:val="center"/>
                </w:tcPr>
                <w:p w14:paraId="2C65EC21">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≥16.9</w:t>
                  </w:r>
                </w:p>
              </w:tc>
              <w:tc>
                <w:tcPr>
                  <w:tcW w:w="1529" w:type="dxa"/>
                  <w:noWrap w:val="0"/>
                  <w:vAlign w:val="center"/>
                </w:tcPr>
                <w:p w14:paraId="5898D2A2">
                  <w:pPr>
                    <w:pStyle w:val="261"/>
                    <w:keepNext w:val="0"/>
                    <w:keepLines w:val="0"/>
                    <w:pageBreakBefore w:val="0"/>
                    <w:widowControl w:val="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17.3085</w:t>
                  </w:r>
                </w:p>
              </w:tc>
            </w:tr>
          </w:tbl>
          <w:p w14:paraId="4810FF74">
            <w:pPr>
              <w:keepNext w:val="0"/>
              <w:keepLines w:val="0"/>
              <w:pageBreakBefore w:val="0"/>
              <w:widowControl w:val="0"/>
              <w:numPr>
                <w:ilvl w:val="0"/>
                <w:numId w:val="0"/>
              </w:numPr>
              <w:spacing w:before="157"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由上表可以看出，盈江碧蓝生物科技有限公司提供的生物质成型燃料质量可以满足《生物质固体成型燃料技术条件》（NY/T1878-2010）及《工业</w:t>
            </w:r>
            <w:r>
              <w:rPr>
                <w:rFonts w:ascii="Times New Roman" w:hAnsi="Times New Roman" w:eastAsia="宋体" w:cs="Times New Roman"/>
                <w:color w:val="000000"/>
                <w:sz w:val="24"/>
                <w:szCs w:val="24"/>
                <w:lang w:val="en-US" w:eastAsia="zh-CN"/>
              </w:rPr>
              <w:t>锅</w:t>
            </w:r>
            <w:r>
              <w:rPr>
                <w:rFonts w:ascii="Times New Roman" w:hAnsi="Times New Roman" w:eastAsia="宋体" w:cs="Times New Roman"/>
                <w:color w:val="000000"/>
                <w:sz w:val="24"/>
                <w:szCs w:val="24"/>
              </w:rPr>
              <w:t>炉用生物质成型燃料》（DB44/T1052-2012）中对应指标中最严要求。</w:t>
            </w:r>
          </w:p>
          <w:p w14:paraId="44B01C90">
            <w:pPr>
              <w:keepNext w:val="0"/>
              <w:keepLines w:val="0"/>
              <w:pageBreakBefore w:val="0"/>
              <w:widowControl w:val="0"/>
              <w:spacing w:line="360" w:lineRule="auto"/>
              <w:ind w:firstLine="482"/>
              <w:rPr>
                <w:rFonts w:ascii="Times New Roman" w:hAnsi="Times New Roman" w:eastAsia="宋体" w:cs="Times New Roman"/>
                <w:b/>
                <w:bCs/>
                <w:color w:val="000000"/>
                <w:sz w:val="24"/>
                <w:lang w:val="en-US" w:eastAsia="zh-CN"/>
              </w:rPr>
            </w:pPr>
            <w:r>
              <w:rPr>
                <w:rFonts w:hint="eastAsia" w:ascii="Times New Roman" w:hAnsi="Times New Roman" w:eastAsia="宋体" w:cs="Times New Roman"/>
                <w:b/>
                <w:color w:val="000000"/>
                <w:sz w:val="24"/>
                <w:lang w:val="en-US" w:eastAsia="zh-CN"/>
              </w:rPr>
              <w:t>5</w:t>
            </w:r>
            <w:r>
              <w:rPr>
                <w:rFonts w:ascii="Times New Roman" w:hAnsi="Times New Roman" w:eastAsia="宋体" w:cs="Times New Roman"/>
                <w:b/>
                <w:color w:val="000000"/>
                <w:sz w:val="24"/>
              </w:rPr>
              <w:t>.</w:t>
            </w:r>
            <w:r>
              <w:rPr>
                <w:rFonts w:hint="eastAsia" w:ascii="Times New Roman" w:hAnsi="Times New Roman" w:eastAsia="宋体" w:cs="Times New Roman"/>
                <w:b/>
                <w:color w:val="000000"/>
                <w:sz w:val="24"/>
                <w:lang w:val="en-US" w:eastAsia="zh-CN"/>
              </w:rPr>
              <w:t>2</w:t>
            </w:r>
            <w:r>
              <w:rPr>
                <w:rFonts w:ascii="Times New Roman" w:hAnsi="Times New Roman" w:eastAsia="宋体" w:cs="Times New Roman"/>
                <w:b/>
                <w:color w:val="000000"/>
                <w:sz w:val="24"/>
              </w:rPr>
              <w:t>、</w:t>
            </w:r>
            <w:r>
              <w:rPr>
                <w:rFonts w:hint="eastAsia" w:ascii="Times New Roman" w:hAnsi="Times New Roman" w:eastAsia="宋体" w:cs="Times New Roman"/>
                <w:b/>
                <w:color w:val="000000"/>
                <w:sz w:val="24"/>
                <w:lang w:val="en-US" w:eastAsia="zh-CN"/>
              </w:rPr>
              <w:t>生态木材氨基胶理化性质及成分</w:t>
            </w:r>
          </w:p>
          <w:p w14:paraId="62A93267">
            <w:pPr>
              <w:keepNext w:val="0"/>
              <w:keepLines w:val="0"/>
              <w:pageBreakBefore w:val="0"/>
              <w:widowControl w:val="0"/>
              <w:spacing w:line="360" w:lineRule="auto"/>
              <w:ind w:firstLine="480"/>
              <w:rPr>
                <w:rFonts w:ascii="Times New Roman" w:hAnsi="Times New Roman" w:eastAsia="宋体" w:cs="Times New Roman"/>
                <w:b w:val="0"/>
                <w:bCs w:val="0"/>
                <w:color w:val="000000"/>
                <w:sz w:val="24"/>
                <w:lang w:val="en-US" w:eastAsia="zh-CN"/>
              </w:rPr>
            </w:pPr>
            <w:r>
              <w:rPr>
                <w:rFonts w:hint="eastAsia" w:ascii="Times New Roman" w:hAnsi="Times New Roman" w:eastAsia="宋体" w:cs="Times New Roman"/>
                <w:b w:val="0"/>
                <w:bCs/>
                <w:color w:val="000000"/>
                <w:sz w:val="24"/>
                <w:lang w:val="en-US" w:eastAsia="zh-CN"/>
              </w:rPr>
              <w:t>生态木材氨基胶（</w:t>
            </w:r>
            <w:r>
              <w:rPr>
                <w:rFonts w:hint="eastAsia" w:ascii="Times New Roman" w:hAnsi="Times New Roman" w:eastAsia="宋体" w:cs="Times New Roman"/>
                <w:b w:val="0"/>
                <w:bCs w:val="0"/>
                <w:color w:val="000000"/>
                <w:sz w:val="24"/>
                <w:lang w:val="en-US" w:eastAsia="zh-CN"/>
              </w:rPr>
              <w:t>俗名</w:t>
            </w:r>
            <w:r>
              <w:rPr>
                <w:rFonts w:ascii="Times New Roman" w:hAnsi="Times New Roman" w:eastAsia="宋体" w:cs="Times New Roman"/>
                <w:b w:val="0"/>
                <w:bCs w:val="0"/>
                <w:color w:val="000000"/>
                <w:sz w:val="24"/>
                <w:lang w:val="en-US" w:eastAsia="zh-CN"/>
              </w:rPr>
              <w:t>脲醛树脂胶</w:t>
            </w:r>
            <w:r>
              <w:rPr>
                <w:rFonts w:hint="eastAsia" w:ascii="Times New Roman" w:hAnsi="Times New Roman" w:eastAsia="宋体" w:cs="Times New Roman"/>
                <w:b w:val="0"/>
                <w:bCs w:val="0"/>
                <w:color w:val="000000"/>
                <w:sz w:val="24"/>
                <w:lang w:val="en-US" w:eastAsia="zh-CN"/>
              </w:rPr>
              <w:t>）：</w:t>
            </w:r>
            <w:r>
              <w:rPr>
                <w:rFonts w:hint="eastAsia" w:ascii="Times New Roman" w:hAnsi="Times New Roman" w:eastAsia="宋体" w:cs="Times New Roman"/>
                <w:b w:val="0"/>
                <w:bCs/>
                <w:color w:val="000000"/>
                <w:sz w:val="24"/>
                <w:lang w:val="en-US" w:eastAsia="zh-CN"/>
              </w:rPr>
              <w:t>生态木材氨基胶</w:t>
            </w:r>
            <w:r>
              <w:rPr>
                <w:rFonts w:ascii="Times New Roman" w:hAnsi="Times New Roman" w:eastAsia="宋体" w:cs="Times New Roman"/>
                <w:b w:val="0"/>
                <w:bCs w:val="0"/>
                <w:color w:val="000000"/>
                <w:sz w:val="24"/>
                <w:lang w:val="en-US" w:eastAsia="zh-CN"/>
              </w:rPr>
              <w:t>黏剂是一种开发较早的热固性高分子胶粘剂，分子式(C</w:t>
            </w:r>
            <w:r>
              <w:rPr>
                <w:rFonts w:hint="eastAsia" w:ascii="Times New Roman" w:hAnsi="Times New Roman" w:eastAsia="宋体" w:cs="Times New Roman"/>
                <w:b w:val="0"/>
                <w:bCs w:val="0"/>
                <w:color w:val="000000"/>
                <w:sz w:val="24"/>
                <w:vertAlign w:val="subscript"/>
                <w:lang w:val="en-US" w:eastAsia="zh-CN"/>
              </w:rPr>
              <w:t>2</w:t>
            </w:r>
            <w:r>
              <w:rPr>
                <w:rFonts w:ascii="Times New Roman" w:hAnsi="Times New Roman" w:eastAsia="宋体" w:cs="Times New Roman"/>
                <w:b w:val="0"/>
                <w:bCs w:val="0"/>
                <w:color w:val="000000"/>
                <w:sz w:val="24"/>
                <w:lang w:val="en-US" w:eastAsia="zh-CN"/>
              </w:rPr>
              <w:t>H</w:t>
            </w:r>
            <w:r>
              <w:rPr>
                <w:rFonts w:ascii="Times New Roman" w:hAnsi="Times New Roman" w:eastAsia="宋体" w:cs="Times New Roman"/>
                <w:b w:val="0"/>
                <w:bCs w:val="0"/>
                <w:color w:val="000000"/>
                <w:sz w:val="24"/>
                <w:vertAlign w:val="subscript"/>
                <w:lang w:val="en-US" w:eastAsia="zh-CN"/>
              </w:rPr>
              <w:t>4</w:t>
            </w:r>
            <w:r>
              <w:rPr>
                <w:rFonts w:ascii="Times New Roman" w:hAnsi="Times New Roman" w:eastAsia="宋体" w:cs="Times New Roman"/>
                <w:b w:val="0"/>
                <w:bCs w:val="0"/>
                <w:color w:val="000000"/>
                <w:sz w:val="24"/>
                <w:lang w:val="en-US" w:eastAsia="zh-CN"/>
              </w:rPr>
              <w:t>N</w:t>
            </w:r>
            <w:r>
              <w:rPr>
                <w:rFonts w:hint="eastAsia" w:ascii="Times New Roman" w:hAnsi="Times New Roman" w:eastAsia="宋体" w:cs="Times New Roman"/>
                <w:b w:val="0"/>
                <w:bCs w:val="0"/>
                <w:color w:val="000000"/>
                <w:sz w:val="24"/>
                <w:vertAlign w:val="subscript"/>
                <w:lang w:val="en-US" w:eastAsia="zh-CN"/>
              </w:rPr>
              <w:t>6</w:t>
            </w:r>
            <w:r>
              <w:rPr>
                <w:rFonts w:ascii="Times New Roman" w:hAnsi="Times New Roman" w:eastAsia="宋体" w:cs="Times New Roman"/>
                <w:b w:val="0"/>
                <w:bCs w:val="0"/>
                <w:color w:val="000000"/>
                <w:sz w:val="24"/>
                <w:lang w:val="en-US" w:eastAsia="zh-CN"/>
              </w:rPr>
              <w:t>O</w:t>
            </w:r>
            <w:r>
              <w:rPr>
                <w:rFonts w:ascii="Times New Roman" w:hAnsi="Times New Roman" w:eastAsia="宋体" w:cs="Times New Roman"/>
                <w:b w:val="0"/>
                <w:bCs w:val="0"/>
                <w:color w:val="000000"/>
                <w:sz w:val="24"/>
                <w:vertAlign w:val="subscript"/>
                <w:lang w:val="en-US" w:eastAsia="zh-CN"/>
              </w:rPr>
              <w:t>2</w:t>
            </w:r>
            <w:r>
              <w:rPr>
                <w:rFonts w:ascii="Times New Roman" w:hAnsi="Times New Roman" w:eastAsia="宋体" w:cs="Times New Roman"/>
                <w:b w:val="0"/>
                <w:bCs w:val="0"/>
                <w:color w:val="000000"/>
                <w:sz w:val="24"/>
                <w:lang w:val="en-US" w:eastAsia="zh-CN"/>
              </w:rPr>
              <w:t>)</w:t>
            </w:r>
            <w:r>
              <w:rPr>
                <w:rFonts w:hint="eastAsia" w:ascii="Times New Roman" w:hAnsi="Times New Roman" w:eastAsia="宋体" w:cs="Times New Roman"/>
                <w:b w:val="0"/>
                <w:bCs w:val="0"/>
                <w:color w:val="000000"/>
                <w:sz w:val="24"/>
                <w:lang w:val="en-US" w:eastAsia="zh-CN"/>
              </w:rPr>
              <w:t>n</w:t>
            </w:r>
            <w:r>
              <w:rPr>
                <w:rFonts w:ascii="Times New Roman" w:hAnsi="Times New Roman" w:eastAsia="宋体" w:cs="Times New Roman"/>
                <w:b w:val="0"/>
                <w:bCs w:val="0"/>
                <w:color w:val="000000"/>
                <w:sz w:val="24"/>
                <w:lang w:val="en-US" w:eastAsia="zh-CN"/>
              </w:rPr>
              <w:t>，是尿素与甲醛在催化剂（碱性催化剂或酸性催化剂)作用下，缩聚成初期脲醛树脂，然后再在固化剂或助剂作用下，形成不溶的树脂胶粘剂。脲醛胶对人体的危害主要是里面含有的游离态甲醛，甲醛是一种无色、有强烈刺激性气味的气体。易溶于水、醇和醚。甲醛在常温下是气态，通常以水溶液形式出现。脲醛树脂胶在涂胶工艺中会产生一定量的VOCs、甲醛。</w:t>
            </w:r>
          </w:p>
          <w:p w14:paraId="59CEA526">
            <w:pPr>
              <w:pStyle w:val="2"/>
              <w:keepNext w:val="0"/>
              <w:keepLines w:val="0"/>
              <w:pageBreakBefore w:val="0"/>
              <w:widowControl w:val="0"/>
              <w:spacing w:line="360" w:lineRule="auto"/>
              <w:rPr>
                <w:lang w:val="en-US" w:eastAsia="zh-CN"/>
              </w:rPr>
            </w:pPr>
            <w:r>
              <w:rPr>
                <w:rFonts w:hint="eastAsia" w:ascii="Times New Roman" w:hAnsi="Times New Roman" w:eastAsia="宋体" w:cs="Times New Roman"/>
                <w:b w:val="0"/>
                <w:bCs/>
                <w:color w:val="000000"/>
                <w:sz w:val="24"/>
                <w:lang w:val="en-US" w:eastAsia="zh-CN"/>
              </w:rPr>
              <w:t>根据建设单位购买生态木材氨基胶的卖家富滔（佛山市）塑料科技研究有限公司提供的检测报告，生态木材氨基胶游离甲醛检测结果见下表，生态木材氨基胶游离甲醛含量检测报告及成分检测报告详见附件7及附件8。</w:t>
            </w:r>
          </w:p>
          <w:p w14:paraId="1BE9AF97">
            <w:pPr>
              <w:spacing w:line="240" w:lineRule="auto"/>
              <w:jc w:val="center"/>
              <w:rPr>
                <w:rFonts w:ascii="Times New Roman" w:hAnsi="Times New Roman" w:eastAsia="宋体" w:cs="Times New Roman"/>
                <w:b/>
                <w:bCs/>
                <w:color w:val="000000"/>
                <w:sz w:val="24"/>
                <w:szCs w:val="28"/>
                <w:lang w:val="en-US" w:eastAsia="zh-CN"/>
              </w:rPr>
            </w:pPr>
            <w:r>
              <w:rPr>
                <w:rFonts w:ascii="Times New Roman" w:hAnsi="Times New Roman" w:eastAsia="宋体" w:cs="Times New Roman"/>
                <w:b/>
                <w:bCs/>
                <w:color w:val="000000"/>
                <w:sz w:val="24"/>
                <w:szCs w:val="28"/>
              </w:rPr>
              <w:t>表</w:t>
            </w:r>
            <w:r>
              <w:rPr>
                <w:rFonts w:ascii="Times New Roman" w:hAnsi="Times New Roman" w:eastAsia="宋体" w:cs="Times New Roman"/>
                <w:b/>
                <w:bCs/>
                <w:color w:val="000000"/>
                <w:sz w:val="24"/>
                <w:szCs w:val="28"/>
                <w:lang w:val="en-US" w:eastAsia="zh-CN"/>
              </w:rPr>
              <w:t>2</w:t>
            </w:r>
            <w:r>
              <w:rPr>
                <w:rFonts w:ascii="Times New Roman" w:hAnsi="Times New Roman" w:eastAsia="宋体" w:cs="Times New Roman"/>
                <w:b/>
                <w:bCs/>
                <w:color w:val="000000"/>
                <w:sz w:val="24"/>
                <w:szCs w:val="28"/>
              </w:rPr>
              <w:t>-</w:t>
            </w:r>
            <w:r>
              <w:rPr>
                <w:rFonts w:hint="eastAsia" w:ascii="Times New Roman" w:hAnsi="Times New Roman" w:eastAsia="宋体" w:cs="Times New Roman"/>
                <w:b/>
                <w:bCs/>
                <w:color w:val="000000"/>
                <w:sz w:val="24"/>
                <w:szCs w:val="28"/>
                <w:lang w:val="en-US" w:eastAsia="zh-CN"/>
              </w:rPr>
              <w:t>8</w:t>
            </w:r>
            <w:r>
              <w:rPr>
                <w:rFonts w:ascii="Times New Roman" w:hAnsi="Times New Roman" w:eastAsia="宋体" w:cs="Times New Roman"/>
                <w:b/>
                <w:bCs/>
                <w:color w:val="000000"/>
                <w:sz w:val="24"/>
                <w:szCs w:val="28"/>
              </w:rPr>
              <w:t xml:space="preserve">  </w:t>
            </w:r>
            <w:r>
              <w:rPr>
                <w:rFonts w:hint="eastAsia" w:ascii="Times New Roman" w:hAnsi="Times New Roman" w:eastAsia="宋体" w:cs="Times New Roman"/>
                <w:b/>
                <w:bCs w:val="0"/>
                <w:color w:val="000000"/>
                <w:sz w:val="24"/>
                <w:lang w:val="en-US" w:eastAsia="zh-CN"/>
              </w:rPr>
              <w:t>生态木材氨基胶检测结果</w:t>
            </w:r>
          </w:p>
          <w:tbl>
            <w:tblPr>
              <w:tblStyle w:val="29"/>
              <w:tblW w:w="4998" w:type="pct"/>
              <w:jc w:val="center"/>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Layout w:type="fixed"/>
              <w:tblCellMar>
                <w:top w:w="0" w:type="dxa"/>
                <w:left w:w="0" w:type="dxa"/>
                <w:bottom w:w="0" w:type="dxa"/>
                <w:right w:w="0" w:type="dxa"/>
              </w:tblCellMar>
            </w:tblPr>
            <w:tblGrid>
              <w:gridCol w:w="2010"/>
              <w:gridCol w:w="1503"/>
              <w:gridCol w:w="2590"/>
              <w:gridCol w:w="2688"/>
            </w:tblGrid>
            <w:tr w14:paraId="0E375A61">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1143" w:type="dxa"/>
                  <w:noWrap w:val="0"/>
                  <w:vAlign w:val="center"/>
                </w:tcPr>
                <w:p w14:paraId="33BC4F11">
                  <w:pPr>
                    <w:pStyle w:val="261"/>
                    <w:keepNext w:val="0"/>
                    <w:keepLines w:val="0"/>
                    <w:pageBreakBefore w:val="0"/>
                    <w:widowControl w:val="0"/>
                    <w:jc w:val="center"/>
                    <w:rPr>
                      <w:rFonts w:ascii="Times New Roman" w:hAnsi="Times New Roman" w:eastAsia="宋体" w:cs="Times New Roman"/>
                      <w:b/>
                      <w:bCs/>
                      <w:color w:val="000000"/>
                      <w:sz w:val="21"/>
                      <w:szCs w:val="21"/>
                    </w:rPr>
                  </w:pPr>
                  <w:r>
                    <w:rPr>
                      <w:rFonts w:hint="eastAsia" w:ascii="Times New Roman" w:hAnsi="Times New Roman" w:eastAsia="宋体" w:cs="Times New Roman"/>
                      <w:b/>
                      <w:bCs/>
                      <w:color w:val="000000"/>
                      <w:sz w:val="21"/>
                      <w:szCs w:val="21"/>
                      <w:lang w:val="en-US" w:eastAsia="zh-CN"/>
                    </w:rPr>
                    <w:t>检测项目</w:t>
                  </w:r>
                </w:p>
              </w:tc>
              <w:tc>
                <w:tcPr>
                  <w:tcW w:w="854" w:type="dxa"/>
                  <w:noWrap w:val="0"/>
                  <w:vAlign w:val="center"/>
                </w:tcPr>
                <w:p w14:paraId="7827CE7F">
                  <w:pPr>
                    <w:pStyle w:val="261"/>
                    <w:keepNext w:val="0"/>
                    <w:keepLines w:val="0"/>
                    <w:pageBreakBefore w:val="0"/>
                    <w:widowControl w:val="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单位</w:t>
                  </w:r>
                </w:p>
              </w:tc>
              <w:tc>
                <w:tcPr>
                  <w:tcW w:w="1473" w:type="dxa"/>
                  <w:noWrap w:val="0"/>
                  <w:vAlign w:val="center"/>
                </w:tcPr>
                <w:p w14:paraId="2D92DFB7">
                  <w:pPr>
                    <w:pStyle w:val="261"/>
                    <w:keepNext w:val="0"/>
                    <w:keepLines w:val="0"/>
                    <w:pageBreakBefore w:val="0"/>
                    <w:widowControl w:val="0"/>
                    <w:jc w:val="center"/>
                    <w:rPr>
                      <w:rFonts w:hint="eastAsia" w:ascii="Times New Roman" w:hAnsi="Times New Roman" w:eastAsia="宋体" w:cs="Times New Roman"/>
                      <w:b/>
                      <w:bCs/>
                      <w:color w:val="000000"/>
                      <w:sz w:val="21"/>
                      <w:szCs w:val="21"/>
                      <w:lang w:eastAsia="zh-CN"/>
                    </w:rPr>
                  </w:pPr>
                  <w:r>
                    <w:rPr>
                      <w:rFonts w:hint="eastAsia" w:ascii="Times New Roman" w:hAnsi="Times New Roman" w:eastAsia="宋体" w:cs="Times New Roman"/>
                      <w:b/>
                      <w:bCs/>
                      <w:color w:val="000000"/>
                      <w:sz w:val="21"/>
                      <w:szCs w:val="21"/>
                      <w:lang w:val="en-US" w:eastAsia="zh-CN"/>
                    </w:rPr>
                    <w:t>标准要求</w:t>
                  </w:r>
                </w:p>
              </w:tc>
              <w:tc>
                <w:tcPr>
                  <w:tcW w:w="1528" w:type="dxa"/>
                  <w:noWrap w:val="0"/>
                  <w:vAlign w:val="center"/>
                </w:tcPr>
                <w:p w14:paraId="4B1E3916">
                  <w:pPr>
                    <w:pStyle w:val="261"/>
                    <w:keepNext w:val="0"/>
                    <w:keepLines w:val="0"/>
                    <w:pageBreakBefore w:val="0"/>
                    <w:widowControl w:val="0"/>
                    <w:jc w:val="center"/>
                    <w:rPr>
                      <w:rFonts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检测结果</w:t>
                  </w:r>
                </w:p>
              </w:tc>
            </w:tr>
            <w:tr w14:paraId="608B4D0C">
              <w:tblPrEx>
                <w:tblBorders>
                  <w:top w:val="single" w:color="000000" w:sz="4" w:space="0"/>
                  <w:left w:val="single" w:color="000000" w:sz="4" w:space="0"/>
                  <w:bottom w:val="single" w:color="000000" w:sz="4" w:space="0"/>
                  <w:right w:val="single" w:color="000000" w:sz="4" w:space="0"/>
                  <w:insideH w:val="single" w:color="000000" w:sz="12" w:space="0"/>
                  <w:insideV w:val="single" w:color="000000" w:sz="12" w:space="0"/>
                </w:tblBorders>
                <w:tblCellMar>
                  <w:top w:w="0" w:type="dxa"/>
                  <w:left w:w="0" w:type="dxa"/>
                  <w:bottom w:w="0" w:type="dxa"/>
                  <w:right w:w="0" w:type="dxa"/>
                </w:tblCellMar>
              </w:tblPrEx>
              <w:trPr>
                <w:trHeight w:val="23" w:hRule="atLeast"/>
                <w:jc w:val="center"/>
              </w:trPr>
              <w:tc>
                <w:tcPr>
                  <w:tcW w:w="1143" w:type="dxa"/>
                  <w:noWrap w:val="0"/>
                  <w:vAlign w:val="center"/>
                </w:tcPr>
                <w:p w14:paraId="30BEE7A0">
                  <w:pPr>
                    <w:pStyle w:val="261"/>
                    <w:keepNext w:val="0"/>
                    <w:keepLines w:val="0"/>
                    <w:pageBreakBefore w:val="0"/>
                    <w:widowControl w:val="0"/>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游离甲醛含量</w:t>
                  </w:r>
                </w:p>
              </w:tc>
              <w:tc>
                <w:tcPr>
                  <w:tcW w:w="854" w:type="dxa"/>
                  <w:noWrap w:val="0"/>
                  <w:vAlign w:val="center"/>
                </w:tcPr>
                <w:p w14:paraId="19841B9B">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473" w:type="dxa"/>
                  <w:noWrap w:val="0"/>
                  <w:vAlign w:val="center"/>
                </w:tcPr>
                <w:p w14:paraId="52A20797">
                  <w:pPr>
                    <w:pStyle w:val="261"/>
                    <w:keepNext w:val="0"/>
                    <w:keepLines w:val="0"/>
                    <w:pageBreakBefore w:val="0"/>
                    <w:widowControl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r>
                    <w:rPr>
                      <w:rFonts w:hint="eastAsia" w:ascii="Times New Roman" w:hAnsi="Times New Roman" w:eastAsia="宋体" w:cs="Times New Roman"/>
                      <w:color w:val="000000"/>
                      <w:sz w:val="21"/>
                      <w:szCs w:val="21"/>
                      <w:lang w:val="en-US" w:eastAsia="zh-CN"/>
                    </w:rPr>
                    <w:t>0.</w:t>
                  </w:r>
                  <w:r>
                    <w:rPr>
                      <w:rFonts w:ascii="Times New Roman" w:hAnsi="Times New Roman" w:eastAsia="宋体" w:cs="Times New Roman"/>
                      <w:color w:val="000000"/>
                      <w:sz w:val="21"/>
                      <w:szCs w:val="21"/>
                    </w:rPr>
                    <w:t>3</w:t>
                  </w:r>
                </w:p>
              </w:tc>
              <w:tc>
                <w:tcPr>
                  <w:tcW w:w="1528" w:type="dxa"/>
                  <w:noWrap w:val="0"/>
                  <w:vAlign w:val="center"/>
                </w:tcPr>
                <w:p w14:paraId="32BDDD7A">
                  <w:pPr>
                    <w:pStyle w:val="261"/>
                    <w:keepNext w:val="0"/>
                    <w:keepLines w:val="0"/>
                    <w:pageBreakBefore w:val="0"/>
                    <w:widowControl w:val="0"/>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0.07</w:t>
                  </w:r>
                </w:p>
              </w:tc>
            </w:tr>
          </w:tbl>
          <w:p w14:paraId="62F7064F">
            <w:pPr>
              <w:keepNext w:val="0"/>
              <w:keepLines w:val="0"/>
              <w:pageBreakBefore w:val="0"/>
              <w:widowControl w:val="0"/>
              <w:spacing w:before="157" w:line="360" w:lineRule="auto"/>
              <w:ind w:firstLine="482"/>
              <w:rPr>
                <w:rFonts w:ascii="Times New Roman" w:hAnsi="Times New Roman" w:eastAsia="宋体" w:cs="Times New Roman"/>
                <w:b/>
                <w:bCs/>
                <w:color w:val="000000"/>
                <w:sz w:val="24"/>
                <w:lang w:val="en-US" w:eastAsia="zh-CN"/>
              </w:rPr>
            </w:pPr>
            <w:r>
              <w:rPr>
                <w:rFonts w:hint="eastAsia" w:ascii="Times New Roman" w:hAnsi="Times New Roman" w:eastAsia="宋体" w:cs="Times New Roman"/>
                <w:b/>
                <w:bCs/>
                <w:color w:val="000000"/>
                <w:sz w:val="24"/>
                <w:lang w:val="en-US" w:eastAsia="zh-CN"/>
              </w:rPr>
              <w:t>6</w:t>
            </w:r>
            <w:r>
              <w:rPr>
                <w:rFonts w:ascii="Times New Roman" w:hAnsi="Times New Roman" w:eastAsia="宋体" w:cs="Times New Roman"/>
                <w:b/>
                <w:bCs/>
                <w:color w:val="000000"/>
                <w:sz w:val="24"/>
                <w:lang w:val="en-US" w:eastAsia="zh-CN"/>
              </w:rPr>
              <w:t>、主要设备</w:t>
            </w:r>
          </w:p>
          <w:p w14:paraId="3C419F74">
            <w:pPr>
              <w:spacing w:line="360" w:lineRule="auto"/>
              <w:ind w:firstLine="470"/>
              <w:rPr>
                <w:rFonts w:ascii="Times New Roman" w:hAnsi="Times New Roman" w:eastAsia="宋体" w:cs="Times New Roman"/>
                <w:bCs/>
                <w:color w:val="000000"/>
                <w:sz w:val="24"/>
                <w:highlight w:val="none"/>
              </w:rPr>
            </w:pPr>
            <w:r>
              <w:rPr>
                <w:rFonts w:ascii="Times New Roman" w:hAnsi="Times New Roman" w:eastAsia="宋体" w:cs="Times New Roman"/>
                <w:bCs/>
                <w:color w:val="000000"/>
                <w:sz w:val="24"/>
                <w:highlight w:val="none"/>
              </w:rPr>
              <w:t>本项目主要设备见下表。</w:t>
            </w:r>
          </w:p>
          <w:p w14:paraId="72B1DC92">
            <w:pPr>
              <w:keepNext w:val="0"/>
              <w:keepLines w:val="0"/>
              <w:pageBreakBefore w:val="0"/>
              <w:widowControl w:val="0"/>
              <w:jc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表</w:t>
            </w:r>
            <w:r>
              <w:rPr>
                <w:rFonts w:ascii="Times New Roman" w:hAnsi="Times New Roman" w:eastAsia="宋体" w:cs="Times New Roman"/>
                <w:b/>
                <w:color w:val="000000"/>
                <w:sz w:val="24"/>
                <w:highlight w:val="none"/>
                <w:lang w:val="en-US" w:eastAsia="zh-CN"/>
              </w:rPr>
              <w:t>2</w:t>
            </w:r>
            <w:r>
              <w:rPr>
                <w:rFonts w:ascii="Times New Roman" w:hAnsi="Times New Roman" w:eastAsia="宋体" w:cs="Times New Roman"/>
                <w:b/>
                <w:color w:val="000000"/>
                <w:sz w:val="24"/>
                <w:highlight w:val="none"/>
              </w:rPr>
              <w:t>-</w:t>
            </w:r>
            <w:r>
              <w:rPr>
                <w:rFonts w:hint="eastAsia" w:ascii="Times New Roman" w:hAnsi="Times New Roman" w:eastAsia="宋体" w:cs="Times New Roman"/>
                <w:b/>
                <w:color w:val="000000"/>
                <w:sz w:val="24"/>
                <w:highlight w:val="none"/>
                <w:lang w:val="en-US" w:eastAsia="zh-CN"/>
              </w:rPr>
              <w:t>9</w:t>
            </w:r>
            <w:r>
              <w:rPr>
                <w:rFonts w:ascii="Times New Roman" w:hAnsi="Times New Roman" w:eastAsia="宋体" w:cs="Times New Roman"/>
                <w:b/>
                <w:color w:val="000000"/>
                <w:sz w:val="24"/>
                <w:highlight w:val="none"/>
              </w:rPr>
              <w:t xml:space="preserve">  项目主要设备一览表</w:t>
            </w:r>
          </w:p>
          <w:tbl>
            <w:tblPr>
              <w:tblStyle w:val="2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8"/>
              <w:gridCol w:w="2525"/>
              <w:gridCol w:w="1563"/>
              <w:gridCol w:w="1637"/>
              <w:gridCol w:w="2341"/>
            </w:tblGrid>
            <w:tr w14:paraId="3B54A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5C3DDAFD">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序号</w:t>
                  </w:r>
                </w:p>
              </w:tc>
              <w:tc>
                <w:tcPr>
                  <w:tcW w:w="1435" w:type="dxa"/>
                  <w:noWrap w:val="0"/>
                  <w:vAlign w:val="center"/>
                </w:tcPr>
                <w:p w14:paraId="360DDCC0">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名称</w:t>
                  </w:r>
                </w:p>
              </w:tc>
              <w:tc>
                <w:tcPr>
                  <w:tcW w:w="888" w:type="dxa"/>
                  <w:noWrap w:val="0"/>
                  <w:vAlign w:val="center"/>
                </w:tcPr>
                <w:p w14:paraId="4DAC4CAC">
                  <w:pPr>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单位</w:t>
                  </w:r>
                </w:p>
              </w:tc>
              <w:tc>
                <w:tcPr>
                  <w:tcW w:w="930" w:type="dxa"/>
                  <w:noWrap w:val="0"/>
                  <w:vAlign w:val="center"/>
                </w:tcPr>
                <w:p w14:paraId="6AA82018">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数量</w:t>
                  </w:r>
                </w:p>
              </w:tc>
              <w:tc>
                <w:tcPr>
                  <w:tcW w:w="1331" w:type="dxa"/>
                  <w:noWrap w:val="0"/>
                  <w:vAlign w:val="center"/>
                </w:tcPr>
                <w:p w14:paraId="7D857ABC">
                  <w:pPr>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对应工序</w:t>
                  </w:r>
                </w:p>
              </w:tc>
            </w:tr>
            <w:tr w14:paraId="374DA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07EC7237">
                  <w:pPr>
                    <w:pStyle w:val="261"/>
                    <w:jc w:val="center"/>
                    <w:rPr>
                      <w:rFonts w:ascii="Times New Roman" w:hAnsi="Times New Roman" w:eastAsia="宋体" w:cs="Times New Roman"/>
                      <w:bCs/>
                      <w:color w:val="000000"/>
                      <w:sz w:val="21"/>
                      <w:szCs w:val="21"/>
                      <w:highlight w:val="none"/>
                    </w:rPr>
                  </w:pPr>
                  <w:r>
                    <w:rPr>
                      <w:rFonts w:ascii="Times New Roman" w:hAnsi="Times New Roman" w:eastAsia="宋体" w:cs="Times New Roman"/>
                      <w:color w:val="000000"/>
                      <w:sz w:val="21"/>
                      <w:szCs w:val="21"/>
                      <w:highlight w:val="none"/>
                    </w:rPr>
                    <w:t>1</w:t>
                  </w:r>
                </w:p>
              </w:tc>
              <w:tc>
                <w:tcPr>
                  <w:tcW w:w="1435" w:type="dxa"/>
                  <w:noWrap w:val="0"/>
                  <w:vAlign w:val="center"/>
                </w:tcPr>
                <w:p w14:paraId="2E30DB0B">
                  <w:pPr>
                    <w:pStyle w:val="261"/>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圆木机</w:t>
                  </w:r>
                </w:p>
              </w:tc>
              <w:tc>
                <w:tcPr>
                  <w:tcW w:w="888" w:type="dxa"/>
                  <w:noWrap w:val="0"/>
                  <w:vAlign w:val="center"/>
                </w:tcPr>
                <w:p w14:paraId="3772D043">
                  <w:pPr>
                    <w:pStyle w:val="261"/>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254DDEF0">
                  <w:pPr>
                    <w:pStyle w:val="261"/>
                    <w:jc w:val="center"/>
                    <w:rPr>
                      <w:rFonts w:ascii="Times New Roman" w:hAnsi="Times New Roman" w:eastAsia="宋体" w:cs="Times New Roman"/>
                      <w:bCs/>
                      <w:color w:val="000000"/>
                      <w:sz w:val="21"/>
                      <w:szCs w:val="21"/>
                      <w:highlight w:val="none"/>
                      <w:lang w:val="en-US" w:eastAsia="zh-CN"/>
                    </w:rPr>
                  </w:pPr>
                  <w:r>
                    <w:rPr>
                      <w:rFonts w:hint="eastAsia" w:ascii="Times New Roman" w:hAnsi="Times New Roman" w:eastAsia="宋体" w:cs="Times New Roman"/>
                      <w:bCs/>
                      <w:color w:val="000000"/>
                      <w:sz w:val="21"/>
                      <w:szCs w:val="21"/>
                      <w:highlight w:val="none"/>
                      <w:lang w:val="en-US" w:eastAsia="zh-CN"/>
                    </w:rPr>
                    <w:t>8</w:t>
                  </w:r>
                </w:p>
              </w:tc>
              <w:tc>
                <w:tcPr>
                  <w:tcW w:w="1331" w:type="dxa"/>
                  <w:vMerge w:val="restart"/>
                  <w:noWrap w:val="0"/>
                  <w:vAlign w:val="center"/>
                </w:tcPr>
                <w:p w14:paraId="12142CF5">
                  <w:pPr>
                    <w:pStyle w:val="261"/>
                    <w:jc w:val="center"/>
                    <w:rPr>
                      <w:rFonts w:ascii="Times New Roman" w:hAnsi="Times New Roman" w:eastAsia="宋体" w:cs="Times New Roman"/>
                      <w:bCs/>
                      <w:color w:val="000000"/>
                      <w:sz w:val="21"/>
                      <w:szCs w:val="21"/>
                      <w:highlight w:val="none"/>
                      <w:lang w:val="en-US" w:eastAsia="zh-CN"/>
                    </w:rPr>
                  </w:pPr>
                  <w:r>
                    <w:rPr>
                      <w:rFonts w:hint="eastAsia" w:ascii="Times New Roman" w:hAnsi="Times New Roman" w:eastAsia="宋体" w:cs="Times New Roman"/>
                      <w:bCs/>
                      <w:color w:val="000000"/>
                      <w:sz w:val="21"/>
                      <w:szCs w:val="21"/>
                      <w:highlight w:val="none"/>
                      <w:lang w:val="en-US" w:eastAsia="zh-CN"/>
                    </w:rPr>
                    <w:t>断料分选</w:t>
                  </w:r>
                </w:p>
              </w:tc>
            </w:tr>
            <w:tr w14:paraId="20A93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36919AED">
                  <w:pPr>
                    <w:pStyle w:val="261"/>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w:t>
                  </w:r>
                </w:p>
              </w:tc>
              <w:tc>
                <w:tcPr>
                  <w:tcW w:w="1435" w:type="dxa"/>
                  <w:noWrap w:val="0"/>
                  <w:vAlign w:val="center"/>
                </w:tcPr>
                <w:p w14:paraId="32B21186">
                  <w:pPr>
                    <w:pStyle w:val="261"/>
                    <w:jc w:val="center"/>
                    <w:rPr>
                      <w:rFonts w:ascii="Times New Roman" w:hAnsi="Times New Roman" w:eastAsia="宋体" w:cs="Times New Roman"/>
                      <w:bCs/>
                      <w:color w:val="000000"/>
                      <w:sz w:val="21"/>
                      <w:szCs w:val="21"/>
                      <w:highlight w:val="none"/>
                      <w:lang w:val="en-US" w:eastAsia="zh-CN"/>
                    </w:rPr>
                  </w:pPr>
                  <w:r>
                    <w:rPr>
                      <w:rFonts w:hint="eastAsia" w:ascii="Times New Roman" w:hAnsi="Times New Roman" w:eastAsia="宋体" w:cs="Times New Roman"/>
                      <w:bCs/>
                      <w:color w:val="000000"/>
                      <w:sz w:val="21"/>
                      <w:szCs w:val="21"/>
                      <w:highlight w:val="none"/>
                      <w:lang w:val="en-US" w:eastAsia="zh-CN"/>
                    </w:rPr>
                    <w:t>断料机</w:t>
                  </w:r>
                </w:p>
              </w:tc>
              <w:tc>
                <w:tcPr>
                  <w:tcW w:w="888" w:type="dxa"/>
                  <w:noWrap w:val="0"/>
                  <w:vAlign w:val="center"/>
                </w:tcPr>
                <w:p w14:paraId="0FAA4BA0">
                  <w:pPr>
                    <w:pStyle w:val="261"/>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09260E3F">
                  <w:pPr>
                    <w:pStyle w:val="261"/>
                    <w:jc w:val="center"/>
                    <w:rPr>
                      <w:rFonts w:ascii="Times New Roman" w:hAnsi="Times New Roman" w:eastAsia="宋体" w:cs="Times New Roman"/>
                      <w:bCs/>
                      <w:color w:val="000000"/>
                      <w:sz w:val="21"/>
                      <w:szCs w:val="21"/>
                      <w:highlight w:val="none"/>
                      <w:lang w:val="en-US" w:eastAsia="zh-CN"/>
                    </w:rPr>
                  </w:pPr>
                  <w:r>
                    <w:rPr>
                      <w:rFonts w:hint="eastAsia" w:ascii="Times New Roman" w:hAnsi="Times New Roman" w:eastAsia="宋体" w:cs="Times New Roman"/>
                      <w:bCs/>
                      <w:color w:val="000000"/>
                      <w:sz w:val="21"/>
                      <w:szCs w:val="21"/>
                      <w:highlight w:val="none"/>
                      <w:lang w:val="en-US" w:eastAsia="zh-CN"/>
                    </w:rPr>
                    <w:t>1</w:t>
                  </w:r>
                </w:p>
              </w:tc>
              <w:tc>
                <w:tcPr>
                  <w:tcW w:w="1331" w:type="dxa"/>
                  <w:vMerge w:val="continue"/>
                  <w:noWrap w:val="0"/>
                  <w:vAlign w:val="center"/>
                </w:tcPr>
                <w:p w14:paraId="06D672E1">
                  <w:pPr>
                    <w:pStyle w:val="261"/>
                    <w:jc w:val="center"/>
                    <w:rPr>
                      <w:rFonts w:hint="eastAsia" w:ascii="Times New Roman" w:hAnsi="Times New Roman" w:eastAsia="宋体" w:cs="Times New Roman"/>
                      <w:bCs/>
                      <w:color w:val="000000"/>
                      <w:sz w:val="21"/>
                      <w:szCs w:val="21"/>
                      <w:highlight w:val="none"/>
                      <w:lang w:val="en-US" w:eastAsia="zh-CN"/>
                    </w:rPr>
                  </w:pPr>
                </w:p>
              </w:tc>
            </w:tr>
            <w:tr w14:paraId="30E0B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13" w:type="dxa"/>
                  <w:noWrap w:val="0"/>
                  <w:vAlign w:val="center"/>
                </w:tcPr>
                <w:p w14:paraId="0820883C">
                  <w:pPr>
                    <w:pStyle w:val="261"/>
                    <w:jc w:val="center"/>
                    <w:rPr>
                      <w:rFonts w:hint="eastAsia" w:ascii="Times New Roman" w:hAnsi="Times New Roman" w:eastAsia="宋体" w:cs="Times New Roman"/>
                      <w:bCs/>
                      <w:color w:val="000000"/>
                      <w:sz w:val="21"/>
                      <w:szCs w:val="21"/>
                      <w:highlight w:val="none"/>
                      <w:lang w:eastAsia="zh-CN"/>
                    </w:rPr>
                  </w:pPr>
                  <w:r>
                    <w:rPr>
                      <w:rFonts w:hint="eastAsia" w:ascii="Times New Roman" w:hAnsi="Times New Roman" w:eastAsia="宋体" w:cs="Times New Roman"/>
                      <w:color w:val="000000"/>
                      <w:sz w:val="21"/>
                      <w:szCs w:val="21"/>
                      <w:highlight w:val="none"/>
                      <w:lang w:val="en-US" w:eastAsia="zh-CN"/>
                    </w:rPr>
                    <w:t>3</w:t>
                  </w:r>
                </w:p>
              </w:tc>
              <w:tc>
                <w:tcPr>
                  <w:tcW w:w="1435" w:type="dxa"/>
                  <w:noWrap w:val="0"/>
                  <w:vAlign w:val="center"/>
                </w:tcPr>
                <w:p w14:paraId="6CAB5491">
                  <w:pPr>
                    <w:pStyle w:val="261"/>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方木多片锯</w:t>
                  </w:r>
                </w:p>
              </w:tc>
              <w:tc>
                <w:tcPr>
                  <w:tcW w:w="888" w:type="dxa"/>
                  <w:noWrap w:val="0"/>
                  <w:vAlign w:val="center"/>
                </w:tcPr>
                <w:p w14:paraId="3103F453">
                  <w:pPr>
                    <w:jc w:val="center"/>
                    <w:rPr>
                      <w:rFonts w:ascii="Times New Roman" w:hAnsi="Times New Roman" w:eastAsia="宋体" w:cs="Times New Roman"/>
                      <w:bCs/>
                      <w:color w:val="000000"/>
                      <w:sz w:val="21"/>
                      <w:szCs w:val="21"/>
                      <w:highlight w:val="none"/>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5FF5C698">
                  <w:pPr>
                    <w:pStyle w:val="261"/>
                    <w:jc w:val="center"/>
                    <w:rPr>
                      <w:rFonts w:ascii="Times New Roman" w:hAnsi="Times New Roman" w:eastAsia="宋体" w:cs="Times New Roman"/>
                      <w:bCs/>
                      <w:color w:val="000000"/>
                      <w:sz w:val="21"/>
                      <w:szCs w:val="21"/>
                      <w:highlight w:val="none"/>
                      <w:lang w:val="en-US" w:eastAsia="zh-CN"/>
                    </w:rPr>
                  </w:pPr>
                  <w:r>
                    <w:rPr>
                      <w:rFonts w:hint="eastAsia" w:ascii="Times New Roman" w:hAnsi="Times New Roman" w:eastAsia="宋体" w:cs="Times New Roman"/>
                      <w:bCs/>
                      <w:color w:val="000000"/>
                      <w:sz w:val="21"/>
                      <w:szCs w:val="21"/>
                      <w:highlight w:val="none"/>
                      <w:lang w:val="en-US" w:eastAsia="zh-CN"/>
                    </w:rPr>
                    <w:t>8</w:t>
                  </w:r>
                </w:p>
              </w:tc>
              <w:tc>
                <w:tcPr>
                  <w:tcW w:w="1331" w:type="dxa"/>
                  <w:vMerge w:val="continue"/>
                  <w:noWrap w:val="0"/>
                  <w:vAlign w:val="center"/>
                </w:tcPr>
                <w:p w14:paraId="457F04D6">
                  <w:pPr>
                    <w:pStyle w:val="261"/>
                    <w:jc w:val="center"/>
                    <w:rPr>
                      <w:rFonts w:ascii="Times New Roman" w:hAnsi="Times New Roman" w:eastAsia="宋体" w:cs="Times New Roman"/>
                      <w:bCs/>
                      <w:color w:val="000000"/>
                      <w:sz w:val="21"/>
                      <w:szCs w:val="21"/>
                      <w:highlight w:val="none"/>
                      <w:lang w:val="en-US" w:eastAsia="zh-CN"/>
                    </w:rPr>
                  </w:pPr>
                </w:p>
              </w:tc>
            </w:tr>
            <w:tr w14:paraId="2859C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5FFB11E7">
                  <w:pPr>
                    <w:pStyle w:val="261"/>
                    <w:ind w:firstLine="0"/>
                    <w:jc w:val="center"/>
                    <w:rPr>
                      <w:rFonts w:ascii="Times New Roman" w:hAnsi="Times New Roman" w:eastAsia="宋体" w:cs="Times New Roman"/>
                      <w:bCs/>
                      <w:color w:val="000000"/>
                      <w:sz w:val="21"/>
                      <w:szCs w:val="21"/>
                      <w:highlight w:val="none"/>
                      <w:lang w:val="en-US" w:eastAsia="en-US" w:bidi="ar-SA"/>
                    </w:rPr>
                  </w:pPr>
                  <w:r>
                    <w:rPr>
                      <w:rFonts w:ascii="Times New Roman" w:hAnsi="Times New Roman" w:eastAsia="宋体" w:cs="Times New Roman"/>
                      <w:color w:val="000000"/>
                      <w:sz w:val="21"/>
                      <w:szCs w:val="21"/>
                      <w:highlight w:val="none"/>
                    </w:rPr>
                    <w:t>4</w:t>
                  </w:r>
                </w:p>
              </w:tc>
              <w:tc>
                <w:tcPr>
                  <w:tcW w:w="1435" w:type="dxa"/>
                  <w:noWrap w:val="0"/>
                  <w:vAlign w:val="center"/>
                </w:tcPr>
                <w:p w14:paraId="44434F13">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小断头机</w:t>
                  </w:r>
                </w:p>
              </w:tc>
              <w:tc>
                <w:tcPr>
                  <w:tcW w:w="888" w:type="dxa"/>
                  <w:noWrap w:val="0"/>
                  <w:vAlign w:val="center"/>
                </w:tcPr>
                <w:p w14:paraId="1B65181B">
                  <w:pPr>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5C1F063D">
                  <w:pPr>
                    <w:pStyle w:val="261"/>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5</w:t>
                  </w:r>
                </w:p>
              </w:tc>
              <w:tc>
                <w:tcPr>
                  <w:tcW w:w="1331" w:type="dxa"/>
                  <w:vMerge w:val="continue"/>
                  <w:noWrap w:val="0"/>
                  <w:vAlign w:val="center"/>
                </w:tcPr>
                <w:p w14:paraId="5BEAAB04">
                  <w:pPr>
                    <w:pStyle w:val="261"/>
                    <w:ind w:firstLine="0"/>
                    <w:jc w:val="center"/>
                    <w:rPr>
                      <w:rFonts w:ascii="Times New Roman" w:hAnsi="Times New Roman" w:eastAsia="宋体" w:cs="Times New Roman"/>
                      <w:bCs/>
                      <w:color w:val="000000"/>
                      <w:sz w:val="21"/>
                      <w:szCs w:val="21"/>
                      <w:highlight w:val="none"/>
                      <w:lang w:val="en-US" w:eastAsia="zh-CN" w:bidi="ar-SA"/>
                    </w:rPr>
                  </w:pPr>
                </w:p>
              </w:tc>
            </w:tr>
            <w:tr w14:paraId="0F9E7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413" w:type="dxa"/>
                  <w:noWrap w:val="0"/>
                  <w:vAlign w:val="center"/>
                </w:tcPr>
                <w:p w14:paraId="3B8D43E3">
                  <w:pPr>
                    <w:pStyle w:val="261"/>
                    <w:ind w:firstLine="0"/>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5</w:t>
                  </w:r>
                </w:p>
              </w:tc>
              <w:tc>
                <w:tcPr>
                  <w:tcW w:w="1435" w:type="dxa"/>
                  <w:noWrap w:val="0"/>
                  <w:vAlign w:val="center"/>
                </w:tcPr>
                <w:p w14:paraId="72B2BCFD">
                  <w:pPr>
                    <w:pStyle w:val="261"/>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清边机</w:t>
                  </w:r>
                </w:p>
              </w:tc>
              <w:tc>
                <w:tcPr>
                  <w:tcW w:w="888" w:type="dxa"/>
                  <w:noWrap w:val="0"/>
                  <w:vAlign w:val="center"/>
                </w:tcPr>
                <w:p w14:paraId="7C50A041">
                  <w:pPr>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32ACACBC">
                  <w:pPr>
                    <w:pStyle w:val="261"/>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8</w:t>
                  </w:r>
                </w:p>
              </w:tc>
              <w:tc>
                <w:tcPr>
                  <w:tcW w:w="1331" w:type="dxa"/>
                  <w:vMerge w:val="continue"/>
                  <w:noWrap w:val="0"/>
                  <w:vAlign w:val="center"/>
                </w:tcPr>
                <w:p w14:paraId="6D962256">
                  <w:pPr>
                    <w:pStyle w:val="261"/>
                    <w:ind w:firstLine="0"/>
                    <w:jc w:val="center"/>
                    <w:rPr>
                      <w:rFonts w:ascii="Times New Roman" w:hAnsi="Times New Roman" w:eastAsia="宋体" w:cs="Times New Roman"/>
                      <w:bCs/>
                      <w:color w:val="000000"/>
                      <w:sz w:val="21"/>
                      <w:szCs w:val="21"/>
                      <w:highlight w:val="none"/>
                      <w:lang w:val="en-US" w:eastAsia="zh-CN" w:bidi="ar-SA"/>
                    </w:rPr>
                  </w:pPr>
                </w:p>
              </w:tc>
            </w:tr>
            <w:tr w14:paraId="6ED86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297C21A0">
                  <w:pPr>
                    <w:pStyle w:val="261"/>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6</w:t>
                  </w:r>
                </w:p>
              </w:tc>
              <w:tc>
                <w:tcPr>
                  <w:tcW w:w="1435" w:type="dxa"/>
                  <w:noWrap w:val="0"/>
                  <w:vAlign w:val="center"/>
                </w:tcPr>
                <w:p w14:paraId="406745B2">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烘干房</w:t>
                  </w:r>
                </w:p>
              </w:tc>
              <w:tc>
                <w:tcPr>
                  <w:tcW w:w="888" w:type="dxa"/>
                  <w:noWrap w:val="0"/>
                  <w:vAlign w:val="center"/>
                </w:tcPr>
                <w:p w14:paraId="794A1010">
                  <w:pPr>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间</w:t>
                  </w:r>
                </w:p>
              </w:tc>
              <w:tc>
                <w:tcPr>
                  <w:tcW w:w="930" w:type="dxa"/>
                  <w:noWrap w:val="0"/>
                  <w:vAlign w:val="center"/>
                </w:tcPr>
                <w:p w14:paraId="69C19FCC">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6</w:t>
                  </w:r>
                </w:p>
              </w:tc>
              <w:tc>
                <w:tcPr>
                  <w:tcW w:w="1331" w:type="dxa"/>
                  <w:vMerge w:val="restart"/>
                  <w:noWrap w:val="0"/>
                  <w:vAlign w:val="center"/>
                </w:tcPr>
                <w:p w14:paraId="2BB53E6E">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烘干</w:t>
                  </w:r>
                </w:p>
              </w:tc>
            </w:tr>
            <w:tr w14:paraId="5CEE5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1ECD0DA7">
                  <w:pPr>
                    <w:pStyle w:val="261"/>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7</w:t>
                  </w:r>
                </w:p>
              </w:tc>
              <w:tc>
                <w:tcPr>
                  <w:tcW w:w="1435" w:type="dxa"/>
                  <w:noWrap w:val="0"/>
                  <w:vAlign w:val="center"/>
                </w:tcPr>
                <w:p w14:paraId="2C4F4479">
                  <w:pPr>
                    <w:pStyle w:val="261"/>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2t/h</w:t>
                  </w:r>
                  <w:r>
                    <w:rPr>
                      <w:rFonts w:hint="eastAsia" w:ascii="Times New Roman" w:hAnsi="Times New Roman" w:eastAsia="宋体" w:cs="Times New Roman"/>
                      <w:bCs/>
                      <w:color w:val="000000"/>
                      <w:sz w:val="21"/>
                      <w:szCs w:val="21"/>
                      <w:highlight w:val="none"/>
                      <w:lang w:val="en-US" w:eastAsia="zh-CN"/>
                    </w:rPr>
                    <w:t>生物质</w:t>
                  </w:r>
                  <w:r>
                    <w:rPr>
                      <w:rFonts w:ascii="Times New Roman" w:hAnsi="Times New Roman" w:eastAsia="宋体" w:cs="Times New Roman"/>
                      <w:bCs/>
                      <w:color w:val="000000"/>
                      <w:sz w:val="21"/>
                      <w:szCs w:val="21"/>
                      <w:highlight w:val="none"/>
                      <w:lang w:val="en-US" w:eastAsia="zh-CN"/>
                    </w:rPr>
                    <w:t>锅炉</w:t>
                  </w:r>
                </w:p>
              </w:tc>
              <w:tc>
                <w:tcPr>
                  <w:tcW w:w="888" w:type="dxa"/>
                  <w:noWrap w:val="0"/>
                  <w:vAlign w:val="center"/>
                </w:tcPr>
                <w:p w14:paraId="17248812">
                  <w:pPr>
                    <w:jc w:val="center"/>
                    <w:rPr>
                      <w:rFonts w:ascii="Times New Roman" w:hAnsi="Times New Roman" w:eastAsia="宋体" w:cs="Times New Roman"/>
                      <w:bCs/>
                      <w:color w:val="000000"/>
                      <w:sz w:val="21"/>
                      <w:szCs w:val="21"/>
                      <w:highlight w:val="none"/>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75B1EB73">
                  <w:pPr>
                    <w:pStyle w:val="261"/>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1</w:t>
                  </w:r>
                </w:p>
              </w:tc>
              <w:tc>
                <w:tcPr>
                  <w:tcW w:w="1331" w:type="dxa"/>
                  <w:vMerge w:val="continue"/>
                  <w:noWrap w:val="0"/>
                  <w:vAlign w:val="center"/>
                </w:tcPr>
                <w:p w14:paraId="40A19871">
                  <w:pPr>
                    <w:pStyle w:val="261"/>
                    <w:jc w:val="center"/>
                    <w:rPr>
                      <w:rFonts w:ascii="Times New Roman" w:hAnsi="Times New Roman" w:eastAsia="宋体" w:cs="Times New Roman"/>
                      <w:bCs/>
                      <w:color w:val="000000"/>
                      <w:sz w:val="21"/>
                      <w:szCs w:val="21"/>
                      <w:highlight w:val="none"/>
                      <w:lang w:val="en-US" w:eastAsia="zh-CN"/>
                    </w:rPr>
                  </w:pPr>
                </w:p>
              </w:tc>
            </w:tr>
            <w:tr w14:paraId="728DD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303E725F">
                  <w:pPr>
                    <w:pStyle w:val="261"/>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8</w:t>
                  </w:r>
                </w:p>
              </w:tc>
              <w:tc>
                <w:tcPr>
                  <w:tcW w:w="1435" w:type="dxa"/>
                  <w:noWrap w:val="0"/>
                  <w:vAlign w:val="center"/>
                </w:tcPr>
                <w:p w14:paraId="3DFB41BA">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1t蒸汽发生器</w:t>
                  </w:r>
                </w:p>
              </w:tc>
              <w:tc>
                <w:tcPr>
                  <w:tcW w:w="888" w:type="dxa"/>
                  <w:noWrap w:val="0"/>
                  <w:vAlign w:val="center"/>
                </w:tcPr>
                <w:p w14:paraId="6695DD52">
                  <w:pPr>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07302009">
                  <w:pPr>
                    <w:pStyle w:val="261"/>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1</w:t>
                  </w:r>
                </w:p>
              </w:tc>
              <w:tc>
                <w:tcPr>
                  <w:tcW w:w="1331" w:type="dxa"/>
                  <w:vMerge w:val="continue"/>
                  <w:noWrap w:val="0"/>
                  <w:vAlign w:val="center"/>
                </w:tcPr>
                <w:p w14:paraId="3FEE8EFE">
                  <w:pPr>
                    <w:pStyle w:val="261"/>
                    <w:jc w:val="center"/>
                    <w:rPr>
                      <w:rFonts w:ascii="Times New Roman" w:hAnsi="Times New Roman" w:eastAsia="宋体" w:cs="Times New Roman"/>
                      <w:bCs/>
                      <w:color w:val="000000"/>
                      <w:sz w:val="21"/>
                      <w:szCs w:val="21"/>
                      <w:highlight w:val="none"/>
                      <w:lang w:val="en-US" w:eastAsia="zh-CN"/>
                    </w:rPr>
                  </w:pPr>
                </w:p>
              </w:tc>
            </w:tr>
            <w:tr w14:paraId="71369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32D46710">
                  <w:pPr>
                    <w:pStyle w:val="261"/>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9</w:t>
                  </w:r>
                </w:p>
              </w:tc>
              <w:tc>
                <w:tcPr>
                  <w:tcW w:w="1435" w:type="dxa"/>
                  <w:noWrap w:val="0"/>
                  <w:vAlign w:val="center"/>
                </w:tcPr>
                <w:p w14:paraId="04F8945F">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梳齿机</w:t>
                  </w:r>
                </w:p>
              </w:tc>
              <w:tc>
                <w:tcPr>
                  <w:tcW w:w="888" w:type="dxa"/>
                  <w:noWrap w:val="0"/>
                  <w:vAlign w:val="center"/>
                </w:tcPr>
                <w:p w14:paraId="0CDA8C0E">
                  <w:pPr>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2051D702">
                  <w:pPr>
                    <w:pStyle w:val="261"/>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3</w:t>
                  </w:r>
                </w:p>
              </w:tc>
              <w:tc>
                <w:tcPr>
                  <w:tcW w:w="1331" w:type="dxa"/>
                  <w:vMerge w:val="restart"/>
                  <w:noWrap w:val="0"/>
                  <w:vAlign w:val="center"/>
                </w:tcPr>
                <w:p w14:paraId="5BEE5904">
                  <w:pPr>
                    <w:pStyle w:val="261"/>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加工</w:t>
                  </w:r>
                </w:p>
              </w:tc>
            </w:tr>
            <w:tr w14:paraId="06A00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535324E8">
                  <w:pPr>
                    <w:pStyle w:val="261"/>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10</w:t>
                  </w:r>
                </w:p>
              </w:tc>
              <w:tc>
                <w:tcPr>
                  <w:tcW w:w="1435" w:type="dxa"/>
                  <w:noWrap w:val="0"/>
                  <w:vAlign w:val="center"/>
                </w:tcPr>
                <w:p w14:paraId="6322D52F">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齿接机</w:t>
                  </w:r>
                </w:p>
              </w:tc>
              <w:tc>
                <w:tcPr>
                  <w:tcW w:w="888" w:type="dxa"/>
                  <w:noWrap w:val="0"/>
                  <w:vAlign w:val="center"/>
                </w:tcPr>
                <w:p w14:paraId="1F2ECEBC">
                  <w:pPr>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套</w:t>
                  </w:r>
                </w:p>
              </w:tc>
              <w:tc>
                <w:tcPr>
                  <w:tcW w:w="930" w:type="dxa"/>
                  <w:noWrap w:val="0"/>
                  <w:vAlign w:val="center"/>
                </w:tcPr>
                <w:p w14:paraId="4950417C">
                  <w:pPr>
                    <w:pStyle w:val="261"/>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2</w:t>
                  </w:r>
                </w:p>
              </w:tc>
              <w:tc>
                <w:tcPr>
                  <w:tcW w:w="1331" w:type="dxa"/>
                  <w:vMerge w:val="continue"/>
                  <w:noWrap w:val="0"/>
                  <w:vAlign w:val="center"/>
                </w:tcPr>
                <w:p w14:paraId="28CA07EF">
                  <w:pPr>
                    <w:pStyle w:val="261"/>
                    <w:jc w:val="center"/>
                    <w:rPr>
                      <w:rFonts w:ascii="Times New Roman" w:hAnsi="Times New Roman" w:eastAsia="宋体" w:cs="Times New Roman"/>
                      <w:bCs/>
                      <w:color w:val="000000"/>
                      <w:szCs w:val="21"/>
                      <w:highlight w:val="none"/>
                      <w:lang w:val="en-US" w:eastAsia="zh-CN"/>
                    </w:rPr>
                  </w:pPr>
                </w:p>
              </w:tc>
            </w:tr>
            <w:tr w14:paraId="53B7E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27E48189">
                  <w:pPr>
                    <w:pStyle w:val="261"/>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11</w:t>
                  </w:r>
                </w:p>
              </w:tc>
              <w:tc>
                <w:tcPr>
                  <w:tcW w:w="1435" w:type="dxa"/>
                  <w:noWrap w:val="0"/>
                  <w:vAlign w:val="center"/>
                </w:tcPr>
                <w:p w14:paraId="6C20DD4C">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齐头机</w:t>
                  </w:r>
                </w:p>
              </w:tc>
              <w:tc>
                <w:tcPr>
                  <w:tcW w:w="888" w:type="dxa"/>
                  <w:noWrap w:val="0"/>
                  <w:vAlign w:val="center"/>
                </w:tcPr>
                <w:p w14:paraId="7F7FB290">
                  <w:pPr>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61573235">
                  <w:pPr>
                    <w:pStyle w:val="261"/>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3</w:t>
                  </w:r>
                </w:p>
              </w:tc>
              <w:tc>
                <w:tcPr>
                  <w:tcW w:w="1331" w:type="dxa"/>
                  <w:vMerge w:val="continue"/>
                  <w:noWrap w:val="0"/>
                  <w:vAlign w:val="center"/>
                </w:tcPr>
                <w:p w14:paraId="4FC415E2">
                  <w:pPr>
                    <w:pStyle w:val="261"/>
                    <w:jc w:val="center"/>
                    <w:rPr>
                      <w:rFonts w:ascii="Times New Roman" w:hAnsi="Times New Roman" w:eastAsia="宋体" w:cs="Times New Roman"/>
                      <w:bCs/>
                      <w:color w:val="000000"/>
                      <w:szCs w:val="21"/>
                      <w:highlight w:val="none"/>
                      <w:lang w:val="en-US" w:eastAsia="zh-CN"/>
                    </w:rPr>
                  </w:pPr>
                </w:p>
              </w:tc>
            </w:tr>
            <w:tr w14:paraId="581B2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6757B1EA">
                  <w:pPr>
                    <w:pStyle w:val="261"/>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12</w:t>
                  </w:r>
                </w:p>
              </w:tc>
              <w:tc>
                <w:tcPr>
                  <w:tcW w:w="1435" w:type="dxa"/>
                  <w:noWrap w:val="0"/>
                  <w:vAlign w:val="center"/>
                </w:tcPr>
                <w:p w14:paraId="3C6A28B7">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涂胶机</w:t>
                  </w:r>
                </w:p>
              </w:tc>
              <w:tc>
                <w:tcPr>
                  <w:tcW w:w="888" w:type="dxa"/>
                  <w:noWrap w:val="0"/>
                  <w:vAlign w:val="center"/>
                </w:tcPr>
                <w:p w14:paraId="316660D9">
                  <w:pPr>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4D0F0F06">
                  <w:pPr>
                    <w:pStyle w:val="261"/>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2</w:t>
                  </w:r>
                </w:p>
              </w:tc>
              <w:tc>
                <w:tcPr>
                  <w:tcW w:w="1331" w:type="dxa"/>
                  <w:vMerge w:val="continue"/>
                  <w:noWrap w:val="0"/>
                  <w:vAlign w:val="center"/>
                </w:tcPr>
                <w:p w14:paraId="40688B0E">
                  <w:pPr>
                    <w:pStyle w:val="261"/>
                    <w:jc w:val="center"/>
                    <w:rPr>
                      <w:rFonts w:ascii="Times New Roman" w:hAnsi="Times New Roman" w:eastAsia="宋体" w:cs="Times New Roman"/>
                      <w:bCs/>
                      <w:color w:val="000000"/>
                      <w:szCs w:val="21"/>
                      <w:highlight w:val="none"/>
                      <w:lang w:val="en-US" w:eastAsia="zh-CN"/>
                    </w:rPr>
                  </w:pPr>
                </w:p>
              </w:tc>
            </w:tr>
            <w:tr w14:paraId="160C4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413" w:type="dxa"/>
                  <w:noWrap w:val="0"/>
                  <w:vAlign w:val="center"/>
                </w:tcPr>
                <w:p w14:paraId="16663FED">
                  <w:pPr>
                    <w:pStyle w:val="261"/>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13</w:t>
                  </w:r>
                </w:p>
              </w:tc>
              <w:tc>
                <w:tcPr>
                  <w:tcW w:w="1435" w:type="dxa"/>
                  <w:noWrap w:val="0"/>
                  <w:vAlign w:val="center"/>
                </w:tcPr>
                <w:p w14:paraId="5D2724E8">
                  <w:pPr>
                    <w:pStyle w:val="261"/>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拼版</w:t>
                  </w:r>
                  <w:r>
                    <w:rPr>
                      <w:rFonts w:ascii="Times New Roman" w:hAnsi="Times New Roman" w:eastAsia="宋体" w:cs="Times New Roman"/>
                      <w:bCs/>
                      <w:color w:val="000000"/>
                      <w:sz w:val="21"/>
                      <w:szCs w:val="21"/>
                      <w:highlight w:val="none"/>
                      <w:lang w:val="en-US" w:eastAsia="zh-CN" w:bidi="ar-SA"/>
                    </w:rPr>
                    <w:t>机</w:t>
                  </w:r>
                </w:p>
              </w:tc>
              <w:tc>
                <w:tcPr>
                  <w:tcW w:w="888" w:type="dxa"/>
                  <w:noWrap w:val="0"/>
                  <w:vAlign w:val="center"/>
                </w:tcPr>
                <w:p w14:paraId="1B5BD9D3">
                  <w:pPr>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51B6E27E">
                  <w:pPr>
                    <w:pStyle w:val="261"/>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3</w:t>
                  </w:r>
                </w:p>
              </w:tc>
              <w:tc>
                <w:tcPr>
                  <w:tcW w:w="1331" w:type="dxa"/>
                  <w:vMerge w:val="continue"/>
                  <w:noWrap w:val="0"/>
                  <w:vAlign w:val="center"/>
                </w:tcPr>
                <w:p w14:paraId="528AE0F7">
                  <w:pPr>
                    <w:pStyle w:val="261"/>
                    <w:jc w:val="center"/>
                    <w:rPr>
                      <w:rFonts w:ascii="Times New Roman" w:hAnsi="Times New Roman" w:eastAsia="宋体" w:cs="Times New Roman"/>
                      <w:bCs/>
                      <w:color w:val="000000"/>
                      <w:szCs w:val="21"/>
                      <w:highlight w:val="none"/>
                      <w:lang w:val="en-US" w:eastAsia="zh-CN"/>
                    </w:rPr>
                  </w:pPr>
                </w:p>
              </w:tc>
            </w:tr>
            <w:tr w14:paraId="797FA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013E5AAE">
                  <w:pPr>
                    <w:pStyle w:val="261"/>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14</w:t>
                  </w:r>
                </w:p>
              </w:tc>
              <w:tc>
                <w:tcPr>
                  <w:tcW w:w="1435" w:type="dxa"/>
                  <w:noWrap w:val="0"/>
                  <w:vAlign w:val="center"/>
                </w:tcPr>
                <w:p w14:paraId="42625496">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空压机</w:t>
                  </w:r>
                </w:p>
              </w:tc>
              <w:tc>
                <w:tcPr>
                  <w:tcW w:w="888" w:type="dxa"/>
                  <w:noWrap w:val="0"/>
                  <w:vAlign w:val="center"/>
                </w:tcPr>
                <w:p w14:paraId="3EFFB70C">
                  <w:pPr>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49036186">
                  <w:pPr>
                    <w:pStyle w:val="261"/>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5</w:t>
                  </w:r>
                </w:p>
              </w:tc>
              <w:tc>
                <w:tcPr>
                  <w:tcW w:w="1331" w:type="dxa"/>
                  <w:vMerge w:val="continue"/>
                  <w:noWrap w:val="0"/>
                  <w:vAlign w:val="center"/>
                </w:tcPr>
                <w:p w14:paraId="4368917D">
                  <w:pPr>
                    <w:pStyle w:val="261"/>
                    <w:jc w:val="center"/>
                    <w:rPr>
                      <w:rFonts w:ascii="Times New Roman" w:hAnsi="Times New Roman" w:eastAsia="宋体" w:cs="Times New Roman"/>
                      <w:bCs/>
                      <w:color w:val="000000"/>
                      <w:szCs w:val="21"/>
                      <w:highlight w:val="none"/>
                      <w:lang w:val="en-US" w:eastAsia="zh-CN"/>
                    </w:rPr>
                  </w:pPr>
                </w:p>
              </w:tc>
            </w:tr>
            <w:tr w14:paraId="6D979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13" w:type="dxa"/>
                  <w:noWrap w:val="0"/>
                  <w:vAlign w:val="center"/>
                </w:tcPr>
                <w:p w14:paraId="7256ED2E">
                  <w:pPr>
                    <w:pStyle w:val="261"/>
                    <w:ind w:firstLine="0"/>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15</w:t>
                  </w:r>
                </w:p>
              </w:tc>
              <w:tc>
                <w:tcPr>
                  <w:tcW w:w="1435" w:type="dxa"/>
                  <w:noWrap w:val="0"/>
                  <w:vAlign w:val="center"/>
                </w:tcPr>
                <w:p w14:paraId="2650E271">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齐头机</w:t>
                  </w:r>
                </w:p>
              </w:tc>
              <w:tc>
                <w:tcPr>
                  <w:tcW w:w="888" w:type="dxa"/>
                  <w:noWrap w:val="0"/>
                  <w:vAlign w:val="center"/>
                </w:tcPr>
                <w:p w14:paraId="352FBCAD">
                  <w:pPr>
                    <w:jc w:val="center"/>
                    <w:rPr>
                      <w:rFonts w:ascii="Times New Roman" w:hAnsi="Times New Roman" w:eastAsia="宋体" w:cs="Times New Roman"/>
                      <w:bCs/>
                      <w:color w:val="000000"/>
                      <w:sz w:val="21"/>
                      <w:szCs w:val="21"/>
                      <w:highlight w:val="none"/>
                      <w:lang w:val="en-US" w:eastAsia="zh-CN"/>
                    </w:rPr>
                  </w:pPr>
                  <w:r>
                    <w:rPr>
                      <w:rFonts w:ascii="Times New Roman" w:hAnsi="Times New Roman" w:eastAsia="宋体" w:cs="Times New Roman"/>
                      <w:bCs/>
                      <w:color w:val="000000"/>
                      <w:sz w:val="21"/>
                      <w:szCs w:val="21"/>
                      <w:highlight w:val="none"/>
                      <w:lang w:val="en-US" w:eastAsia="zh-CN"/>
                    </w:rPr>
                    <w:t>台</w:t>
                  </w:r>
                </w:p>
              </w:tc>
              <w:tc>
                <w:tcPr>
                  <w:tcW w:w="930" w:type="dxa"/>
                  <w:noWrap w:val="0"/>
                  <w:vAlign w:val="center"/>
                </w:tcPr>
                <w:p w14:paraId="0151C9CB">
                  <w:pPr>
                    <w:pStyle w:val="261"/>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3</w:t>
                  </w:r>
                </w:p>
              </w:tc>
              <w:tc>
                <w:tcPr>
                  <w:tcW w:w="1331" w:type="dxa"/>
                  <w:vMerge w:val="continue"/>
                  <w:noWrap w:val="0"/>
                  <w:vAlign w:val="center"/>
                </w:tcPr>
                <w:p w14:paraId="7E95F3CF">
                  <w:pPr>
                    <w:pStyle w:val="261"/>
                    <w:ind w:firstLine="0"/>
                    <w:jc w:val="center"/>
                    <w:rPr>
                      <w:rFonts w:hint="eastAsia" w:ascii="Times New Roman" w:hAnsi="Times New Roman" w:eastAsia="宋体" w:cs="Times New Roman"/>
                      <w:bCs/>
                      <w:color w:val="000000"/>
                      <w:sz w:val="22"/>
                      <w:szCs w:val="21"/>
                      <w:highlight w:val="none"/>
                      <w:lang w:val="en-US" w:eastAsia="zh-CN" w:bidi="ar-SA"/>
                    </w:rPr>
                  </w:pPr>
                </w:p>
              </w:tc>
            </w:tr>
          </w:tbl>
          <w:p w14:paraId="599E0778">
            <w:pPr>
              <w:keepNext w:val="0"/>
              <w:keepLines w:val="0"/>
              <w:pageBreakBefore w:val="0"/>
              <w:widowControl w:val="0"/>
              <w:spacing w:before="157" w:line="360" w:lineRule="auto"/>
              <w:ind w:firstLine="480"/>
              <w:rPr>
                <w:rFonts w:ascii="Times New Roman" w:hAnsi="Times New Roman" w:eastAsia="宋体" w:cs="Times New Roman"/>
                <w:b/>
                <w:color w:val="000000"/>
                <w:sz w:val="24"/>
                <w:szCs w:val="24"/>
                <w:highlight w:val="none"/>
                <w:lang w:val="en-US" w:eastAsia="zh-CN"/>
              </w:rPr>
            </w:pPr>
            <w:r>
              <w:rPr>
                <w:rFonts w:ascii="Times New Roman" w:hAnsi="Times New Roman" w:eastAsia="宋体" w:cs="Times New Roman"/>
                <w:color w:val="000000"/>
                <w:sz w:val="24"/>
              </w:rPr>
              <w:t>本项目设备均为外购，经查阅《产业结构调整指导目录（2019年本）》，本项目设备不属于指导目录中限制类及淘汰类设备。</w:t>
            </w:r>
          </w:p>
          <w:p w14:paraId="111B3F47">
            <w:pPr>
              <w:keepNext w:val="0"/>
              <w:keepLines w:val="0"/>
              <w:pageBreakBefore w:val="0"/>
              <w:widowControl w:val="0"/>
              <w:spacing w:line="360" w:lineRule="auto"/>
              <w:ind w:firstLine="482"/>
              <w:rPr>
                <w:rFonts w:ascii="Times New Roman" w:hAnsi="Times New Roman" w:eastAsia="宋体" w:cs="Times New Roman"/>
                <w:b/>
                <w:color w:val="000000"/>
                <w:sz w:val="24"/>
                <w:szCs w:val="24"/>
                <w:highlight w:val="none"/>
                <w:lang w:val="en-US" w:eastAsia="zh-CN"/>
              </w:rPr>
            </w:pPr>
            <w:r>
              <w:rPr>
                <w:rFonts w:hint="eastAsia" w:ascii="Times New Roman" w:hAnsi="Times New Roman" w:eastAsia="宋体" w:cs="Times New Roman"/>
                <w:b/>
                <w:bCs w:val="0"/>
                <w:color w:val="000000"/>
                <w:sz w:val="24"/>
                <w:szCs w:val="24"/>
                <w:highlight w:val="none"/>
                <w:lang w:val="en-US" w:eastAsia="zh-CN"/>
              </w:rPr>
              <w:t>7</w:t>
            </w:r>
            <w:r>
              <w:rPr>
                <w:rFonts w:ascii="Times New Roman" w:hAnsi="Times New Roman" w:eastAsia="宋体" w:cs="Times New Roman"/>
                <w:b/>
                <w:bCs w:val="0"/>
                <w:color w:val="000000"/>
                <w:sz w:val="24"/>
                <w:szCs w:val="24"/>
                <w:highlight w:val="none"/>
                <w:lang w:val="en-US" w:eastAsia="zh-CN"/>
              </w:rPr>
              <w:t>、</w:t>
            </w:r>
            <w:r>
              <w:rPr>
                <w:rFonts w:ascii="Times New Roman" w:hAnsi="Times New Roman" w:eastAsia="宋体" w:cs="Times New Roman"/>
                <w:b/>
                <w:color w:val="000000"/>
                <w:sz w:val="24"/>
                <w:szCs w:val="24"/>
                <w:highlight w:val="none"/>
                <w:lang w:val="en-US" w:eastAsia="zh-CN"/>
              </w:rPr>
              <w:t>工作制度和劳动定员</w:t>
            </w:r>
          </w:p>
          <w:p w14:paraId="0F73F2BB">
            <w:pPr>
              <w:keepNext w:val="0"/>
              <w:keepLines w:val="0"/>
              <w:pageBreakBefore w:val="0"/>
              <w:widowControl w:val="0"/>
              <w:spacing w:line="360" w:lineRule="auto"/>
              <w:ind w:firstLine="480"/>
              <w:rPr>
                <w:rFonts w:ascii="Times New Roman" w:hAnsi="Times New Roman" w:eastAsia="宋体" w:cs="Times New Roman"/>
                <w:b/>
                <w:color w:val="000000"/>
                <w:sz w:val="24"/>
                <w:lang w:val="en-US" w:eastAsia="zh-CN"/>
              </w:rPr>
            </w:pPr>
            <w:r>
              <w:rPr>
                <w:rFonts w:ascii="Times New Roman" w:hAnsi="Times New Roman" w:eastAsia="宋体" w:cs="Times New Roman"/>
                <w:color w:val="000000"/>
                <w:sz w:val="24"/>
              </w:rPr>
              <w:t>本项目运营过程中主要工作制度及劳动定员</w:t>
            </w:r>
            <w:r>
              <w:rPr>
                <w:rFonts w:ascii="Times New Roman" w:hAnsi="Times New Roman" w:eastAsia="宋体" w:cs="Times New Roman"/>
                <w:color w:val="000000"/>
                <w:sz w:val="24"/>
                <w:lang w:val="en-US" w:eastAsia="zh-CN"/>
              </w:rPr>
              <w:t>情况</w:t>
            </w:r>
            <w:r>
              <w:rPr>
                <w:rFonts w:ascii="Times New Roman" w:hAnsi="Times New Roman" w:eastAsia="宋体" w:cs="Times New Roman"/>
                <w:color w:val="000000"/>
                <w:sz w:val="24"/>
              </w:rPr>
              <w:t>备见下表。</w:t>
            </w:r>
            <w:r>
              <w:rPr>
                <w:rFonts w:ascii="Times New Roman" w:hAnsi="Times New Roman" w:eastAsia="宋体" w:cs="Times New Roman"/>
                <w:b/>
                <w:color w:val="000000"/>
                <w:sz w:val="24"/>
                <w:lang w:val="en-US" w:eastAsia="zh-CN"/>
              </w:rPr>
              <w:t xml:space="preserve"> </w:t>
            </w:r>
          </w:p>
          <w:p w14:paraId="43C1BA3B">
            <w:pPr>
              <w:widowControl/>
              <w:jc w:val="center"/>
              <w:rPr>
                <w:rFonts w:hint="eastAsia" w:ascii="Times New Roman" w:hAnsi="Times New Roman" w:eastAsia="宋体" w:cs="Times New Roman"/>
                <w:b/>
                <w:color w:val="000000"/>
                <w:sz w:val="24"/>
                <w:lang w:val="en-US" w:eastAsia="zh-CN"/>
              </w:rPr>
            </w:pPr>
            <w:r>
              <w:rPr>
                <w:rFonts w:ascii="Times New Roman" w:hAnsi="Times New Roman" w:eastAsia="宋体" w:cs="Times New Roman"/>
                <w:b/>
                <w:color w:val="000000"/>
                <w:sz w:val="24"/>
              </w:rPr>
              <w:t>表2-</w:t>
            </w:r>
            <w:r>
              <w:rPr>
                <w:rFonts w:hint="eastAsia" w:ascii="Times New Roman" w:hAnsi="Times New Roman" w:eastAsia="宋体" w:cs="Times New Roman"/>
                <w:b/>
                <w:color w:val="000000"/>
                <w:sz w:val="24"/>
                <w:lang w:val="en-US" w:eastAsia="zh-CN"/>
              </w:rPr>
              <w:t>10</w:t>
            </w:r>
            <w:r>
              <w:rPr>
                <w:rFonts w:ascii="Times New Roman" w:hAnsi="Times New Roman" w:eastAsia="宋体" w:cs="Times New Roman"/>
                <w:b/>
                <w:color w:val="000000"/>
                <w:sz w:val="24"/>
              </w:rPr>
              <w:t xml:space="preserve">  项目劳动定员及生产作息制度</w:t>
            </w:r>
            <w:r>
              <w:rPr>
                <w:rFonts w:hint="eastAsia" w:ascii="Times New Roman" w:hAnsi="Times New Roman" w:eastAsia="宋体" w:cs="Times New Roman"/>
                <w:b/>
                <w:color w:val="000000"/>
                <w:sz w:val="24"/>
                <w:lang w:val="en-US" w:eastAsia="zh-CN"/>
              </w:rPr>
              <w:t>一览表</w:t>
            </w:r>
          </w:p>
          <w:tbl>
            <w:tblPr>
              <w:tblStyle w:val="2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7"/>
              <w:gridCol w:w="1566"/>
              <w:gridCol w:w="6037"/>
            </w:tblGrid>
            <w:tr w14:paraId="63571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675" w:type="dxa"/>
                  <w:vMerge w:val="restart"/>
                  <w:noWrap w:val="0"/>
                  <w:vAlign w:val="center"/>
                </w:tcPr>
                <w:p w14:paraId="3FF65F1C">
                  <w:pPr>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劳动定员</w:t>
                  </w:r>
                </w:p>
              </w:tc>
              <w:tc>
                <w:tcPr>
                  <w:tcW w:w="891" w:type="dxa"/>
                  <w:noWrap w:val="0"/>
                  <w:vAlign w:val="center"/>
                </w:tcPr>
                <w:p w14:paraId="0160398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总定员</w:t>
                  </w:r>
                </w:p>
              </w:tc>
              <w:tc>
                <w:tcPr>
                  <w:tcW w:w="3433" w:type="dxa"/>
                  <w:noWrap w:val="0"/>
                  <w:vAlign w:val="center"/>
                </w:tcPr>
                <w:p w14:paraId="1F5F5E76">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50</w:t>
                  </w:r>
                  <w:r>
                    <w:rPr>
                      <w:rFonts w:ascii="Times New Roman" w:hAnsi="Times New Roman" w:eastAsia="宋体" w:cs="Times New Roman"/>
                      <w:color w:val="000000"/>
                      <w:szCs w:val="21"/>
                    </w:rPr>
                    <w:t>人</w:t>
                  </w:r>
                </w:p>
              </w:tc>
            </w:tr>
            <w:tr w14:paraId="75FDB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5" w:type="dxa"/>
                  <w:vMerge w:val="continue"/>
                  <w:noWrap w:val="0"/>
                  <w:vAlign w:val="center"/>
                </w:tcPr>
                <w:p w14:paraId="225E5C4B">
                  <w:pPr>
                    <w:jc w:val="center"/>
                    <w:rPr>
                      <w:rFonts w:ascii="Times New Roman" w:hAnsi="Times New Roman" w:eastAsia="宋体" w:cs="Times New Roman"/>
                      <w:b/>
                      <w:bCs/>
                      <w:color w:val="000000"/>
                      <w:szCs w:val="21"/>
                    </w:rPr>
                  </w:pPr>
                </w:p>
              </w:tc>
              <w:tc>
                <w:tcPr>
                  <w:tcW w:w="891" w:type="dxa"/>
                  <w:noWrap w:val="0"/>
                  <w:vAlign w:val="center"/>
                </w:tcPr>
                <w:p w14:paraId="663FE8C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管理人员</w:t>
                  </w:r>
                </w:p>
              </w:tc>
              <w:tc>
                <w:tcPr>
                  <w:tcW w:w="3433" w:type="dxa"/>
                  <w:noWrap w:val="0"/>
                  <w:vAlign w:val="center"/>
                </w:tcPr>
                <w:p w14:paraId="6B99EF46">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8</w:t>
                  </w:r>
                  <w:r>
                    <w:rPr>
                      <w:rFonts w:ascii="Times New Roman" w:hAnsi="Times New Roman" w:eastAsia="宋体" w:cs="Times New Roman"/>
                      <w:color w:val="000000"/>
                      <w:szCs w:val="21"/>
                    </w:rPr>
                    <w:t>人</w:t>
                  </w:r>
                </w:p>
              </w:tc>
            </w:tr>
            <w:tr w14:paraId="65FB4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5" w:type="dxa"/>
                  <w:vMerge w:val="continue"/>
                  <w:noWrap w:val="0"/>
                  <w:vAlign w:val="center"/>
                </w:tcPr>
                <w:p w14:paraId="3D83498D">
                  <w:pPr>
                    <w:jc w:val="center"/>
                    <w:rPr>
                      <w:rFonts w:ascii="Times New Roman" w:hAnsi="Times New Roman" w:eastAsia="宋体" w:cs="Times New Roman"/>
                      <w:b/>
                      <w:bCs/>
                      <w:color w:val="000000"/>
                      <w:szCs w:val="21"/>
                    </w:rPr>
                  </w:pPr>
                </w:p>
              </w:tc>
              <w:tc>
                <w:tcPr>
                  <w:tcW w:w="891" w:type="dxa"/>
                  <w:noWrap w:val="0"/>
                  <w:vAlign w:val="center"/>
                </w:tcPr>
                <w:p w14:paraId="69C3222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生产工人</w:t>
                  </w:r>
                </w:p>
              </w:tc>
              <w:tc>
                <w:tcPr>
                  <w:tcW w:w="3433" w:type="dxa"/>
                  <w:noWrap w:val="0"/>
                  <w:vAlign w:val="center"/>
                </w:tcPr>
                <w:p w14:paraId="14B98412">
                  <w:pPr>
                    <w:jc w:val="center"/>
                    <w:rPr>
                      <w:rFonts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42</w:t>
                  </w:r>
                  <w:r>
                    <w:rPr>
                      <w:rFonts w:ascii="Times New Roman" w:hAnsi="Times New Roman" w:eastAsia="宋体" w:cs="Times New Roman"/>
                      <w:color w:val="000000"/>
                      <w:szCs w:val="21"/>
                    </w:rPr>
                    <w:t>人</w:t>
                  </w:r>
                </w:p>
              </w:tc>
            </w:tr>
            <w:tr w14:paraId="72387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5" w:type="dxa"/>
                  <w:vMerge w:val="restart"/>
                  <w:noWrap w:val="0"/>
                  <w:vAlign w:val="center"/>
                </w:tcPr>
                <w:p w14:paraId="2C974F78">
                  <w:pPr>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生产制度</w:t>
                  </w:r>
                </w:p>
              </w:tc>
              <w:tc>
                <w:tcPr>
                  <w:tcW w:w="891" w:type="dxa"/>
                  <w:noWrap w:val="0"/>
                  <w:vAlign w:val="center"/>
                </w:tcPr>
                <w:p w14:paraId="7AA87918">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年生产天数</w:t>
                  </w:r>
                </w:p>
              </w:tc>
              <w:tc>
                <w:tcPr>
                  <w:tcW w:w="3433" w:type="dxa"/>
                  <w:noWrap w:val="0"/>
                  <w:vAlign w:val="center"/>
                </w:tcPr>
                <w:p w14:paraId="4FC5775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300天</w:t>
                  </w:r>
                </w:p>
              </w:tc>
            </w:tr>
            <w:tr w14:paraId="12BBA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5" w:type="dxa"/>
                  <w:vMerge w:val="continue"/>
                  <w:noWrap w:val="0"/>
                  <w:vAlign w:val="center"/>
                </w:tcPr>
                <w:p w14:paraId="18B991E1">
                  <w:pPr>
                    <w:jc w:val="center"/>
                    <w:rPr>
                      <w:rFonts w:ascii="Times New Roman" w:hAnsi="Times New Roman" w:eastAsia="宋体" w:cs="Times New Roman"/>
                      <w:color w:val="000000"/>
                      <w:szCs w:val="21"/>
                    </w:rPr>
                  </w:pPr>
                </w:p>
              </w:tc>
              <w:tc>
                <w:tcPr>
                  <w:tcW w:w="891" w:type="dxa"/>
                  <w:noWrap w:val="0"/>
                  <w:vAlign w:val="center"/>
                </w:tcPr>
                <w:p w14:paraId="20F41B9E">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班次</w:t>
                  </w:r>
                </w:p>
              </w:tc>
              <w:tc>
                <w:tcPr>
                  <w:tcW w:w="3433" w:type="dxa"/>
                  <w:noWrap w:val="0"/>
                  <w:vAlign w:val="center"/>
                </w:tcPr>
                <w:p w14:paraId="494422E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白班</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lang w:val="en-US" w:eastAsia="zh-CN"/>
                    </w:rPr>
                    <w:t>一班制</w:t>
                  </w:r>
                  <w:r>
                    <w:rPr>
                      <w:rFonts w:ascii="Times New Roman" w:hAnsi="Times New Roman" w:eastAsia="宋体" w:cs="Times New Roman"/>
                      <w:color w:val="000000"/>
                      <w:szCs w:val="21"/>
                    </w:rPr>
                    <w:t>，夜间不生产</w:t>
                  </w:r>
                </w:p>
              </w:tc>
            </w:tr>
            <w:tr w14:paraId="326C0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5" w:type="dxa"/>
                  <w:vMerge w:val="continue"/>
                  <w:noWrap w:val="0"/>
                  <w:vAlign w:val="center"/>
                </w:tcPr>
                <w:p w14:paraId="257322D1">
                  <w:pPr>
                    <w:jc w:val="center"/>
                    <w:rPr>
                      <w:rFonts w:ascii="Times New Roman" w:hAnsi="Times New Roman" w:eastAsia="宋体" w:cs="Times New Roman"/>
                      <w:color w:val="000000"/>
                      <w:szCs w:val="21"/>
                    </w:rPr>
                  </w:pPr>
                </w:p>
              </w:tc>
              <w:tc>
                <w:tcPr>
                  <w:tcW w:w="891" w:type="dxa"/>
                  <w:noWrap w:val="0"/>
                  <w:vAlign w:val="center"/>
                </w:tcPr>
                <w:p w14:paraId="1D53CD5C">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工作时间</w:t>
                  </w:r>
                </w:p>
              </w:tc>
              <w:tc>
                <w:tcPr>
                  <w:tcW w:w="3433" w:type="dxa"/>
                  <w:noWrap w:val="0"/>
                  <w:vAlign w:val="center"/>
                </w:tcPr>
                <w:p w14:paraId="64E3706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8h/d，早上8:00-12:00，下午</w:t>
                  </w:r>
                  <w:r>
                    <w:rPr>
                      <w:rFonts w:hint="eastAsia" w:ascii="Times New Roman" w:hAnsi="Times New Roman" w:eastAsia="宋体" w:cs="Times New Roman"/>
                      <w:color w:val="000000"/>
                      <w:szCs w:val="21"/>
                      <w:lang w:val="en-US" w:eastAsia="zh-CN"/>
                    </w:rPr>
                    <w:t>2</w:t>
                  </w:r>
                  <w:r>
                    <w:rPr>
                      <w:rFonts w:ascii="Times New Roman" w:hAnsi="Times New Roman" w:eastAsia="宋体" w:cs="Times New Roman"/>
                      <w:color w:val="000000"/>
                      <w:szCs w:val="21"/>
                    </w:rPr>
                    <w:t>:00-</w:t>
                  </w:r>
                  <w:r>
                    <w:rPr>
                      <w:rFonts w:hint="eastAsia" w:ascii="Times New Roman" w:hAnsi="Times New Roman" w:eastAsia="宋体" w:cs="Times New Roman"/>
                      <w:color w:val="000000"/>
                      <w:szCs w:val="21"/>
                      <w:lang w:val="en-US" w:eastAsia="zh-CN"/>
                    </w:rPr>
                    <w:t>6</w:t>
                  </w:r>
                  <w:r>
                    <w:rPr>
                      <w:rFonts w:ascii="Times New Roman" w:hAnsi="Times New Roman" w:eastAsia="宋体" w:cs="Times New Roman"/>
                      <w:color w:val="000000"/>
                      <w:szCs w:val="21"/>
                    </w:rPr>
                    <w:t>:00</w:t>
                  </w:r>
                </w:p>
              </w:tc>
            </w:tr>
            <w:tr w14:paraId="0845E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 w:hRule="atLeast"/>
                <w:jc w:val="center"/>
              </w:trPr>
              <w:tc>
                <w:tcPr>
                  <w:tcW w:w="8790" w:type="dxa"/>
                  <w:gridSpan w:val="3"/>
                  <w:noWrap w:val="0"/>
                  <w:vAlign w:val="center"/>
                </w:tcPr>
                <w:p w14:paraId="633688B0">
                  <w:pPr>
                    <w:keepNext w:val="0"/>
                    <w:keepLines w:val="0"/>
                    <w:pageBreakBefore w:val="0"/>
                    <w:widowControl w:val="0"/>
                    <w:ind w:firstLine="420"/>
                    <w:jc w:val="both"/>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rPr>
                    <w:t>注：</w:t>
                  </w:r>
                  <w:r>
                    <w:rPr>
                      <w:rFonts w:hint="eastAsia" w:ascii="Times New Roman" w:hAnsi="Times New Roman" w:eastAsia="宋体" w:cs="Times New Roman"/>
                      <w:color w:val="000000"/>
                      <w:szCs w:val="21"/>
                      <w:lang w:val="en-US" w:eastAsia="zh-CN"/>
                    </w:rPr>
                    <w:t>项目不设置食宿，劳动定员均为附近居民，食宿自行解决。</w:t>
                  </w:r>
                </w:p>
              </w:tc>
            </w:tr>
          </w:tbl>
          <w:p w14:paraId="77648B92">
            <w:pPr>
              <w:keepNext w:val="0"/>
              <w:keepLines w:val="0"/>
              <w:pageBreakBefore w:val="0"/>
              <w:widowControl w:val="0"/>
              <w:numPr>
                <w:ilvl w:val="0"/>
                <w:numId w:val="0"/>
              </w:numPr>
              <w:spacing w:before="157" w:line="360" w:lineRule="auto"/>
              <w:ind w:firstLine="482"/>
              <w:rPr>
                <w:rFonts w:ascii="Times New Roman" w:hAnsi="Times New Roman" w:eastAsia="宋体" w:cs="Times New Roman"/>
                <w:b/>
                <w:color w:val="000000"/>
                <w:sz w:val="24"/>
                <w:lang w:val="en-US" w:eastAsia="zh-CN"/>
              </w:rPr>
            </w:pPr>
            <w:bookmarkStart w:id="4" w:name="_Toc48148622"/>
            <w:r>
              <w:rPr>
                <w:rFonts w:hint="eastAsia" w:ascii="Times New Roman" w:hAnsi="Times New Roman" w:eastAsia="宋体" w:cs="Times New Roman"/>
                <w:b/>
                <w:color w:val="000000"/>
                <w:sz w:val="24"/>
                <w:lang w:val="en-US" w:eastAsia="zh-CN"/>
              </w:rPr>
              <w:t>8</w:t>
            </w:r>
            <w:r>
              <w:rPr>
                <w:rFonts w:ascii="Times New Roman" w:hAnsi="Times New Roman" w:eastAsia="宋体" w:cs="Times New Roman"/>
                <w:b/>
                <w:color w:val="000000"/>
                <w:sz w:val="24"/>
                <w:lang w:val="en-US" w:eastAsia="zh-CN"/>
              </w:rPr>
              <w:t>、总平面布置</w:t>
            </w:r>
          </w:p>
          <w:p w14:paraId="034B5F9A">
            <w:pPr>
              <w:spacing w:line="360" w:lineRule="auto"/>
              <w:ind w:firstLine="480"/>
              <w:rPr>
                <w:rFonts w:ascii="Times New Roman" w:hAnsi="Times New Roman" w:eastAsia="宋体" w:cs="Times New Roman"/>
                <w:color w:val="000000"/>
                <w:sz w:val="24"/>
                <w:u w:val="none"/>
                <w:lang w:val="en-US" w:eastAsia="zh-CN"/>
              </w:rPr>
            </w:pPr>
            <w:r>
              <w:rPr>
                <w:rFonts w:ascii="Times New Roman" w:hAnsi="Times New Roman" w:eastAsia="宋体" w:cs="Times New Roman"/>
                <w:color w:val="000000"/>
                <w:sz w:val="24"/>
                <w:u w:val="none"/>
                <w:lang w:val="en-US" w:eastAsia="zh-CN"/>
              </w:rPr>
              <w:t>项目区占地</w:t>
            </w:r>
            <w:r>
              <w:rPr>
                <w:rFonts w:hint="eastAsia" w:ascii="Times New Roman" w:hAnsi="Times New Roman" w:eastAsia="宋体" w:cs="Times New Roman"/>
                <w:color w:val="000000"/>
                <w:sz w:val="24"/>
                <w:u w:val="none"/>
                <w:lang w:val="en-US" w:eastAsia="zh-CN"/>
              </w:rPr>
              <w:t>整体</w:t>
            </w:r>
            <w:r>
              <w:rPr>
                <w:rFonts w:ascii="Times New Roman" w:hAnsi="Times New Roman" w:eastAsia="宋体" w:cs="Times New Roman"/>
                <w:color w:val="000000"/>
                <w:sz w:val="24"/>
                <w:u w:val="none"/>
                <w:lang w:val="en-US" w:eastAsia="zh-CN"/>
              </w:rPr>
              <w:t>呈不规则</w:t>
            </w:r>
            <w:r>
              <w:rPr>
                <w:rFonts w:hint="eastAsia" w:ascii="Times New Roman" w:hAnsi="Times New Roman" w:eastAsia="宋体" w:cs="Times New Roman"/>
                <w:color w:val="000000"/>
                <w:sz w:val="24"/>
                <w:u w:val="none"/>
                <w:lang w:val="en-US" w:eastAsia="zh-CN"/>
              </w:rPr>
              <w:t>矩</w:t>
            </w:r>
            <w:r>
              <w:rPr>
                <w:rFonts w:ascii="Times New Roman" w:hAnsi="Times New Roman" w:eastAsia="宋体" w:cs="Times New Roman"/>
                <w:color w:val="000000"/>
                <w:sz w:val="24"/>
                <w:u w:val="none"/>
                <w:lang w:val="en-US" w:eastAsia="zh-CN"/>
              </w:rPr>
              <w:t>形，出入口</w:t>
            </w:r>
            <w:r>
              <w:rPr>
                <w:rFonts w:hint="eastAsia" w:ascii="Times New Roman" w:hAnsi="Times New Roman" w:eastAsia="宋体" w:cs="Times New Roman"/>
                <w:color w:val="000000"/>
                <w:sz w:val="24"/>
                <w:u w:val="none"/>
                <w:lang w:val="en-US" w:eastAsia="zh-CN"/>
              </w:rPr>
              <w:t>位于项目区南侧，厂区出入口处设置过磅处</w:t>
            </w:r>
            <w:r>
              <w:rPr>
                <w:rFonts w:ascii="Times New Roman" w:hAnsi="Times New Roman" w:eastAsia="宋体" w:cs="Times New Roman"/>
                <w:color w:val="000000"/>
                <w:sz w:val="24"/>
                <w:u w:val="none"/>
                <w:lang w:val="en-US" w:eastAsia="zh-CN"/>
              </w:rPr>
              <w:t>，</w:t>
            </w:r>
            <w:r>
              <w:rPr>
                <w:rFonts w:hint="eastAsia" w:ascii="Times New Roman" w:hAnsi="Times New Roman" w:eastAsia="宋体" w:cs="Times New Roman"/>
                <w:color w:val="000000"/>
                <w:sz w:val="24"/>
                <w:u w:val="none"/>
                <w:lang w:val="en-US" w:eastAsia="zh-CN"/>
              </w:rPr>
              <w:t>进入厂区后设置原料预处理车间，位于整个项目区西南侧；项目区东侧为生产车间，设置一条单板生产线；生产车间北侧，项目区东北角设置锅炉房；项目区南侧中部，生车间左侧，设施成品堆放区；成品堆放区左侧，项目区西南角设置办公区；原料堆放场位于项目区西北角；项目区中部设置1个停车场</w:t>
            </w:r>
            <w:r>
              <w:rPr>
                <w:rFonts w:ascii="Times New Roman" w:hAnsi="Times New Roman" w:eastAsia="宋体" w:cs="Times New Roman"/>
                <w:color w:val="000000"/>
                <w:sz w:val="24"/>
                <w:u w:val="none"/>
                <w:lang w:val="en-US" w:eastAsia="zh-CN"/>
              </w:rPr>
              <w:t>。</w:t>
            </w:r>
          </w:p>
          <w:p w14:paraId="226F65A0">
            <w:pPr>
              <w:spacing w:line="360" w:lineRule="auto"/>
              <w:ind w:firstLine="480"/>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color w:val="000000"/>
                <w:sz w:val="24"/>
                <w:u w:val="none"/>
                <w:lang w:val="en-US" w:eastAsia="zh-CN"/>
              </w:rPr>
              <w:t>生产厂房</w:t>
            </w:r>
            <w:r>
              <w:rPr>
                <w:rFonts w:ascii="Times New Roman" w:hAnsi="Times New Roman" w:eastAsia="宋体" w:cs="Times New Roman"/>
                <w:color w:val="000000"/>
                <w:sz w:val="24"/>
                <w:u w:val="none"/>
              </w:rPr>
              <w:t>根据生产工艺、生产制造顺序进行合理布设，做到分区合理，生产方便。厂房周边</w:t>
            </w:r>
            <w:r>
              <w:rPr>
                <w:rFonts w:hint="eastAsia" w:ascii="Times New Roman" w:hAnsi="Times New Roman" w:eastAsia="宋体" w:cs="Times New Roman"/>
                <w:color w:val="000000"/>
                <w:sz w:val="24"/>
                <w:u w:val="none"/>
                <w:lang w:val="en-US" w:eastAsia="zh-CN"/>
              </w:rPr>
              <w:t>原已</w:t>
            </w:r>
            <w:r>
              <w:rPr>
                <w:rFonts w:ascii="Times New Roman" w:hAnsi="Times New Roman" w:eastAsia="宋体" w:cs="Times New Roman"/>
                <w:color w:val="000000"/>
                <w:sz w:val="24"/>
                <w:u w:val="none"/>
              </w:rPr>
              <w:t>设置绿化带，厂内道路</w:t>
            </w:r>
            <w:r>
              <w:rPr>
                <w:rFonts w:hint="eastAsia" w:ascii="Times New Roman" w:hAnsi="Times New Roman" w:eastAsia="宋体" w:cs="Times New Roman"/>
                <w:color w:val="000000"/>
                <w:sz w:val="24"/>
                <w:u w:val="none"/>
                <w:lang w:val="en-US" w:eastAsia="zh-CN"/>
              </w:rPr>
              <w:t>可</w:t>
            </w:r>
            <w:r>
              <w:rPr>
                <w:rFonts w:ascii="Times New Roman" w:hAnsi="Times New Roman" w:eastAsia="宋体" w:cs="Times New Roman"/>
                <w:color w:val="000000"/>
                <w:sz w:val="24"/>
                <w:u w:val="none"/>
              </w:rPr>
              <w:t>做到厂内运输不交叉，人流、物流互不干扰。其余空地根据项目实际情况在各建筑物四周因地制宜的进行绿化。项目区总体平面布置</w:t>
            </w:r>
            <w:r>
              <w:rPr>
                <w:rFonts w:hint="eastAsia" w:ascii="Times New Roman" w:hAnsi="Times New Roman" w:eastAsia="宋体" w:cs="Times New Roman"/>
                <w:color w:val="000000"/>
                <w:sz w:val="24"/>
                <w:u w:val="none"/>
                <w:lang w:val="en-US" w:eastAsia="zh-CN"/>
              </w:rPr>
              <w:t>总体</w:t>
            </w:r>
            <w:r>
              <w:rPr>
                <w:rFonts w:ascii="Times New Roman" w:hAnsi="Times New Roman" w:eastAsia="宋体" w:cs="Times New Roman"/>
                <w:color w:val="000000"/>
                <w:sz w:val="24"/>
                <w:u w:val="none"/>
              </w:rPr>
              <w:t>合理。</w:t>
            </w:r>
            <w:r>
              <w:rPr>
                <w:rFonts w:ascii="Times New Roman" w:hAnsi="Times New Roman" w:eastAsia="宋体" w:cs="Times New Roman"/>
                <w:b w:val="0"/>
                <w:bCs w:val="0"/>
                <w:color w:val="000000"/>
                <w:sz w:val="24"/>
                <w:szCs w:val="24"/>
                <w:highlight w:val="none"/>
                <w:lang w:val="en-US" w:eastAsia="zh-CN"/>
              </w:rPr>
              <w:t>具体布置详见附图2。</w:t>
            </w:r>
          </w:p>
          <w:bookmarkEnd w:id="3"/>
          <w:p w14:paraId="701FD5EA">
            <w:pPr>
              <w:spacing w:line="360" w:lineRule="auto"/>
              <w:ind w:firstLine="482"/>
              <w:rPr>
                <w:rFonts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lang w:val="en-US" w:eastAsia="zh-CN"/>
              </w:rPr>
              <w:t>9</w:t>
            </w:r>
            <w:r>
              <w:rPr>
                <w:rFonts w:ascii="Times New Roman" w:hAnsi="Times New Roman" w:eastAsia="宋体" w:cs="Times New Roman"/>
                <w:b/>
                <w:bCs/>
                <w:color w:val="000000"/>
                <w:sz w:val="24"/>
                <w:szCs w:val="24"/>
                <w:lang w:val="en-US" w:eastAsia="zh-CN"/>
              </w:rPr>
              <w:t>、</w:t>
            </w:r>
            <w:r>
              <w:rPr>
                <w:rFonts w:ascii="Times New Roman" w:hAnsi="Times New Roman" w:eastAsia="宋体" w:cs="Times New Roman"/>
                <w:b/>
                <w:bCs/>
                <w:color w:val="000000"/>
                <w:sz w:val="24"/>
                <w:szCs w:val="24"/>
                <w:highlight w:val="none"/>
                <w:lang w:val="en-US" w:eastAsia="zh-CN"/>
              </w:rPr>
              <w:t>环保投资</w:t>
            </w:r>
          </w:p>
          <w:p w14:paraId="7C0E2437">
            <w:pPr>
              <w:spacing w:line="360" w:lineRule="auto"/>
              <w:ind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项目总投资</w:t>
            </w:r>
            <w:r>
              <w:rPr>
                <w:rFonts w:hint="eastAsia" w:ascii="Times New Roman" w:hAnsi="Times New Roman" w:eastAsia="宋体" w:cs="Times New Roman"/>
                <w:color w:val="000000"/>
                <w:sz w:val="24"/>
                <w:szCs w:val="24"/>
                <w:highlight w:val="none"/>
                <w:lang w:val="en-US" w:eastAsia="zh-CN"/>
              </w:rPr>
              <w:t>30</w:t>
            </w:r>
            <w:r>
              <w:rPr>
                <w:rFonts w:ascii="Times New Roman" w:hAnsi="Times New Roman" w:eastAsia="宋体" w:cs="Times New Roman"/>
                <w:color w:val="000000"/>
                <w:sz w:val="24"/>
                <w:szCs w:val="24"/>
                <w:highlight w:val="none"/>
                <w:lang w:val="en-US" w:eastAsia="zh-CN"/>
              </w:rPr>
              <w:t>0万元，其中环保总投资为</w:t>
            </w:r>
            <w:r>
              <w:rPr>
                <w:rFonts w:hint="eastAsia" w:ascii="Times New Roman" w:hAnsi="Times New Roman" w:eastAsia="宋体" w:cs="Times New Roman"/>
                <w:color w:val="000000"/>
                <w:sz w:val="24"/>
                <w:szCs w:val="24"/>
                <w:highlight w:val="none"/>
                <w:lang w:val="en-US" w:eastAsia="zh-CN"/>
              </w:rPr>
              <w:t>27.5</w:t>
            </w:r>
            <w:r>
              <w:rPr>
                <w:rFonts w:ascii="Times New Roman" w:hAnsi="Times New Roman" w:eastAsia="宋体" w:cs="Times New Roman"/>
                <w:color w:val="000000"/>
                <w:sz w:val="24"/>
                <w:szCs w:val="24"/>
                <w:highlight w:val="none"/>
                <w:lang w:val="en-US" w:eastAsia="zh-CN"/>
              </w:rPr>
              <w:t>万元，占项目总投资的</w:t>
            </w:r>
            <w:r>
              <w:rPr>
                <w:rFonts w:hint="eastAsia" w:ascii="Times New Roman" w:hAnsi="Times New Roman" w:eastAsia="宋体" w:cs="Times New Roman"/>
                <w:color w:val="000000"/>
                <w:sz w:val="24"/>
                <w:szCs w:val="24"/>
                <w:highlight w:val="none"/>
                <w:lang w:val="en-US" w:eastAsia="zh-CN"/>
              </w:rPr>
              <w:t>9.17</w:t>
            </w:r>
            <w:r>
              <w:rPr>
                <w:rFonts w:ascii="Times New Roman" w:hAnsi="Times New Roman" w:eastAsia="宋体" w:cs="Times New Roman"/>
                <w:color w:val="000000"/>
                <w:sz w:val="24"/>
                <w:szCs w:val="24"/>
                <w:highlight w:val="none"/>
                <w:lang w:val="en-US" w:eastAsia="zh-CN"/>
              </w:rPr>
              <w:t>%。环保投资一览表见下表。</w:t>
            </w:r>
          </w:p>
          <w:p w14:paraId="320B62C7">
            <w:pPr>
              <w:keepNext w:val="0"/>
              <w:keepLines w:val="0"/>
              <w:pageBreakBefore w:val="0"/>
              <w:widowControl w:val="0"/>
              <w:spacing w:line="240" w:lineRule="auto"/>
              <w:ind w:firstLine="0"/>
              <w:jc w:val="center"/>
              <w:outlineLvl w:val="9"/>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表2-</w:t>
            </w:r>
            <w:r>
              <w:rPr>
                <w:rFonts w:hint="eastAsia" w:ascii="Times New Roman" w:hAnsi="Times New Roman" w:eastAsia="宋体" w:cs="Times New Roman"/>
                <w:b/>
                <w:bCs/>
                <w:color w:val="000000"/>
                <w:sz w:val="24"/>
                <w:szCs w:val="24"/>
                <w:highlight w:val="none"/>
                <w:lang w:val="en-US" w:eastAsia="zh-CN"/>
              </w:rPr>
              <w:t>11</w:t>
            </w:r>
            <w:r>
              <w:rPr>
                <w:rFonts w:ascii="Times New Roman" w:hAnsi="Times New Roman" w:eastAsia="宋体" w:cs="Times New Roman"/>
                <w:b/>
                <w:bCs/>
                <w:color w:val="000000"/>
                <w:sz w:val="24"/>
                <w:szCs w:val="24"/>
                <w:highlight w:val="none"/>
                <w:lang w:val="en-US" w:eastAsia="zh-CN"/>
              </w:rPr>
              <w:t xml:space="preserve">  项目环保投资估算表</w:t>
            </w:r>
          </w:p>
          <w:tbl>
            <w:tblPr>
              <w:tblStyle w:val="217"/>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8"/>
              <w:gridCol w:w="1426"/>
              <w:gridCol w:w="5037"/>
              <w:gridCol w:w="1208"/>
            </w:tblGrid>
            <w:tr w14:paraId="770DC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6" w:type="dxa"/>
                  <w:noWrap w:val="0"/>
                  <w:vAlign w:val="center"/>
                </w:tcPr>
                <w:p w14:paraId="460A64C9">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b/>
                      <w:color w:val="000000"/>
                      <w:szCs w:val="21"/>
                      <w:highlight w:val="none"/>
                    </w:rPr>
                    <w:t>治理对象</w:t>
                  </w:r>
                </w:p>
              </w:tc>
              <w:tc>
                <w:tcPr>
                  <w:tcW w:w="811" w:type="dxa"/>
                  <w:noWrap w:val="0"/>
                  <w:vAlign w:val="center"/>
                </w:tcPr>
                <w:p w14:paraId="0211706B">
                  <w:pPr>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b/>
                      <w:color w:val="000000"/>
                      <w:szCs w:val="21"/>
                      <w:highlight w:val="none"/>
                      <w:lang w:val="en-US" w:eastAsia="zh-CN"/>
                    </w:rPr>
                    <w:t>污染源</w:t>
                  </w:r>
                </w:p>
              </w:tc>
              <w:tc>
                <w:tcPr>
                  <w:tcW w:w="2865" w:type="dxa"/>
                  <w:noWrap w:val="0"/>
                  <w:vAlign w:val="center"/>
                </w:tcPr>
                <w:p w14:paraId="168B5822">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b/>
                      <w:color w:val="000000"/>
                      <w:szCs w:val="21"/>
                      <w:highlight w:val="none"/>
                    </w:rPr>
                    <w:t>环保设施</w:t>
                  </w:r>
                </w:p>
              </w:tc>
              <w:tc>
                <w:tcPr>
                  <w:tcW w:w="687" w:type="dxa"/>
                  <w:noWrap w:val="0"/>
                  <w:vAlign w:val="center"/>
                </w:tcPr>
                <w:p w14:paraId="366BA553">
                  <w:pPr>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投资额</w:t>
                  </w:r>
                </w:p>
                <w:p w14:paraId="1A87E4ED">
                  <w:pPr>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Cs w:val="21"/>
                      <w:highlight w:val="none"/>
                    </w:rPr>
                    <w:t>（万元）</w:t>
                  </w:r>
                </w:p>
              </w:tc>
            </w:tr>
            <w:tr w14:paraId="07C8E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 w:hRule="atLeast"/>
                <w:jc w:val="center"/>
              </w:trPr>
              <w:tc>
                <w:tcPr>
                  <w:tcW w:w="636" w:type="dxa"/>
                  <w:vMerge w:val="restart"/>
                  <w:noWrap w:val="0"/>
                  <w:vAlign w:val="center"/>
                </w:tcPr>
                <w:p w14:paraId="2D7E6D2D">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5"/>
                      <w:sz w:val="21"/>
                      <w:szCs w:val="21"/>
                      <w:highlight w:val="none"/>
                    </w:rPr>
                    <w:t>废气</w:t>
                  </w:r>
                </w:p>
              </w:tc>
              <w:tc>
                <w:tcPr>
                  <w:tcW w:w="811" w:type="dxa"/>
                  <w:noWrap w:val="0"/>
                  <w:vAlign w:val="center"/>
                </w:tcPr>
                <w:p w14:paraId="3CBAF359">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断料、破片、清边、裁边</w:t>
                  </w:r>
                </w:p>
              </w:tc>
              <w:tc>
                <w:tcPr>
                  <w:tcW w:w="2865" w:type="dxa"/>
                  <w:noWrap w:val="0"/>
                  <w:vAlign w:val="center"/>
                </w:tcPr>
                <w:p w14:paraId="20397722">
                  <w:pPr>
                    <w:keepNext w:val="0"/>
                    <w:keepLines w:val="0"/>
                    <w:pageBreakBefore w:val="0"/>
                    <w:widowControl w:val="0"/>
                    <w:spacing w:line="240" w:lineRule="auto"/>
                    <w:ind w:left="0" w:right="0" w:firstLine="420"/>
                    <w:jc w:val="both"/>
                    <w:outlineLvl w:val="9"/>
                    <w:rPr>
                      <w:rFonts w:ascii="Times New Roman" w:hAnsi="Times New Roman" w:eastAsia="宋体" w:cs="Times New Roman"/>
                      <w:color w:val="000000"/>
                      <w:spacing w:val="-6"/>
                      <w:sz w:val="21"/>
                      <w:szCs w:val="21"/>
                      <w:highlight w:val="none"/>
                      <w:lang w:val="en-US" w:eastAsia="zh-CN"/>
                    </w:rPr>
                  </w:pPr>
                  <w:r>
                    <w:rPr>
                      <w:rFonts w:hint="eastAsia" w:ascii="Times New Roman" w:hAnsi="Times New Roman" w:eastAsia="宋体" w:cs="Times New Roman"/>
                      <w:b w:val="0"/>
                      <w:bCs/>
                      <w:color w:val="000000"/>
                      <w:sz w:val="21"/>
                      <w:szCs w:val="21"/>
                      <w:lang w:val="en-US" w:eastAsia="zh-CN"/>
                    </w:rPr>
                    <w:t>在</w:t>
                  </w:r>
                  <w:r>
                    <w:rPr>
                      <w:rFonts w:hint="eastAsia" w:ascii="Times New Roman" w:hAnsi="Times New Roman" w:eastAsia="宋体" w:cs="Times New Roman"/>
                      <w:color w:val="000000"/>
                      <w:sz w:val="21"/>
                      <w:szCs w:val="21"/>
                      <w:highlight w:val="none"/>
                      <w:lang w:val="en-US" w:eastAsia="zh-CN" w:bidi="ar-SA"/>
                    </w:rPr>
                    <w:t>断料、</w:t>
                  </w:r>
                  <w:r>
                    <w:rPr>
                      <w:rFonts w:hint="eastAsia" w:ascii="Times New Roman" w:hAnsi="Times New Roman" w:eastAsia="宋体" w:cs="Times New Roman"/>
                      <w:b w:val="0"/>
                      <w:bCs/>
                      <w:color w:val="000000"/>
                      <w:sz w:val="21"/>
                      <w:szCs w:val="21"/>
                      <w:lang w:val="en-US" w:eastAsia="zh-CN"/>
                    </w:rPr>
                    <w:t>破片、清边、裁边工段分别设置集气罩</w:t>
                  </w:r>
                  <w:r>
                    <w:rPr>
                      <w:rFonts w:hint="eastAsia" w:ascii="Times New Roman" w:hAnsi="Times New Roman" w:eastAsia="宋体" w:cs="Times New Roman"/>
                      <w:b w:val="0"/>
                      <w:bCs w:val="0"/>
                      <w:color w:val="000000"/>
                      <w:sz w:val="21"/>
                      <w:szCs w:val="21"/>
                      <w:highlight w:val="none"/>
                      <w:lang w:val="en-US" w:eastAsia="zh-CN"/>
                    </w:rPr>
                    <w:t>（集气罩尺寸大于工段尺寸，罩口距离废气源高度约0.4m），各废气源分别收集后统一汇集到一套布袋除尘器（处理效率90%）处理，处理后通过一根15m高排气筒（DA001）排放。</w:t>
                  </w:r>
                </w:p>
              </w:tc>
              <w:tc>
                <w:tcPr>
                  <w:tcW w:w="687" w:type="dxa"/>
                  <w:noWrap w:val="0"/>
                  <w:vAlign w:val="center"/>
                </w:tcPr>
                <w:p w14:paraId="4C373C07">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7</w:t>
                  </w:r>
                </w:p>
              </w:tc>
            </w:tr>
            <w:tr w14:paraId="083C0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 w:hRule="atLeast"/>
                <w:jc w:val="center"/>
              </w:trPr>
              <w:tc>
                <w:tcPr>
                  <w:tcW w:w="636" w:type="dxa"/>
                  <w:vMerge w:val="continue"/>
                  <w:noWrap w:val="0"/>
                  <w:vAlign w:val="center"/>
                </w:tcPr>
                <w:p w14:paraId="4EB09626">
                  <w:pPr>
                    <w:keepNext w:val="0"/>
                    <w:keepLines w:val="0"/>
                    <w:pageBreakBefore w:val="0"/>
                    <w:widowControl w:val="0"/>
                    <w:spacing w:line="240" w:lineRule="auto"/>
                    <w:ind w:left="0" w:right="0" w:firstLine="0"/>
                    <w:jc w:val="center"/>
                    <w:outlineLvl w:val="9"/>
                    <w:rPr>
                      <w:color w:val="000000"/>
                    </w:rPr>
                  </w:pPr>
                </w:p>
              </w:tc>
              <w:tc>
                <w:tcPr>
                  <w:tcW w:w="811" w:type="dxa"/>
                  <w:noWrap w:val="0"/>
                  <w:vAlign w:val="center"/>
                </w:tcPr>
                <w:p w14:paraId="7778D1D2">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烘干、涂胶</w:t>
                  </w:r>
                </w:p>
              </w:tc>
              <w:tc>
                <w:tcPr>
                  <w:tcW w:w="2865" w:type="dxa"/>
                  <w:noWrap w:val="0"/>
                  <w:vAlign w:val="center"/>
                </w:tcPr>
                <w:p w14:paraId="422A1D26">
                  <w:pPr>
                    <w:pStyle w:val="207"/>
                    <w:keepNext w:val="0"/>
                    <w:keepLines w:val="0"/>
                    <w:pageBreakBefore w:val="0"/>
                    <w:widowControl w:val="0"/>
                    <w:spacing w:line="240" w:lineRule="auto"/>
                    <w:ind w:right="0" w:firstLine="420"/>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b w:val="0"/>
                      <w:bCs w:val="0"/>
                      <w:sz w:val="21"/>
                      <w:szCs w:val="21"/>
                      <w:lang w:val="en-US" w:eastAsia="zh-CN"/>
                    </w:rPr>
                    <w:t>项目烘干房为全密闭式，设置集气管直接连接烘干房，并在涂胶工段分别设置集气罩（集气罩尺寸大于工段尺寸，罩口距离废气源高度约0.4m），木料烘干、涂胶过程产生的废气分别收集后统一汇集到一套活性炭吸附装置</w:t>
                  </w:r>
                  <w:r>
                    <w:rPr>
                      <w:rFonts w:hint="eastAsia" w:ascii="Times New Roman" w:hAnsi="Times New Roman" w:eastAsia="宋体" w:cs="Times New Roman"/>
                      <w:b w:val="0"/>
                      <w:bCs w:val="0"/>
                      <w:sz w:val="21"/>
                      <w:szCs w:val="21"/>
                      <w:lang w:val="en-US" w:eastAsia="zh-CN"/>
                    </w:rPr>
                    <w:t>（</w:t>
                  </w:r>
                  <w:r>
                    <w:rPr>
                      <w:rFonts w:hint="eastAsia" w:ascii="Times New Roman" w:hAnsi="Times New Roman" w:eastAsia="宋体" w:cs="Times New Roman"/>
                      <w:b w:val="0"/>
                      <w:bCs w:val="0"/>
                      <w:color w:val="000000"/>
                      <w:sz w:val="21"/>
                      <w:szCs w:val="21"/>
                      <w:highlight w:val="none"/>
                      <w:lang w:val="en-US" w:eastAsia="zh-CN"/>
                    </w:rPr>
                    <w:t>处理效率70%</w:t>
                  </w:r>
                  <w:r>
                    <w:rPr>
                      <w:rFonts w:hint="eastAsia" w:ascii="Times New Roman" w:hAnsi="Times New Roman" w:eastAsia="宋体" w:cs="Times New Roman"/>
                      <w:b w:val="0"/>
                      <w:bCs w:val="0"/>
                      <w:sz w:val="21"/>
                      <w:szCs w:val="21"/>
                      <w:lang w:val="en-US" w:eastAsia="zh-CN"/>
                    </w:rPr>
                    <w:t>）</w:t>
                  </w:r>
                  <w:r>
                    <w:rPr>
                      <w:rFonts w:ascii="Times New Roman" w:hAnsi="Times New Roman" w:eastAsia="宋体" w:cs="Times New Roman"/>
                      <w:b w:val="0"/>
                      <w:bCs w:val="0"/>
                      <w:sz w:val="21"/>
                      <w:szCs w:val="21"/>
                      <w:lang w:val="en-US" w:eastAsia="zh-CN"/>
                    </w:rPr>
                    <w:t>处理</w:t>
                  </w:r>
                  <w:r>
                    <w:rPr>
                      <w:rFonts w:hint="eastAsia" w:ascii="Times New Roman" w:hAnsi="Times New Roman" w:eastAsia="宋体" w:cs="Times New Roman"/>
                      <w:b w:val="0"/>
                      <w:bCs w:val="0"/>
                      <w:sz w:val="21"/>
                      <w:szCs w:val="21"/>
                      <w:lang w:val="en-US" w:eastAsia="zh-CN"/>
                    </w:rPr>
                    <w:t>，处理</w:t>
                  </w:r>
                  <w:r>
                    <w:rPr>
                      <w:rFonts w:ascii="Times New Roman" w:hAnsi="Times New Roman" w:eastAsia="宋体" w:cs="Times New Roman"/>
                      <w:b w:val="0"/>
                      <w:bCs w:val="0"/>
                      <w:sz w:val="21"/>
                      <w:szCs w:val="21"/>
                      <w:lang w:val="en-US" w:eastAsia="zh-CN"/>
                    </w:rPr>
                    <w:t>后通过一根15m高的排气筒（DA002）排放</w:t>
                  </w:r>
                  <w:r>
                    <w:rPr>
                      <w:rFonts w:hint="eastAsia" w:ascii="Times New Roman" w:hAnsi="Times New Roman" w:eastAsia="宋体" w:cs="Times New Roman"/>
                      <w:b w:val="0"/>
                      <w:bCs/>
                      <w:color w:val="000000"/>
                      <w:sz w:val="21"/>
                      <w:szCs w:val="21"/>
                      <w:lang w:val="en-US" w:eastAsia="zh-CN"/>
                    </w:rPr>
                    <w:t>。</w:t>
                  </w:r>
                </w:p>
              </w:tc>
              <w:tc>
                <w:tcPr>
                  <w:tcW w:w="687" w:type="dxa"/>
                  <w:noWrap w:val="0"/>
                  <w:vAlign w:val="center"/>
                </w:tcPr>
                <w:p w14:paraId="145A2FF7">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7</w:t>
                  </w:r>
                </w:p>
              </w:tc>
            </w:tr>
            <w:tr w14:paraId="053B3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 w:hRule="atLeast"/>
                <w:jc w:val="center"/>
              </w:trPr>
              <w:tc>
                <w:tcPr>
                  <w:tcW w:w="636" w:type="dxa"/>
                  <w:vMerge w:val="continue"/>
                  <w:noWrap w:val="0"/>
                  <w:vAlign w:val="center"/>
                </w:tcPr>
                <w:p w14:paraId="4DF2EFA1">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p>
              </w:tc>
              <w:tc>
                <w:tcPr>
                  <w:tcW w:w="811" w:type="dxa"/>
                  <w:noWrap w:val="0"/>
                  <w:vAlign w:val="center"/>
                </w:tcPr>
                <w:p w14:paraId="7D5D1098">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锅炉</w:t>
                  </w:r>
                </w:p>
              </w:tc>
              <w:tc>
                <w:tcPr>
                  <w:tcW w:w="2865" w:type="dxa"/>
                  <w:noWrap w:val="0"/>
                  <w:vAlign w:val="center"/>
                </w:tcPr>
                <w:p w14:paraId="691FBFA9">
                  <w:pPr>
                    <w:keepNext w:val="0"/>
                    <w:keepLines w:val="0"/>
                    <w:pageBreakBefore w:val="0"/>
                    <w:widowControl w:val="0"/>
                    <w:spacing w:line="240" w:lineRule="auto"/>
                    <w:ind w:left="0" w:right="0" w:firstLine="420"/>
                    <w:jc w:val="both"/>
                    <w:outlineLvl w:val="9"/>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b w:val="0"/>
                      <w:bCs/>
                      <w:color w:val="000000"/>
                      <w:sz w:val="21"/>
                      <w:szCs w:val="21"/>
                      <w:lang w:val="en-US" w:eastAsia="zh-CN"/>
                    </w:rPr>
                    <w:t>锅炉生物质燃烧烟气通过一套布袋</w:t>
                  </w:r>
                  <w:r>
                    <w:rPr>
                      <w:rFonts w:ascii="Times New Roman" w:hAnsi="Times New Roman" w:eastAsia="宋体" w:cs="Times New Roman"/>
                      <w:b w:val="0"/>
                      <w:bCs/>
                      <w:color w:val="000000"/>
                      <w:sz w:val="21"/>
                      <w:szCs w:val="21"/>
                      <w:lang w:val="en-US" w:eastAsia="zh-CN"/>
                    </w:rPr>
                    <w:t>除尘器</w:t>
                  </w:r>
                  <w:r>
                    <w:rPr>
                      <w:rFonts w:hint="eastAsia" w:ascii="Times New Roman" w:hAnsi="Times New Roman" w:eastAsia="宋体" w:cs="Times New Roman"/>
                      <w:b w:val="0"/>
                      <w:bCs/>
                      <w:color w:val="000000"/>
                      <w:sz w:val="21"/>
                      <w:szCs w:val="21"/>
                      <w:lang w:val="en-US" w:eastAsia="zh-CN"/>
                    </w:rPr>
                    <w:t>（处理效率90%）</w:t>
                  </w:r>
                  <w:r>
                    <w:rPr>
                      <w:rFonts w:ascii="Times New Roman" w:hAnsi="Times New Roman" w:eastAsia="宋体" w:cs="Times New Roman"/>
                      <w:b w:val="0"/>
                      <w:bCs/>
                      <w:color w:val="000000"/>
                      <w:sz w:val="21"/>
                      <w:szCs w:val="21"/>
                    </w:rPr>
                    <w:t>对</w:t>
                  </w:r>
                  <w:r>
                    <w:rPr>
                      <w:rFonts w:ascii="Times New Roman" w:hAnsi="Times New Roman" w:eastAsia="宋体" w:cs="Times New Roman"/>
                      <w:b w:val="0"/>
                      <w:bCs/>
                      <w:color w:val="000000"/>
                      <w:sz w:val="21"/>
                      <w:szCs w:val="21"/>
                      <w:lang w:val="en-US" w:eastAsia="zh-CN"/>
                    </w:rPr>
                    <w:t>锅炉烟气</w:t>
                  </w:r>
                  <w:r>
                    <w:rPr>
                      <w:rFonts w:ascii="Times New Roman" w:hAnsi="Times New Roman" w:eastAsia="宋体" w:cs="Times New Roman"/>
                      <w:b w:val="0"/>
                      <w:bCs/>
                      <w:color w:val="000000"/>
                      <w:sz w:val="21"/>
                      <w:szCs w:val="21"/>
                    </w:rPr>
                    <w:t>进</w:t>
                  </w:r>
                  <w:r>
                    <w:rPr>
                      <w:rFonts w:ascii="Times New Roman" w:hAnsi="Times New Roman" w:eastAsia="宋体" w:cs="Times New Roman"/>
                      <w:b w:val="0"/>
                      <w:bCs/>
                      <w:color w:val="000000"/>
                      <w:sz w:val="21"/>
                      <w:szCs w:val="21"/>
                      <w:lang w:val="en-US" w:eastAsia="zh-CN"/>
                    </w:rPr>
                    <w:t>行</w:t>
                  </w:r>
                  <w:r>
                    <w:rPr>
                      <w:rFonts w:ascii="Times New Roman" w:hAnsi="Times New Roman" w:eastAsia="宋体" w:cs="Times New Roman"/>
                      <w:b w:val="0"/>
                      <w:bCs/>
                      <w:color w:val="000000"/>
                      <w:sz w:val="21"/>
                      <w:szCs w:val="21"/>
                    </w:rPr>
                    <w:t>处理，</w:t>
                  </w:r>
                  <w:r>
                    <w:rPr>
                      <w:rFonts w:hint="eastAsia" w:ascii="Times New Roman" w:hAnsi="Times New Roman" w:eastAsia="宋体" w:cs="Times New Roman"/>
                      <w:b w:val="0"/>
                      <w:bCs/>
                      <w:color w:val="000000"/>
                      <w:sz w:val="21"/>
                      <w:szCs w:val="21"/>
                      <w:lang w:val="en-US" w:eastAsia="zh-CN"/>
                    </w:rPr>
                    <w:t>处理后通过</w:t>
                  </w:r>
                  <w:r>
                    <w:rPr>
                      <w:rFonts w:ascii="Times New Roman" w:hAnsi="Times New Roman" w:eastAsia="宋体" w:cs="Times New Roman"/>
                      <w:b w:val="0"/>
                      <w:bCs/>
                      <w:color w:val="000000"/>
                      <w:sz w:val="21"/>
                      <w:szCs w:val="21"/>
                    </w:rPr>
                    <w:t>一根</w:t>
                  </w:r>
                  <w:r>
                    <w:rPr>
                      <w:rFonts w:hint="eastAsia" w:ascii="Times New Roman" w:hAnsi="Times New Roman" w:eastAsia="宋体" w:cs="Times New Roman"/>
                      <w:b w:val="0"/>
                      <w:bCs/>
                      <w:color w:val="000000"/>
                      <w:sz w:val="21"/>
                      <w:szCs w:val="21"/>
                      <w:lang w:val="en-US" w:eastAsia="zh-CN"/>
                    </w:rPr>
                    <w:t>30</w:t>
                  </w:r>
                  <w:r>
                    <w:rPr>
                      <w:rFonts w:ascii="Times New Roman" w:hAnsi="Times New Roman" w:eastAsia="宋体" w:cs="Times New Roman"/>
                      <w:b w:val="0"/>
                      <w:bCs/>
                      <w:color w:val="000000"/>
                      <w:sz w:val="21"/>
                      <w:szCs w:val="21"/>
                    </w:rPr>
                    <w:t>m</w:t>
                  </w:r>
                  <w:r>
                    <w:rPr>
                      <w:rFonts w:hint="eastAsia" w:ascii="Times New Roman" w:hAnsi="Times New Roman" w:eastAsia="宋体" w:cs="Times New Roman"/>
                      <w:b w:val="0"/>
                      <w:bCs/>
                      <w:color w:val="000000"/>
                      <w:sz w:val="21"/>
                      <w:szCs w:val="21"/>
                      <w:lang w:val="en-US" w:eastAsia="zh-CN"/>
                    </w:rPr>
                    <w:t>高</w:t>
                  </w:r>
                  <w:r>
                    <w:rPr>
                      <w:rFonts w:ascii="Times New Roman" w:hAnsi="Times New Roman" w:eastAsia="宋体" w:cs="Times New Roman"/>
                      <w:b w:val="0"/>
                      <w:bCs/>
                      <w:color w:val="000000"/>
                      <w:sz w:val="21"/>
                      <w:szCs w:val="21"/>
                    </w:rPr>
                    <w:t>的</w:t>
                  </w:r>
                  <w:r>
                    <w:rPr>
                      <w:rFonts w:ascii="Times New Roman" w:hAnsi="Times New Roman" w:eastAsia="宋体" w:cs="Times New Roman"/>
                      <w:b w:val="0"/>
                      <w:bCs/>
                      <w:color w:val="000000"/>
                      <w:sz w:val="21"/>
                      <w:szCs w:val="21"/>
                      <w:lang w:val="en-US" w:eastAsia="zh-CN"/>
                    </w:rPr>
                    <w:t>排气筒</w:t>
                  </w:r>
                  <w:r>
                    <w:rPr>
                      <w:rFonts w:ascii="Times New Roman" w:hAnsi="Times New Roman" w:eastAsia="宋体" w:cs="Times New Roman"/>
                      <w:b w:val="0"/>
                      <w:bCs/>
                      <w:color w:val="000000"/>
                      <w:sz w:val="21"/>
                      <w:szCs w:val="21"/>
                      <w:lang w:eastAsia="zh-CN"/>
                    </w:rPr>
                    <w:t>（</w:t>
                  </w:r>
                  <w:r>
                    <w:rPr>
                      <w:rFonts w:ascii="Times New Roman" w:hAnsi="Times New Roman" w:eastAsia="宋体" w:cs="Times New Roman"/>
                      <w:b w:val="0"/>
                      <w:bCs/>
                      <w:color w:val="000000"/>
                      <w:sz w:val="21"/>
                      <w:szCs w:val="21"/>
                      <w:lang w:val="en-US" w:eastAsia="zh-CN"/>
                    </w:rPr>
                    <w:t>DA00</w:t>
                  </w:r>
                  <w:r>
                    <w:rPr>
                      <w:rFonts w:hint="eastAsia" w:ascii="Times New Roman" w:hAnsi="Times New Roman" w:eastAsia="宋体" w:cs="Times New Roman"/>
                      <w:b w:val="0"/>
                      <w:bCs/>
                      <w:color w:val="000000"/>
                      <w:sz w:val="21"/>
                      <w:szCs w:val="21"/>
                      <w:lang w:val="en-US" w:eastAsia="zh-CN"/>
                    </w:rPr>
                    <w:t>3</w:t>
                  </w:r>
                  <w:r>
                    <w:rPr>
                      <w:rFonts w:ascii="Times New Roman" w:hAnsi="Times New Roman" w:eastAsia="宋体" w:cs="Times New Roman"/>
                      <w:b w:val="0"/>
                      <w:bCs/>
                      <w:color w:val="000000"/>
                      <w:sz w:val="21"/>
                      <w:szCs w:val="21"/>
                      <w:lang w:eastAsia="zh-CN"/>
                    </w:rPr>
                    <w:t>）排放</w:t>
                  </w:r>
                  <w:r>
                    <w:rPr>
                      <w:rFonts w:ascii="Times New Roman" w:hAnsi="Times New Roman" w:eastAsia="宋体" w:cs="Times New Roman"/>
                      <w:b w:val="0"/>
                      <w:bCs/>
                      <w:color w:val="000000"/>
                      <w:sz w:val="21"/>
                      <w:szCs w:val="21"/>
                    </w:rPr>
                    <w:t>。</w:t>
                  </w:r>
                </w:p>
              </w:tc>
              <w:tc>
                <w:tcPr>
                  <w:tcW w:w="687" w:type="dxa"/>
                  <w:noWrap w:val="0"/>
                  <w:vAlign w:val="center"/>
                </w:tcPr>
                <w:p w14:paraId="73E72778">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8</w:t>
                  </w:r>
                </w:p>
              </w:tc>
            </w:tr>
            <w:tr w14:paraId="2D08F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6" w:type="dxa"/>
                  <w:vMerge w:val="restart"/>
                  <w:noWrap w:val="0"/>
                  <w:vAlign w:val="center"/>
                </w:tcPr>
                <w:p w14:paraId="090795AB">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5"/>
                      <w:sz w:val="21"/>
                      <w:szCs w:val="21"/>
                      <w:highlight w:val="none"/>
                    </w:rPr>
                    <w:t>废水</w:t>
                  </w:r>
                </w:p>
              </w:tc>
              <w:tc>
                <w:tcPr>
                  <w:tcW w:w="811" w:type="dxa"/>
                  <w:noWrap w:val="0"/>
                  <w:vAlign w:val="center"/>
                </w:tcPr>
                <w:p w14:paraId="4002DD47">
                  <w:pPr>
                    <w:jc w:val="center"/>
                    <w:rPr>
                      <w:rFonts w:ascii="Times New Roman" w:hAnsi="Times New Roman" w:eastAsia="宋体" w:cs="Times New Roman"/>
                      <w:color w:val="000000"/>
                      <w:sz w:val="21"/>
                      <w:szCs w:val="24"/>
                      <w:highlight w:val="none"/>
                      <w:lang w:val="en-US" w:eastAsia="zh-CN" w:bidi="ar-SA"/>
                    </w:rPr>
                  </w:pPr>
                  <w:r>
                    <w:rPr>
                      <w:rFonts w:ascii="Times New Roman" w:hAnsi="Times New Roman" w:eastAsia="宋体" w:cs="Times New Roman"/>
                      <w:color w:val="000000"/>
                      <w:highlight w:val="none"/>
                      <w:lang w:val="en-US" w:eastAsia="zh-CN"/>
                    </w:rPr>
                    <w:t>雨水</w:t>
                  </w:r>
                </w:p>
              </w:tc>
              <w:tc>
                <w:tcPr>
                  <w:tcW w:w="2865" w:type="dxa"/>
                  <w:noWrap w:val="0"/>
                  <w:vAlign w:val="center"/>
                </w:tcPr>
                <w:p w14:paraId="17A091AA">
                  <w:pPr>
                    <w:ind w:right="50" w:firstLine="420"/>
                    <w:jc w:val="both"/>
                    <w:rPr>
                      <w:rFonts w:hint="eastAsia"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bCs/>
                      <w:color w:val="000000"/>
                      <w:sz w:val="21"/>
                      <w:szCs w:val="21"/>
                      <w:highlight w:val="none"/>
                    </w:rPr>
                    <w:t>雨污分流</w:t>
                  </w:r>
                  <w:r>
                    <w:rPr>
                      <w:rFonts w:ascii="Times New Roman" w:hAnsi="Times New Roman" w:eastAsia="宋体" w:cs="Times New Roman"/>
                      <w:bCs/>
                      <w:color w:val="000000"/>
                      <w:sz w:val="21"/>
                      <w:szCs w:val="21"/>
                      <w:highlight w:val="none"/>
                      <w:lang w:eastAsia="zh-CN"/>
                    </w:rPr>
                    <w:t>，</w:t>
                  </w:r>
                  <w:r>
                    <w:rPr>
                      <w:rFonts w:ascii="Times New Roman" w:hAnsi="Times New Roman" w:eastAsia="宋体" w:cs="Times New Roman"/>
                      <w:color w:val="000000"/>
                      <w:sz w:val="21"/>
                      <w:szCs w:val="21"/>
                      <w:highlight w:val="none"/>
                    </w:rPr>
                    <w:t>设置</w:t>
                  </w:r>
                  <w:r>
                    <w:rPr>
                      <w:rFonts w:hint="eastAsia" w:ascii="Times New Roman" w:hAnsi="Times New Roman" w:eastAsia="宋体" w:cs="Times New Roman"/>
                      <w:color w:val="000000"/>
                      <w:sz w:val="21"/>
                      <w:szCs w:val="21"/>
                      <w:highlight w:val="none"/>
                      <w:lang w:val="en-US" w:eastAsia="zh-CN"/>
                    </w:rPr>
                    <w:t>排</w:t>
                  </w:r>
                  <w:r>
                    <w:rPr>
                      <w:rFonts w:ascii="Times New Roman" w:hAnsi="Times New Roman" w:eastAsia="宋体" w:cs="Times New Roman"/>
                      <w:color w:val="000000"/>
                      <w:sz w:val="21"/>
                      <w:szCs w:val="21"/>
                      <w:highlight w:val="none"/>
                    </w:rPr>
                    <w:t>水沟</w:t>
                  </w:r>
                  <w:r>
                    <w:rPr>
                      <w:rFonts w:ascii="Times New Roman" w:hAnsi="Times New Roman" w:eastAsia="宋体" w:cs="Times New Roman"/>
                      <w:color w:val="000000"/>
                      <w:sz w:val="21"/>
                      <w:szCs w:val="21"/>
                      <w:highlight w:val="none"/>
                      <w:lang w:eastAsia="zh-CN"/>
                    </w:rPr>
                    <w:t>、</w:t>
                  </w:r>
                  <w:r>
                    <w:rPr>
                      <w:rFonts w:ascii="Times New Roman" w:hAnsi="Times New Roman" w:eastAsia="宋体" w:cs="Times New Roman"/>
                      <w:b w:val="0"/>
                      <w:bCs w:val="0"/>
                      <w:color w:val="000000"/>
                      <w:sz w:val="21"/>
                      <w:szCs w:val="21"/>
                      <w:highlight w:val="none"/>
                      <w:lang w:val="en-US" w:eastAsia="zh-CN"/>
                    </w:rPr>
                    <w:t>1个</w:t>
                  </w:r>
                  <w:r>
                    <w:rPr>
                      <w:rFonts w:hint="eastAsia" w:ascii="Times New Roman" w:hAnsi="Times New Roman" w:eastAsia="宋体" w:cs="Times New Roman"/>
                      <w:b w:val="0"/>
                      <w:bCs w:val="0"/>
                      <w:color w:val="000000"/>
                      <w:sz w:val="21"/>
                      <w:szCs w:val="21"/>
                      <w:highlight w:val="none"/>
                      <w:lang w:val="en-US" w:eastAsia="zh-CN"/>
                    </w:rPr>
                    <w:t>初期雨水收集池</w:t>
                  </w:r>
                  <w:r>
                    <w:rPr>
                      <w:rFonts w:ascii="Times New Roman" w:hAnsi="Times New Roman" w:eastAsia="宋体" w:cs="Times New Roman"/>
                      <w:b w:val="0"/>
                      <w:bCs w:val="0"/>
                      <w:color w:val="000000"/>
                      <w:sz w:val="21"/>
                      <w:szCs w:val="21"/>
                      <w:highlight w:val="none"/>
                      <w:lang w:eastAsia="zh-CN"/>
                    </w:rPr>
                    <w:t>（</w:t>
                  </w:r>
                  <w:r>
                    <w:rPr>
                      <w:rFonts w:hint="eastAsia" w:ascii="Times New Roman" w:hAnsi="Times New Roman" w:eastAsia="宋体" w:cs="Times New Roman"/>
                      <w:b w:val="0"/>
                      <w:bCs w:val="0"/>
                      <w:color w:val="000000"/>
                      <w:sz w:val="21"/>
                      <w:szCs w:val="21"/>
                      <w:highlight w:val="none"/>
                      <w:lang w:val="en-US" w:eastAsia="zh-CN"/>
                    </w:rPr>
                    <w:t>50</w:t>
                  </w:r>
                  <w:r>
                    <w:rPr>
                      <w:rFonts w:ascii="Times New Roman" w:hAnsi="Times New Roman" w:eastAsia="宋体" w:cs="Times New Roman"/>
                      <w:b w:val="0"/>
                      <w:bCs w:val="0"/>
                      <w:color w:val="000000"/>
                      <w:sz w:val="21"/>
                      <w:szCs w:val="21"/>
                      <w:highlight w:val="none"/>
                      <w:lang w:val="en-US" w:eastAsia="zh-CN"/>
                    </w:rPr>
                    <w:t>m</w:t>
                  </w:r>
                  <w:r>
                    <w:rPr>
                      <w:rFonts w:ascii="Times New Roman" w:hAnsi="Times New Roman" w:eastAsia="宋体" w:cs="Times New Roman"/>
                      <w:b w:val="0"/>
                      <w:bCs w:val="0"/>
                      <w:color w:val="000000"/>
                      <w:sz w:val="21"/>
                      <w:szCs w:val="21"/>
                      <w:highlight w:val="none"/>
                      <w:vertAlign w:val="superscript"/>
                      <w:lang w:val="en-US" w:eastAsia="zh-CN"/>
                    </w:rPr>
                    <w:t>3</w:t>
                  </w:r>
                  <w:r>
                    <w:rPr>
                      <w:rFonts w:ascii="Times New Roman" w:hAnsi="Times New Roman" w:eastAsia="宋体" w:cs="Times New Roman"/>
                      <w:b w:val="0"/>
                      <w:bCs w:val="0"/>
                      <w:color w:val="000000"/>
                      <w:sz w:val="21"/>
                      <w:szCs w:val="21"/>
                      <w:highlight w:val="none"/>
                      <w:lang w:eastAsia="zh-CN"/>
                    </w:rPr>
                    <w:t>）</w:t>
                  </w:r>
                  <w:r>
                    <w:rPr>
                      <w:rFonts w:hint="eastAsia" w:ascii="Times New Roman" w:hAnsi="Times New Roman" w:eastAsia="宋体" w:cs="Times New Roman"/>
                      <w:bCs/>
                      <w:color w:val="000000"/>
                      <w:sz w:val="21"/>
                      <w:szCs w:val="21"/>
                      <w:highlight w:val="none"/>
                      <w:lang w:val="en-US" w:eastAsia="zh-CN"/>
                    </w:rPr>
                    <w:t>。</w:t>
                  </w:r>
                </w:p>
              </w:tc>
              <w:tc>
                <w:tcPr>
                  <w:tcW w:w="687" w:type="dxa"/>
                  <w:noWrap w:val="0"/>
                  <w:vAlign w:val="center"/>
                </w:tcPr>
                <w:p w14:paraId="63666E45">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1.8</w:t>
                  </w:r>
                </w:p>
              </w:tc>
            </w:tr>
            <w:tr w14:paraId="0F71B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6" w:type="dxa"/>
                  <w:vMerge w:val="continue"/>
                  <w:noWrap w:val="0"/>
                  <w:vAlign w:val="center"/>
                </w:tcPr>
                <w:p w14:paraId="493D740A">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p>
              </w:tc>
              <w:tc>
                <w:tcPr>
                  <w:tcW w:w="811" w:type="dxa"/>
                  <w:noWrap w:val="0"/>
                  <w:vAlign w:val="center"/>
                </w:tcPr>
                <w:p w14:paraId="643B6F46">
                  <w:pPr>
                    <w:jc w:val="center"/>
                    <w:rPr>
                      <w:rFonts w:ascii="Times New Roman" w:hAnsi="Times New Roman" w:eastAsia="宋体" w:cs="Times New Roman"/>
                      <w:color w:val="000000"/>
                      <w:sz w:val="21"/>
                      <w:szCs w:val="24"/>
                      <w:highlight w:val="none"/>
                      <w:lang w:val="en-US" w:eastAsia="zh-CN" w:bidi="ar-SA"/>
                    </w:rPr>
                  </w:pPr>
                  <w:r>
                    <w:rPr>
                      <w:rFonts w:ascii="Times New Roman" w:hAnsi="Times New Roman" w:eastAsia="宋体" w:cs="Times New Roman"/>
                      <w:color w:val="000000"/>
                      <w:highlight w:val="none"/>
                    </w:rPr>
                    <w:t>生活</w:t>
                  </w:r>
                  <w:r>
                    <w:rPr>
                      <w:rFonts w:ascii="Times New Roman" w:hAnsi="Times New Roman" w:eastAsia="宋体" w:cs="Times New Roman"/>
                      <w:bCs/>
                      <w:color w:val="000000"/>
                      <w:szCs w:val="21"/>
                      <w:highlight w:val="none"/>
                    </w:rPr>
                    <w:t>废水</w:t>
                  </w:r>
                </w:p>
              </w:tc>
              <w:tc>
                <w:tcPr>
                  <w:tcW w:w="2865" w:type="dxa"/>
                  <w:noWrap w:val="0"/>
                  <w:vAlign w:val="center"/>
                </w:tcPr>
                <w:p w14:paraId="195B1265">
                  <w:pPr>
                    <w:ind w:right="50" w:firstLine="42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1个化粪池（30m</w:t>
                  </w:r>
                  <w:r>
                    <w:rPr>
                      <w:rFonts w:hint="eastAsia" w:ascii="Times New Roman" w:hAnsi="Times New Roman" w:eastAsia="宋体" w:cs="Times New Roman"/>
                      <w:color w:val="000000"/>
                      <w:sz w:val="21"/>
                      <w:szCs w:val="21"/>
                      <w:highlight w:val="none"/>
                      <w:vertAlign w:val="superscript"/>
                      <w:lang w:val="en-US" w:eastAsia="zh-CN"/>
                    </w:rPr>
                    <w:t>3</w:t>
                  </w:r>
                  <w:r>
                    <w:rPr>
                      <w:rFonts w:hint="eastAsia" w:ascii="Times New Roman" w:hAnsi="Times New Roman" w:eastAsia="宋体" w:cs="Times New Roman"/>
                      <w:color w:val="000000"/>
                      <w:sz w:val="21"/>
                      <w:szCs w:val="21"/>
                      <w:highlight w:val="none"/>
                      <w:lang w:val="en-US" w:eastAsia="zh-CN"/>
                    </w:rPr>
                    <w:t>）</w:t>
                  </w:r>
                </w:p>
              </w:tc>
              <w:tc>
                <w:tcPr>
                  <w:tcW w:w="687" w:type="dxa"/>
                  <w:noWrap w:val="0"/>
                  <w:vAlign w:val="center"/>
                </w:tcPr>
                <w:p w14:paraId="708C420F">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1.2</w:t>
                  </w:r>
                </w:p>
              </w:tc>
            </w:tr>
            <w:tr w14:paraId="3104E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6" w:type="dxa"/>
                  <w:vMerge w:val="restart"/>
                  <w:noWrap w:val="0"/>
                  <w:vAlign w:val="center"/>
                </w:tcPr>
                <w:p w14:paraId="54D5B9D8">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14"/>
                      <w:sz w:val="21"/>
                      <w:szCs w:val="21"/>
                      <w:highlight w:val="none"/>
                    </w:rPr>
                    <w:t>固废</w:t>
                  </w:r>
                </w:p>
              </w:tc>
              <w:tc>
                <w:tcPr>
                  <w:tcW w:w="811" w:type="dxa"/>
                  <w:noWrap w:val="0"/>
                  <w:vAlign w:val="center"/>
                </w:tcPr>
                <w:p w14:paraId="22D17AC4">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3"/>
                      <w:sz w:val="21"/>
                      <w:szCs w:val="21"/>
                      <w:highlight w:val="none"/>
                    </w:rPr>
                    <w:t>生活垃圾</w:t>
                  </w:r>
                </w:p>
              </w:tc>
              <w:tc>
                <w:tcPr>
                  <w:tcW w:w="2865" w:type="dxa"/>
                  <w:noWrap w:val="0"/>
                  <w:vAlign w:val="center"/>
                </w:tcPr>
                <w:p w14:paraId="33592189">
                  <w:pPr>
                    <w:ind w:right="50" w:firstLine="42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若干生活垃圾收集桶</w:t>
                  </w:r>
                </w:p>
              </w:tc>
              <w:tc>
                <w:tcPr>
                  <w:tcW w:w="687" w:type="dxa"/>
                  <w:noWrap w:val="0"/>
                  <w:vAlign w:val="center"/>
                </w:tcPr>
                <w:p w14:paraId="670A11BC">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0.2</w:t>
                  </w:r>
                </w:p>
              </w:tc>
            </w:tr>
            <w:tr w14:paraId="39D29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6" w:type="dxa"/>
                  <w:vMerge w:val="continue"/>
                  <w:noWrap w:val="0"/>
                  <w:vAlign w:val="center"/>
                </w:tcPr>
                <w:p w14:paraId="177E1C6C">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pacing w:val="-14"/>
                      <w:sz w:val="21"/>
                      <w:szCs w:val="21"/>
                      <w:highlight w:val="none"/>
                    </w:rPr>
                  </w:pPr>
                </w:p>
              </w:tc>
              <w:tc>
                <w:tcPr>
                  <w:tcW w:w="811" w:type="dxa"/>
                  <w:noWrap w:val="0"/>
                  <w:vAlign w:val="center"/>
                </w:tcPr>
                <w:p w14:paraId="025E955A">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一般废物</w:t>
                  </w:r>
                </w:p>
              </w:tc>
              <w:tc>
                <w:tcPr>
                  <w:tcW w:w="2865" w:type="dxa"/>
                  <w:noWrap w:val="0"/>
                  <w:vAlign w:val="center"/>
                </w:tcPr>
                <w:p w14:paraId="63C3D0F0">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设1间一般固废暂存间，</w:t>
                  </w:r>
                  <w:r>
                    <w:rPr>
                      <w:rFonts w:ascii="Times New Roman" w:hAnsi="Times New Roman" w:eastAsia="宋体" w:cs="Times New Roman"/>
                      <w:color w:val="000000"/>
                      <w:spacing w:val="-6"/>
                      <w:sz w:val="21"/>
                      <w:szCs w:val="21"/>
                      <w:highlight w:val="none"/>
                    </w:rPr>
                    <w:t>面积</w:t>
                  </w:r>
                  <w:r>
                    <w:rPr>
                      <w:rFonts w:hint="eastAsia" w:ascii="Times New Roman" w:hAnsi="Times New Roman" w:eastAsia="宋体" w:cs="Times New Roman"/>
                      <w:color w:val="000000"/>
                      <w:spacing w:val="-6"/>
                      <w:sz w:val="21"/>
                      <w:szCs w:val="21"/>
                      <w:highlight w:val="none"/>
                      <w:lang w:val="en-US" w:eastAsia="zh-CN"/>
                    </w:rPr>
                    <w:t>50</w:t>
                  </w:r>
                  <w:r>
                    <w:rPr>
                      <w:rFonts w:ascii="Times New Roman" w:hAnsi="Times New Roman" w:eastAsia="宋体" w:cs="Times New Roman"/>
                      <w:color w:val="000000"/>
                      <w:spacing w:val="-6"/>
                      <w:sz w:val="21"/>
                      <w:szCs w:val="21"/>
                      <w:highlight w:val="none"/>
                    </w:rPr>
                    <w:t>m</w:t>
                  </w:r>
                  <w:r>
                    <w:rPr>
                      <w:rFonts w:ascii="Times New Roman" w:hAnsi="Times New Roman" w:eastAsia="宋体" w:cs="Times New Roman"/>
                      <w:color w:val="000000"/>
                      <w:spacing w:val="-6"/>
                      <w:sz w:val="21"/>
                      <w:szCs w:val="21"/>
                      <w:highlight w:val="none"/>
                      <w:vertAlign w:val="superscript"/>
                    </w:rPr>
                    <w:t>2</w:t>
                  </w:r>
                </w:p>
              </w:tc>
              <w:tc>
                <w:tcPr>
                  <w:tcW w:w="687" w:type="dxa"/>
                  <w:noWrap w:val="0"/>
                  <w:vAlign w:val="center"/>
                </w:tcPr>
                <w:p w14:paraId="06E1DCE8">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1</w:t>
                  </w:r>
                </w:p>
              </w:tc>
            </w:tr>
            <w:tr w14:paraId="3E8A8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6" w:type="dxa"/>
                  <w:vMerge w:val="continue"/>
                  <w:noWrap w:val="0"/>
                  <w:vAlign w:val="center"/>
                </w:tcPr>
                <w:p w14:paraId="6D1C693C">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pacing w:val="-14"/>
                      <w:sz w:val="21"/>
                      <w:szCs w:val="21"/>
                      <w:highlight w:val="none"/>
                    </w:rPr>
                  </w:pPr>
                </w:p>
              </w:tc>
              <w:tc>
                <w:tcPr>
                  <w:tcW w:w="811" w:type="dxa"/>
                  <w:noWrap w:val="0"/>
                  <w:vAlign w:val="center"/>
                </w:tcPr>
                <w:p w14:paraId="4BE40FD8">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危险废物暂存间</w:t>
                  </w:r>
                </w:p>
              </w:tc>
              <w:tc>
                <w:tcPr>
                  <w:tcW w:w="2865" w:type="dxa"/>
                  <w:noWrap w:val="0"/>
                  <w:vAlign w:val="center"/>
                </w:tcPr>
                <w:p w14:paraId="77496FF2">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lang w:val="en-US" w:eastAsia="zh-CN" w:bidi="ar-SA"/>
                    </w:rPr>
                    <w:t>设1间危险废物暂存间，面积10m</w:t>
                  </w:r>
                  <w:r>
                    <w:rPr>
                      <w:rFonts w:hint="eastAsia" w:ascii="Times New Roman" w:hAnsi="Times New Roman" w:eastAsia="宋体" w:cs="Times New Roman"/>
                      <w:color w:val="000000"/>
                      <w:sz w:val="21"/>
                      <w:szCs w:val="21"/>
                      <w:vertAlign w:val="superscript"/>
                      <w:lang w:val="en-US" w:eastAsia="zh-CN" w:bidi="ar-SA"/>
                    </w:rPr>
                    <w:t>2</w:t>
                  </w:r>
                </w:p>
              </w:tc>
              <w:tc>
                <w:tcPr>
                  <w:tcW w:w="687" w:type="dxa"/>
                  <w:noWrap w:val="0"/>
                  <w:vAlign w:val="center"/>
                </w:tcPr>
                <w:p w14:paraId="3B3EED26">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1</w:t>
                  </w:r>
                </w:p>
              </w:tc>
            </w:tr>
            <w:tr w14:paraId="08E97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6" w:type="dxa"/>
                  <w:noWrap w:val="0"/>
                  <w:vAlign w:val="center"/>
                </w:tcPr>
                <w:p w14:paraId="2915DA1E">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10"/>
                      <w:sz w:val="21"/>
                      <w:szCs w:val="21"/>
                      <w:highlight w:val="none"/>
                    </w:rPr>
                    <w:t>噪声</w:t>
                  </w:r>
                </w:p>
              </w:tc>
              <w:tc>
                <w:tcPr>
                  <w:tcW w:w="811" w:type="dxa"/>
                  <w:noWrap w:val="0"/>
                  <w:vAlign w:val="center"/>
                </w:tcPr>
                <w:p w14:paraId="5D287AC0">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10"/>
                      <w:sz w:val="21"/>
                      <w:szCs w:val="21"/>
                      <w:highlight w:val="none"/>
                    </w:rPr>
                    <w:t>噪声</w:t>
                  </w:r>
                </w:p>
              </w:tc>
              <w:tc>
                <w:tcPr>
                  <w:tcW w:w="2865" w:type="dxa"/>
                  <w:noWrap w:val="0"/>
                  <w:vAlign w:val="center"/>
                </w:tcPr>
                <w:p w14:paraId="63970CA8">
                  <w:pPr>
                    <w:ind w:right="50" w:firstLine="420"/>
                    <w:jc w:val="left"/>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设备基础减震、合理布局、厂房隔声等</w:t>
                  </w:r>
                </w:p>
              </w:tc>
              <w:tc>
                <w:tcPr>
                  <w:tcW w:w="687" w:type="dxa"/>
                  <w:noWrap w:val="0"/>
                  <w:vAlign w:val="center"/>
                </w:tcPr>
                <w:p w14:paraId="10C13C3A">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0.3</w:t>
                  </w:r>
                </w:p>
              </w:tc>
            </w:tr>
            <w:tr w14:paraId="14252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6" w:type="dxa"/>
                  <w:noWrap w:val="0"/>
                  <w:vAlign w:val="center"/>
                </w:tcPr>
                <w:p w14:paraId="6BA4836F">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5"/>
                      <w:sz w:val="21"/>
                      <w:szCs w:val="21"/>
                      <w:highlight w:val="none"/>
                    </w:rPr>
                    <w:t>合计</w:t>
                  </w:r>
                </w:p>
              </w:tc>
              <w:tc>
                <w:tcPr>
                  <w:tcW w:w="811" w:type="dxa"/>
                  <w:noWrap w:val="0"/>
                  <w:vAlign w:val="center"/>
                </w:tcPr>
                <w:p w14:paraId="6A211132">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2"/>
                      <w:position w:val="1"/>
                      <w:sz w:val="21"/>
                      <w:szCs w:val="21"/>
                      <w:highlight w:val="none"/>
                    </w:rPr>
                    <w:t>/</w:t>
                  </w:r>
                </w:p>
              </w:tc>
              <w:tc>
                <w:tcPr>
                  <w:tcW w:w="2865" w:type="dxa"/>
                  <w:noWrap w:val="0"/>
                  <w:vAlign w:val="center"/>
                </w:tcPr>
                <w:p w14:paraId="18701702">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687" w:type="dxa"/>
                  <w:noWrap w:val="0"/>
                  <w:vAlign w:val="center"/>
                </w:tcPr>
                <w:p w14:paraId="36A3B90E">
                  <w:pPr>
                    <w:keepNext w:val="0"/>
                    <w:keepLines w:val="0"/>
                    <w:pageBreakBefore w:val="0"/>
                    <w:widowControl w:val="0"/>
                    <w:spacing w:line="240" w:lineRule="auto"/>
                    <w:ind w:left="0" w:right="0" w:firstLine="0"/>
                    <w:jc w:val="center"/>
                    <w:outlineLvl w:val="9"/>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27.5</w:t>
                  </w:r>
                </w:p>
              </w:tc>
            </w:tr>
          </w:tbl>
          <w:p w14:paraId="3516CB4C">
            <w:pPr>
              <w:spacing w:line="360" w:lineRule="auto"/>
              <w:ind w:firstLine="480"/>
              <w:rPr>
                <w:rFonts w:ascii="Times New Roman" w:hAnsi="Times New Roman" w:eastAsia="宋体" w:cs="Times New Roman"/>
                <w:color w:val="000000"/>
                <w:sz w:val="24"/>
                <w:szCs w:val="24"/>
                <w:highlight w:val="none"/>
                <w:lang w:val="en-US" w:eastAsia="zh-CN"/>
              </w:rPr>
            </w:pPr>
          </w:p>
        </w:tc>
      </w:tr>
      <w:tr w14:paraId="5B6155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13" w:hRule="atLeast"/>
          <w:jc w:val="center"/>
        </w:trPr>
        <w:tc>
          <w:tcPr>
            <w:tcW w:w="754" w:type="dxa"/>
            <w:noWrap w:val="0"/>
            <w:vAlign w:val="center"/>
          </w:tcPr>
          <w:p w14:paraId="43B79936">
            <w:pPr>
              <w:pStyle w:val="210"/>
              <w:spacing w:before="0" w:beforeAutospacing="0" w:after="0" w:afterAutospacing="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工艺流程和产排污环节</w:t>
            </w:r>
          </w:p>
        </w:tc>
        <w:tc>
          <w:tcPr>
            <w:tcW w:w="9020" w:type="dxa"/>
            <w:noWrap w:val="0"/>
            <w:vAlign w:val="center"/>
          </w:tcPr>
          <w:p w14:paraId="47B0D280">
            <w:pPr>
              <w:keepNext w:val="0"/>
              <w:keepLines w:val="0"/>
              <w:pageBreakBefore w:val="0"/>
              <w:widowControl w:val="0"/>
              <w:spacing w:line="360" w:lineRule="auto"/>
              <w:ind w:firstLine="482"/>
              <w:outlineLvl w:val="9"/>
              <w:rPr>
                <w:rFonts w:ascii="Times New Roman" w:hAnsi="Times New Roman" w:eastAsia="宋体" w:cs="Times New Roman"/>
                <w:b/>
                <w:bCs/>
                <w:color w:val="000000"/>
                <w:sz w:val="24"/>
                <w:szCs w:val="24"/>
                <w:highlight w:val="none"/>
              </w:rPr>
            </w:pPr>
            <w:bookmarkStart w:id="5" w:name="_Toc29434"/>
            <w:r>
              <w:rPr>
                <w:rFonts w:ascii="Times New Roman" w:hAnsi="Times New Roman" w:eastAsia="宋体" w:cs="Times New Roman"/>
                <w:b/>
                <w:bCs/>
                <w:color w:val="000000"/>
                <w:sz w:val="24"/>
                <w:szCs w:val="24"/>
                <w:highlight w:val="none"/>
                <w:lang w:val="en-US" w:eastAsia="zh-CN"/>
              </w:rPr>
              <w:t>（一）</w:t>
            </w:r>
            <w:r>
              <w:rPr>
                <w:rFonts w:ascii="Times New Roman" w:hAnsi="Times New Roman" w:eastAsia="宋体" w:cs="Times New Roman"/>
                <w:b/>
                <w:bCs/>
                <w:color w:val="000000"/>
                <w:sz w:val="24"/>
                <w:szCs w:val="24"/>
                <w:highlight w:val="none"/>
              </w:rPr>
              <w:t>工艺流程简述</w:t>
            </w:r>
          </w:p>
          <w:p w14:paraId="668CFD84">
            <w:pPr>
              <w:keepNext w:val="0"/>
              <w:keepLines w:val="0"/>
              <w:pageBreakBefore w:val="0"/>
              <w:widowControl w:val="0"/>
              <w:spacing w:line="360" w:lineRule="auto"/>
              <w:ind w:firstLine="482"/>
              <w:outlineLvl w:val="9"/>
              <w:rPr>
                <w:rFonts w:ascii="Times New Roman" w:hAnsi="Times New Roman" w:eastAsia="宋体" w:cs="Times New Roman"/>
                <w:b/>
                <w:color w:val="000000"/>
                <w:sz w:val="24"/>
                <w:szCs w:val="24"/>
                <w:highlight w:val="none"/>
              </w:rPr>
            </w:pPr>
            <w:r>
              <w:rPr>
                <w:rFonts w:ascii="Times New Roman" w:hAnsi="Times New Roman" w:eastAsia="宋体" w:cs="Times New Roman"/>
                <w:b/>
                <w:bCs/>
                <w:color w:val="000000"/>
                <w:sz w:val="24"/>
                <w:szCs w:val="24"/>
                <w:highlight w:val="none"/>
              </w:rPr>
              <w:t>1、</w:t>
            </w:r>
            <w:r>
              <w:rPr>
                <w:rFonts w:ascii="Times New Roman" w:hAnsi="Times New Roman" w:eastAsia="宋体" w:cs="Times New Roman"/>
                <w:b/>
                <w:color w:val="000000"/>
                <w:sz w:val="24"/>
                <w:szCs w:val="24"/>
                <w:highlight w:val="none"/>
              </w:rPr>
              <w:t>施工期</w:t>
            </w:r>
          </w:p>
          <w:p w14:paraId="554BD3C5">
            <w:pPr>
              <w:spacing w:line="360" w:lineRule="auto"/>
              <w:ind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本项目</w:t>
            </w:r>
            <w:r>
              <w:rPr>
                <w:rFonts w:hint="eastAsia" w:ascii="Times New Roman" w:hAnsi="Times New Roman" w:eastAsia="宋体" w:cs="Times New Roman"/>
                <w:color w:val="000000"/>
                <w:sz w:val="24"/>
                <w:highlight w:val="none"/>
                <w:lang w:val="en-US" w:eastAsia="zh-CN"/>
              </w:rPr>
              <w:t>选址位于芒市风平镇帕底村芒市糖厂</w:t>
            </w:r>
            <w:r>
              <w:rPr>
                <w:rFonts w:ascii="Times New Roman" w:hAnsi="Times New Roman" w:eastAsia="宋体" w:cs="Times New Roman"/>
                <w:color w:val="000000"/>
                <w:sz w:val="24"/>
                <w:highlight w:val="none"/>
              </w:rPr>
              <w:t>，</w:t>
            </w:r>
            <w:r>
              <w:rPr>
                <w:rFonts w:hint="eastAsia" w:ascii="Times New Roman" w:hAnsi="Times New Roman" w:eastAsia="宋体" w:cs="Times New Roman"/>
                <w:color w:val="000000"/>
                <w:sz w:val="24"/>
                <w:highlight w:val="none"/>
                <w:lang w:val="en-US" w:eastAsia="zh-CN"/>
              </w:rPr>
              <w:t>现状为闲置空地</w:t>
            </w:r>
            <w:r>
              <w:rPr>
                <w:rFonts w:ascii="Times New Roman" w:hAnsi="Times New Roman" w:eastAsia="宋体" w:cs="Times New Roman"/>
                <w:color w:val="000000"/>
                <w:sz w:val="24"/>
                <w:highlight w:val="none"/>
              </w:rPr>
              <w:t>。施工期仅为厂房</w:t>
            </w:r>
            <w:r>
              <w:rPr>
                <w:rFonts w:hint="eastAsia" w:ascii="Times New Roman" w:hAnsi="Times New Roman" w:eastAsia="宋体" w:cs="Times New Roman"/>
                <w:color w:val="000000"/>
                <w:sz w:val="24"/>
                <w:highlight w:val="none"/>
                <w:lang w:val="en-US" w:eastAsia="zh-CN"/>
              </w:rPr>
              <w:t>建设</w:t>
            </w:r>
            <w:r>
              <w:rPr>
                <w:rFonts w:ascii="Times New Roman" w:hAnsi="Times New Roman" w:eastAsia="宋体" w:cs="Times New Roman"/>
                <w:color w:val="000000"/>
                <w:sz w:val="24"/>
                <w:highlight w:val="none"/>
              </w:rPr>
              <w:t>、生产</w:t>
            </w:r>
            <w:r>
              <w:rPr>
                <w:rFonts w:ascii="Times New Roman" w:hAnsi="Times New Roman" w:eastAsia="宋体" w:cs="Times New Roman"/>
                <w:color w:val="000000"/>
                <w:sz w:val="24"/>
                <w:highlight w:val="none"/>
                <w:lang w:eastAsia="zh-CN"/>
              </w:rPr>
              <w:t>、</w:t>
            </w:r>
            <w:r>
              <w:rPr>
                <w:rFonts w:ascii="Times New Roman" w:hAnsi="Times New Roman" w:eastAsia="宋体" w:cs="Times New Roman"/>
                <w:color w:val="000000"/>
                <w:sz w:val="24"/>
                <w:highlight w:val="none"/>
                <w:lang w:val="en-US" w:eastAsia="zh-CN"/>
              </w:rPr>
              <w:t>环保设施</w:t>
            </w:r>
            <w:r>
              <w:rPr>
                <w:rFonts w:ascii="Times New Roman" w:hAnsi="Times New Roman" w:eastAsia="宋体" w:cs="Times New Roman"/>
                <w:color w:val="000000"/>
                <w:sz w:val="24"/>
                <w:highlight w:val="none"/>
              </w:rPr>
              <w:t>设备安装</w:t>
            </w:r>
            <w:r>
              <w:rPr>
                <w:rFonts w:ascii="Times New Roman" w:hAnsi="Times New Roman" w:eastAsia="宋体" w:cs="Times New Roman"/>
                <w:color w:val="000000"/>
                <w:sz w:val="24"/>
                <w:highlight w:val="none"/>
                <w:lang w:val="en-US" w:eastAsia="zh-CN"/>
              </w:rPr>
              <w:t>及建设</w:t>
            </w:r>
            <w:r>
              <w:rPr>
                <w:rFonts w:ascii="Times New Roman" w:hAnsi="Times New Roman" w:eastAsia="宋体" w:cs="Times New Roman"/>
                <w:color w:val="000000"/>
                <w:sz w:val="24"/>
                <w:highlight w:val="none"/>
              </w:rPr>
              <w:t>等。工艺流程如下图所示。</w:t>
            </w:r>
          </w:p>
          <w:p w14:paraId="778453D2">
            <w:pPr>
              <w:widowControl/>
              <w:spacing w:line="360" w:lineRule="auto"/>
              <w:jc w:val="center"/>
              <w:rPr>
                <w:rFonts w:ascii="Times New Roman" w:hAnsi="Times New Roman" w:eastAsia="宋体" w:cs="Times New Roman"/>
                <w:color w:val="000000"/>
                <w:sz w:val="24"/>
                <w:highlight w:val="none"/>
              </w:rPr>
            </w:pPr>
            <w:r>
              <w:drawing>
                <wp:inline distT="0" distB="0" distL="0" distR="0">
                  <wp:extent cx="5588635" cy="1167130"/>
                  <wp:effectExtent l="0" t="0" r="0" b="0"/>
                  <wp:docPr id="4" name="_x0000_i2061"/>
                  <wp:cNvGraphicFramePr/>
                  <a:graphic xmlns:a="http://schemas.openxmlformats.org/drawingml/2006/main">
                    <a:graphicData uri="http://schemas.openxmlformats.org/drawingml/2006/picture">
                      <pic:pic xmlns:pic="http://schemas.openxmlformats.org/drawingml/2006/picture">
                        <pic:nvPicPr>
                          <pic:cNvPr id="4" name="_x0000_i2061"/>
                          <pic:cNvPicPr/>
                        </pic:nvPicPr>
                        <pic:blipFill>
                          <a:blip r:embed="rId8"/>
                          <a:stretch>
                            <a:fillRect/>
                          </a:stretch>
                        </pic:blipFill>
                        <pic:spPr>
                          <a:xfrm>
                            <a:off x="0" y="0"/>
                            <a:ext cx="5589156" cy="1167567"/>
                          </a:xfrm>
                          <a:prstGeom prst="rect">
                            <a:avLst/>
                          </a:prstGeom>
                          <a:noFill/>
                          <a:ln>
                            <a:noFill/>
                          </a:ln>
                        </pic:spPr>
                      </pic:pic>
                    </a:graphicData>
                  </a:graphic>
                </wp:inline>
              </w:drawing>
            </w:r>
          </w:p>
          <w:p w14:paraId="69E23E9F">
            <w:pPr>
              <w:keepNext w:val="0"/>
              <w:keepLines w:val="0"/>
              <w:pageBreakBefore w:val="0"/>
              <w:widowControl w:val="0"/>
              <w:spacing w:line="360" w:lineRule="auto"/>
              <w:ind w:firstLine="0"/>
              <w:jc w:val="center"/>
              <w:outlineLvl w:val="9"/>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图2-1  项目施工</w:t>
            </w:r>
            <w:r>
              <w:rPr>
                <w:rFonts w:ascii="Times New Roman" w:hAnsi="Times New Roman" w:eastAsia="宋体" w:cs="Times New Roman"/>
                <w:b/>
                <w:color w:val="000000"/>
                <w:sz w:val="24"/>
                <w:highlight w:val="none"/>
              </w:rPr>
              <w:t>期</w:t>
            </w:r>
            <w:r>
              <w:rPr>
                <w:rFonts w:ascii="Times New Roman" w:hAnsi="Times New Roman" w:eastAsia="宋体" w:cs="Times New Roman"/>
                <w:b/>
                <w:bCs/>
                <w:color w:val="000000"/>
                <w:sz w:val="24"/>
                <w:szCs w:val="24"/>
                <w:highlight w:val="none"/>
                <w:lang w:val="en-US" w:eastAsia="zh-CN"/>
              </w:rPr>
              <w:t>工艺流程及产污节点图</w:t>
            </w:r>
          </w:p>
          <w:p w14:paraId="12124E5C">
            <w:pPr>
              <w:keepNext w:val="0"/>
              <w:keepLines w:val="0"/>
              <w:pageBreakBefore w:val="0"/>
              <w:widowControl w:val="0"/>
              <w:spacing w:line="360" w:lineRule="auto"/>
              <w:ind w:firstLine="482"/>
              <w:outlineLvl w:val="9"/>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lang w:val="en-US" w:eastAsia="zh-CN"/>
              </w:rPr>
              <w:t>2、</w:t>
            </w:r>
            <w:r>
              <w:rPr>
                <w:rFonts w:ascii="Times New Roman" w:hAnsi="Times New Roman" w:eastAsia="宋体" w:cs="Times New Roman"/>
                <w:b/>
                <w:bCs/>
                <w:color w:val="000000"/>
                <w:sz w:val="24"/>
                <w:szCs w:val="24"/>
                <w:highlight w:val="none"/>
              </w:rPr>
              <w:t>运营期</w:t>
            </w:r>
            <w:bookmarkEnd w:id="4"/>
          </w:p>
          <w:p w14:paraId="6485A2B1">
            <w:pPr>
              <w:spacing w:line="360" w:lineRule="auto"/>
              <w:ind w:firstLine="482"/>
              <w:jc w:val="left"/>
              <w:rPr>
                <w:rFonts w:ascii="Times New Roman" w:hAnsi="Times New Roman" w:eastAsia="宋体" w:cs="Times New Roman"/>
                <w:b/>
                <w:color w:val="000000"/>
                <w:sz w:val="24"/>
                <w:szCs w:val="24"/>
                <w:highlight w:val="none"/>
                <w:lang w:val="en-US" w:eastAsia="zh-CN"/>
              </w:rPr>
            </w:pPr>
            <w:r>
              <w:rPr>
                <w:rFonts w:hint="eastAsia" w:ascii="Times New Roman" w:hAnsi="Times New Roman" w:eastAsia="宋体" w:cs="Times New Roman"/>
                <w:b/>
                <w:color w:val="000000"/>
                <w:sz w:val="24"/>
                <w:szCs w:val="24"/>
                <w:highlight w:val="none"/>
                <w:lang w:val="en-US" w:eastAsia="zh-CN"/>
              </w:rPr>
              <w:t>杉木单板生产线工艺流程及产污节点图</w:t>
            </w:r>
          </w:p>
          <w:p w14:paraId="4E18A914">
            <w:pPr>
              <w:spacing w:line="360" w:lineRule="auto"/>
              <w:jc w:val="center"/>
              <w:rPr>
                <w:rFonts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object>
                <v:shape id="_x0000_i1025" o:spt="75" type="#_x0000_t75" style="height:344.35pt;width:453.5pt;" o:ole="t" filled="f" o:preferrelative="t" stroked="f" coordsize="21600,21600">
                  <v:path/>
                  <v:fill on="f" focussize="0,0"/>
                  <v:stroke on="f" joinstyle="miter"/>
                  <v:imagedata r:id="rId10" o:title=""/>
                  <o:lock v:ext="edit" rotation="t" aspectratio="t"/>
                  <w10:wrap type="none"/>
                  <w10:anchorlock/>
                </v:shape>
                <o:OLEObject Type="Embed" ProgID="Word.Document" ShapeID="_x0000_i1025" DrawAspect="Content" ObjectID="_1468075725" r:id="rId9">
                  <o:LockedField>false</o:LockedField>
                </o:OLEObject>
              </w:object>
            </w:r>
            <w:r>
              <w:rPr>
                <w:rFonts w:hint="eastAsia" w:ascii="Times New Roman" w:hAnsi="Times New Roman" w:eastAsia="宋体" w:cs="Times New Roman"/>
                <w:b/>
                <w:bCs/>
                <w:color w:val="000000"/>
                <w:sz w:val="21"/>
                <w:szCs w:val="21"/>
                <w:lang w:val="en-US" w:eastAsia="zh-CN"/>
              </w:rPr>
              <w:t>注：N、G、S分别表示噪声、废气、固废</w:t>
            </w:r>
          </w:p>
          <w:p w14:paraId="51153E6C">
            <w:pPr>
              <w:spacing w:line="360" w:lineRule="auto"/>
              <w:jc w:val="center"/>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图</w:t>
            </w:r>
            <w:r>
              <w:rPr>
                <w:rFonts w:ascii="Times New Roman" w:hAnsi="Times New Roman" w:eastAsia="宋体" w:cs="Times New Roman"/>
                <w:b/>
                <w:color w:val="000000"/>
                <w:sz w:val="24"/>
                <w:szCs w:val="24"/>
                <w:highlight w:val="none"/>
                <w:lang w:val="en-US" w:eastAsia="zh-CN"/>
              </w:rPr>
              <w:t>2-</w:t>
            </w:r>
            <w:r>
              <w:rPr>
                <w:rFonts w:hint="eastAsia" w:ascii="Times New Roman" w:hAnsi="Times New Roman" w:eastAsia="宋体" w:cs="Times New Roman"/>
                <w:b/>
                <w:color w:val="000000"/>
                <w:sz w:val="24"/>
                <w:szCs w:val="24"/>
                <w:highlight w:val="none"/>
                <w:lang w:val="en-US" w:eastAsia="zh-CN"/>
              </w:rPr>
              <w:t>2</w:t>
            </w:r>
            <w:r>
              <w:rPr>
                <w:rFonts w:ascii="Times New Roman" w:hAnsi="Times New Roman" w:eastAsia="宋体" w:cs="Times New Roman"/>
                <w:b/>
                <w:color w:val="000000"/>
                <w:sz w:val="24"/>
                <w:szCs w:val="24"/>
                <w:highlight w:val="none"/>
              </w:rPr>
              <w:t xml:space="preserve">  项目运营期</w:t>
            </w:r>
            <w:r>
              <w:rPr>
                <w:rFonts w:hint="eastAsia" w:ascii="Times New Roman" w:hAnsi="Times New Roman" w:eastAsia="宋体" w:cs="Times New Roman"/>
                <w:b/>
                <w:color w:val="000000"/>
                <w:sz w:val="24"/>
                <w:szCs w:val="24"/>
                <w:highlight w:val="none"/>
                <w:lang w:val="en-US" w:eastAsia="zh-CN"/>
              </w:rPr>
              <w:t>杉木单板生产线</w:t>
            </w:r>
            <w:r>
              <w:rPr>
                <w:rFonts w:ascii="Times New Roman" w:hAnsi="Times New Roman" w:eastAsia="宋体" w:cs="Times New Roman"/>
                <w:b/>
                <w:color w:val="000000"/>
                <w:sz w:val="24"/>
                <w:szCs w:val="24"/>
                <w:highlight w:val="none"/>
              </w:rPr>
              <w:t>生产工艺流程及产污节点图</w:t>
            </w:r>
          </w:p>
          <w:p w14:paraId="44DAE285">
            <w:pPr>
              <w:pStyle w:val="267"/>
              <w:ind w:firstLine="482"/>
              <w:rPr>
                <w:rFonts w:ascii="Times New Roman" w:hAnsi="Times New Roman" w:eastAsia="宋体" w:cs="Times New Roman"/>
                <w:b/>
                <w:color w:val="000000"/>
                <w:szCs w:val="24"/>
                <w:highlight w:val="none"/>
                <w:lang w:val="en-US" w:eastAsia="zh-CN"/>
              </w:rPr>
            </w:pPr>
            <w:r>
              <w:rPr>
                <w:rFonts w:ascii="Times New Roman" w:hAnsi="Times New Roman" w:eastAsia="宋体" w:cs="Times New Roman"/>
                <w:b/>
                <w:color w:val="000000"/>
                <w:szCs w:val="24"/>
                <w:highlight w:val="none"/>
              </w:rPr>
              <w:t>工艺流程简</w:t>
            </w:r>
            <w:r>
              <w:rPr>
                <w:rFonts w:ascii="Times New Roman" w:hAnsi="Times New Roman" w:eastAsia="宋体" w:cs="Times New Roman"/>
                <w:b/>
                <w:color w:val="000000"/>
                <w:szCs w:val="24"/>
                <w:highlight w:val="none"/>
                <w:lang w:val="en-US" w:eastAsia="zh-CN"/>
              </w:rPr>
              <w:t>述</w:t>
            </w:r>
            <w:r>
              <w:rPr>
                <w:rFonts w:hint="eastAsia" w:eastAsia="宋体" w:cs="Times New Roman"/>
                <w:b/>
                <w:color w:val="000000"/>
                <w:szCs w:val="24"/>
                <w:highlight w:val="none"/>
                <w:lang w:val="en-US" w:eastAsia="zh-CN"/>
              </w:rPr>
              <w:t>：</w:t>
            </w:r>
          </w:p>
          <w:p w14:paraId="5629212C">
            <w:pPr>
              <w:pStyle w:val="2"/>
              <w:keepNext w:val="0"/>
              <w:keepLines w:val="0"/>
              <w:pageBreakBefore w:val="0"/>
              <w:widowControl w:val="0"/>
              <w:spacing w:line="360" w:lineRule="auto"/>
              <w:rPr>
                <w:rFonts w:ascii="Times New Roman" w:hAnsi="Times New Roman" w:eastAsia="宋体" w:cs="Times New Roman"/>
                <w:b w:val="0"/>
                <w:bCs w:val="0"/>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①断料分选：</w:t>
            </w:r>
            <w:r>
              <w:rPr>
                <w:rFonts w:hint="eastAsia" w:ascii="Times New Roman" w:hAnsi="Times New Roman" w:eastAsia="宋体" w:cs="Times New Roman"/>
                <w:b w:val="0"/>
                <w:bCs w:val="0"/>
                <w:color w:val="000000"/>
                <w:sz w:val="24"/>
                <w:highlight w:val="none"/>
                <w:lang w:val="en-US" w:eastAsia="zh-CN"/>
              </w:rPr>
              <w:t>将购买的杉木原料进行断料分拣，过程中会产生噪声、粉尘、边角料。</w:t>
            </w:r>
          </w:p>
          <w:p w14:paraId="1AAA30FC">
            <w:pPr>
              <w:pStyle w:val="2"/>
              <w:keepNext w:val="0"/>
              <w:keepLines w:val="0"/>
              <w:pageBreakBefore w:val="0"/>
              <w:widowControl w:val="0"/>
              <w:spacing w:line="360" w:lineRule="auto"/>
              <w:rPr>
                <w:rFonts w:ascii="Times New Roman" w:hAnsi="Times New Roman" w:eastAsia="宋体" w:cs="Times New Roman"/>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②破片：</w:t>
            </w:r>
            <w:r>
              <w:rPr>
                <w:rFonts w:hint="eastAsia" w:ascii="Times New Roman" w:hAnsi="Times New Roman" w:eastAsia="宋体" w:cs="Times New Roman"/>
                <w:b w:val="0"/>
                <w:bCs w:val="0"/>
                <w:color w:val="000000"/>
                <w:sz w:val="24"/>
                <w:highlight w:val="none"/>
                <w:lang w:val="en-US" w:eastAsia="zh-CN"/>
              </w:rPr>
              <w:t>将分拣好的木料进行破片处理，</w:t>
            </w:r>
            <w:r>
              <w:rPr>
                <w:rFonts w:hint="eastAsia" w:ascii="Times New Roman" w:hAnsi="Times New Roman" w:eastAsia="宋体" w:cs="Times New Roman"/>
                <w:color w:val="000000"/>
                <w:sz w:val="24"/>
                <w:highlight w:val="none"/>
                <w:lang w:val="en-US" w:eastAsia="zh-CN"/>
              </w:rPr>
              <w:t>程中会产生</w:t>
            </w:r>
            <w:r>
              <w:rPr>
                <w:rFonts w:hint="eastAsia" w:ascii="Times New Roman" w:hAnsi="Times New Roman" w:eastAsia="宋体" w:cs="Times New Roman"/>
                <w:b w:val="0"/>
                <w:bCs w:val="0"/>
                <w:color w:val="000000"/>
                <w:sz w:val="24"/>
                <w:highlight w:val="none"/>
                <w:lang w:val="en-US" w:eastAsia="zh-CN"/>
              </w:rPr>
              <w:t>噪声、粉尘、边角料。</w:t>
            </w:r>
          </w:p>
          <w:p w14:paraId="70CB6D07">
            <w:pPr>
              <w:pStyle w:val="2"/>
              <w:keepNext w:val="0"/>
              <w:keepLines w:val="0"/>
              <w:pageBreakBefore w:val="0"/>
              <w:widowControl w:val="0"/>
              <w:spacing w:line="360" w:lineRule="auto"/>
              <w:rPr>
                <w:rFonts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③清边：</w:t>
            </w:r>
            <w:r>
              <w:rPr>
                <w:rFonts w:hint="eastAsia" w:ascii="Times New Roman" w:hAnsi="Times New Roman" w:eastAsia="宋体" w:cs="Times New Roman"/>
                <w:b w:val="0"/>
                <w:bCs w:val="0"/>
                <w:color w:val="000000"/>
                <w:sz w:val="24"/>
                <w:highlight w:val="none"/>
                <w:lang w:val="en-US" w:eastAsia="zh-CN"/>
              </w:rPr>
              <w:t>将破片后的木片用清边机进行清边，使木片边缘修剪整齐，方便涂胶</w:t>
            </w:r>
            <w:r>
              <w:rPr>
                <w:rFonts w:hint="eastAsia" w:ascii="Times New Roman" w:hAnsi="Times New Roman" w:eastAsia="宋体" w:cs="Times New Roman"/>
                <w:b/>
                <w:bCs/>
                <w:color w:val="000000"/>
                <w:sz w:val="24"/>
                <w:highlight w:val="none"/>
                <w:lang w:val="en-US" w:eastAsia="zh-CN"/>
              </w:rPr>
              <w:t>。</w:t>
            </w:r>
          </w:p>
          <w:p w14:paraId="18B89842">
            <w:pPr>
              <w:pStyle w:val="2"/>
              <w:keepNext w:val="0"/>
              <w:keepLines w:val="0"/>
              <w:pageBreakBefore w:val="0"/>
              <w:widowControl w:val="0"/>
              <w:spacing w:line="360" w:lineRule="auto"/>
              <w:rPr>
                <w:rFonts w:ascii="Times New Roman" w:hAnsi="Times New Roman" w:eastAsia="宋体" w:cs="Times New Roman"/>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④烘干：</w:t>
            </w:r>
            <w:r>
              <w:rPr>
                <w:rFonts w:hint="eastAsia" w:ascii="Times New Roman" w:hAnsi="Times New Roman" w:eastAsia="宋体" w:cs="Times New Roman"/>
                <w:b w:val="0"/>
                <w:bCs w:val="0"/>
                <w:color w:val="000000"/>
                <w:sz w:val="24"/>
                <w:highlight w:val="none"/>
                <w:lang w:val="en-US" w:eastAsia="zh-CN"/>
              </w:rPr>
              <w:t>将清边后的片状木料放入烘干房进行烘干（</w:t>
            </w:r>
            <w:r>
              <w:rPr>
                <w:rFonts w:hint="eastAsia" w:ascii="Times New Roman" w:hAnsi="Times New Roman" w:eastAsia="宋体" w:cs="Times New Roman"/>
                <w:color w:val="000000"/>
                <w:sz w:val="24"/>
                <w:highlight w:val="none"/>
                <w:lang w:val="en-US" w:eastAsia="zh-CN"/>
              </w:rPr>
              <w:t>由生物质锅炉产生蒸汽供应热能</w:t>
            </w:r>
            <w:r>
              <w:rPr>
                <w:rFonts w:hint="eastAsia" w:ascii="Times New Roman" w:hAnsi="Times New Roman" w:eastAsia="宋体" w:cs="Times New Roman"/>
                <w:b w:val="0"/>
                <w:bCs w:val="0"/>
                <w:color w:val="000000"/>
                <w:sz w:val="24"/>
                <w:highlight w:val="none"/>
                <w:lang w:val="en-US" w:eastAsia="zh-CN"/>
              </w:rPr>
              <w:t>），干燥温度为50~60℃，去除木料中的水分（烘干除至含水率18%以下），</w:t>
            </w:r>
            <w:r>
              <w:rPr>
                <w:rFonts w:hint="eastAsia" w:ascii="Times New Roman" w:hAnsi="Times New Roman" w:eastAsia="宋体" w:cs="Times New Roman"/>
                <w:color w:val="000000"/>
                <w:sz w:val="24"/>
                <w:highlight w:val="none"/>
                <w:lang w:val="en-US" w:eastAsia="zh-CN"/>
              </w:rPr>
              <w:t>过程中会产生噪声、锅炉烟气及少量非甲烷总烃。</w:t>
            </w:r>
          </w:p>
          <w:p w14:paraId="5E5919D4">
            <w:pPr>
              <w:keepNext w:val="0"/>
              <w:keepLines w:val="0"/>
              <w:pageBreakBefore w:val="0"/>
              <w:widowControl w:val="0"/>
              <w:spacing w:line="360" w:lineRule="auto"/>
              <w:ind w:firstLine="482"/>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⑤涂胶：</w:t>
            </w:r>
            <w:r>
              <w:rPr>
                <w:rFonts w:hint="eastAsia" w:ascii="Times New Roman" w:hAnsi="Times New Roman" w:eastAsia="宋体" w:cs="Times New Roman"/>
                <w:b w:val="0"/>
                <w:bCs w:val="0"/>
                <w:color w:val="000000"/>
                <w:sz w:val="24"/>
                <w:highlight w:val="none"/>
                <w:lang w:val="en-US" w:eastAsia="zh-CN"/>
              </w:rPr>
              <w:t>在配料好的单板边缘涂上胶水。</w:t>
            </w:r>
            <w:r>
              <w:rPr>
                <w:rFonts w:hint="eastAsia" w:ascii="宋体" w:hAnsi="宋体" w:eastAsia="宋体" w:cs="宋体"/>
                <w:color w:val="000000"/>
                <w:sz w:val="24"/>
                <w:szCs w:val="24"/>
                <w:lang w:val="en-US" w:eastAsia="zh-CN" w:bidi="ar"/>
              </w:rPr>
              <w:t>项目胶水使用时，需要按配比用水将胶粉调兑出来，在常温下搅拌混合调配，其调合过程基本无粉尘产生，只有极少量甲醛挥发。该过程主要产生的污染物为甲醛、噪声</w:t>
            </w:r>
            <w:r>
              <w:rPr>
                <w:rFonts w:hint="eastAsia" w:ascii="Times New Roman" w:hAnsi="Times New Roman" w:eastAsia="宋体" w:cs="Times New Roman"/>
                <w:color w:val="000000"/>
                <w:sz w:val="24"/>
                <w:highlight w:val="none"/>
                <w:lang w:val="en-US" w:eastAsia="zh-CN"/>
              </w:rPr>
              <w:t>。</w:t>
            </w:r>
          </w:p>
          <w:p w14:paraId="42C448C0">
            <w:pPr>
              <w:keepNext w:val="0"/>
              <w:keepLines w:val="0"/>
              <w:pageBreakBefore w:val="0"/>
              <w:widowControl w:val="0"/>
              <w:spacing w:line="360" w:lineRule="auto"/>
              <w:ind w:firstLine="482"/>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⑦拼版：</w:t>
            </w:r>
            <w:r>
              <w:rPr>
                <w:rFonts w:hint="eastAsia" w:ascii="Times New Roman" w:hAnsi="Times New Roman" w:eastAsia="宋体" w:cs="Times New Roman"/>
                <w:color w:val="000000"/>
                <w:sz w:val="24"/>
                <w:highlight w:val="none"/>
                <w:lang w:val="en-US" w:eastAsia="zh-CN"/>
              </w:rPr>
              <w:t>根据生产要求进行配料拼版，将涂胶后不同大小的木片调配拼接在一起。此过程污染物主要为排板时产生的噪声。</w:t>
            </w:r>
          </w:p>
          <w:p w14:paraId="49750CF2">
            <w:pPr>
              <w:keepNext w:val="0"/>
              <w:keepLines w:val="0"/>
              <w:pageBreakBefore w:val="0"/>
              <w:widowControl w:val="0"/>
              <w:spacing w:line="360" w:lineRule="auto"/>
              <w:ind w:firstLine="482"/>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⑧裁边</w:t>
            </w:r>
            <w:r>
              <w:rPr>
                <w:rFonts w:hint="eastAsia" w:ascii="Times New Roman" w:hAnsi="Times New Roman" w:eastAsia="宋体" w:cs="Times New Roman"/>
                <w:b/>
                <w:bCs/>
                <w:color w:val="000000"/>
                <w:sz w:val="24"/>
                <w:highlight w:val="none"/>
                <w:lang w:val="en-US" w:eastAsia="zh-CN"/>
              </w:rPr>
              <w:t>：</w:t>
            </w:r>
            <w:r>
              <w:rPr>
                <w:rFonts w:hint="eastAsia" w:ascii="Times New Roman" w:hAnsi="Times New Roman" w:eastAsia="宋体" w:cs="Times New Roman"/>
                <w:color w:val="000000"/>
                <w:sz w:val="24"/>
                <w:highlight w:val="none"/>
                <w:lang w:val="en-US" w:eastAsia="zh-CN"/>
              </w:rPr>
              <w:t>将拼版后的单板送至齐头机进行裁边处理，此过程主要是修整拼接后不整齐的边缘。裁边过程产生的污染物主要为边角废料、齐头机噪声。</w:t>
            </w:r>
          </w:p>
          <w:p w14:paraId="7A64B592">
            <w:pPr>
              <w:keepNext w:val="0"/>
              <w:keepLines w:val="0"/>
              <w:pageBreakBefore w:val="0"/>
              <w:widowControl w:val="0"/>
              <w:spacing w:line="360" w:lineRule="auto"/>
              <w:ind w:firstLine="482"/>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⑨</w:t>
            </w:r>
            <w:r>
              <w:rPr>
                <w:rFonts w:hint="eastAsia" w:ascii="Times New Roman" w:hAnsi="Times New Roman" w:eastAsia="宋体" w:cs="Times New Roman"/>
                <w:b/>
                <w:bCs/>
                <w:color w:val="000000"/>
                <w:sz w:val="24"/>
                <w:highlight w:val="none"/>
                <w:lang w:val="en-US" w:eastAsia="zh-CN"/>
              </w:rPr>
              <w:t>质检、堆垛：</w:t>
            </w:r>
            <w:r>
              <w:rPr>
                <w:rFonts w:hint="eastAsia" w:ascii="Times New Roman" w:hAnsi="Times New Roman" w:eastAsia="宋体" w:cs="Times New Roman"/>
                <w:color w:val="000000"/>
                <w:sz w:val="24"/>
                <w:highlight w:val="none"/>
                <w:lang w:val="en-US" w:eastAsia="zh-CN"/>
              </w:rPr>
              <w:t>质检主要是人工检查产品是否为合格产品；质检合格后即可出售。此过程产生的污染物主要为不合格产品</w:t>
            </w:r>
            <w:r>
              <w:rPr>
                <w:rFonts w:hint="eastAsia" w:ascii="Times New Roman" w:hAnsi="Times New Roman" w:eastAsia="宋体" w:cs="Times New Roman"/>
                <w:b w:val="0"/>
                <w:bCs w:val="0"/>
                <w:color w:val="000000"/>
                <w:sz w:val="24"/>
                <w:highlight w:val="none"/>
                <w:lang w:val="en-US" w:eastAsia="zh-CN"/>
              </w:rPr>
              <w:t>。</w:t>
            </w:r>
          </w:p>
          <w:p w14:paraId="03CBBB79">
            <w:pPr>
              <w:keepNext w:val="0"/>
              <w:keepLines w:val="0"/>
              <w:pageBreakBefore w:val="0"/>
              <w:widowControl w:val="0"/>
              <w:spacing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lang w:val="en-US" w:eastAsia="zh-CN"/>
              </w:rPr>
              <w:t>（二）产排污环节</w:t>
            </w:r>
          </w:p>
          <w:p w14:paraId="4F4FEC25">
            <w:pPr>
              <w:keepNext w:val="0"/>
              <w:keepLines w:val="0"/>
              <w:pageBreakBefore w:val="0"/>
              <w:widowControl w:val="0"/>
              <w:spacing w:line="360" w:lineRule="auto"/>
              <w:ind w:firstLine="482"/>
              <w:rPr>
                <w:rFonts w:ascii="Times New Roman" w:hAnsi="Times New Roman" w:eastAsia="宋体" w:cs="Times New Roman"/>
                <w:b/>
                <w:bCs/>
                <w:color w:val="000000"/>
                <w:sz w:val="24"/>
                <w:highlight w:val="none"/>
                <w:lang w:val="en-US" w:eastAsia="zh-CN"/>
              </w:rPr>
            </w:pPr>
            <w:r>
              <w:rPr>
                <w:rFonts w:ascii="Times New Roman" w:hAnsi="Times New Roman" w:eastAsia="宋体" w:cs="Times New Roman"/>
                <w:b/>
                <w:bCs/>
                <w:color w:val="000000"/>
                <w:sz w:val="24"/>
                <w:highlight w:val="none"/>
                <w:lang w:val="en-US" w:eastAsia="zh-CN"/>
              </w:rPr>
              <w:t>1、施工期产污环节</w:t>
            </w:r>
          </w:p>
          <w:p w14:paraId="5C2701FD">
            <w:pPr>
              <w:keepNext w:val="0"/>
              <w:keepLines w:val="0"/>
              <w:pageBreakBefore w:val="0"/>
              <w:widowControl w:val="0"/>
              <w:spacing w:line="360"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根据现场踏勘，项目无需土建工程。主要产生的污染环节如下：</w:t>
            </w:r>
          </w:p>
          <w:p w14:paraId="4C571B15">
            <w:pPr>
              <w:keepNext w:val="0"/>
              <w:keepLines w:val="0"/>
              <w:pageBreakBefore w:val="0"/>
              <w:widowControl w:val="0"/>
              <w:spacing w:line="360"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（1）废气：施工期产生的主要大气污染物</w:t>
            </w:r>
            <w:r>
              <w:rPr>
                <w:rFonts w:ascii="Times New Roman" w:hAnsi="Times New Roman" w:eastAsia="宋体" w:cs="Times New Roman"/>
                <w:color w:val="000000"/>
                <w:sz w:val="24"/>
                <w:highlight w:val="none"/>
              </w:rPr>
              <w:t>主要为施工扬尘、运输及动力设备运行时产生的燃油废气</w:t>
            </w:r>
            <w:r>
              <w:rPr>
                <w:rFonts w:ascii="Times New Roman" w:hAnsi="Times New Roman" w:eastAsia="宋体" w:cs="Times New Roman"/>
                <w:color w:val="000000"/>
                <w:sz w:val="24"/>
                <w:highlight w:val="none"/>
                <w:lang w:val="en-US" w:eastAsia="zh-CN"/>
              </w:rPr>
              <w:t>。因项目工期短，工程量极少，各大气污染物排放量较少。</w:t>
            </w:r>
          </w:p>
          <w:p w14:paraId="71F58C8D">
            <w:pPr>
              <w:keepNext w:val="0"/>
              <w:keepLines w:val="0"/>
              <w:pageBreakBefore w:val="0"/>
              <w:widowControl w:val="0"/>
              <w:spacing w:line="360"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（2）废水：主要为</w:t>
            </w:r>
            <w:r>
              <w:rPr>
                <w:rFonts w:ascii="Times New Roman" w:hAnsi="Times New Roman" w:eastAsia="宋体" w:cs="Times New Roman"/>
                <w:color w:val="000000"/>
                <w:sz w:val="24"/>
                <w:highlight w:val="none"/>
              </w:rPr>
              <w:t>施工人员产生的生活污水和建设施工产生的施工废水</w:t>
            </w:r>
            <w:r>
              <w:rPr>
                <w:rFonts w:ascii="Times New Roman" w:hAnsi="Times New Roman" w:eastAsia="宋体" w:cs="Times New Roman"/>
                <w:color w:val="000000"/>
                <w:sz w:val="24"/>
                <w:highlight w:val="none"/>
                <w:lang w:val="en-US" w:eastAsia="zh-CN"/>
              </w:rPr>
              <w:t>。</w:t>
            </w:r>
          </w:p>
          <w:p w14:paraId="55E8A752">
            <w:pPr>
              <w:keepNext w:val="0"/>
              <w:keepLines w:val="0"/>
              <w:pageBreakBefore w:val="0"/>
              <w:widowControl w:val="0"/>
              <w:spacing w:line="360"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（3）噪声：施工机械噪声及车辆运输产生的噪声。</w:t>
            </w:r>
          </w:p>
          <w:p w14:paraId="1EC85029">
            <w:pPr>
              <w:keepNext w:val="0"/>
              <w:keepLines w:val="0"/>
              <w:pageBreakBefore w:val="0"/>
              <w:widowControl w:val="0"/>
              <w:spacing w:line="360" w:lineRule="auto"/>
              <w:ind w:firstLine="480"/>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lang w:val="en-US" w:eastAsia="zh-CN"/>
              </w:rPr>
              <w:t>（4）固废：主要为废包装材料、建筑垃圾</w:t>
            </w:r>
            <w:r>
              <w:rPr>
                <w:rFonts w:ascii="Times New Roman" w:hAnsi="Times New Roman" w:eastAsia="宋体" w:cs="Times New Roman"/>
                <w:color w:val="000000"/>
                <w:sz w:val="24"/>
                <w:highlight w:val="none"/>
              </w:rPr>
              <w:t>及施工人员产生的生活垃圾</w:t>
            </w:r>
            <w:r>
              <w:rPr>
                <w:rFonts w:ascii="Times New Roman" w:hAnsi="Times New Roman" w:eastAsia="宋体" w:cs="Times New Roman"/>
                <w:color w:val="000000"/>
                <w:sz w:val="24"/>
                <w:highlight w:val="none"/>
                <w:lang w:val="en-US" w:eastAsia="zh-CN"/>
              </w:rPr>
              <w:t>。</w:t>
            </w:r>
          </w:p>
          <w:p w14:paraId="03A3BC86">
            <w:pPr>
              <w:keepNext w:val="0"/>
              <w:keepLines w:val="0"/>
              <w:pageBreakBefore w:val="0"/>
              <w:widowControl w:val="0"/>
              <w:spacing w:line="360" w:lineRule="auto"/>
              <w:ind w:firstLine="482"/>
              <w:rPr>
                <w:rFonts w:ascii="Times New Roman" w:hAnsi="Times New Roman" w:eastAsia="宋体" w:cs="Times New Roman"/>
                <w:b/>
                <w:bCs/>
                <w:color w:val="000000"/>
                <w:sz w:val="24"/>
                <w:highlight w:val="none"/>
                <w:lang w:val="en-US" w:eastAsia="zh-CN"/>
              </w:rPr>
            </w:pPr>
            <w:r>
              <w:rPr>
                <w:rFonts w:ascii="Times New Roman" w:hAnsi="Times New Roman" w:eastAsia="宋体" w:cs="Times New Roman"/>
                <w:b/>
                <w:bCs/>
                <w:color w:val="000000"/>
                <w:sz w:val="24"/>
                <w:highlight w:val="none"/>
                <w:lang w:val="en-US" w:eastAsia="zh-CN"/>
              </w:rPr>
              <w:t>2、营运期产污环节</w:t>
            </w:r>
          </w:p>
          <w:p w14:paraId="76391A72">
            <w:pPr>
              <w:keepNext w:val="0"/>
              <w:keepLines w:val="0"/>
              <w:pageBreakBefore w:val="0"/>
              <w:widowControl w:val="0"/>
              <w:spacing w:line="360" w:lineRule="auto"/>
              <w:ind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lang w:val="en-US" w:eastAsia="zh-CN"/>
              </w:rPr>
              <w:t>项目污染物产排环节如下表所示：</w:t>
            </w:r>
          </w:p>
          <w:p w14:paraId="43F0A768">
            <w:pPr>
              <w:ind w:right="105" w:firstLine="200"/>
              <w:jc w:val="center"/>
              <w:rPr>
                <w:rFonts w:ascii="Times New Roman" w:hAnsi="Times New Roman" w:eastAsia="宋体" w:cs="Times New Roman"/>
                <w:b/>
                <w:color w:val="000000"/>
                <w:sz w:val="24"/>
                <w:szCs w:val="24"/>
                <w:highlight w:val="none"/>
                <w:lang w:val="en-US" w:eastAsia="zh-CN"/>
              </w:rPr>
            </w:pPr>
            <w:r>
              <w:rPr>
                <w:rFonts w:ascii="Times New Roman" w:hAnsi="Times New Roman" w:eastAsia="宋体" w:cs="Times New Roman"/>
                <w:b/>
                <w:color w:val="000000"/>
                <w:sz w:val="24"/>
                <w:szCs w:val="24"/>
                <w:highlight w:val="none"/>
              </w:rPr>
              <w:t>表</w:t>
            </w:r>
            <w:r>
              <w:rPr>
                <w:rFonts w:ascii="Times New Roman" w:hAnsi="Times New Roman" w:eastAsia="宋体" w:cs="Times New Roman"/>
                <w:b/>
                <w:color w:val="000000"/>
                <w:sz w:val="24"/>
                <w:szCs w:val="24"/>
                <w:highlight w:val="none"/>
                <w:lang w:val="en-US" w:eastAsia="zh-CN"/>
              </w:rPr>
              <w:t>2-1</w:t>
            </w:r>
            <w:r>
              <w:rPr>
                <w:rFonts w:hint="eastAsia" w:ascii="Times New Roman" w:hAnsi="Times New Roman" w:eastAsia="宋体" w:cs="Times New Roman"/>
                <w:b/>
                <w:color w:val="000000"/>
                <w:sz w:val="24"/>
                <w:szCs w:val="24"/>
                <w:highlight w:val="none"/>
                <w:lang w:val="en-US" w:eastAsia="zh-CN"/>
              </w:rPr>
              <w:t>2</w:t>
            </w:r>
            <w:r>
              <w:rPr>
                <w:rFonts w:ascii="Times New Roman" w:hAnsi="Times New Roman" w:eastAsia="宋体" w:cs="Times New Roman"/>
                <w:b/>
                <w:color w:val="000000"/>
                <w:sz w:val="24"/>
                <w:szCs w:val="24"/>
                <w:highlight w:val="none"/>
              </w:rPr>
              <w:t xml:space="preserve">  污染物产生点及处置措施</w:t>
            </w:r>
            <w:r>
              <w:rPr>
                <w:rFonts w:ascii="Times New Roman" w:hAnsi="Times New Roman" w:eastAsia="宋体" w:cs="Times New Roman"/>
                <w:b/>
                <w:color w:val="000000"/>
                <w:sz w:val="24"/>
                <w:szCs w:val="24"/>
                <w:highlight w:val="none"/>
                <w:lang w:val="en-US" w:eastAsia="zh-CN"/>
              </w:rPr>
              <w:t>一览表</w:t>
            </w:r>
          </w:p>
          <w:tbl>
            <w:tblPr>
              <w:tblStyle w:val="2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6"/>
              <w:gridCol w:w="1238"/>
              <w:gridCol w:w="1439"/>
              <w:gridCol w:w="781"/>
              <w:gridCol w:w="3781"/>
              <w:gridCol w:w="824"/>
            </w:tblGrid>
            <w:tr w14:paraId="7F184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noWrap w:val="0"/>
                  <w:vAlign w:val="center"/>
                </w:tcPr>
                <w:p w14:paraId="47DDF699">
                  <w:pPr>
                    <w:jc w:val="center"/>
                    <w:rPr>
                      <w:b/>
                      <w:color w:val="000000"/>
                      <w:sz w:val="21"/>
                      <w:szCs w:val="21"/>
                      <w:highlight w:val="none"/>
                    </w:rPr>
                  </w:pPr>
                  <w:r>
                    <w:rPr>
                      <w:b/>
                      <w:color w:val="000000"/>
                      <w:sz w:val="21"/>
                      <w:szCs w:val="21"/>
                      <w:highlight w:val="none"/>
                    </w:rPr>
                    <w:t>项目</w:t>
                  </w:r>
                </w:p>
              </w:tc>
              <w:tc>
                <w:tcPr>
                  <w:tcW w:w="704" w:type="dxa"/>
                  <w:noWrap w:val="0"/>
                  <w:vAlign w:val="center"/>
                </w:tcPr>
                <w:p w14:paraId="682F1726">
                  <w:pPr>
                    <w:jc w:val="center"/>
                    <w:rPr>
                      <w:b/>
                      <w:color w:val="000000"/>
                      <w:sz w:val="21"/>
                      <w:szCs w:val="21"/>
                      <w:highlight w:val="none"/>
                    </w:rPr>
                  </w:pPr>
                  <w:r>
                    <w:rPr>
                      <w:b/>
                      <w:color w:val="000000"/>
                      <w:sz w:val="21"/>
                      <w:szCs w:val="21"/>
                      <w:highlight w:val="none"/>
                    </w:rPr>
                    <w:t>产污环节</w:t>
                  </w:r>
                </w:p>
              </w:tc>
              <w:tc>
                <w:tcPr>
                  <w:tcW w:w="818" w:type="dxa"/>
                  <w:noWrap w:val="0"/>
                  <w:vAlign w:val="center"/>
                </w:tcPr>
                <w:p w14:paraId="0F3ACF0A">
                  <w:pPr>
                    <w:jc w:val="center"/>
                    <w:rPr>
                      <w:b/>
                      <w:color w:val="000000"/>
                      <w:sz w:val="21"/>
                      <w:szCs w:val="21"/>
                      <w:highlight w:val="none"/>
                    </w:rPr>
                  </w:pPr>
                  <w:r>
                    <w:rPr>
                      <w:b/>
                      <w:color w:val="000000"/>
                      <w:sz w:val="21"/>
                      <w:szCs w:val="21"/>
                      <w:highlight w:val="none"/>
                    </w:rPr>
                    <w:t>污染物</w:t>
                  </w:r>
                </w:p>
              </w:tc>
              <w:tc>
                <w:tcPr>
                  <w:tcW w:w="444" w:type="dxa"/>
                  <w:noWrap w:val="0"/>
                  <w:vAlign w:val="center"/>
                </w:tcPr>
                <w:p w14:paraId="2349718D">
                  <w:pPr>
                    <w:jc w:val="center"/>
                    <w:rPr>
                      <w:b/>
                      <w:color w:val="000000"/>
                      <w:sz w:val="21"/>
                      <w:szCs w:val="21"/>
                      <w:highlight w:val="none"/>
                    </w:rPr>
                  </w:pPr>
                  <w:r>
                    <w:rPr>
                      <w:b/>
                      <w:color w:val="000000"/>
                      <w:sz w:val="21"/>
                      <w:szCs w:val="21"/>
                      <w:highlight w:val="none"/>
                    </w:rPr>
                    <w:t>排放</w:t>
                  </w:r>
                </w:p>
                <w:p w14:paraId="1CC50CEB">
                  <w:pPr>
                    <w:jc w:val="center"/>
                    <w:rPr>
                      <w:b/>
                      <w:color w:val="000000"/>
                      <w:sz w:val="21"/>
                      <w:szCs w:val="21"/>
                      <w:highlight w:val="none"/>
                    </w:rPr>
                  </w:pPr>
                  <w:r>
                    <w:rPr>
                      <w:b/>
                      <w:color w:val="000000"/>
                      <w:sz w:val="21"/>
                      <w:szCs w:val="21"/>
                      <w:highlight w:val="none"/>
                    </w:rPr>
                    <w:t>特性</w:t>
                  </w:r>
                </w:p>
              </w:tc>
              <w:tc>
                <w:tcPr>
                  <w:tcW w:w="2150" w:type="dxa"/>
                  <w:noWrap w:val="0"/>
                  <w:vAlign w:val="center"/>
                </w:tcPr>
                <w:p w14:paraId="245A376D">
                  <w:pPr>
                    <w:jc w:val="center"/>
                    <w:rPr>
                      <w:b/>
                      <w:color w:val="000000"/>
                      <w:sz w:val="21"/>
                      <w:szCs w:val="21"/>
                      <w:highlight w:val="none"/>
                    </w:rPr>
                  </w:pPr>
                  <w:r>
                    <w:rPr>
                      <w:b/>
                      <w:color w:val="000000"/>
                      <w:sz w:val="21"/>
                      <w:szCs w:val="21"/>
                      <w:highlight w:val="none"/>
                    </w:rPr>
                    <w:t>治理措施</w:t>
                  </w:r>
                </w:p>
              </w:tc>
              <w:tc>
                <w:tcPr>
                  <w:tcW w:w="468" w:type="dxa"/>
                  <w:noWrap w:val="0"/>
                  <w:vAlign w:val="center"/>
                </w:tcPr>
                <w:p w14:paraId="5A3F0C30">
                  <w:pPr>
                    <w:jc w:val="center"/>
                    <w:rPr>
                      <w:rFonts w:hint="eastAsia" w:eastAsia="宋体"/>
                      <w:b/>
                      <w:color w:val="000000"/>
                      <w:sz w:val="21"/>
                      <w:szCs w:val="21"/>
                      <w:highlight w:val="none"/>
                      <w:lang w:eastAsia="zh-CN"/>
                    </w:rPr>
                  </w:pPr>
                  <w:r>
                    <w:rPr>
                      <w:rFonts w:hint="eastAsia"/>
                      <w:b/>
                      <w:color w:val="000000"/>
                      <w:sz w:val="21"/>
                      <w:szCs w:val="21"/>
                      <w:highlight w:val="none"/>
                      <w:lang w:val="en-US" w:eastAsia="zh-CN"/>
                    </w:rPr>
                    <w:t>去向</w:t>
                  </w:r>
                </w:p>
              </w:tc>
            </w:tr>
            <w:tr w14:paraId="2F655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vMerge w:val="restart"/>
                  <w:noWrap w:val="0"/>
                  <w:vAlign w:val="center"/>
                </w:tcPr>
                <w:p w14:paraId="2163069D">
                  <w:pPr>
                    <w:jc w:val="center"/>
                    <w:rPr>
                      <w:color w:val="000000"/>
                      <w:sz w:val="21"/>
                      <w:szCs w:val="21"/>
                      <w:highlight w:val="none"/>
                    </w:rPr>
                  </w:pPr>
                  <w:r>
                    <w:rPr>
                      <w:color w:val="000000"/>
                      <w:sz w:val="21"/>
                      <w:szCs w:val="21"/>
                      <w:highlight w:val="none"/>
                    </w:rPr>
                    <w:t>废气</w:t>
                  </w:r>
                </w:p>
              </w:tc>
              <w:tc>
                <w:tcPr>
                  <w:tcW w:w="704" w:type="dxa"/>
                  <w:noWrap w:val="0"/>
                  <w:vAlign w:val="center"/>
                </w:tcPr>
                <w:p w14:paraId="3AEBF259">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断料分选</w:t>
                  </w:r>
                </w:p>
              </w:tc>
              <w:tc>
                <w:tcPr>
                  <w:tcW w:w="818" w:type="dxa"/>
                  <w:noWrap w:val="0"/>
                  <w:vAlign w:val="center"/>
                </w:tcPr>
                <w:p w14:paraId="1C6C314F">
                  <w:pPr>
                    <w:widowControl/>
                    <w:spacing w:line="240" w:lineRule="auto"/>
                    <w:ind w:firstLine="0"/>
                    <w:jc w:val="center"/>
                    <w:rPr>
                      <w:rFonts w:ascii="Times New Roman" w:hAnsi="Times New Roman" w:eastAsia="宋体" w:cs="Times New Roman"/>
                      <w:b w:val="0"/>
                      <w:bCs/>
                      <w:color w:val="000000"/>
                      <w:sz w:val="21"/>
                      <w:szCs w:val="21"/>
                      <w:lang w:val="en-US" w:eastAsia="zh-CN" w:bidi="ar-SA"/>
                    </w:rPr>
                  </w:pPr>
                  <w:r>
                    <w:rPr>
                      <w:rFonts w:ascii="Times New Roman" w:hAnsi="Times New Roman" w:eastAsia="宋体" w:cs="Times New Roman"/>
                      <w:b w:val="0"/>
                      <w:bCs/>
                      <w:color w:val="000000"/>
                      <w:sz w:val="21"/>
                      <w:szCs w:val="21"/>
                      <w:lang w:val="en-US" w:eastAsia="zh-CN" w:bidi="ar-SA"/>
                    </w:rPr>
                    <w:t>颗粒物</w:t>
                  </w:r>
                </w:p>
              </w:tc>
              <w:tc>
                <w:tcPr>
                  <w:tcW w:w="444" w:type="dxa"/>
                  <w:noWrap w:val="0"/>
                  <w:vAlign w:val="center"/>
                </w:tcPr>
                <w:p w14:paraId="01944074">
                  <w:pPr>
                    <w:jc w:val="center"/>
                    <w:rPr>
                      <w:b/>
                      <w:color w:val="000000"/>
                      <w:sz w:val="21"/>
                      <w:szCs w:val="21"/>
                      <w:highlight w:val="none"/>
                    </w:rPr>
                  </w:pPr>
                  <w:r>
                    <w:rPr>
                      <w:rFonts w:hint="eastAsia" w:ascii="Times New Roman" w:hAnsi="Times New Roman" w:eastAsia="宋体" w:cs="Times New Roman"/>
                      <w:color w:val="000000"/>
                      <w:sz w:val="21"/>
                      <w:szCs w:val="21"/>
                      <w:highlight w:val="none"/>
                      <w:lang w:val="en-US" w:eastAsia="zh-CN" w:bidi="ar-SA"/>
                    </w:rPr>
                    <w:t>间断</w:t>
                  </w:r>
                </w:p>
              </w:tc>
              <w:tc>
                <w:tcPr>
                  <w:tcW w:w="2150" w:type="dxa"/>
                  <w:vMerge w:val="restart"/>
                  <w:noWrap w:val="0"/>
                  <w:vAlign w:val="center"/>
                </w:tcPr>
                <w:p w14:paraId="3C54F28F">
                  <w:pPr>
                    <w:jc w:val="center"/>
                    <w:rPr>
                      <w:rFonts w:eastAsia="宋体"/>
                      <w:b w:val="0"/>
                      <w:bCs/>
                      <w:color w:val="000000"/>
                      <w:sz w:val="21"/>
                      <w:szCs w:val="21"/>
                      <w:highlight w:val="none"/>
                      <w:lang w:val="en-US" w:eastAsia="zh-CN"/>
                    </w:rPr>
                  </w:pPr>
                  <w:r>
                    <w:rPr>
                      <w:rFonts w:hint="eastAsia"/>
                      <w:b w:val="0"/>
                      <w:bCs/>
                      <w:color w:val="000000"/>
                      <w:sz w:val="21"/>
                      <w:szCs w:val="21"/>
                      <w:highlight w:val="none"/>
                      <w:lang w:val="en-US" w:eastAsia="zh-CN"/>
                    </w:rPr>
                    <w:t>各工段废气分别经集气罩收集汇集后经一套布袋除尘器</w:t>
                  </w:r>
                  <w:r>
                    <w:rPr>
                      <w:rFonts w:ascii="Times New Roman" w:hAnsi="Times New Roman" w:eastAsia="宋体" w:cs="Times New Roman"/>
                      <w:color w:val="000000"/>
                      <w:sz w:val="21"/>
                      <w:szCs w:val="21"/>
                      <w:highlight w:val="none"/>
                      <w:lang w:val="en-US" w:eastAsia="zh-CN" w:bidi="ar-SA"/>
                    </w:rPr>
                    <w:t>（处理效率9</w:t>
                  </w:r>
                  <w:r>
                    <w:rPr>
                      <w:rFonts w:hint="eastAsia" w:ascii="Times New Roman" w:hAnsi="Times New Roman" w:eastAsia="宋体" w:cs="Times New Roman"/>
                      <w:color w:val="000000"/>
                      <w:sz w:val="21"/>
                      <w:szCs w:val="21"/>
                      <w:highlight w:val="none"/>
                      <w:lang w:val="en-US" w:eastAsia="zh-CN" w:bidi="ar-SA"/>
                    </w:rPr>
                    <w:t>0</w:t>
                  </w:r>
                  <w:r>
                    <w:rPr>
                      <w:rFonts w:ascii="Times New Roman" w:hAnsi="Times New Roman" w:eastAsia="宋体" w:cs="Times New Roman"/>
                      <w:color w:val="000000"/>
                      <w:sz w:val="21"/>
                      <w:szCs w:val="21"/>
                      <w:highlight w:val="none"/>
                      <w:lang w:val="en-US" w:eastAsia="zh-CN" w:bidi="ar-SA"/>
                    </w:rPr>
                    <w:t>%）</w:t>
                  </w:r>
                  <w:r>
                    <w:rPr>
                      <w:rFonts w:hint="eastAsia"/>
                      <w:b w:val="0"/>
                      <w:bCs/>
                      <w:color w:val="000000"/>
                      <w:sz w:val="21"/>
                      <w:szCs w:val="21"/>
                      <w:highlight w:val="none"/>
                      <w:lang w:val="en-US" w:eastAsia="zh-CN"/>
                    </w:rPr>
                    <w:t>处理后通过一根15m高排气筒（DA001）</w:t>
                  </w:r>
                  <w:r>
                    <w:rPr>
                      <w:rFonts w:ascii="Times New Roman" w:hAnsi="Times New Roman" w:eastAsia="宋体" w:cs="Times New Roman"/>
                      <w:color w:val="000000"/>
                      <w:sz w:val="21"/>
                      <w:szCs w:val="21"/>
                      <w:highlight w:val="none"/>
                      <w:lang w:val="en-US" w:eastAsia="zh-CN" w:bidi="ar-SA"/>
                    </w:rPr>
                    <w:t>排放</w:t>
                  </w:r>
                  <w:r>
                    <w:rPr>
                      <w:rFonts w:hint="eastAsia" w:ascii="Times New Roman" w:hAnsi="Times New Roman" w:eastAsia="宋体" w:cs="Times New Roman"/>
                      <w:color w:val="000000"/>
                      <w:sz w:val="21"/>
                      <w:szCs w:val="21"/>
                      <w:highlight w:val="none"/>
                      <w:lang w:val="en-US" w:eastAsia="zh-CN" w:bidi="ar-SA"/>
                    </w:rPr>
                    <w:t>。</w:t>
                  </w:r>
                </w:p>
              </w:tc>
              <w:tc>
                <w:tcPr>
                  <w:tcW w:w="468" w:type="dxa"/>
                  <w:vMerge w:val="restart"/>
                  <w:noWrap w:val="0"/>
                  <w:vAlign w:val="center"/>
                </w:tcPr>
                <w:p w14:paraId="0395B82F">
                  <w:pPr>
                    <w:jc w:val="center"/>
                    <w:rPr>
                      <w:color w:val="000000"/>
                      <w:sz w:val="21"/>
                      <w:szCs w:val="21"/>
                      <w:highlight w:val="none"/>
                    </w:rPr>
                  </w:pPr>
                  <w:r>
                    <w:rPr>
                      <w:rFonts w:hint="eastAsia"/>
                      <w:color w:val="000000"/>
                      <w:sz w:val="21"/>
                      <w:szCs w:val="21"/>
                      <w:highlight w:val="none"/>
                      <w:lang w:val="en-US" w:eastAsia="zh-CN"/>
                    </w:rPr>
                    <w:t>有</w:t>
                  </w:r>
                  <w:r>
                    <w:rPr>
                      <w:color w:val="000000"/>
                      <w:sz w:val="21"/>
                      <w:szCs w:val="21"/>
                      <w:highlight w:val="none"/>
                    </w:rPr>
                    <w:t>组织排放</w:t>
                  </w:r>
                </w:p>
              </w:tc>
            </w:tr>
            <w:tr w14:paraId="1A1FE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13" w:type="dxa"/>
                  <w:vMerge w:val="continue"/>
                  <w:noWrap w:val="0"/>
                  <w:vAlign w:val="center"/>
                </w:tcPr>
                <w:p w14:paraId="3278E390">
                  <w:pPr>
                    <w:jc w:val="center"/>
                    <w:rPr>
                      <w:color w:val="000000"/>
                      <w:sz w:val="21"/>
                      <w:szCs w:val="21"/>
                      <w:highlight w:val="none"/>
                    </w:rPr>
                  </w:pPr>
                </w:p>
              </w:tc>
              <w:tc>
                <w:tcPr>
                  <w:tcW w:w="704" w:type="dxa"/>
                  <w:noWrap w:val="0"/>
                  <w:vAlign w:val="center"/>
                </w:tcPr>
                <w:p w14:paraId="10EC93AE">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破片</w:t>
                  </w:r>
                </w:p>
              </w:tc>
              <w:tc>
                <w:tcPr>
                  <w:tcW w:w="818" w:type="dxa"/>
                  <w:noWrap w:val="0"/>
                  <w:vAlign w:val="center"/>
                </w:tcPr>
                <w:p w14:paraId="034AEE0B">
                  <w:pPr>
                    <w:keepNext w:val="0"/>
                    <w:keepLines w:val="0"/>
                    <w:pageBreakBefore w:val="0"/>
                    <w:jc w:val="center"/>
                    <w:rPr>
                      <w:rFonts w:ascii="Times New Roman" w:hAnsi="Times New Roman" w:eastAsia="宋体" w:cs="Times New Roman"/>
                      <w:b w:val="0"/>
                      <w:bCs w:val="0"/>
                      <w:color w:val="000000"/>
                      <w:spacing w:val="2"/>
                      <w:sz w:val="21"/>
                      <w:szCs w:val="21"/>
                      <w:lang w:val="en-US" w:eastAsia="zh-CN" w:bidi="ar-SA"/>
                    </w:rPr>
                  </w:pPr>
                  <w:r>
                    <w:rPr>
                      <w:rFonts w:ascii="Times New Roman" w:hAnsi="Times New Roman" w:eastAsia="宋体" w:cs="Times New Roman"/>
                      <w:b w:val="0"/>
                      <w:bCs w:val="0"/>
                      <w:color w:val="000000"/>
                      <w:spacing w:val="2"/>
                      <w:sz w:val="21"/>
                      <w:szCs w:val="21"/>
                      <w:lang w:val="en-US" w:eastAsia="zh-CN"/>
                    </w:rPr>
                    <w:t>颗粒物</w:t>
                  </w:r>
                </w:p>
              </w:tc>
              <w:tc>
                <w:tcPr>
                  <w:tcW w:w="444" w:type="dxa"/>
                  <w:noWrap w:val="0"/>
                  <w:vAlign w:val="center"/>
                </w:tcPr>
                <w:p w14:paraId="63BF08E2">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间断</w:t>
                  </w:r>
                </w:p>
              </w:tc>
              <w:tc>
                <w:tcPr>
                  <w:tcW w:w="2150" w:type="dxa"/>
                  <w:vMerge w:val="continue"/>
                  <w:noWrap w:val="0"/>
                  <w:vAlign w:val="center"/>
                </w:tcPr>
                <w:p w14:paraId="2EE2934A">
                  <w:pPr>
                    <w:jc w:val="center"/>
                    <w:rPr>
                      <w:rFonts w:hint="eastAsia" w:eastAsia="宋体"/>
                      <w:b w:val="0"/>
                      <w:bCs/>
                      <w:color w:val="000000"/>
                      <w:sz w:val="21"/>
                      <w:szCs w:val="21"/>
                      <w:highlight w:val="none"/>
                      <w:lang w:eastAsia="zh-CN"/>
                    </w:rPr>
                  </w:pPr>
                </w:p>
              </w:tc>
              <w:tc>
                <w:tcPr>
                  <w:tcW w:w="468" w:type="dxa"/>
                  <w:vMerge w:val="continue"/>
                  <w:noWrap w:val="0"/>
                  <w:vAlign w:val="center"/>
                </w:tcPr>
                <w:p w14:paraId="7692AD59">
                  <w:pPr>
                    <w:jc w:val="center"/>
                    <w:rPr>
                      <w:color w:val="000000"/>
                      <w:sz w:val="21"/>
                      <w:szCs w:val="21"/>
                      <w:highlight w:val="none"/>
                    </w:rPr>
                  </w:pPr>
                </w:p>
              </w:tc>
            </w:tr>
            <w:tr w14:paraId="3381C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vMerge w:val="continue"/>
                  <w:noWrap w:val="0"/>
                  <w:vAlign w:val="center"/>
                </w:tcPr>
                <w:p w14:paraId="1C687801">
                  <w:pPr>
                    <w:jc w:val="center"/>
                    <w:rPr>
                      <w:color w:val="000000"/>
                      <w:sz w:val="21"/>
                      <w:szCs w:val="21"/>
                      <w:highlight w:val="none"/>
                    </w:rPr>
                  </w:pPr>
                </w:p>
              </w:tc>
              <w:tc>
                <w:tcPr>
                  <w:tcW w:w="704" w:type="dxa"/>
                  <w:noWrap w:val="0"/>
                  <w:vAlign w:val="center"/>
                </w:tcPr>
                <w:p w14:paraId="0A6BAC73">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清边</w:t>
                  </w:r>
                </w:p>
              </w:tc>
              <w:tc>
                <w:tcPr>
                  <w:tcW w:w="818" w:type="dxa"/>
                  <w:noWrap w:val="0"/>
                  <w:vAlign w:val="center"/>
                </w:tcPr>
                <w:p w14:paraId="2C9BECA5">
                  <w:pPr>
                    <w:widowControl/>
                    <w:spacing w:line="240" w:lineRule="auto"/>
                    <w:ind w:firstLine="0"/>
                    <w:jc w:val="center"/>
                    <w:rPr>
                      <w:rFonts w:ascii="Times New Roman" w:hAnsi="Times New Roman" w:eastAsia="宋体" w:cs="Times New Roman"/>
                      <w:b w:val="0"/>
                      <w:bCs w:val="0"/>
                      <w:color w:val="000000"/>
                      <w:spacing w:val="2"/>
                      <w:sz w:val="21"/>
                      <w:szCs w:val="21"/>
                      <w:lang w:val="en-US" w:eastAsia="zh-CN"/>
                    </w:rPr>
                  </w:pPr>
                  <w:r>
                    <w:rPr>
                      <w:rFonts w:ascii="Times New Roman" w:hAnsi="Times New Roman" w:eastAsia="宋体" w:cs="Times New Roman"/>
                      <w:b w:val="0"/>
                      <w:bCs w:val="0"/>
                      <w:color w:val="000000"/>
                      <w:spacing w:val="2"/>
                      <w:sz w:val="21"/>
                      <w:szCs w:val="21"/>
                      <w:lang w:val="en-US" w:eastAsia="zh-CN"/>
                    </w:rPr>
                    <w:t>颗粒物</w:t>
                  </w:r>
                </w:p>
              </w:tc>
              <w:tc>
                <w:tcPr>
                  <w:tcW w:w="444" w:type="dxa"/>
                  <w:noWrap w:val="0"/>
                  <w:vAlign w:val="center"/>
                </w:tcPr>
                <w:p w14:paraId="4CF32808">
                  <w:pPr>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间断</w:t>
                  </w:r>
                </w:p>
              </w:tc>
              <w:tc>
                <w:tcPr>
                  <w:tcW w:w="2150" w:type="dxa"/>
                  <w:vMerge w:val="continue"/>
                  <w:noWrap w:val="0"/>
                  <w:vAlign w:val="center"/>
                </w:tcPr>
                <w:p w14:paraId="07CDF034">
                  <w:pPr>
                    <w:jc w:val="center"/>
                    <w:rPr>
                      <w:b w:val="0"/>
                      <w:bCs/>
                      <w:color w:val="000000"/>
                      <w:sz w:val="21"/>
                      <w:szCs w:val="21"/>
                      <w:highlight w:val="none"/>
                      <w:lang w:val="en-US" w:eastAsia="zh-CN" w:bidi="ar-SA"/>
                    </w:rPr>
                  </w:pPr>
                </w:p>
              </w:tc>
              <w:tc>
                <w:tcPr>
                  <w:tcW w:w="468" w:type="dxa"/>
                  <w:vMerge w:val="continue"/>
                  <w:noWrap w:val="0"/>
                  <w:vAlign w:val="center"/>
                </w:tcPr>
                <w:p w14:paraId="7BA36B63">
                  <w:pPr>
                    <w:jc w:val="center"/>
                    <w:rPr>
                      <w:color w:val="000000"/>
                      <w:sz w:val="21"/>
                      <w:szCs w:val="21"/>
                      <w:highlight w:val="none"/>
                    </w:rPr>
                  </w:pPr>
                </w:p>
              </w:tc>
            </w:tr>
            <w:tr w14:paraId="2A210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vMerge w:val="continue"/>
                  <w:noWrap w:val="0"/>
                  <w:vAlign w:val="center"/>
                </w:tcPr>
                <w:p w14:paraId="56CAB685">
                  <w:pPr>
                    <w:jc w:val="center"/>
                    <w:rPr>
                      <w:color w:val="000000"/>
                      <w:sz w:val="21"/>
                      <w:szCs w:val="21"/>
                      <w:highlight w:val="none"/>
                    </w:rPr>
                  </w:pPr>
                </w:p>
              </w:tc>
              <w:tc>
                <w:tcPr>
                  <w:tcW w:w="704" w:type="dxa"/>
                  <w:noWrap w:val="0"/>
                  <w:vAlign w:val="center"/>
                </w:tcPr>
                <w:p w14:paraId="250F1E87">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裁边</w:t>
                  </w:r>
                </w:p>
              </w:tc>
              <w:tc>
                <w:tcPr>
                  <w:tcW w:w="818" w:type="dxa"/>
                  <w:noWrap w:val="0"/>
                  <w:vAlign w:val="center"/>
                </w:tcPr>
                <w:p w14:paraId="2A76D1B3">
                  <w:pPr>
                    <w:widowControl/>
                    <w:spacing w:line="240" w:lineRule="auto"/>
                    <w:ind w:firstLine="0"/>
                    <w:jc w:val="center"/>
                    <w:rPr>
                      <w:rFonts w:ascii="Times New Roman" w:hAnsi="Times New Roman" w:eastAsia="宋体" w:cs="Times New Roman"/>
                      <w:b w:val="0"/>
                      <w:bCs/>
                      <w:color w:val="000000"/>
                      <w:sz w:val="21"/>
                      <w:szCs w:val="21"/>
                      <w:lang w:val="en-US" w:eastAsia="zh-CN" w:bidi="ar-SA"/>
                    </w:rPr>
                  </w:pPr>
                  <w:r>
                    <w:rPr>
                      <w:rFonts w:ascii="Times New Roman" w:hAnsi="Times New Roman" w:eastAsia="宋体" w:cs="Times New Roman"/>
                      <w:b w:val="0"/>
                      <w:bCs w:val="0"/>
                      <w:color w:val="000000"/>
                      <w:spacing w:val="2"/>
                      <w:sz w:val="21"/>
                      <w:szCs w:val="21"/>
                      <w:lang w:val="en-US" w:eastAsia="zh-CN"/>
                    </w:rPr>
                    <w:t>颗粒物</w:t>
                  </w:r>
                </w:p>
              </w:tc>
              <w:tc>
                <w:tcPr>
                  <w:tcW w:w="444" w:type="dxa"/>
                  <w:noWrap w:val="0"/>
                  <w:vAlign w:val="center"/>
                </w:tcPr>
                <w:p w14:paraId="0969BCAF">
                  <w:pPr>
                    <w:jc w:val="center"/>
                    <w:rPr>
                      <w:rFonts w:hint="eastAsia" w:eastAsia="宋体"/>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间断</w:t>
                  </w:r>
                </w:p>
              </w:tc>
              <w:tc>
                <w:tcPr>
                  <w:tcW w:w="2150" w:type="dxa"/>
                  <w:vMerge w:val="continue"/>
                  <w:noWrap w:val="0"/>
                  <w:vAlign w:val="center"/>
                </w:tcPr>
                <w:p w14:paraId="3F06D528">
                  <w:pPr>
                    <w:jc w:val="center"/>
                    <w:rPr>
                      <w:b w:val="0"/>
                      <w:bCs/>
                      <w:color w:val="000000"/>
                      <w:sz w:val="21"/>
                      <w:szCs w:val="21"/>
                      <w:highlight w:val="none"/>
                      <w:lang w:val="en-US" w:eastAsia="zh-CN" w:bidi="ar-SA"/>
                    </w:rPr>
                  </w:pPr>
                </w:p>
              </w:tc>
              <w:tc>
                <w:tcPr>
                  <w:tcW w:w="468" w:type="dxa"/>
                  <w:vMerge w:val="continue"/>
                  <w:noWrap w:val="0"/>
                  <w:vAlign w:val="center"/>
                </w:tcPr>
                <w:p w14:paraId="15B7384A">
                  <w:pPr>
                    <w:jc w:val="center"/>
                    <w:rPr>
                      <w:color w:val="000000"/>
                      <w:sz w:val="21"/>
                      <w:szCs w:val="21"/>
                      <w:highlight w:val="none"/>
                    </w:rPr>
                  </w:pPr>
                </w:p>
              </w:tc>
            </w:tr>
            <w:tr w14:paraId="29661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413" w:type="dxa"/>
                  <w:vMerge w:val="continue"/>
                  <w:noWrap w:val="0"/>
                  <w:vAlign w:val="center"/>
                </w:tcPr>
                <w:p w14:paraId="5F880AC7">
                  <w:pPr>
                    <w:jc w:val="center"/>
                    <w:rPr>
                      <w:color w:val="000000"/>
                      <w:sz w:val="21"/>
                      <w:szCs w:val="21"/>
                      <w:highlight w:val="none"/>
                    </w:rPr>
                  </w:pPr>
                </w:p>
              </w:tc>
              <w:tc>
                <w:tcPr>
                  <w:tcW w:w="704" w:type="dxa"/>
                  <w:noWrap w:val="0"/>
                  <w:vAlign w:val="center"/>
                </w:tcPr>
                <w:p w14:paraId="4AE5AF44">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烘干</w:t>
                  </w:r>
                </w:p>
              </w:tc>
              <w:tc>
                <w:tcPr>
                  <w:tcW w:w="818" w:type="dxa"/>
                  <w:noWrap w:val="0"/>
                  <w:vAlign w:val="center"/>
                </w:tcPr>
                <w:p w14:paraId="370A450A">
                  <w:pPr>
                    <w:widowControl/>
                    <w:spacing w:line="240" w:lineRule="auto"/>
                    <w:ind w:firstLine="0"/>
                    <w:jc w:val="center"/>
                    <w:rPr>
                      <w:rFonts w:ascii="Times New Roman" w:hAnsi="Times New Roman" w:eastAsia="宋体" w:cs="Times New Roman"/>
                      <w:b w:val="0"/>
                      <w:bCs/>
                      <w:color w:val="000000"/>
                      <w:sz w:val="21"/>
                      <w:szCs w:val="21"/>
                      <w:lang w:val="en-US" w:eastAsia="zh-CN" w:bidi="ar-SA"/>
                    </w:rPr>
                  </w:pPr>
                  <w:r>
                    <w:rPr>
                      <w:rFonts w:hint="eastAsia" w:ascii="Times New Roman" w:hAnsi="Times New Roman" w:eastAsia="宋体" w:cs="Times New Roman"/>
                      <w:b w:val="0"/>
                      <w:bCs/>
                      <w:color w:val="000000"/>
                      <w:sz w:val="21"/>
                      <w:szCs w:val="21"/>
                      <w:lang w:val="en-US" w:eastAsia="zh-CN" w:bidi="ar-SA"/>
                    </w:rPr>
                    <w:t>非甲烷总烃</w:t>
                  </w:r>
                </w:p>
              </w:tc>
              <w:tc>
                <w:tcPr>
                  <w:tcW w:w="444" w:type="dxa"/>
                  <w:noWrap w:val="0"/>
                  <w:vAlign w:val="center"/>
                </w:tcPr>
                <w:p w14:paraId="0648AE72">
                  <w:pPr>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间断</w:t>
                  </w:r>
                </w:p>
              </w:tc>
              <w:tc>
                <w:tcPr>
                  <w:tcW w:w="2150" w:type="dxa"/>
                  <w:vMerge w:val="restart"/>
                  <w:noWrap w:val="0"/>
                  <w:vAlign w:val="center"/>
                </w:tcPr>
                <w:p w14:paraId="2B79CB35">
                  <w:pPr>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val="0"/>
                      <w:sz w:val="21"/>
                      <w:szCs w:val="21"/>
                      <w:lang w:val="en-US" w:eastAsia="zh-CN"/>
                    </w:rPr>
                    <w:t>项目烘干房为全密闭式，设置集气管直接连接烘干房，并在涂胶工段设置集气罩（集气罩尺寸大于工段尺寸，罩口距离废气源高度约0.4m），木料烘干、涂胶过程产生的废气分别收集后统一汇集到一套活性炭吸附装置</w:t>
                  </w:r>
                  <w:r>
                    <w:rPr>
                      <w:rFonts w:hint="eastAsia" w:ascii="Times New Roman" w:hAnsi="Times New Roman" w:eastAsia="宋体" w:cs="Times New Roman"/>
                      <w:b w:val="0"/>
                      <w:bCs w:val="0"/>
                      <w:sz w:val="21"/>
                      <w:szCs w:val="21"/>
                      <w:lang w:val="en-US" w:eastAsia="zh-CN"/>
                    </w:rPr>
                    <w:t>（</w:t>
                  </w:r>
                  <w:r>
                    <w:rPr>
                      <w:rFonts w:hint="eastAsia" w:ascii="Times New Roman" w:hAnsi="Times New Roman" w:eastAsia="宋体" w:cs="Times New Roman"/>
                      <w:b w:val="0"/>
                      <w:bCs w:val="0"/>
                      <w:color w:val="000000"/>
                      <w:sz w:val="21"/>
                      <w:szCs w:val="21"/>
                      <w:highlight w:val="none"/>
                      <w:lang w:val="en-US" w:eastAsia="zh-CN"/>
                    </w:rPr>
                    <w:t>处理效率70%</w:t>
                  </w:r>
                  <w:r>
                    <w:rPr>
                      <w:rFonts w:hint="eastAsia" w:ascii="Times New Roman" w:hAnsi="Times New Roman" w:eastAsia="宋体" w:cs="Times New Roman"/>
                      <w:b w:val="0"/>
                      <w:bCs w:val="0"/>
                      <w:sz w:val="21"/>
                      <w:szCs w:val="21"/>
                      <w:lang w:val="en-US" w:eastAsia="zh-CN"/>
                    </w:rPr>
                    <w:t>）</w:t>
                  </w:r>
                  <w:r>
                    <w:rPr>
                      <w:rFonts w:ascii="Times New Roman" w:hAnsi="Times New Roman" w:eastAsia="宋体" w:cs="Times New Roman"/>
                      <w:b w:val="0"/>
                      <w:bCs w:val="0"/>
                      <w:sz w:val="21"/>
                      <w:szCs w:val="21"/>
                      <w:lang w:val="en-US" w:eastAsia="zh-CN"/>
                    </w:rPr>
                    <w:t>处理</w:t>
                  </w:r>
                  <w:r>
                    <w:rPr>
                      <w:rFonts w:hint="eastAsia" w:ascii="Times New Roman" w:hAnsi="Times New Roman" w:eastAsia="宋体" w:cs="Times New Roman"/>
                      <w:b w:val="0"/>
                      <w:bCs w:val="0"/>
                      <w:sz w:val="21"/>
                      <w:szCs w:val="21"/>
                      <w:lang w:val="en-US" w:eastAsia="zh-CN"/>
                    </w:rPr>
                    <w:t>，处理</w:t>
                  </w:r>
                  <w:r>
                    <w:rPr>
                      <w:rFonts w:ascii="Times New Roman" w:hAnsi="Times New Roman" w:eastAsia="宋体" w:cs="Times New Roman"/>
                      <w:b w:val="0"/>
                      <w:bCs w:val="0"/>
                      <w:sz w:val="21"/>
                      <w:szCs w:val="21"/>
                      <w:lang w:val="en-US" w:eastAsia="zh-CN"/>
                    </w:rPr>
                    <w:t>后通过一根15m高的排气筒（DA002）排放</w:t>
                  </w:r>
                  <w:r>
                    <w:rPr>
                      <w:rFonts w:hint="eastAsia" w:ascii="Times New Roman" w:hAnsi="Times New Roman" w:eastAsia="宋体" w:cs="Times New Roman"/>
                      <w:b w:val="0"/>
                      <w:bCs w:val="0"/>
                      <w:sz w:val="21"/>
                      <w:szCs w:val="21"/>
                      <w:lang w:val="en-US" w:eastAsia="zh-CN"/>
                    </w:rPr>
                    <w:t>。</w:t>
                  </w:r>
                </w:p>
              </w:tc>
              <w:tc>
                <w:tcPr>
                  <w:tcW w:w="468" w:type="dxa"/>
                  <w:vMerge w:val="restart"/>
                  <w:noWrap w:val="0"/>
                  <w:vAlign w:val="center"/>
                </w:tcPr>
                <w:p w14:paraId="41130002">
                  <w:pPr>
                    <w:jc w:val="center"/>
                    <w:rPr>
                      <w:color w:val="000000"/>
                      <w:sz w:val="21"/>
                      <w:szCs w:val="21"/>
                      <w:highlight w:val="none"/>
                    </w:rPr>
                  </w:pPr>
                  <w:r>
                    <w:rPr>
                      <w:rFonts w:hint="eastAsia"/>
                      <w:color w:val="000000"/>
                      <w:sz w:val="21"/>
                      <w:szCs w:val="21"/>
                      <w:highlight w:val="none"/>
                      <w:lang w:val="en-US" w:eastAsia="zh-CN"/>
                    </w:rPr>
                    <w:t>有</w:t>
                  </w:r>
                  <w:r>
                    <w:rPr>
                      <w:color w:val="000000"/>
                      <w:sz w:val="21"/>
                      <w:szCs w:val="21"/>
                      <w:highlight w:val="none"/>
                    </w:rPr>
                    <w:t>组织排放</w:t>
                  </w:r>
                </w:p>
              </w:tc>
            </w:tr>
            <w:tr w14:paraId="35B39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jc w:val="center"/>
              </w:trPr>
              <w:tc>
                <w:tcPr>
                  <w:tcW w:w="413" w:type="dxa"/>
                  <w:vMerge w:val="continue"/>
                  <w:noWrap w:val="0"/>
                  <w:vAlign w:val="center"/>
                </w:tcPr>
                <w:p w14:paraId="6AC55098">
                  <w:pPr>
                    <w:jc w:val="center"/>
                  </w:pPr>
                </w:p>
                <w:p w14:paraId="1D6B7499">
                  <w:pPr>
                    <w:pStyle w:val="2"/>
                  </w:pPr>
                </w:p>
              </w:tc>
              <w:tc>
                <w:tcPr>
                  <w:tcW w:w="704" w:type="dxa"/>
                  <w:noWrap w:val="0"/>
                  <w:vAlign w:val="center"/>
                </w:tcPr>
                <w:p w14:paraId="64542CA4">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涂胶</w:t>
                  </w:r>
                </w:p>
              </w:tc>
              <w:tc>
                <w:tcPr>
                  <w:tcW w:w="818" w:type="dxa"/>
                  <w:noWrap w:val="0"/>
                  <w:vAlign w:val="center"/>
                </w:tcPr>
                <w:p w14:paraId="60751598">
                  <w:pPr>
                    <w:widowControl/>
                    <w:spacing w:line="240" w:lineRule="auto"/>
                    <w:ind w:firstLine="0"/>
                    <w:jc w:val="center"/>
                    <w:rPr>
                      <w:rFonts w:hint="eastAsia" w:ascii="Times New Roman" w:hAnsi="Times New Roman" w:eastAsia="宋体" w:cs="Times New Roman"/>
                      <w:b w:val="0"/>
                      <w:bCs/>
                      <w:color w:val="000000"/>
                      <w:sz w:val="21"/>
                      <w:szCs w:val="21"/>
                      <w:lang w:val="en-US" w:eastAsia="zh-CN" w:bidi="ar-SA"/>
                    </w:rPr>
                  </w:pPr>
                  <w:r>
                    <w:rPr>
                      <w:rFonts w:hint="eastAsia" w:ascii="Times New Roman" w:hAnsi="Times New Roman" w:eastAsia="宋体" w:cs="Times New Roman"/>
                      <w:b w:val="0"/>
                      <w:bCs/>
                      <w:color w:val="000000"/>
                      <w:sz w:val="21"/>
                      <w:szCs w:val="21"/>
                      <w:lang w:val="en-US" w:eastAsia="zh-CN" w:bidi="ar-SA"/>
                    </w:rPr>
                    <w:t>甲醛</w:t>
                  </w:r>
                </w:p>
              </w:tc>
              <w:tc>
                <w:tcPr>
                  <w:tcW w:w="444" w:type="dxa"/>
                  <w:noWrap w:val="0"/>
                  <w:vAlign w:val="center"/>
                </w:tcPr>
                <w:p w14:paraId="27AED74D">
                  <w:pPr>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间断</w:t>
                  </w:r>
                </w:p>
              </w:tc>
              <w:tc>
                <w:tcPr>
                  <w:tcW w:w="2150" w:type="dxa"/>
                  <w:vMerge w:val="continue"/>
                  <w:noWrap w:val="0"/>
                  <w:vAlign w:val="center"/>
                </w:tcPr>
                <w:p w14:paraId="1AD2C29E">
                  <w:pPr>
                    <w:jc w:val="center"/>
                    <w:rPr>
                      <w:rFonts w:hint="eastAsia" w:ascii="Times New Roman" w:hAnsi="Times New Roman" w:eastAsia="宋体" w:cs="Times New Roman"/>
                      <w:b w:val="0"/>
                      <w:bCs/>
                      <w:color w:val="000000"/>
                      <w:sz w:val="21"/>
                      <w:szCs w:val="21"/>
                      <w:highlight w:val="none"/>
                      <w:lang w:val="en-US" w:eastAsia="zh-CN"/>
                    </w:rPr>
                  </w:pPr>
                </w:p>
              </w:tc>
              <w:tc>
                <w:tcPr>
                  <w:tcW w:w="468" w:type="dxa"/>
                  <w:vMerge w:val="continue"/>
                  <w:noWrap w:val="0"/>
                  <w:vAlign w:val="center"/>
                </w:tcPr>
                <w:p w14:paraId="2E529729">
                  <w:pPr>
                    <w:jc w:val="center"/>
                    <w:rPr>
                      <w:rFonts w:hint="eastAsia"/>
                      <w:color w:val="000000"/>
                      <w:sz w:val="21"/>
                      <w:szCs w:val="21"/>
                      <w:highlight w:val="none"/>
                      <w:lang w:val="en-US" w:eastAsia="zh-CN"/>
                    </w:rPr>
                  </w:pPr>
                </w:p>
              </w:tc>
            </w:tr>
            <w:tr w14:paraId="2C7AB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vMerge w:val="continue"/>
                  <w:noWrap w:val="0"/>
                  <w:vAlign w:val="center"/>
                </w:tcPr>
                <w:p w14:paraId="044BFC79">
                  <w:pPr>
                    <w:jc w:val="center"/>
                    <w:rPr>
                      <w:color w:val="000000"/>
                      <w:sz w:val="21"/>
                      <w:szCs w:val="21"/>
                      <w:highlight w:val="none"/>
                    </w:rPr>
                  </w:pPr>
                </w:p>
              </w:tc>
              <w:tc>
                <w:tcPr>
                  <w:tcW w:w="704" w:type="dxa"/>
                  <w:noWrap w:val="0"/>
                  <w:vAlign w:val="center"/>
                </w:tcPr>
                <w:p w14:paraId="6783A2D3">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锅炉燃烧</w:t>
                  </w:r>
                </w:p>
              </w:tc>
              <w:tc>
                <w:tcPr>
                  <w:tcW w:w="818" w:type="dxa"/>
                  <w:noWrap w:val="0"/>
                  <w:vAlign w:val="center"/>
                </w:tcPr>
                <w:p w14:paraId="047C69E2">
                  <w:pPr>
                    <w:widowControl/>
                    <w:spacing w:line="240" w:lineRule="auto"/>
                    <w:ind w:firstLine="0"/>
                    <w:jc w:val="center"/>
                    <w:rPr>
                      <w:rFonts w:ascii="Times New Roman" w:hAnsi="Times New Roman" w:eastAsia="宋体" w:cs="Times New Roman"/>
                      <w:b w:val="0"/>
                      <w:bCs/>
                      <w:color w:val="000000"/>
                      <w:sz w:val="21"/>
                      <w:szCs w:val="21"/>
                      <w:lang w:val="en-US" w:eastAsia="zh-CN" w:bidi="ar-SA"/>
                    </w:rPr>
                  </w:pPr>
                  <w:r>
                    <w:rPr>
                      <w:rFonts w:ascii="Times New Roman" w:hAnsi="Times New Roman" w:eastAsia="宋体" w:cs="Times New Roman"/>
                      <w:b w:val="0"/>
                      <w:bCs w:val="0"/>
                      <w:color w:val="000000"/>
                      <w:spacing w:val="2"/>
                      <w:sz w:val="21"/>
                      <w:szCs w:val="21"/>
                      <w:lang w:val="en-US" w:eastAsia="zh-CN"/>
                    </w:rPr>
                    <w:t>颗粒物</w:t>
                  </w:r>
                  <w:r>
                    <w:rPr>
                      <w:rFonts w:hint="eastAsia" w:ascii="Times New Roman" w:hAnsi="Times New Roman" w:eastAsia="宋体" w:cs="Times New Roman"/>
                      <w:b w:val="0"/>
                      <w:bCs w:val="0"/>
                      <w:color w:val="000000"/>
                      <w:spacing w:val="2"/>
                      <w:sz w:val="21"/>
                      <w:szCs w:val="21"/>
                      <w:lang w:val="en-US" w:eastAsia="zh-CN"/>
                    </w:rPr>
                    <w:t>、SO</w:t>
                  </w:r>
                  <w:r>
                    <w:rPr>
                      <w:rFonts w:hint="eastAsia" w:ascii="Times New Roman" w:hAnsi="Times New Roman" w:eastAsia="宋体" w:cs="Times New Roman"/>
                      <w:b w:val="0"/>
                      <w:bCs w:val="0"/>
                      <w:color w:val="000000"/>
                      <w:spacing w:val="2"/>
                      <w:sz w:val="21"/>
                      <w:szCs w:val="21"/>
                      <w:vertAlign w:val="subscript"/>
                      <w:lang w:val="en-US" w:eastAsia="zh-CN"/>
                    </w:rPr>
                    <w:t>2</w:t>
                  </w:r>
                  <w:r>
                    <w:rPr>
                      <w:rFonts w:hint="eastAsia" w:ascii="Times New Roman" w:hAnsi="Times New Roman" w:eastAsia="宋体" w:cs="Times New Roman"/>
                      <w:b w:val="0"/>
                      <w:bCs w:val="0"/>
                      <w:color w:val="000000"/>
                      <w:spacing w:val="2"/>
                      <w:sz w:val="21"/>
                      <w:szCs w:val="21"/>
                      <w:lang w:val="en-US" w:eastAsia="zh-CN"/>
                    </w:rPr>
                    <w:t>、NOx</w:t>
                  </w:r>
                </w:p>
              </w:tc>
              <w:tc>
                <w:tcPr>
                  <w:tcW w:w="444" w:type="dxa"/>
                  <w:noWrap w:val="0"/>
                  <w:vAlign w:val="center"/>
                </w:tcPr>
                <w:p w14:paraId="154E41DF">
                  <w:pPr>
                    <w:jc w:val="center"/>
                    <w:rPr>
                      <w:rFonts w:hint="eastAsia" w:eastAsia="宋体"/>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bidi="ar-SA"/>
                    </w:rPr>
                    <w:t>间断</w:t>
                  </w:r>
                </w:p>
              </w:tc>
              <w:tc>
                <w:tcPr>
                  <w:tcW w:w="2150" w:type="dxa"/>
                  <w:noWrap w:val="0"/>
                  <w:vAlign w:val="center"/>
                </w:tcPr>
                <w:p w14:paraId="7782F2C4">
                  <w:pPr>
                    <w:jc w:val="center"/>
                    <w:rPr>
                      <w:rFonts w:eastAsia="宋体"/>
                      <w:b w:val="0"/>
                      <w:bCs/>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bidi="ar-SA"/>
                    </w:rPr>
                    <w:t>烟气经一套布袋除尘器</w:t>
                  </w:r>
                  <w:r>
                    <w:rPr>
                      <w:rFonts w:ascii="Times New Roman" w:hAnsi="Times New Roman" w:eastAsia="宋体" w:cs="Times New Roman"/>
                      <w:color w:val="000000"/>
                      <w:sz w:val="21"/>
                      <w:szCs w:val="21"/>
                      <w:highlight w:val="none"/>
                      <w:lang w:val="en-US" w:eastAsia="zh-CN" w:bidi="ar-SA"/>
                    </w:rPr>
                    <w:t>（处理效率</w:t>
                  </w:r>
                  <w:r>
                    <w:rPr>
                      <w:rFonts w:hint="eastAsia" w:ascii="Times New Roman" w:hAnsi="Times New Roman" w:eastAsia="宋体" w:cs="Times New Roman"/>
                      <w:color w:val="000000"/>
                      <w:sz w:val="21"/>
                      <w:szCs w:val="21"/>
                      <w:highlight w:val="none"/>
                      <w:lang w:val="en-US" w:eastAsia="zh-CN" w:bidi="ar-SA"/>
                    </w:rPr>
                    <w:t>90</w:t>
                  </w:r>
                  <w:r>
                    <w:rPr>
                      <w:rFonts w:ascii="Times New Roman" w:hAnsi="Times New Roman" w:eastAsia="宋体" w:cs="Times New Roman"/>
                      <w:color w:val="000000"/>
                      <w:sz w:val="21"/>
                      <w:szCs w:val="21"/>
                      <w:highlight w:val="none"/>
                      <w:lang w:val="en-US" w:eastAsia="zh-CN" w:bidi="ar-SA"/>
                    </w:rPr>
                    <w:t>%）</w:t>
                  </w:r>
                  <w:r>
                    <w:rPr>
                      <w:rFonts w:hint="eastAsia" w:ascii="Times New Roman" w:hAnsi="Times New Roman" w:eastAsia="宋体" w:cs="Times New Roman"/>
                      <w:color w:val="000000"/>
                      <w:sz w:val="21"/>
                      <w:szCs w:val="21"/>
                      <w:highlight w:val="none"/>
                      <w:lang w:val="en-US" w:eastAsia="zh-CN" w:bidi="ar-SA"/>
                    </w:rPr>
                    <w:t>处理后</w:t>
                  </w:r>
                  <w:r>
                    <w:rPr>
                      <w:rFonts w:ascii="Times New Roman" w:hAnsi="Times New Roman" w:eastAsia="宋体" w:cs="Times New Roman"/>
                      <w:color w:val="000000"/>
                      <w:sz w:val="21"/>
                      <w:szCs w:val="21"/>
                      <w:highlight w:val="none"/>
                      <w:lang w:val="en-US" w:eastAsia="zh-CN" w:bidi="ar-SA"/>
                    </w:rPr>
                    <w:t>通过一根</w:t>
                  </w:r>
                  <w:r>
                    <w:rPr>
                      <w:rFonts w:hint="eastAsia" w:ascii="Times New Roman" w:hAnsi="Times New Roman" w:eastAsia="宋体" w:cs="Times New Roman"/>
                      <w:color w:val="000000"/>
                      <w:sz w:val="21"/>
                      <w:szCs w:val="21"/>
                      <w:highlight w:val="none"/>
                      <w:lang w:val="en-US" w:eastAsia="zh-CN" w:bidi="ar-SA"/>
                    </w:rPr>
                    <w:t>30</w:t>
                  </w:r>
                  <w:r>
                    <w:rPr>
                      <w:rFonts w:ascii="Times New Roman" w:hAnsi="Times New Roman" w:eastAsia="宋体" w:cs="Times New Roman"/>
                      <w:color w:val="000000"/>
                      <w:sz w:val="21"/>
                      <w:szCs w:val="21"/>
                      <w:highlight w:val="none"/>
                      <w:lang w:val="en-US" w:eastAsia="zh-CN" w:bidi="ar-SA"/>
                    </w:rPr>
                    <w:t>m</w:t>
                  </w:r>
                  <w:r>
                    <w:rPr>
                      <w:rFonts w:hint="eastAsia" w:ascii="Times New Roman" w:hAnsi="Times New Roman" w:eastAsia="宋体" w:cs="Times New Roman"/>
                      <w:color w:val="000000"/>
                      <w:sz w:val="21"/>
                      <w:szCs w:val="21"/>
                      <w:highlight w:val="none"/>
                      <w:lang w:val="en-US" w:eastAsia="zh-CN" w:bidi="ar-SA"/>
                    </w:rPr>
                    <w:t>高</w:t>
                  </w:r>
                  <w:r>
                    <w:rPr>
                      <w:rFonts w:ascii="Times New Roman" w:hAnsi="Times New Roman" w:eastAsia="宋体" w:cs="Times New Roman"/>
                      <w:color w:val="000000"/>
                      <w:sz w:val="21"/>
                      <w:szCs w:val="21"/>
                      <w:highlight w:val="none"/>
                      <w:lang w:val="en-US" w:eastAsia="zh-CN" w:bidi="ar-SA"/>
                    </w:rPr>
                    <w:t>排气筒（DA00</w:t>
                  </w:r>
                  <w:r>
                    <w:rPr>
                      <w:rFonts w:hint="eastAsia" w:ascii="Times New Roman" w:hAnsi="Times New Roman" w:eastAsia="宋体" w:cs="Times New Roman"/>
                      <w:color w:val="000000"/>
                      <w:sz w:val="21"/>
                      <w:szCs w:val="21"/>
                      <w:highlight w:val="none"/>
                      <w:lang w:val="en-US" w:eastAsia="zh-CN" w:bidi="ar-SA"/>
                    </w:rPr>
                    <w:t>3</w:t>
                  </w:r>
                  <w:r>
                    <w:rPr>
                      <w:rFonts w:ascii="Times New Roman" w:hAnsi="Times New Roman" w:eastAsia="宋体" w:cs="Times New Roman"/>
                      <w:color w:val="000000"/>
                      <w:sz w:val="21"/>
                      <w:szCs w:val="21"/>
                      <w:highlight w:val="none"/>
                      <w:lang w:val="en-US" w:eastAsia="zh-CN" w:bidi="ar-SA"/>
                    </w:rPr>
                    <w:t>）呈有组织排放</w:t>
                  </w:r>
                  <w:r>
                    <w:rPr>
                      <w:rFonts w:hint="eastAsia" w:ascii="Times New Roman" w:hAnsi="Times New Roman" w:eastAsia="宋体" w:cs="Times New Roman"/>
                      <w:color w:val="000000"/>
                      <w:sz w:val="21"/>
                      <w:szCs w:val="21"/>
                      <w:highlight w:val="none"/>
                      <w:lang w:val="en-US" w:eastAsia="zh-CN" w:bidi="ar-SA"/>
                    </w:rPr>
                    <w:t>。</w:t>
                  </w:r>
                </w:p>
              </w:tc>
              <w:tc>
                <w:tcPr>
                  <w:tcW w:w="468" w:type="dxa"/>
                  <w:noWrap w:val="0"/>
                  <w:vAlign w:val="center"/>
                </w:tcPr>
                <w:p w14:paraId="7270B0A7">
                  <w:pPr>
                    <w:jc w:val="center"/>
                    <w:rPr>
                      <w:color w:val="000000"/>
                      <w:sz w:val="21"/>
                      <w:szCs w:val="21"/>
                      <w:highlight w:val="none"/>
                    </w:rPr>
                  </w:pPr>
                  <w:r>
                    <w:rPr>
                      <w:rFonts w:hint="eastAsia"/>
                      <w:color w:val="000000"/>
                      <w:sz w:val="21"/>
                      <w:szCs w:val="21"/>
                      <w:highlight w:val="none"/>
                      <w:lang w:val="en-US" w:eastAsia="zh-CN"/>
                    </w:rPr>
                    <w:t>有</w:t>
                  </w:r>
                  <w:r>
                    <w:rPr>
                      <w:color w:val="000000"/>
                      <w:sz w:val="21"/>
                      <w:szCs w:val="21"/>
                      <w:highlight w:val="none"/>
                    </w:rPr>
                    <w:t>组织排放</w:t>
                  </w:r>
                </w:p>
              </w:tc>
            </w:tr>
            <w:tr w14:paraId="5AF1A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vMerge w:val="restart"/>
                  <w:noWrap w:val="0"/>
                  <w:vAlign w:val="center"/>
                </w:tcPr>
                <w:p w14:paraId="6211046C">
                  <w:pPr>
                    <w:jc w:val="center"/>
                    <w:rPr>
                      <w:color w:val="000000"/>
                      <w:sz w:val="21"/>
                      <w:szCs w:val="21"/>
                      <w:highlight w:val="none"/>
                    </w:rPr>
                  </w:pPr>
                  <w:r>
                    <w:rPr>
                      <w:color w:val="000000"/>
                      <w:sz w:val="21"/>
                      <w:szCs w:val="21"/>
                      <w:highlight w:val="none"/>
                    </w:rPr>
                    <w:t>废水</w:t>
                  </w:r>
                </w:p>
              </w:tc>
              <w:tc>
                <w:tcPr>
                  <w:tcW w:w="704" w:type="dxa"/>
                  <w:noWrap w:val="0"/>
                  <w:vAlign w:val="center"/>
                </w:tcPr>
                <w:p w14:paraId="1B4AD348">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初期雨水</w:t>
                  </w:r>
                </w:p>
              </w:tc>
              <w:tc>
                <w:tcPr>
                  <w:tcW w:w="818" w:type="dxa"/>
                  <w:noWrap w:val="0"/>
                  <w:vAlign w:val="center"/>
                </w:tcPr>
                <w:p w14:paraId="24BBC4B1">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SS</w:t>
                  </w:r>
                </w:p>
              </w:tc>
              <w:tc>
                <w:tcPr>
                  <w:tcW w:w="444" w:type="dxa"/>
                  <w:noWrap w:val="0"/>
                  <w:vAlign w:val="center"/>
                </w:tcPr>
                <w:p w14:paraId="4AB589D9">
                  <w:pPr>
                    <w:jc w:val="center"/>
                    <w:rPr>
                      <w:color w:val="000000"/>
                      <w:sz w:val="21"/>
                      <w:szCs w:val="21"/>
                      <w:highlight w:val="none"/>
                      <w:lang w:val="en-US" w:eastAsia="zh-CN" w:bidi="ar-SA"/>
                    </w:rPr>
                  </w:pPr>
                  <w:r>
                    <w:rPr>
                      <w:color w:val="000000"/>
                      <w:sz w:val="21"/>
                      <w:szCs w:val="21"/>
                      <w:highlight w:val="none"/>
                    </w:rPr>
                    <w:t>间断</w:t>
                  </w:r>
                </w:p>
              </w:tc>
              <w:tc>
                <w:tcPr>
                  <w:tcW w:w="2150" w:type="dxa"/>
                  <w:noWrap w:val="0"/>
                  <w:vAlign w:val="center"/>
                </w:tcPr>
                <w:p w14:paraId="668B60CE">
                  <w:pPr>
                    <w:keepNext w:val="0"/>
                    <w:keepLines w:val="0"/>
                    <w:pageBreakBefore w:val="0"/>
                    <w:widowControl w:val="0"/>
                    <w:spacing w:line="240" w:lineRule="auto"/>
                    <w:ind w:firstLine="0"/>
                    <w:jc w:val="center"/>
                    <w:rPr>
                      <w:rFonts w:hint="eastAsia" w:eastAsia="宋体"/>
                      <w:color w:val="000000"/>
                      <w:sz w:val="21"/>
                      <w:szCs w:val="21"/>
                      <w:highlight w:val="none"/>
                      <w:lang w:val="en-US" w:eastAsia="zh-CN" w:bidi="ar-SA"/>
                    </w:rPr>
                  </w:pPr>
                  <w:r>
                    <w:rPr>
                      <w:rFonts w:hint="eastAsia" w:ascii="Times New Roman" w:hAnsi="Times New Roman" w:eastAsia="宋体" w:cs="Times New Roman"/>
                      <w:b w:val="0"/>
                      <w:bCs w:val="0"/>
                      <w:color w:val="000000"/>
                      <w:sz w:val="21"/>
                      <w:szCs w:val="21"/>
                      <w:highlight w:val="none"/>
                      <w:vertAlign w:val="baseline"/>
                      <w:lang w:val="en-US" w:eastAsia="zh-CN"/>
                    </w:rPr>
                    <w:t>厂区内统一设置</w:t>
                  </w:r>
                  <w:r>
                    <w:rPr>
                      <w:rFonts w:hint="eastAsia" w:ascii="Times New Roman" w:hAnsi="Times New Roman" w:eastAsia="宋体" w:cs="Times New Roman"/>
                      <w:color w:val="000000"/>
                      <w:sz w:val="21"/>
                      <w:szCs w:val="21"/>
                      <w:highlight w:val="none"/>
                      <w:lang w:val="en-US" w:eastAsia="zh-CN"/>
                    </w:rPr>
                    <w:t>有</w:t>
                  </w:r>
                  <w:r>
                    <w:rPr>
                      <w:rFonts w:ascii="Times New Roman" w:hAnsi="Times New Roman" w:eastAsia="宋体" w:cs="Times New Roman"/>
                      <w:color w:val="000000"/>
                      <w:sz w:val="21"/>
                      <w:szCs w:val="21"/>
                      <w:highlight w:val="none"/>
                    </w:rPr>
                    <w:t>排水沟</w:t>
                  </w:r>
                  <w:r>
                    <w:rPr>
                      <w:rFonts w:hint="eastAsia" w:ascii="Times New Roman" w:hAnsi="Times New Roman" w:eastAsia="宋体" w:cs="Times New Roman"/>
                      <w:color w:val="000000"/>
                      <w:sz w:val="21"/>
                      <w:szCs w:val="21"/>
                      <w:highlight w:val="none"/>
                      <w:lang w:val="en-US" w:eastAsia="zh-CN"/>
                    </w:rPr>
                    <w:t>及初期</w:t>
                  </w:r>
                  <w:r>
                    <w:rPr>
                      <w:rFonts w:ascii="Times New Roman" w:hAnsi="Times New Roman" w:eastAsia="宋体" w:cs="Times New Roman"/>
                      <w:color w:val="000000"/>
                      <w:sz w:val="21"/>
                      <w:szCs w:val="21"/>
                      <w:highlight w:val="none"/>
                      <w:lang w:val="en-US" w:eastAsia="zh-CN"/>
                    </w:rPr>
                    <w:t>雨水</w:t>
                  </w:r>
                  <w:r>
                    <w:rPr>
                      <w:rFonts w:hint="eastAsia" w:ascii="Times New Roman" w:hAnsi="Times New Roman" w:eastAsia="宋体" w:cs="Times New Roman"/>
                      <w:color w:val="000000"/>
                      <w:sz w:val="21"/>
                      <w:szCs w:val="21"/>
                      <w:highlight w:val="none"/>
                      <w:lang w:val="en-US" w:eastAsia="zh-CN"/>
                    </w:rPr>
                    <w:t>池（50</w:t>
                  </w:r>
                  <w:r>
                    <w:t>m</w:t>
                  </w:r>
                  <w:r>
                    <w:rPr>
                      <w:rFonts w:hint="eastAsia"/>
                      <w:vertAlign w:val="superscript"/>
                      <w:lang w:val="en-US" w:eastAsia="zh-CN"/>
                    </w:rPr>
                    <w:t>3</w:t>
                  </w:r>
                  <w:r>
                    <w:rPr>
                      <w:rFonts w:hint="eastAsia" w:ascii="Times New Roman" w:hAnsi="Times New Roman" w:eastAsia="宋体" w:cs="Times New Roman"/>
                      <w:color w:val="000000"/>
                      <w:sz w:val="21"/>
                      <w:szCs w:val="21"/>
                      <w:highlight w:val="none"/>
                      <w:lang w:val="en-US" w:eastAsia="zh-CN"/>
                    </w:rPr>
                    <w:t>），初期雨水</w:t>
                  </w:r>
                  <w:r>
                    <w:rPr>
                      <w:rFonts w:ascii="Times New Roman" w:hAnsi="Times New Roman" w:eastAsia="宋体" w:cs="Times New Roman"/>
                      <w:color w:val="000000"/>
                      <w:sz w:val="21"/>
                      <w:szCs w:val="21"/>
                      <w:highlight w:val="none"/>
                      <w:lang w:val="en-US" w:eastAsia="zh-CN"/>
                    </w:rPr>
                    <w:t>经排水沟</w:t>
                  </w:r>
                  <w:r>
                    <w:rPr>
                      <w:rFonts w:hint="eastAsia" w:ascii="Times New Roman" w:hAnsi="Times New Roman" w:eastAsia="宋体" w:cs="Times New Roman"/>
                      <w:color w:val="000000"/>
                      <w:sz w:val="21"/>
                      <w:szCs w:val="21"/>
                      <w:highlight w:val="none"/>
                      <w:lang w:val="en-US" w:eastAsia="zh-CN"/>
                    </w:rPr>
                    <w:t>统一进行收集，然后由初期雨水收集池进行沉淀处理，处理后回用于</w:t>
                  </w:r>
                  <w:r>
                    <w:rPr>
                      <w:rFonts w:hint="eastAsia" w:ascii="Times New Roman" w:hAnsi="Times New Roman" w:eastAsia="宋体" w:cs="Times New Roman"/>
                      <w:b w:val="0"/>
                      <w:bCs w:val="0"/>
                      <w:color w:val="000000"/>
                      <w:sz w:val="21"/>
                      <w:szCs w:val="21"/>
                      <w:highlight w:val="none"/>
                      <w:vertAlign w:val="baseline"/>
                      <w:lang w:val="en-US" w:eastAsia="zh-CN"/>
                    </w:rPr>
                    <w:t>厂区</w:t>
                  </w:r>
                  <w:r>
                    <w:rPr>
                      <w:rFonts w:ascii="Times New Roman" w:hAnsi="Times New Roman" w:eastAsia="宋体" w:cs="Times New Roman"/>
                      <w:bCs/>
                      <w:color w:val="000000"/>
                      <w:sz w:val="21"/>
                      <w:szCs w:val="21"/>
                      <w:highlight w:val="none"/>
                    </w:rPr>
                    <w:t>洒水降尘</w:t>
                  </w:r>
                  <w:r>
                    <w:rPr>
                      <w:rFonts w:ascii="Times New Roman" w:hAnsi="Times New Roman" w:eastAsia="宋体" w:cs="Times New Roman"/>
                      <w:b w:val="0"/>
                      <w:bCs w:val="0"/>
                      <w:color w:val="000000"/>
                      <w:sz w:val="21"/>
                      <w:szCs w:val="21"/>
                      <w:highlight w:val="none"/>
                    </w:rPr>
                    <w:t>，</w:t>
                  </w:r>
                  <w:r>
                    <w:rPr>
                      <w:rFonts w:hint="eastAsia" w:ascii="Times New Roman" w:hAnsi="Times New Roman" w:eastAsia="宋体" w:cs="Times New Roman"/>
                      <w:b w:val="0"/>
                      <w:bCs w:val="0"/>
                      <w:color w:val="000000"/>
                      <w:sz w:val="21"/>
                      <w:szCs w:val="21"/>
                      <w:highlight w:val="none"/>
                      <w:lang w:val="en-US" w:eastAsia="zh-CN"/>
                    </w:rPr>
                    <w:t>雨水</w:t>
                  </w:r>
                  <w:r>
                    <w:rPr>
                      <w:rFonts w:ascii="Times New Roman" w:hAnsi="Times New Roman" w:eastAsia="宋体" w:cs="Times New Roman"/>
                      <w:b w:val="0"/>
                      <w:bCs w:val="0"/>
                      <w:color w:val="000000"/>
                      <w:sz w:val="21"/>
                      <w:szCs w:val="21"/>
                      <w:highlight w:val="none"/>
                    </w:rPr>
                    <w:t>外排至周边雨水沟</w:t>
                  </w:r>
                  <w:r>
                    <w:rPr>
                      <w:rFonts w:hint="eastAsia" w:ascii="Times New Roman" w:hAnsi="Times New Roman" w:eastAsia="宋体" w:cs="Times New Roman"/>
                      <w:b w:val="0"/>
                      <w:bCs w:val="0"/>
                      <w:color w:val="000000"/>
                      <w:sz w:val="21"/>
                      <w:szCs w:val="21"/>
                      <w:highlight w:val="none"/>
                      <w:lang w:val="en-US" w:eastAsia="zh-CN"/>
                    </w:rPr>
                    <w:t>。</w:t>
                  </w:r>
                </w:p>
              </w:tc>
              <w:tc>
                <w:tcPr>
                  <w:tcW w:w="468" w:type="dxa"/>
                  <w:noWrap w:val="0"/>
                  <w:vAlign w:val="center"/>
                </w:tcPr>
                <w:p w14:paraId="667CD6F0">
                  <w:pPr>
                    <w:jc w:val="center"/>
                    <w:rPr>
                      <w:color w:val="000000"/>
                      <w:sz w:val="21"/>
                      <w:szCs w:val="21"/>
                      <w:highlight w:val="none"/>
                      <w:lang w:val="en-US" w:eastAsia="zh-CN" w:bidi="ar-SA"/>
                    </w:rPr>
                  </w:pPr>
                  <w:r>
                    <w:rPr>
                      <w:color w:val="000000"/>
                      <w:sz w:val="21"/>
                      <w:szCs w:val="21"/>
                      <w:highlight w:val="none"/>
                    </w:rPr>
                    <w:t>不外排</w:t>
                  </w:r>
                </w:p>
              </w:tc>
            </w:tr>
            <w:tr w14:paraId="344CB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vMerge w:val="continue"/>
                  <w:noWrap w:val="0"/>
                  <w:vAlign w:val="center"/>
                </w:tcPr>
                <w:p w14:paraId="0437153D">
                  <w:pPr>
                    <w:jc w:val="center"/>
                    <w:rPr>
                      <w:color w:val="000000"/>
                      <w:sz w:val="21"/>
                      <w:szCs w:val="21"/>
                      <w:highlight w:val="none"/>
                    </w:rPr>
                  </w:pPr>
                </w:p>
              </w:tc>
              <w:tc>
                <w:tcPr>
                  <w:tcW w:w="704" w:type="dxa"/>
                  <w:noWrap w:val="0"/>
                  <w:vAlign w:val="center"/>
                </w:tcPr>
                <w:p w14:paraId="7742953D">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员工生活</w:t>
                  </w:r>
                </w:p>
              </w:tc>
              <w:tc>
                <w:tcPr>
                  <w:tcW w:w="818" w:type="dxa"/>
                  <w:noWrap w:val="0"/>
                  <w:vAlign w:val="center"/>
                </w:tcPr>
                <w:p w14:paraId="5DCBF5EE">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COD、BOD</w:t>
                  </w:r>
                  <w:r>
                    <w:rPr>
                      <w:rFonts w:ascii="Times New Roman" w:hAnsi="Times New Roman" w:eastAsia="宋体" w:cs="Times New Roman"/>
                      <w:color w:val="000000"/>
                      <w:sz w:val="21"/>
                      <w:szCs w:val="21"/>
                      <w:highlight w:val="none"/>
                      <w:vertAlign w:val="subscript"/>
                    </w:rPr>
                    <w:t>5</w:t>
                  </w:r>
                  <w:r>
                    <w:rPr>
                      <w:rFonts w:ascii="Times New Roman" w:hAnsi="Times New Roman" w:eastAsia="宋体" w:cs="Times New Roman"/>
                      <w:color w:val="000000"/>
                      <w:sz w:val="21"/>
                      <w:szCs w:val="21"/>
                      <w:highlight w:val="none"/>
                    </w:rPr>
                    <w:t>、SS、</w:t>
                  </w:r>
                  <w:r>
                    <w:rPr>
                      <w:rFonts w:ascii="Times New Roman" w:hAnsi="Times New Roman" w:eastAsia="宋体" w:cs="Times New Roman"/>
                      <w:color w:val="000000"/>
                      <w:sz w:val="21"/>
                      <w:szCs w:val="21"/>
                      <w:highlight w:val="none"/>
                      <w:lang w:val="en-US" w:eastAsia="zh-CN"/>
                    </w:rPr>
                    <w:t>NH</w:t>
                  </w:r>
                  <w:r>
                    <w:rPr>
                      <w:rFonts w:ascii="Times New Roman" w:hAnsi="Times New Roman" w:eastAsia="宋体" w:cs="Times New Roman"/>
                      <w:color w:val="000000"/>
                      <w:sz w:val="21"/>
                      <w:szCs w:val="21"/>
                      <w:highlight w:val="none"/>
                      <w:vertAlign w:val="subscript"/>
                      <w:lang w:val="en-US" w:eastAsia="zh-CN"/>
                    </w:rPr>
                    <w:t>3</w:t>
                  </w:r>
                  <w:r>
                    <w:rPr>
                      <w:rFonts w:ascii="Times New Roman" w:hAnsi="Times New Roman" w:eastAsia="宋体" w:cs="Times New Roman"/>
                      <w:color w:val="000000"/>
                      <w:sz w:val="21"/>
                      <w:szCs w:val="21"/>
                      <w:highlight w:val="none"/>
                      <w:lang w:val="en-US" w:eastAsia="zh-CN"/>
                    </w:rPr>
                    <w:t>-N</w:t>
                  </w:r>
                  <w:r>
                    <w:rPr>
                      <w:rFonts w:ascii="Times New Roman" w:hAnsi="Times New Roman" w:eastAsia="宋体" w:cs="Times New Roman"/>
                      <w:color w:val="000000"/>
                      <w:sz w:val="21"/>
                      <w:szCs w:val="21"/>
                      <w:highlight w:val="none"/>
                    </w:rPr>
                    <w:t>、总氮、</w:t>
                  </w:r>
                  <w:r>
                    <w:rPr>
                      <w:rFonts w:ascii="Times New Roman" w:hAnsi="Times New Roman" w:eastAsia="宋体" w:cs="Times New Roman"/>
                      <w:color w:val="000000"/>
                      <w:sz w:val="21"/>
                      <w:szCs w:val="21"/>
                      <w:highlight w:val="none"/>
                      <w:lang w:val="en-US" w:eastAsia="zh-CN"/>
                    </w:rPr>
                    <w:t>TP</w:t>
                  </w:r>
                  <w:r>
                    <w:rPr>
                      <w:rFonts w:ascii="Times New Roman" w:hAnsi="Times New Roman" w:eastAsia="宋体" w:cs="Times New Roman"/>
                      <w:color w:val="000000"/>
                      <w:sz w:val="21"/>
                      <w:szCs w:val="21"/>
                      <w:highlight w:val="none"/>
                    </w:rPr>
                    <w:t>等</w:t>
                  </w:r>
                </w:p>
              </w:tc>
              <w:tc>
                <w:tcPr>
                  <w:tcW w:w="444" w:type="dxa"/>
                  <w:noWrap w:val="0"/>
                  <w:vAlign w:val="center"/>
                </w:tcPr>
                <w:p w14:paraId="53F99E69">
                  <w:pPr>
                    <w:jc w:val="center"/>
                    <w:rPr>
                      <w:color w:val="000000"/>
                      <w:sz w:val="21"/>
                      <w:szCs w:val="21"/>
                      <w:highlight w:val="none"/>
                      <w:lang w:val="en-US" w:eastAsia="zh-CN" w:bidi="ar-SA"/>
                    </w:rPr>
                  </w:pPr>
                  <w:r>
                    <w:rPr>
                      <w:color w:val="000000"/>
                      <w:sz w:val="21"/>
                      <w:szCs w:val="21"/>
                      <w:highlight w:val="none"/>
                    </w:rPr>
                    <w:t>间断</w:t>
                  </w:r>
                </w:p>
              </w:tc>
              <w:tc>
                <w:tcPr>
                  <w:tcW w:w="2150" w:type="dxa"/>
                  <w:noWrap w:val="0"/>
                  <w:vAlign w:val="center"/>
                </w:tcPr>
                <w:p w14:paraId="06BEAFA4">
                  <w:pPr>
                    <w:jc w:val="center"/>
                    <w:rPr>
                      <w:rFonts w:hint="eastAsia"/>
                      <w:color w:val="000000"/>
                      <w:sz w:val="21"/>
                      <w:szCs w:val="21"/>
                      <w:highlight w:val="none"/>
                      <w:lang w:val="en-US" w:eastAsia="zh-CN" w:bidi="ar-SA"/>
                    </w:rPr>
                  </w:pPr>
                  <w:r>
                    <w:rPr>
                      <w:rFonts w:hint="eastAsia"/>
                      <w:lang w:val="en-US" w:eastAsia="zh-CN"/>
                    </w:rPr>
                    <w:t>排入项目区的化粪池（30</w:t>
                  </w:r>
                  <w:r>
                    <w:t>m</w:t>
                  </w:r>
                  <w:r>
                    <w:rPr>
                      <w:rFonts w:hint="eastAsia"/>
                      <w:vertAlign w:val="superscript"/>
                      <w:lang w:val="en-US" w:eastAsia="zh-CN"/>
                    </w:rPr>
                    <w:t>3</w:t>
                  </w:r>
                  <w:r>
                    <w:rPr>
                      <w:rFonts w:hint="eastAsia"/>
                      <w:lang w:val="en-US" w:eastAsia="zh-CN"/>
                    </w:rPr>
                    <w:t>）处理</w:t>
                  </w:r>
                  <w:r>
                    <w:rPr>
                      <w:rFonts w:ascii="Times New Roman" w:hAnsi="Times New Roman" w:eastAsia="宋体" w:cs="Times New Roman"/>
                      <w:bCs/>
                      <w:color w:val="000000"/>
                      <w:sz w:val="21"/>
                      <w:szCs w:val="21"/>
                      <w:highlight w:val="none"/>
                    </w:rPr>
                    <w:t>。</w:t>
                  </w:r>
                </w:p>
              </w:tc>
              <w:tc>
                <w:tcPr>
                  <w:tcW w:w="468" w:type="dxa"/>
                  <w:noWrap w:val="0"/>
                  <w:vAlign w:val="center"/>
                </w:tcPr>
                <w:p w14:paraId="07FF9B7F">
                  <w:pPr>
                    <w:jc w:val="center"/>
                    <w:rPr>
                      <w:color w:val="000000"/>
                      <w:sz w:val="21"/>
                      <w:szCs w:val="21"/>
                      <w:highlight w:val="none"/>
                      <w:lang w:val="en-US" w:eastAsia="zh-CN" w:bidi="ar-SA"/>
                    </w:rPr>
                  </w:pPr>
                  <w:r>
                    <w:rPr>
                      <w:color w:val="000000"/>
                      <w:sz w:val="21"/>
                      <w:szCs w:val="21"/>
                      <w:highlight w:val="none"/>
                    </w:rPr>
                    <w:t>不外排</w:t>
                  </w:r>
                </w:p>
              </w:tc>
            </w:tr>
            <w:tr w14:paraId="56D8C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vMerge w:val="restart"/>
                  <w:noWrap w:val="0"/>
                  <w:vAlign w:val="center"/>
                </w:tcPr>
                <w:p w14:paraId="5D860469">
                  <w:pPr>
                    <w:jc w:val="center"/>
                    <w:rPr>
                      <w:color w:val="000000"/>
                      <w:sz w:val="21"/>
                      <w:szCs w:val="21"/>
                      <w:highlight w:val="none"/>
                    </w:rPr>
                  </w:pPr>
                  <w:r>
                    <w:rPr>
                      <w:rFonts w:hint="eastAsia"/>
                      <w:color w:val="000000"/>
                      <w:sz w:val="21"/>
                      <w:szCs w:val="21"/>
                      <w:highlight w:val="none"/>
                    </w:rPr>
                    <w:t>固废</w:t>
                  </w:r>
                </w:p>
              </w:tc>
              <w:tc>
                <w:tcPr>
                  <w:tcW w:w="704" w:type="dxa"/>
                  <w:noWrap w:val="0"/>
                  <w:vAlign w:val="center"/>
                </w:tcPr>
                <w:p w14:paraId="1116AFEF">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生活、办公</w:t>
                  </w:r>
                </w:p>
              </w:tc>
              <w:tc>
                <w:tcPr>
                  <w:tcW w:w="818" w:type="dxa"/>
                  <w:noWrap w:val="0"/>
                  <w:vAlign w:val="center"/>
                </w:tcPr>
                <w:p w14:paraId="0EFC50E6">
                  <w:pPr>
                    <w:jc w:val="center"/>
                    <w:rPr>
                      <w:rFonts w:hint="eastAsia"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生活垃圾</w:t>
                  </w:r>
                </w:p>
              </w:tc>
              <w:tc>
                <w:tcPr>
                  <w:tcW w:w="444" w:type="dxa"/>
                  <w:noWrap w:val="0"/>
                  <w:vAlign w:val="center"/>
                </w:tcPr>
                <w:p w14:paraId="291AB26A">
                  <w:pPr>
                    <w:jc w:val="center"/>
                    <w:rPr>
                      <w:rFonts w:ascii="Times New Roman" w:hAnsi="Times New Roman" w:eastAsia="宋体" w:cs="Times New Roman"/>
                      <w:color w:val="000000"/>
                      <w:sz w:val="21"/>
                      <w:szCs w:val="21"/>
                      <w:highlight w:val="none"/>
                      <w:lang w:val="en-US" w:eastAsia="zh-CN" w:bidi="ar-SA"/>
                    </w:rPr>
                  </w:pPr>
                  <w:r>
                    <w:rPr>
                      <w:color w:val="000000"/>
                      <w:sz w:val="21"/>
                      <w:szCs w:val="21"/>
                      <w:highlight w:val="none"/>
                    </w:rPr>
                    <w:t>间断</w:t>
                  </w:r>
                </w:p>
              </w:tc>
              <w:tc>
                <w:tcPr>
                  <w:tcW w:w="2150" w:type="dxa"/>
                  <w:noWrap w:val="0"/>
                  <w:vAlign w:val="center"/>
                </w:tcPr>
                <w:p w14:paraId="2A62CF80">
                  <w:pPr>
                    <w:jc w:val="center"/>
                    <w:rPr>
                      <w:rFonts w:hint="eastAsia"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运至附近村庄垃圾收集点集中处置</w:t>
                  </w:r>
                  <w:r>
                    <w:rPr>
                      <w:rFonts w:hint="eastAsia" w:ascii="Times New Roman" w:hAnsi="Times New Roman" w:eastAsia="宋体" w:cs="Times New Roman"/>
                      <w:color w:val="000000"/>
                      <w:sz w:val="21"/>
                      <w:szCs w:val="21"/>
                      <w:highlight w:val="none"/>
                      <w:lang w:val="en-US" w:eastAsia="zh-CN" w:bidi="ar-SA"/>
                    </w:rPr>
                    <w:t>。</w:t>
                  </w:r>
                </w:p>
              </w:tc>
              <w:tc>
                <w:tcPr>
                  <w:tcW w:w="468" w:type="dxa"/>
                  <w:noWrap w:val="0"/>
                  <w:vAlign w:val="center"/>
                </w:tcPr>
                <w:p w14:paraId="6CB788F7">
                  <w:pPr>
                    <w:jc w:val="center"/>
                    <w:rPr>
                      <w:color w:val="000000"/>
                      <w:sz w:val="21"/>
                      <w:szCs w:val="21"/>
                      <w:highlight w:val="none"/>
                    </w:rPr>
                  </w:pPr>
                  <w:r>
                    <w:rPr>
                      <w:color w:val="000000"/>
                      <w:sz w:val="21"/>
                      <w:szCs w:val="21"/>
                      <w:highlight w:val="none"/>
                    </w:rPr>
                    <w:t>不外排</w:t>
                  </w:r>
                </w:p>
              </w:tc>
            </w:tr>
            <w:tr w14:paraId="4840E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413" w:type="dxa"/>
                  <w:vMerge w:val="continue"/>
                  <w:noWrap w:val="0"/>
                  <w:vAlign w:val="center"/>
                </w:tcPr>
                <w:p w14:paraId="6B9061AA">
                  <w:pPr>
                    <w:jc w:val="center"/>
                    <w:rPr>
                      <w:rFonts w:hint="eastAsia"/>
                      <w:color w:val="000000"/>
                      <w:sz w:val="21"/>
                      <w:szCs w:val="21"/>
                      <w:highlight w:val="none"/>
                    </w:rPr>
                  </w:pPr>
                </w:p>
              </w:tc>
              <w:tc>
                <w:tcPr>
                  <w:tcW w:w="704" w:type="dxa"/>
                  <w:vMerge w:val="restart"/>
                  <w:noWrap w:val="0"/>
                  <w:vAlign w:val="center"/>
                </w:tcPr>
                <w:p w14:paraId="772211E5">
                  <w:pPr>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生产</w:t>
                  </w:r>
                </w:p>
              </w:tc>
              <w:tc>
                <w:tcPr>
                  <w:tcW w:w="818" w:type="dxa"/>
                  <w:noWrap w:val="0"/>
                  <w:vAlign w:val="center"/>
                </w:tcPr>
                <w:p w14:paraId="269F7BF6">
                  <w:pPr>
                    <w:jc w:val="center"/>
                    <w:rPr>
                      <w:rFonts w:hint="eastAsia"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highlight w:val="none"/>
                      <w:lang w:val="en-US" w:eastAsia="zh-CN" w:bidi="ar-SA"/>
                    </w:rPr>
                    <w:t>厂房内沉降粉尘</w:t>
                  </w:r>
                </w:p>
              </w:tc>
              <w:tc>
                <w:tcPr>
                  <w:tcW w:w="444" w:type="dxa"/>
                  <w:noWrap w:val="0"/>
                  <w:vAlign w:val="center"/>
                </w:tcPr>
                <w:p w14:paraId="6F5C0B3F">
                  <w:pPr>
                    <w:jc w:val="center"/>
                    <w:rPr>
                      <w:color w:val="000000"/>
                      <w:sz w:val="21"/>
                      <w:szCs w:val="21"/>
                      <w:highlight w:val="none"/>
                    </w:rPr>
                  </w:pPr>
                  <w:r>
                    <w:rPr>
                      <w:color w:val="000000"/>
                      <w:sz w:val="21"/>
                      <w:szCs w:val="21"/>
                      <w:highlight w:val="none"/>
                    </w:rPr>
                    <w:t>间断</w:t>
                  </w:r>
                </w:p>
              </w:tc>
              <w:tc>
                <w:tcPr>
                  <w:tcW w:w="2150" w:type="dxa"/>
                  <w:vMerge w:val="restart"/>
                  <w:noWrap w:val="0"/>
                  <w:vAlign w:val="center"/>
                </w:tcPr>
                <w:p w14:paraId="23F1A06D">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外售给生物质燃料厂，综合利用</w:t>
                  </w:r>
                  <w:r>
                    <w:rPr>
                      <w:rFonts w:hint="eastAsia" w:ascii="Times New Roman" w:hAnsi="Times New Roman" w:eastAsia="宋体" w:cs="Times New Roman"/>
                      <w:color w:val="000000"/>
                      <w:sz w:val="21"/>
                      <w:szCs w:val="21"/>
                      <w:highlight w:val="none"/>
                      <w:lang w:val="en-US" w:eastAsia="zh-CN" w:bidi="ar-SA"/>
                    </w:rPr>
                    <w:t>。</w:t>
                  </w:r>
                </w:p>
              </w:tc>
              <w:tc>
                <w:tcPr>
                  <w:tcW w:w="468" w:type="dxa"/>
                  <w:noWrap w:val="0"/>
                  <w:vAlign w:val="center"/>
                </w:tcPr>
                <w:p w14:paraId="386A1864">
                  <w:pPr>
                    <w:jc w:val="center"/>
                    <w:rPr>
                      <w:color w:val="000000"/>
                      <w:sz w:val="21"/>
                      <w:szCs w:val="21"/>
                      <w:highlight w:val="none"/>
                    </w:rPr>
                  </w:pPr>
                  <w:r>
                    <w:rPr>
                      <w:color w:val="000000"/>
                      <w:sz w:val="21"/>
                      <w:szCs w:val="21"/>
                      <w:highlight w:val="none"/>
                    </w:rPr>
                    <w:t>不外排</w:t>
                  </w:r>
                </w:p>
              </w:tc>
            </w:tr>
            <w:tr w14:paraId="209DA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13" w:type="dxa"/>
                  <w:vMerge w:val="continue"/>
                  <w:noWrap w:val="0"/>
                  <w:vAlign w:val="center"/>
                </w:tcPr>
                <w:p w14:paraId="6882EF8B">
                  <w:pPr>
                    <w:jc w:val="center"/>
                    <w:rPr>
                      <w:rFonts w:hint="eastAsia"/>
                      <w:color w:val="000000"/>
                      <w:sz w:val="21"/>
                      <w:szCs w:val="21"/>
                      <w:highlight w:val="none"/>
                    </w:rPr>
                  </w:pPr>
                </w:p>
              </w:tc>
              <w:tc>
                <w:tcPr>
                  <w:tcW w:w="704" w:type="dxa"/>
                  <w:vMerge w:val="continue"/>
                  <w:noWrap w:val="0"/>
                  <w:vAlign w:val="center"/>
                </w:tcPr>
                <w:p w14:paraId="3FBACDAC">
                  <w:pPr>
                    <w:jc w:val="center"/>
                    <w:rPr>
                      <w:rFonts w:hint="eastAsia" w:ascii="Times New Roman" w:hAnsi="Times New Roman" w:eastAsia="宋体" w:cs="Times New Roman"/>
                      <w:color w:val="000000"/>
                      <w:sz w:val="21"/>
                      <w:szCs w:val="21"/>
                      <w:highlight w:val="none"/>
                      <w:lang w:val="en-US" w:eastAsia="zh-CN" w:bidi="ar-SA"/>
                    </w:rPr>
                  </w:pPr>
                </w:p>
              </w:tc>
              <w:tc>
                <w:tcPr>
                  <w:tcW w:w="818" w:type="dxa"/>
                  <w:noWrap w:val="0"/>
                  <w:vAlign w:val="center"/>
                </w:tcPr>
                <w:p w14:paraId="190C2E85">
                  <w:pPr>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边角料</w:t>
                  </w:r>
                </w:p>
              </w:tc>
              <w:tc>
                <w:tcPr>
                  <w:tcW w:w="444" w:type="dxa"/>
                  <w:noWrap w:val="0"/>
                  <w:vAlign w:val="center"/>
                </w:tcPr>
                <w:p w14:paraId="1E1F786F">
                  <w:pPr>
                    <w:jc w:val="center"/>
                    <w:rPr>
                      <w:rFonts w:hint="eastAsia"/>
                      <w:color w:val="000000"/>
                      <w:sz w:val="21"/>
                      <w:szCs w:val="21"/>
                      <w:highlight w:val="none"/>
                      <w:lang w:val="en-US" w:eastAsia="zh-CN"/>
                    </w:rPr>
                  </w:pPr>
                  <w:r>
                    <w:rPr>
                      <w:color w:val="000000"/>
                      <w:sz w:val="21"/>
                      <w:szCs w:val="21"/>
                      <w:highlight w:val="none"/>
                    </w:rPr>
                    <w:t>间断</w:t>
                  </w:r>
                </w:p>
              </w:tc>
              <w:tc>
                <w:tcPr>
                  <w:tcW w:w="2150" w:type="dxa"/>
                  <w:vMerge w:val="continue"/>
                  <w:noWrap w:val="0"/>
                  <w:vAlign w:val="center"/>
                </w:tcPr>
                <w:p w14:paraId="796EF9A8">
                  <w:pPr>
                    <w:jc w:val="center"/>
                    <w:rPr>
                      <w:rFonts w:ascii="Times New Roman" w:hAnsi="Times New Roman" w:eastAsia="宋体" w:cs="Times New Roman"/>
                      <w:color w:val="000000"/>
                      <w:sz w:val="21"/>
                      <w:szCs w:val="21"/>
                      <w:highlight w:val="none"/>
                      <w:lang w:val="en-US" w:eastAsia="zh-CN" w:bidi="ar-SA"/>
                    </w:rPr>
                  </w:pPr>
                </w:p>
              </w:tc>
              <w:tc>
                <w:tcPr>
                  <w:tcW w:w="468" w:type="dxa"/>
                  <w:noWrap w:val="0"/>
                  <w:vAlign w:val="center"/>
                </w:tcPr>
                <w:p w14:paraId="39554577">
                  <w:pPr>
                    <w:jc w:val="center"/>
                    <w:rPr>
                      <w:color w:val="000000"/>
                      <w:sz w:val="21"/>
                      <w:szCs w:val="21"/>
                      <w:highlight w:val="none"/>
                    </w:rPr>
                  </w:pPr>
                  <w:r>
                    <w:rPr>
                      <w:color w:val="000000"/>
                      <w:sz w:val="21"/>
                      <w:szCs w:val="21"/>
                      <w:highlight w:val="none"/>
                    </w:rPr>
                    <w:t>不外排</w:t>
                  </w:r>
                </w:p>
              </w:tc>
            </w:tr>
            <w:tr w14:paraId="7FF50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vMerge w:val="continue"/>
                  <w:noWrap w:val="0"/>
                  <w:vAlign w:val="center"/>
                </w:tcPr>
                <w:p w14:paraId="47D5F0E2">
                  <w:pPr>
                    <w:jc w:val="center"/>
                    <w:rPr>
                      <w:rFonts w:hint="eastAsia"/>
                      <w:color w:val="000000"/>
                      <w:sz w:val="21"/>
                      <w:szCs w:val="21"/>
                      <w:highlight w:val="none"/>
                    </w:rPr>
                  </w:pPr>
                </w:p>
              </w:tc>
              <w:tc>
                <w:tcPr>
                  <w:tcW w:w="704" w:type="dxa"/>
                  <w:vMerge w:val="continue"/>
                  <w:noWrap w:val="0"/>
                  <w:vAlign w:val="center"/>
                </w:tcPr>
                <w:p w14:paraId="3E67B408">
                  <w:pPr>
                    <w:jc w:val="center"/>
                    <w:rPr>
                      <w:rFonts w:hint="eastAsia" w:ascii="Times New Roman" w:hAnsi="Times New Roman" w:eastAsia="宋体" w:cs="Times New Roman"/>
                      <w:color w:val="000000"/>
                      <w:sz w:val="21"/>
                      <w:szCs w:val="21"/>
                      <w:highlight w:val="none"/>
                      <w:lang w:val="en-US" w:eastAsia="zh-CN" w:bidi="ar-SA"/>
                    </w:rPr>
                  </w:pPr>
                </w:p>
              </w:tc>
              <w:tc>
                <w:tcPr>
                  <w:tcW w:w="818" w:type="dxa"/>
                  <w:noWrap w:val="0"/>
                  <w:vAlign w:val="center"/>
                </w:tcPr>
                <w:p w14:paraId="0D26260E">
                  <w:pPr>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不合格产品</w:t>
                  </w:r>
                </w:p>
              </w:tc>
              <w:tc>
                <w:tcPr>
                  <w:tcW w:w="444" w:type="dxa"/>
                  <w:noWrap w:val="0"/>
                  <w:vAlign w:val="center"/>
                </w:tcPr>
                <w:p w14:paraId="7E49B2A2">
                  <w:pPr>
                    <w:jc w:val="center"/>
                    <w:rPr>
                      <w:rFonts w:hint="eastAsia"/>
                      <w:color w:val="000000"/>
                      <w:sz w:val="21"/>
                      <w:szCs w:val="21"/>
                      <w:highlight w:val="none"/>
                      <w:lang w:val="en-US" w:eastAsia="zh-CN"/>
                    </w:rPr>
                  </w:pPr>
                  <w:r>
                    <w:rPr>
                      <w:color w:val="000000"/>
                      <w:sz w:val="21"/>
                      <w:szCs w:val="21"/>
                      <w:highlight w:val="none"/>
                    </w:rPr>
                    <w:t>间断</w:t>
                  </w:r>
                </w:p>
              </w:tc>
              <w:tc>
                <w:tcPr>
                  <w:tcW w:w="2150" w:type="dxa"/>
                  <w:vMerge w:val="continue"/>
                  <w:noWrap w:val="0"/>
                  <w:vAlign w:val="center"/>
                </w:tcPr>
                <w:p w14:paraId="780C8588">
                  <w:pPr>
                    <w:jc w:val="center"/>
                    <w:rPr>
                      <w:rFonts w:ascii="Times New Roman" w:hAnsi="Times New Roman" w:eastAsia="宋体" w:cs="Times New Roman"/>
                      <w:color w:val="000000"/>
                      <w:sz w:val="21"/>
                      <w:szCs w:val="21"/>
                      <w:highlight w:val="none"/>
                      <w:lang w:val="en-US" w:eastAsia="zh-CN" w:bidi="ar-SA"/>
                    </w:rPr>
                  </w:pPr>
                </w:p>
              </w:tc>
              <w:tc>
                <w:tcPr>
                  <w:tcW w:w="468" w:type="dxa"/>
                  <w:noWrap w:val="0"/>
                  <w:vAlign w:val="center"/>
                </w:tcPr>
                <w:p w14:paraId="582726E2">
                  <w:pPr>
                    <w:jc w:val="center"/>
                    <w:rPr>
                      <w:color w:val="000000"/>
                      <w:sz w:val="21"/>
                      <w:szCs w:val="21"/>
                      <w:highlight w:val="none"/>
                    </w:rPr>
                  </w:pPr>
                  <w:r>
                    <w:rPr>
                      <w:color w:val="000000"/>
                      <w:sz w:val="21"/>
                      <w:szCs w:val="21"/>
                      <w:highlight w:val="none"/>
                    </w:rPr>
                    <w:t>不外排</w:t>
                  </w:r>
                </w:p>
              </w:tc>
            </w:tr>
            <w:tr w14:paraId="3C34D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vMerge w:val="continue"/>
                  <w:noWrap w:val="0"/>
                  <w:vAlign w:val="center"/>
                </w:tcPr>
                <w:p w14:paraId="33EB8BBC">
                  <w:pPr>
                    <w:jc w:val="center"/>
                    <w:rPr>
                      <w:rFonts w:hint="eastAsia"/>
                      <w:color w:val="000000"/>
                      <w:sz w:val="21"/>
                      <w:szCs w:val="21"/>
                      <w:highlight w:val="none"/>
                    </w:rPr>
                  </w:pPr>
                </w:p>
              </w:tc>
              <w:tc>
                <w:tcPr>
                  <w:tcW w:w="704" w:type="dxa"/>
                  <w:vMerge w:val="continue"/>
                  <w:noWrap w:val="0"/>
                  <w:vAlign w:val="center"/>
                </w:tcPr>
                <w:p w14:paraId="558A4CA6">
                  <w:pPr>
                    <w:jc w:val="center"/>
                    <w:rPr>
                      <w:rFonts w:hint="eastAsia" w:ascii="Times New Roman" w:hAnsi="Times New Roman" w:eastAsia="宋体" w:cs="Times New Roman"/>
                      <w:color w:val="000000"/>
                      <w:sz w:val="21"/>
                      <w:szCs w:val="21"/>
                      <w:highlight w:val="none"/>
                      <w:lang w:val="en-US" w:eastAsia="zh-CN" w:bidi="ar-SA"/>
                    </w:rPr>
                  </w:pPr>
                </w:p>
              </w:tc>
              <w:tc>
                <w:tcPr>
                  <w:tcW w:w="818" w:type="dxa"/>
                  <w:noWrap w:val="0"/>
                  <w:vAlign w:val="center"/>
                </w:tcPr>
                <w:p w14:paraId="6CE4984E">
                  <w:pPr>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除尘灰</w:t>
                  </w:r>
                </w:p>
              </w:tc>
              <w:tc>
                <w:tcPr>
                  <w:tcW w:w="444" w:type="dxa"/>
                  <w:noWrap w:val="0"/>
                  <w:vAlign w:val="center"/>
                </w:tcPr>
                <w:p w14:paraId="257C8AF4">
                  <w:pPr>
                    <w:jc w:val="center"/>
                    <w:rPr>
                      <w:color w:val="000000"/>
                      <w:sz w:val="21"/>
                      <w:szCs w:val="21"/>
                      <w:highlight w:val="none"/>
                    </w:rPr>
                  </w:pPr>
                  <w:r>
                    <w:rPr>
                      <w:color w:val="000000"/>
                      <w:sz w:val="21"/>
                      <w:szCs w:val="21"/>
                      <w:highlight w:val="none"/>
                    </w:rPr>
                    <w:t>间断</w:t>
                  </w:r>
                </w:p>
              </w:tc>
              <w:tc>
                <w:tcPr>
                  <w:tcW w:w="2150" w:type="dxa"/>
                  <w:vMerge w:val="continue"/>
                  <w:noWrap w:val="0"/>
                  <w:vAlign w:val="center"/>
                </w:tcPr>
                <w:p w14:paraId="21C881B1">
                  <w:pPr>
                    <w:jc w:val="center"/>
                    <w:rPr>
                      <w:rFonts w:ascii="Times New Roman" w:hAnsi="Times New Roman" w:eastAsia="宋体" w:cs="Times New Roman"/>
                      <w:color w:val="000000"/>
                      <w:sz w:val="21"/>
                      <w:szCs w:val="21"/>
                      <w:highlight w:val="none"/>
                      <w:lang w:val="en-US" w:eastAsia="zh-CN" w:bidi="ar-SA"/>
                    </w:rPr>
                  </w:pPr>
                </w:p>
              </w:tc>
              <w:tc>
                <w:tcPr>
                  <w:tcW w:w="468" w:type="dxa"/>
                  <w:noWrap w:val="0"/>
                  <w:vAlign w:val="center"/>
                </w:tcPr>
                <w:p w14:paraId="116B2FF6">
                  <w:pPr>
                    <w:jc w:val="center"/>
                    <w:rPr>
                      <w:color w:val="000000"/>
                      <w:sz w:val="21"/>
                      <w:szCs w:val="21"/>
                      <w:highlight w:val="none"/>
                    </w:rPr>
                  </w:pPr>
                  <w:r>
                    <w:rPr>
                      <w:color w:val="000000"/>
                      <w:sz w:val="21"/>
                      <w:szCs w:val="21"/>
                      <w:highlight w:val="none"/>
                    </w:rPr>
                    <w:t>不外排</w:t>
                  </w:r>
                </w:p>
              </w:tc>
            </w:tr>
            <w:tr w14:paraId="706EE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vMerge w:val="continue"/>
                  <w:noWrap w:val="0"/>
                  <w:vAlign w:val="center"/>
                </w:tcPr>
                <w:p w14:paraId="4E046032">
                  <w:pPr>
                    <w:jc w:val="center"/>
                    <w:rPr>
                      <w:rFonts w:hint="eastAsia"/>
                      <w:color w:val="000000"/>
                      <w:sz w:val="21"/>
                      <w:szCs w:val="21"/>
                      <w:highlight w:val="none"/>
                    </w:rPr>
                  </w:pPr>
                </w:p>
              </w:tc>
              <w:tc>
                <w:tcPr>
                  <w:tcW w:w="704" w:type="dxa"/>
                  <w:noWrap w:val="0"/>
                  <w:vAlign w:val="center"/>
                </w:tcPr>
                <w:p w14:paraId="0F9A629A">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锅炉</w:t>
                  </w:r>
                </w:p>
              </w:tc>
              <w:tc>
                <w:tcPr>
                  <w:tcW w:w="818" w:type="dxa"/>
                  <w:noWrap w:val="0"/>
                  <w:vAlign w:val="center"/>
                </w:tcPr>
                <w:p w14:paraId="1C5F5F6D">
                  <w:pPr>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灰渣</w:t>
                  </w:r>
                </w:p>
              </w:tc>
              <w:tc>
                <w:tcPr>
                  <w:tcW w:w="444" w:type="dxa"/>
                  <w:noWrap w:val="0"/>
                  <w:vAlign w:val="center"/>
                </w:tcPr>
                <w:p w14:paraId="00440DE9">
                  <w:pPr>
                    <w:jc w:val="center"/>
                    <w:rPr>
                      <w:rFonts w:hint="eastAsia"/>
                      <w:color w:val="000000"/>
                      <w:sz w:val="21"/>
                      <w:szCs w:val="21"/>
                      <w:highlight w:val="none"/>
                      <w:lang w:val="en-US" w:eastAsia="zh-CN"/>
                    </w:rPr>
                  </w:pPr>
                  <w:r>
                    <w:rPr>
                      <w:color w:val="000000"/>
                      <w:sz w:val="21"/>
                      <w:szCs w:val="21"/>
                      <w:highlight w:val="none"/>
                    </w:rPr>
                    <w:t>间断</w:t>
                  </w:r>
                </w:p>
              </w:tc>
              <w:tc>
                <w:tcPr>
                  <w:tcW w:w="2150" w:type="dxa"/>
                  <w:noWrap w:val="0"/>
                  <w:vAlign w:val="center"/>
                </w:tcPr>
                <w:p w14:paraId="68FE3158">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定期</w:t>
                  </w:r>
                  <w:r>
                    <w:rPr>
                      <w:rFonts w:hint="eastAsia" w:ascii="Times New Roman" w:hAnsi="Times New Roman" w:eastAsia="宋体" w:cs="Times New Roman"/>
                      <w:color w:val="000000"/>
                      <w:sz w:val="21"/>
                      <w:szCs w:val="21"/>
                      <w:highlight w:val="none"/>
                      <w:lang w:val="en-US" w:eastAsia="zh-CN" w:bidi="ar-SA"/>
                    </w:rPr>
                    <w:t>清理</w:t>
                  </w:r>
                  <w:r>
                    <w:rPr>
                      <w:rFonts w:ascii="Times New Roman" w:hAnsi="Times New Roman" w:eastAsia="宋体" w:cs="Times New Roman"/>
                      <w:color w:val="000000"/>
                      <w:sz w:val="21"/>
                      <w:szCs w:val="21"/>
                      <w:highlight w:val="none"/>
                      <w:lang w:val="en-US" w:eastAsia="zh-CN" w:bidi="ar-SA"/>
                    </w:rPr>
                    <w:t>外运给周边农户做农田肥料，综合利用</w:t>
                  </w:r>
                </w:p>
              </w:tc>
              <w:tc>
                <w:tcPr>
                  <w:tcW w:w="468" w:type="dxa"/>
                  <w:noWrap w:val="0"/>
                  <w:vAlign w:val="center"/>
                </w:tcPr>
                <w:p w14:paraId="0FD87E18">
                  <w:pPr>
                    <w:jc w:val="center"/>
                    <w:rPr>
                      <w:color w:val="000000"/>
                      <w:sz w:val="21"/>
                      <w:szCs w:val="21"/>
                      <w:highlight w:val="none"/>
                    </w:rPr>
                  </w:pPr>
                  <w:r>
                    <w:rPr>
                      <w:color w:val="000000"/>
                      <w:sz w:val="21"/>
                      <w:szCs w:val="21"/>
                      <w:highlight w:val="none"/>
                    </w:rPr>
                    <w:t>不外排</w:t>
                  </w:r>
                </w:p>
              </w:tc>
            </w:tr>
            <w:tr w14:paraId="0DA4D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13" w:type="dxa"/>
                  <w:noWrap w:val="0"/>
                  <w:vAlign w:val="center"/>
                </w:tcPr>
                <w:p w14:paraId="690D2433">
                  <w:pPr>
                    <w:jc w:val="center"/>
                    <w:rPr>
                      <w:color w:val="000000"/>
                      <w:sz w:val="21"/>
                      <w:szCs w:val="21"/>
                      <w:highlight w:val="none"/>
                    </w:rPr>
                  </w:pPr>
                  <w:r>
                    <w:rPr>
                      <w:color w:val="000000"/>
                      <w:sz w:val="21"/>
                      <w:szCs w:val="21"/>
                      <w:highlight w:val="none"/>
                    </w:rPr>
                    <w:t>噪声</w:t>
                  </w:r>
                </w:p>
              </w:tc>
              <w:tc>
                <w:tcPr>
                  <w:tcW w:w="704" w:type="dxa"/>
                  <w:noWrap w:val="0"/>
                  <w:vAlign w:val="center"/>
                </w:tcPr>
                <w:p w14:paraId="6306CD1C">
                  <w:pPr>
                    <w:jc w:val="center"/>
                    <w:rPr>
                      <w:color w:val="000000"/>
                      <w:sz w:val="21"/>
                      <w:szCs w:val="21"/>
                      <w:highlight w:val="none"/>
                    </w:rPr>
                  </w:pPr>
                  <w:r>
                    <w:rPr>
                      <w:color w:val="000000"/>
                      <w:sz w:val="21"/>
                      <w:szCs w:val="21"/>
                      <w:highlight w:val="none"/>
                    </w:rPr>
                    <w:t>生产</w:t>
                  </w:r>
                </w:p>
              </w:tc>
              <w:tc>
                <w:tcPr>
                  <w:tcW w:w="818" w:type="dxa"/>
                  <w:noWrap w:val="0"/>
                  <w:vAlign w:val="center"/>
                </w:tcPr>
                <w:p w14:paraId="2AF46B6F">
                  <w:pPr>
                    <w:jc w:val="center"/>
                    <w:rPr>
                      <w:color w:val="000000"/>
                      <w:sz w:val="21"/>
                      <w:szCs w:val="21"/>
                      <w:highlight w:val="none"/>
                    </w:rPr>
                  </w:pPr>
                  <w:r>
                    <w:rPr>
                      <w:rFonts w:hint="eastAsia"/>
                      <w:color w:val="000000"/>
                      <w:sz w:val="21"/>
                      <w:szCs w:val="21"/>
                      <w:highlight w:val="none"/>
                      <w:lang w:val="en-US" w:eastAsia="zh-CN"/>
                    </w:rPr>
                    <w:t>给料机、打砂机、筛分机</w:t>
                  </w:r>
                  <w:r>
                    <w:rPr>
                      <w:color w:val="000000"/>
                      <w:sz w:val="21"/>
                      <w:szCs w:val="21"/>
                      <w:highlight w:val="none"/>
                    </w:rPr>
                    <w:t>等设备噪声。</w:t>
                  </w:r>
                </w:p>
              </w:tc>
              <w:tc>
                <w:tcPr>
                  <w:tcW w:w="444" w:type="dxa"/>
                  <w:noWrap w:val="0"/>
                  <w:vAlign w:val="center"/>
                </w:tcPr>
                <w:p w14:paraId="4126D128">
                  <w:pPr>
                    <w:jc w:val="center"/>
                    <w:rPr>
                      <w:color w:val="000000"/>
                      <w:sz w:val="21"/>
                      <w:szCs w:val="21"/>
                      <w:highlight w:val="none"/>
                    </w:rPr>
                  </w:pPr>
                  <w:r>
                    <w:rPr>
                      <w:color w:val="000000"/>
                      <w:sz w:val="21"/>
                      <w:szCs w:val="21"/>
                      <w:highlight w:val="none"/>
                    </w:rPr>
                    <w:t>间断</w:t>
                  </w:r>
                </w:p>
              </w:tc>
              <w:tc>
                <w:tcPr>
                  <w:tcW w:w="2150" w:type="dxa"/>
                  <w:noWrap w:val="0"/>
                  <w:vAlign w:val="center"/>
                </w:tcPr>
                <w:p w14:paraId="5605EBD1">
                  <w:pPr>
                    <w:jc w:val="center"/>
                    <w:rPr>
                      <w:color w:val="000000"/>
                      <w:sz w:val="21"/>
                      <w:szCs w:val="21"/>
                      <w:highlight w:val="none"/>
                    </w:rPr>
                  </w:pPr>
                  <w:r>
                    <w:rPr>
                      <w:rFonts w:ascii="Times New Roman" w:hAnsi="Times New Roman" w:eastAsia="宋体" w:cs="Times New Roman"/>
                      <w:b w:val="0"/>
                      <w:bCs w:val="0"/>
                      <w:color w:val="000000"/>
                      <w:sz w:val="21"/>
                      <w:szCs w:val="21"/>
                      <w:highlight w:val="none"/>
                      <w:lang w:eastAsia="zh-CN"/>
                    </w:rPr>
                    <w:t>设备基础减震、合理布局、厂房隔声等</w:t>
                  </w:r>
                </w:p>
              </w:tc>
              <w:tc>
                <w:tcPr>
                  <w:tcW w:w="468" w:type="dxa"/>
                  <w:noWrap w:val="0"/>
                  <w:vAlign w:val="center"/>
                </w:tcPr>
                <w:p w14:paraId="048846BA">
                  <w:pPr>
                    <w:jc w:val="center"/>
                    <w:rPr>
                      <w:color w:val="000000"/>
                      <w:sz w:val="21"/>
                      <w:szCs w:val="21"/>
                      <w:highlight w:val="none"/>
                    </w:rPr>
                  </w:pPr>
                  <w:r>
                    <w:rPr>
                      <w:color w:val="000000"/>
                      <w:sz w:val="21"/>
                      <w:szCs w:val="21"/>
                      <w:highlight w:val="none"/>
                    </w:rPr>
                    <w:t>外环境</w:t>
                  </w:r>
                </w:p>
              </w:tc>
            </w:tr>
          </w:tbl>
          <w:p w14:paraId="3F8B223E">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eastAsia="zh-CN"/>
              </w:rPr>
            </w:pPr>
            <w:r>
              <w:rPr>
                <w:rFonts w:ascii="Times New Roman" w:hAnsi="Times New Roman" w:eastAsia="宋体" w:cs="Times New Roman"/>
                <w:color w:val="000000"/>
                <w:sz w:val="24"/>
                <w:szCs w:val="24"/>
                <w:highlight w:val="none"/>
                <w:lang w:eastAsia="zh-CN"/>
              </w:rPr>
              <w:t xml:space="preserve"> </w:t>
            </w:r>
          </w:p>
        </w:tc>
      </w:tr>
      <w:tr w14:paraId="4DB7CC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79" w:hRule="atLeast"/>
          <w:jc w:val="center"/>
        </w:trPr>
        <w:tc>
          <w:tcPr>
            <w:tcW w:w="754" w:type="dxa"/>
            <w:noWrap w:val="0"/>
            <w:vAlign w:val="center"/>
          </w:tcPr>
          <w:p w14:paraId="75FB9412">
            <w:pPr>
              <w:pStyle w:val="210"/>
              <w:spacing w:before="0" w:beforeAutospacing="0" w:after="0" w:afterAutospacing="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与项目有关的原有环境污染问题</w:t>
            </w:r>
          </w:p>
        </w:tc>
        <w:tc>
          <w:tcPr>
            <w:tcW w:w="9020" w:type="dxa"/>
            <w:noWrap w:val="0"/>
            <w:vAlign w:val="center"/>
          </w:tcPr>
          <w:p w14:paraId="1DB5A923">
            <w:pPr>
              <w:spacing w:line="360" w:lineRule="auto"/>
              <w:ind w:firstLine="480"/>
              <w:rPr>
                <w:rFonts w:ascii="Times New Roman" w:hAnsi="Times New Roman" w:eastAsia="宋体" w:cs="Times New Roman"/>
                <w:bCs/>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本</w:t>
            </w:r>
            <w:r>
              <w:rPr>
                <w:rFonts w:ascii="Times New Roman" w:hAnsi="Times New Roman" w:eastAsia="宋体" w:cs="Times New Roman"/>
                <w:b w:val="0"/>
                <w:bCs w:val="0"/>
                <w:color w:val="000000"/>
                <w:sz w:val="24"/>
                <w:szCs w:val="24"/>
                <w:highlight w:val="none"/>
                <w:lang w:val="en-US" w:eastAsia="zh-CN"/>
              </w:rPr>
              <w:t>项目</w:t>
            </w:r>
            <w:r>
              <w:rPr>
                <w:rFonts w:hint="eastAsia" w:ascii="Times New Roman" w:hAnsi="Times New Roman" w:eastAsia="宋体" w:cs="Times New Roman"/>
                <w:b w:val="0"/>
                <w:bCs w:val="0"/>
                <w:color w:val="000000"/>
                <w:sz w:val="24"/>
                <w:szCs w:val="24"/>
                <w:highlight w:val="none"/>
                <w:lang w:val="en-US" w:eastAsia="zh-CN"/>
              </w:rPr>
              <w:t>为</w:t>
            </w:r>
            <w:r>
              <w:rPr>
                <w:rFonts w:hint="eastAsia" w:ascii="Times New Roman" w:hAnsi="Times New Roman" w:eastAsia="宋体" w:cs="Times New Roman"/>
                <w:color w:val="000000"/>
                <w:sz w:val="24"/>
                <w:szCs w:val="24"/>
                <w:highlight w:val="none"/>
                <w:lang w:val="en-US" w:eastAsia="zh-CN"/>
              </w:rPr>
              <w:t>云南省德宏州芒市风平镇帕底村芒市糖厂，为新建项目，位于农村地区，项目区现状为闲置空地，环境质量状况较好。不存在与项目有关的原有污染问题。</w:t>
            </w:r>
          </w:p>
          <w:p w14:paraId="6DEF1344">
            <w:pPr>
              <w:spacing w:line="360" w:lineRule="auto"/>
              <w:ind w:firstLine="480"/>
              <w:rPr>
                <w:rFonts w:ascii="Times New Roman" w:hAnsi="Times New Roman" w:eastAsia="宋体" w:cs="Times New Roman"/>
                <w:bCs/>
                <w:color w:val="000000"/>
                <w:sz w:val="24"/>
                <w:szCs w:val="24"/>
                <w:highlight w:val="none"/>
                <w:lang w:val="en-US" w:eastAsia="zh-CN"/>
              </w:rPr>
            </w:pPr>
          </w:p>
          <w:p w14:paraId="02FC5111">
            <w:pPr>
              <w:spacing w:line="360" w:lineRule="auto"/>
              <w:ind w:firstLine="480"/>
              <w:rPr>
                <w:rFonts w:ascii="Times New Roman" w:hAnsi="Times New Roman" w:eastAsia="宋体" w:cs="Times New Roman"/>
                <w:bCs/>
                <w:color w:val="000000"/>
                <w:sz w:val="24"/>
                <w:szCs w:val="24"/>
                <w:highlight w:val="none"/>
              </w:rPr>
            </w:pPr>
          </w:p>
          <w:p w14:paraId="70CF9B29">
            <w:pPr>
              <w:keepNext w:val="0"/>
              <w:keepLines w:val="0"/>
              <w:pageBreakBefore w:val="0"/>
              <w:widowControl w:val="0"/>
              <w:spacing w:line="360" w:lineRule="auto"/>
              <w:ind w:firstLine="480"/>
              <w:jc w:val="both"/>
              <w:rPr>
                <w:rFonts w:ascii="Times New Roman" w:hAnsi="Times New Roman" w:eastAsia="宋体" w:cs="Times New Roman"/>
                <w:bCs/>
                <w:color w:val="000000"/>
                <w:sz w:val="24"/>
                <w:szCs w:val="24"/>
                <w:highlight w:val="none"/>
                <w:lang w:val="en-US" w:eastAsia="zh-CN"/>
              </w:rPr>
            </w:pPr>
          </w:p>
        </w:tc>
      </w:tr>
    </w:tbl>
    <w:p w14:paraId="395B7FB5">
      <w:pPr>
        <w:pStyle w:val="210"/>
        <w:keepNext w:val="0"/>
        <w:keepLines w:val="0"/>
        <w:pageBreakBefore w:val="0"/>
        <w:widowControl/>
        <w:spacing w:before="0" w:beforeAutospacing="0" w:after="0" w:afterAutospacing="0"/>
        <w:jc w:val="center"/>
        <w:outlineLvl w:val="0"/>
        <w:rPr>
          <w:rFonts w:ascii="Times New Roman" w:hAnsi="Times New Roman" w:eastAsia="宋体" w:cs="Times New Roman"/>
          <w:b/>
          <w:bCs/>
          <w:color w:val="000000"/>
          <w:sz w:val="32"/>
          <w:szCs w:val="32"/>
          <w:highlight w:val="none"/>
        </w:rPr>
      </w:pPr>
      <w:r>
        <w:rPr>
          <w:rFonts w:ascii="Times New Roman" w:hAnsi="Times New Roman" w:eastAsia="宋体" w:cs="Times New Roman"/>
          <w:b/>
          <w:bCs/>
          <w:color w:val="000000"/>
          <w:sz w:val="32"/>
          <w:szCs w:val="32"/>
          <w:highlight w:val="none"/>
        </w:rPr>
        <w:br w:type="page" w:clear="all"/>
      </w:r>
      <w:r>
        <w:rPr>
          <w:rFonts w:ascii="Times New Roman" w:hAnsi="Times New Roman" w:eastAsia="宋体" w:cs="Times New Roman"/>
          <w:b/>
          <w:bCs/>
          <w:color w:val="000000"/>
          <w:sz w:val="32"/>
          <w:szCs w:val="32"/>
          <w:highlight w:val="none"/>
        </w:rPr>
        <w:t>三、区域环境质量现状、环境保护目标及评价标准</w:t>
      </w:r>
      <w:bookmarkEnd w:id="5"/>
    </w:p>
    <w:tbl>
      <w:tblPr>
        <w:tblStyle w:val="29"/>
        <w:tblW w:w="97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16"/>
        <w:gridCol w:w="9067"/>
      </w:tblGrid>
      <w:tr w14:paraId="0DB092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21" w:hRule="atLeast"/>
          <w:jc w:val="center"/>
        </w:trPr>
        <w:tc>
          <w:tcPr>
            <w:tcW w:w="716" w:type="dxa"/>
            <w:noWrap w:val="0"/>
            <w:vAlign w:val="center"/>
          </w:tcPr>
          <w:p w14:paraId="1262926B">
            <w:pPr>
              <w:keepNext w:val="0"/>
              <w:keepLines w:val="0"/>
              <w:pageBreakBefore w:val="0"/>
              <w:widowControl w:val="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区域环境质量现状</w:t>
            </w:r>
          </w:p>
        </w:tc>
        <w:tc>
          <w:tcPr>
            <w:tcW w:w="9067" w:type="dxa"/>
            <w:noWrap w:val="0"/>
            <w:vAlign w:val="center"/>
          </w:tcPr>
          <w:p w14:paraId="6E39C800">
            <w:pPr>
              <w:spacing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1、地表水环境质量现状</w:t>
            </w:r>
          </w:p>
          <w:p w14:paraId="36AD5DD0">
            <w:pPr>
              <w:pStyle w:val="240"/>
              <w:spacing w:line="360" w:lineRule="auto"/>
              <w:jc w:val="both"/>
              <w:rPr>
                <w:rFonts w:ascii="Times New Roman" w:hAnsi="Times New Roman" w:eastAsia="宋体" w:cs="Times New Roman"/>
                <w:bCs/>
                <w:color w:val="000000"/>
                <w:sz w:val="24"/>
              </w:rPr>
            </w:pPr>
            <w:r>
              <w:rPr>
                <w:rFonts w:ascii="Times New Roman" w:hAnsi="Times New Roman" w:eastAsia="宋体" w:cs="Times New Roman"/>
                <w:color w:val="000000"/>
                <w:sz w:val="24"/>
              </w:rPr>
              <w:t>根据现场勘查，项目区</w:t>
            </w:r>
            <w:r>
              <w:rPr>
                <w:rFonts w:hint="eastAsia" w:ascii="Times New Roman" w:hAnsi="Times New Roman" w:eastAsia="宋体" w:cs="Times New Roman"/>
                <w:color w:val="000000"/>
                <w:sz w:val="24"/>
                <w:lang w:val="en-US" w:eastAsia="zh-CN"/>
              </w:rPr>
              <w:t>附近</w:t>
            </w:r>
            <w:r>
              <w:rPr>
                <w:rFonts w:ascii="Times New Roman" w:hAnsi="Times New Roman" w:eastAsia="宋体" w:cs="Times New Roman"/>
                <w:color w:val="000000"/>
                <w:sz w:val="24"/>
              </w:rPr>
              <w:t>主要地表水为</w:t>
            </w:r>
            <w:r>
              <w:rPr>
                <w:rFonts w:ascii="Times New Roman" w:hAnsi="Times New Roman" w:eastAsia="宋体" w:cs="Times New Roman"/>
                <w:color w:val="000000"/>
                <w:sz w:val="24"/>
                <w:lang w:val="en-US" w:eastAsia="zh-CN"/>
              </w:rPr>
              <w:t>项目区</w:t>
            </w:r>
            <w:r>
              <w:rPr>
                <w:rFonts w:hint="eastAsia" w:ascii="Times New Roman" w:hAnsi="Times New Roman" w:eastAsia="宋体" w:cs="Times New Roman"/>
                <w:color w:val="000000"/>
                <w:sz w:val="24"/>
                <w:lang w:val="en-US" w:eastAsia="zh-CN"/>
              </w:rPr>
              <w:t>北侧410m处的</w:t>
            </w:r>
            <w:r>
              <w:rPr>
                <w:rFonts w:ascii="Times New Roman" w:hAnsi="Times New Roman" w:eastAsia="宋体" w:cs="Times New Roman"/>
                <w:color w:val="000000"/>
                <w:sz w:val="24"/>
              </w:rPr>
              <w:t>芒市</w:t>
            </w:r>
            <w:r>
              <w:rPr>
                <w:rFonts w:hint="eastAsia" w:ascii="Times New Roman" w:hAnsi="Times New Roman" w:eastAsia="宋体" w:cs="Times New Roman"/>
                <w:color w:val="000000"/>
                <w:sz w:val="24"/>
                <w:lang w:val="en-US" w:eastAsia="zh-CN"/>
              </w:rPr>
              <w:t>大</w:t>
            </w:r>
            <w:r>
              <w:rPr>
                <w:rFonts w:ascii="Times New Roman" w:hAnsi="Times New Roman" w:eastAsia="宋体" w:cs="Times New Roman"/>
                <w:color w:val="000000"/>
                <w:sz w:val="24"/>
              </w:rPr>
              <w:t>河</w:t>
            </w:r>
            <w:r>
              <w:rPr>
                <w:rFonts w:hint="eastAsia" w:ascii="Times New Roman" w:hAnsi="Times New Roman" w:eastAsia="宋体" w:cs="Times New Roman"/>
                <w:color w:val="000000"/>
                <w:sz w:val="24"/>
                <w:lang w:val="en-US" w:eastAsia="zh-CN"/>
              </w:rPr>
              <w:t>以及项目东北侧212m处的果朗河；果朗河是芒市大河的支流</w:t>
            </w:r>
            <w:r>
              <w:rPr>
                <w:rFonts w:ascii="Times New Roman" w:hAnsi="Times New Roman" w:eastAsia="宋体" w:cs="Times New Roman"/>
                <w:color w:val="000000"/>
                <w:sz w:val="24"/>
              </w:rPr>
              <w:t>。</w:t>
            </w:r>
          </w:p>
          <w:p w14:paraId="24350A8E">
            <w:pPr>
              <w:pStyle w:val="240"/>
              <w:spacing w:line="360" w:lineRule="auto"/>
              <w:jc w:val="both"/>
              <w:rPr>
                <w:rFonts w:ascii="Times New Roman" w:hAnsi="Times New Roman" w:eastAsia="宋体" w:cs="Times New Roman"/>
                <w:bCs/>
                <w:color w:val="000000"/>
                <w:sz w:val="24"/>
                <w:lang w:val="en-US" w:eastAsia="zh-CN"/>
              </w:rPr>
            </w:pPr>
            <w:r>
              <w:rPr>
                <w:rFonts w:ascii="Times New Roman" w:hAnsi="Times New Roman" w:eastAsia="宋体" w:cs="Times New Roman"/>
                <w:bCs/>
                <w:color w:val="000000"/>
                <w:sz w:val="24"/>
              </w:rPr>
              <w:t>根据《云南省水功能区划（2014</w:t>
            </w:r>
            <w:r>
              <w:rPr>
                <w:rFonts w:hint="eastAsia" w:ascii="Times New Roman" w:hAnsi="Times New Roman" w:eastAsia="宋体" w:cs="Times New Roman"/>
                <w:bCs/>
                <w:color w:val="000000"/>
                <w:sz w:val="24"/>
                <w:lang w:val="en-US" w:eastAsia="zh-CN"/>
              </w:rPr>
              <w:t>年修订</w:t>
            </w:r>
            <w:r>
              <w:rPr>
                <w:rFonts w:ascii="Times New Roman" w:hAnsi="Times New Roman" w:eastAsia="宋体" w:cs="Times New Roman"/>
                <w:bCs/>
                <w:color w:val="000000"/>
                <w:sz w:val="24"/>
              </w:rPr>
              <w:t>）》，</w:t>
            </w:r>
            <w:r>
              <w:rPr>
                <w:rFonts w:hint="eastAsia" w:ascii="Times New Roman" w:hAnsi="Times New Roman" w:eastAsia="宋体" w:cs="Times New Roman"/>
                <w:b/>
                <w:color w:val="000000"/>
                <w:sz w:val="24"/>
                <w:lang w:eastAsia="zh-CN"/>
              </w:rPr>
              <w:t>芒市大河</w:t>
            </w:r>
            <w:r>
              <w:rPr>
                <w:rFonts w:ascii="Times New Roman" w:hAnsi="Times New Roman" w:eastAsia="宋体" w:cs="Times New Roman"/>
                <w:bCs/>
                <w:color w:val="000000"/>
                <w:sz w:val="24"/>
              </w:rPr>
              <w:t>（</w:t>
            </w:r>
            <w:r>
              <w:rPr>
                <w:rFonts w:hint="eastAsia" w:ascii="Times New Roman" w:hAnsi="Times New Roman" w:eastAsia="宋体" w:cs="Times New Roman"/>
                <w:bCs/>
                <w:color w:val="000000"/>
                <w:sz w:val="24"/>
                <w:lang w:val="en-US" w:eastAsia="zh-CN"/>
              </w:rPr>
              <w:t>木康水文站</w:t>
            </w:r>
            <w:r>
              <w:rPr>
                <w:rFonts w:hint="eastAsia" w:ascii="Times New Roman" w:hAnsi="Times New Roman" w:eastAsia="宋体" w:cs="Times New Roman"/>
                <w:bCs/>
                <w:color w:val="000000"/>
                <w:sz w:val="24"/>
                <w:lang w:eastAsia="zh-CN"/>
              </w:rPr>
              <w:t>—</w:t>
            </w:r>
            <w:r>
              <w:rPr>
                <w:rFonts w:hint="eastAsia" w:ascii="Times New Roman" w:hAnsi="Times New Roman" w:eastAsia="宋体" w:cs="Times New Roman"/>
                <w:bCs/>
                <w:color w:val="000000"/>
                <w:sz w:val="24"/>
                <w:lang w:val="en-US" w:eastAsia="zh-CN"/>
              </w:rPr>
              <w:t>等戛水文站</w:t>
            </w:r>
            <w:r>
              <w:rPr>
                <w:rFonts w:ascii="Times New Roman" w:hAnsi="Times New Roman" w:eastAsia="宋体" w:cs="Times New Roman"/>
                <w:bCs/>
                <w:color w:val="000000"/>
                <w:sz w:val="24"/>
              </w:rPr>
              <w:t>）</w:t>
            </w:r>
            <w:r>
              <w:rPr>
                <w:rFonts w:hint="eastAsia" w:ascii="Times New Roman" w:hAnsi="Times New Roman" w:eastAsia="宋体" w:cs="Times New Roman"/>
                <w:bCs/>
                <w:color w:val="000000"/>
                <w:sz w:val="24"/>
                <w:lang w:val="en-US" w:eastAsia="zh-CN"/>
              </w:rPr>
              <w:t>现状水</w:t>
            </w:r>
            <w:r>
              <w:rPr>
                <w:rFonts w:ascii="Times New Roman" w:hAnsi="Times New Roman" w:eastAsia="宋体" w:cs="Times New Roman"/>
                <w:bCs/>
                <w:color w:val="000000"/>
                <w:sz w:val="24"/>
                <w:lang w:val="en-US" w:eastAsia="zh-CN"/>
              </w:rPr>
              <w:t>质为</w:t>
            </w:r>
            <w:r>
              <w:rPr>
                <w:rFonts w:ascii="Times New Roman" w:hAnsi="Times New Roman" w:eastAsia="宋体" w:cs="Times New Roman"/>
                <w:bCs/>
                <w:color w:val="000000"/>
                <w:sz w:val="24"/>
              </w:rPr>
              <w:t>Ⅳ类</w:t>
            </w:r>
            <w:r>
              <w:rPr>
                <w:rFonts w:hint="eastAsia" w:ascii="Times New Roman" w:hAnsi="Times New Roman" w:eastAsia="宋体" w:cs="Times New Roman"/>
                <w:bCs/>
                <w:color w:val="000000"/>
                <w:sz w:val="24"/>
                <w:lang w:val="en-US" w:eastAsia="zh-CN"/>
              </w:rPr>
              <w:t>，</w:t>
            </w:r>
            <w:r>
              <w:rPr>
                <w:rFonts w:ascii="Times New Roman" w:hAnsi="Times New Roman" w:eastAsia="宋体" w:cs="Times New Roman"/>
                <w:bCs/>
                <w:color w:val="000000"/>
                <w:sz w:val="24"/>
              </w:rPr>
              <w:t>2020年、2030年水质目标为Ⅲ类，</w:t>
            </w:r>
            <w:r>
              <w:rPr>
                <w:rFonts w:hint="eastAsia" w:ascii="Times New Roman" w:hAnsi="Times New Roman" w:eastAsia="宋体" w:cs="Times New Roman"/>
                <w:bCs/>
                <w:color w:val="000000"/>
                <w:sz w:val="24"/>
                <w:lang w:val="en-US" w:eastAsia="zh-CN"/>
              </w:rPr>
              <w:t>水环境功能为工业、农业、景观用水，</w:t>
            </w:r>
            <w:r>
              <w:rPr>
                <w:rFonts w:ascii="Times New Roman" w:hAnsi="Times New Roman" w:eastAsia="宋体" w:cs="Times New Roman"/>
                <w:bCs/>
                <w:color w:val="000000"/>
                <w:sz w:val="24"/>
              </w:rPr>
              <w:t>执行《地表水环境质量标准》（GB3838-2002）Ⅲ类</w:t>
            </w:r>
            <w:r>
              <w:rPr>
                <w:rFonts w:ascii="Times New Roman" w:hAnsi="Times New Roman" w:eastAsia="宋体" w:cs="Times New Roman"/>
                <w:bCs/>
                <w:color w:val="000000"/>
                <w:sz w:val="24"/>
                <w:lang w:val="en-US" w:eastAsia="zh-CN"/>
              </w:rPr>
              <w:t>标准</w:t>
            </w:r>
            <w:r>
              <w:rPr>
                <w:rFonts w:ascii="Times New Roman" w:hAnsi="Times New Roman" w:eastAsia="宋体" w:cs="Times New Roman"/>
                <w:bCs/>
                <w:color w:val="000000"/>
                <w:sz w:val="24"/>
                <w:lang w:eastAsia="zh-CN"/>
              </w:rPr>
              <w:t>。</w:t>
            </w:r>
            <w:r>
              <w:rPr>
                <w:rFonts w:hint="eastAsia" w:ascii="Times New Roman" w:hAnsi="Times New Roman" w:eastAsia="宋体" w:cs="Times New Roman"/>
                <w:bCs/>
                <w:color w:val="000000"/>
                <w:sz w:val="24"/>
                <w:lang w:val="en-US" w:eastAsia="zh-CN"/>
              </w:rPr>
              <w:t>根据“支流水环境功能不应低于干流的原则”，故果朗河水质参照执行《地表水环境质量标准》（GB3838-2002）</w:t>
            </w:r>
            <w:r>
              <w:rPr>
                <w:rFonts w:ascii="Times New Roman" w:hAnsi="Times New Roman" w:eastAsia="宋体" w:cs="Times New Roman"/>
                <w:bCs/>
                <w:color w:val="000000"/>
                <w:sz w:val="24"/>
              </w:rPr>
              <w:t>Ⅲ</w:t>
            </w:r>
            <w:r>
              <w:rPr>
                <w:rFonts w:hint="eastAsia" w:ascii="Times New Roman" w:hAnsi="Times New Roman" w:eastAsia="宋体" w:cs="Times New Roman"/>
                <w:bCs/>
                <w:color w:val="000000"/>
                <w:sz w:val="24"/>
                <w:lang w:val="en-US" w:eastAsia="zh-CN"/>
              </w:rPr>
              <w:t>类标准要求，</w:t>
            </w:r>
            <w:r>
              <w:rPr>
                <w:rFonts w:ascii="Times New Roman" w:hAnsi="Times New Roman" w:eastAsia="宋体" w:cs="Times New Roman"/>
                <w:bCs/>
                <w:color w:val="000000"/>
                <w:sz w:val="24"/>
                <w:lang w:val="en-US" w:eastAsia="zh-CN"/>
              </w:rPr>
              <w:t>具体标准限值如下。</w:t>
            </w:r>
          </w:p>
          <w:p w14:paraId="4A6CF358">
            <w:pPr>
              <w:keepNext w:val="0"/>
              <w:keepLines w:val="0"/>
              <w:suppressLineNumbers w:val="0"/>
              <w:spacing w:before="0" w:beforeAutospacing="0" w:after="0" w:afterAutospacing="0"/>
              <w:ind w:left="0" w:right="0"/>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表</w:t>
            </w:r>
            <w:r>
              <w:rPr>
                <w:rFonts w:ascii="Times New Roman" w:hAnsi="Times New Roman" w:eastAsia="宋体" w:cs="Times New Roman"/>
                <w:b/>
                <w:color w:val="000000"/>
                <w:sz w:val="24"/>
                <w:lang w:val="en-US" w:eastAsia="zh-CN"/>
              </w:rPr>
              <w:t>3-1</w:t>
            </w:r>
            <w:r>
              <w:rPr>
                <w:rFonts w:ascii="Times New Roman" w:hAnsi="Times New Roman" w:eastAsia="宋体" w:cs="Times New Roman"/>
                <w:b/>
                <w:color w:val="000000"/>
                <w:sz w:val="24"/>
              </w:rPr>
              <w:t xml:space="preserve">  地表水环境质量标准限值 </w:t>
            </w:r>
            <w:r>
              <w:rPr>
                <w:rFonts w:ascii="Times New Roman" w:hAnsi="Times New Roman" w:eastAsia="宋体" w:cs="Times New Roman"/>
                <w:b/>
                <w:color w:val="000000"/>
                <w:sz w:val="24"/>
                <w:lang w:val="en-US" w:eastAsia="zh-CN"/>
              </w:rPr>
              <w:t xml:space="preserve"> </w:t>
            </w:r>
            <w:r>
              <w:rPr>
                <w:rFonts w:ascii="Times New Roman" w:hAnsi="Times New Roman" w:eastAsia="宋体" w:cs="Times New Roman"/>
                <w:b/>
                <w:color w:val="000000"/>
                <w:sz w:val="24"/>
              </w:rPr>
              <w:t>单位：mg/L</w:t>
            </w:r>
          </w:p>
          <w:tbl>
            <w:tblPr>
              <w:tblStyle w:val="29"/>
              <w:tblW w:w="499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39"/>
              <w:gridCol w:w="2800"/>
              <w:gridCol w:w="2800"/>
            </w:tblGrid>
            <w:tr w14:paraId="47D32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2" w:type="dxa"/>
                  <w:noWrap w:val="0"/>
                  <w:vAlign w:val="center"/>
                </w:tcPr>
                <w:p w14:paraId="6591C266">
                  <w:pPr>
                    <w:keepNext w:val="0"/>
                    <w:keepLines w:val="0"/>
                    <w:suppressLineNumbers w:val="0"/>
                    <w:spacing w:before="0" w:beforeAutospacing="0" w:after="0" w:afterAutospacing="0"/>
                    <w:ind w:left="0" w:right="0"/>
                    <w:jc w:val="center"/>
                    <w:rPr>
                      <w:rFonts w:ascii="Times New Roman" w:hAnsi="Times New Roman" w:eastAsia="宋体" w:cs="Times New Roman"/>
                      <w:b/>
                      <w:bCs/>
                      <w:color w:val="000000"/>
                      <w:szCs w:val="21"/>
                      <w:lang w:val="zh-CN"/>
                    </w:rPr>
                  </w:pPr>
                  <w:r>
                    <w:rPr>
                      <w:rFonts w:ascii="Times New Roman" w:hAnsi="Times New Roman" w:eastAsia="宋体" w:cs="Times New Roman"/>
                      <w:b/>
                      <w:bCs/>
                      <w:color w:val="000000"/>
                      <w:szCs w:val="21"/>
                      <w:lang w:val="zh-CN"/>
                    </w:rPr>
                    <w:t>项目</w:t>
                  </w:r>
                </w:p>
              </w:tc>
              <w:tc>
                <w:tcPr>
                  <w:tcW w:w="1583" w:type="dxa"/>
                  <w:noWrap w:val="0"/>
                  <w:vAlign w:val="top"/>
                </w:tcPr>
                <w:p w14:paraId="32E62862">
                  <w:pPr>
                    <w:keepNext w:val="0"/>
                    <w:keepLines w:val="0"/>
                    <w:suppressLineNumbers w:val="0"/>
                    <w:tabs>
                      <w:tab w:val="center" w:pos="1716"/>
                      <w:tab w:val="right" w:pos="3432"/>
                    </w:tabs>
                    <w:spacing w:before="0" w:beforeAutospacing="0" w:after="0" w:afterAutospacing="0"/>
                    <w:ind w:left="0" w:right="0"/>
                    <w:jc w:val="center"/>
                    <w:rPr>
                      <w:rFonts w:ascii="Times New Roman" w:hAnsi="Times New Roman" w:eastAsia="宋体" w:cs="Times New Roman"/>
                      <w:b/>
                      <w:bCs/>
                      <w:color w:val="000000"/>
                      <w:szCs w:val="21"/>
                      <w:lang w:val="zh-CN"/>
                    </w:rPr>
                  </w:pPr>
                  <w:r>
                    <w:rPr>
                      <w:rFonts w:ascii="Times New Roman" w:hAnsi="Times New Roman" w:eastAsia="宋体" w:cs="Times New Roman"/>
                      <w:b/>
                      <w:bCs/>
                      <w:color w:val="000000"/>
                      <w:szCs w:val="21"/>
                      <w:lang w:val="zh-CN"/>
                    </w:rPr>
                    <w:t>I</w:t>
                  </w:r>
                  <w:r>
                    <w:rPr>
                      <w:rFonts w:ascii="Times New Roman" w:hAnsi="Times New Roman" w:eastAsia="宋体" w:cs="Times New Roman"/>
                      <w:b/>
                      <w:bCs/>
                      <w:color w:val="000000"/>
                      <w:szCs w:val="21"/>
                    </w:rPr>
                    <w:t>II</w:t>
                  </w:r>
                  <w:r>
                    <w:rPr>
                      <w:rFonts w:ascii="Times New Roman" w:hAnsi="Times New Roman" w:eastAsia="宋体" w:cs="Times New Roman"/>
                      <w:b/>
                      <w:bCs/>
                      <w:color w:val="000000"/>
                      <w:szCs w:val="21"/>
                      <w:lang w:val="zh-CN"/>
                    </w:rPr>
                    <w:t>类标准值</w:t>
                  </w:r>
                </w:p>
              </w:tc>
              <w:tc>
                <w:tcPr>
                  <w:tcW w:w="1583" w:type="dxa"/>
                  <w:noWrap w:val="0"/>
                  <w:vAlign w:val="top"/>
                </w:tcPr>
                <w:p w14:paraId="57305F57">
                  <w:pPr>
                    <w:keepNext w:val="0"/>
                    <w:keepLines w:val="0"/>
                    <w:suppressLineNumbers w:val="0"/>
                    <w:tabs>
                      <w:tab w:val="center" w:pos="1716"/>
                      <w:tab w:val="right" w:pos="3432"/>
                    </w:tabs>
                    <w:spacing w:before="0" w:beforeAutospacing="0" w:after="0" w:afterAutospacing="0"/>
                    <w:ind w:left="0" w:right="0"/>
                    <w:jc w:val="center"/>
                    <w:rPr>
                      <w:rFonts w:ascii="Times New Roman" w:hAnsi="Times New Roman" w:eastAsia="宋体" w:cs="Times New Roman"/>
                      <w:b/>
                      <w:bCs/>
                      <w:color w:val="000000"/>
                      <w:szCs w:val="21"/>
                      <w:lang w:val="zh-CN"/>
                    </w:rPr>
                  </w:pPr>
                  <w:r>
                    <w:rPr>
                      <w:rFonts w:ascii="Times New Roman" w:hAnsi="Times New Roman" w:eastAsia="宋体" w:cs="Times New Roman"/>
                      <w:b/>
                      <w:bCs/>
                      <w:color w:val="000000"/>
                      <w:szCs w:val="21"/>
                      <w:lang w:val="en-US" w:eastAsia="zh-CN"/>
                    </w:rPr>
                    <w:t>执行</w:t>
                  </w:r>
                  <w:r>
                    <w:rPr>
                      <w:rFonts w:ascii="Times New Roman" w:hAnsi="Times New Roman" w:eastAsia="宋体" w:cs="Times New Roman"/>
                      <w:b/>
                      <w:bCs/>
                      <w:color w:val="000000"/>
                      <w:szCs w:val="21"/>
                      <w:lang w:val="zh-CN"/>
                    </w:rPr>
                    <w:t>标准</w:t>
                  </w:r>
                </w:p>
              </w:tc>
            </w:tr>
            <w:tr w14:paraId="42C79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2" w:type="dxa"/>
                  <w:noWrap w:val="0"/>
                  <w:vAlign w:val="center"/>
                </w:tcPr>
                <w:p w14:paraId="2311E9ED">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21"/>
                      <w:lang w:val="zh-CN"/>
                    </w:rPr>
                  </w:pPr>
                  <w:r>
                    <w:rPr>
                      <w:rFonts w:ascii="Times New Roman" w:hAnsi="Times New Roman" w:eastAsia="宋体" w:cs="Times New Roman"/>
                      <w:bCs/>
                      <w:color w:val="000000"/>
                      <w:szCs w:val="21"/>
                      <w:lang w:val="zh-CN"/>
                    </w:rPr>
                    <w:t>pH值（无量纲）</w:t>
                  </w:r>
                </w:p>
              </w:tc>
              <w:tc>
                <w:tcPr>
                  <w:tcW w:w="1583" w:type="dxa"/>
                  <w:noWrap w:val="0"/>
                  <w:vAlign w:val="top"/>
                </w:tcPr>
                <w:p w14:paraId="606E0928">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21"/>
                      <w:lang w:val="zh-CN"/>
                    </w:rPr>
                  </w:pPr>
                  <w:r>
                    <w:rPr>
                      <w:rFonts w:ascii="Times New Roman" w:hAnsi="Times New Roman" w:eastAsia="宋体" w:cs="Times New Roman"/>
                      <w:bCs/>
                      <w:color w:val="000000"/>
                      <w:szCs w:val="21"/>
                      <w:lang w:val="zh-CN"/>
                    </w:rPr>
                    <w:t>6~9</w:t>
                  </w:r>
                </w:p>
              </w:tc>
              <w:tc>
                <w:tcPr>
                  <w:tcW w:w="1583" w:type="dxa"/>
                  <w:vMerge w:val="restart"/>
                  <w:noWrap w:val="0"/>
                  <w:vAlign w:val="center"/>
                </w:tcPr>
                <w:p w14:paraId="28A15F64">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21"/>
                      <w:lang w:val="zh-CN"/>
                    </w:rPr>
                  </w:pPr>
                  <w:r>
                    <w:rPr>
                      <w:rFonts w:ascii="Times New Roman" w:hAnsi="Times New Roman" w:eastAsia="宋体" w:cs="Times New Roman"/>
                      <w:color w:val="000000"/>
                      <w:szCs w:val="21"/>
                      <w:lang w:val="zh-CN"/>
                    </w:rPr>
                    <w:t>《地表水环境质量标准》（GB3838-2002）I</w:t>
                  </w:r>
                  <w:r>
                    <w:rPr>
                      <w:rFonts w:ascii="Times New Roman" w:hAnsi="Times New Roman" w:eastAsia="宋体" w:cs="Times New Roman"/>
                      <w:color w:val="000000"/>
                      <w:szCs w:val="21"/>
                    </w:rPr>
                    <w:t>II</w:t>
                  </w:r>
                  <w:r>
                    <w:rPr>
                      <w:rFonts w:ascii="Times New Roman" w:hAnsi="Times New Roman" w:eastAsia="宋体" w:cs="Times New Roman"/>
                      <w:color w:val="000000"/>
                      <w:szCs w:val="21"/>
                      <w:lang w:val="zh-CN"/>
                    </w:rPr>
                    <w:t>类水质标准</w:t>
                  </w:r>
                </w:p>
              </w:tc>
            </w:tr>
            <w:tr w14:paraId="79E93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2" w:type="dxa"/>
                  <w:noWrap w:val="0"/>
                  <w:vAlign w:val="center"/>
                </w:tcPr>
                <w:p w14:paraId="5BCE8579">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21"/>
                      <w:lang w:val="zh-CN"/>
                    </w:rPr>
                  </w:pPr>
                  <w:r>
                    <w:rPr>
                      <w:rFonts w:ascii="Times New Roman" w:hAnsi="Times New Roman" w:eastAsia="宋体" w:cs="Times New Roman"/>
                      <w:bCs/>
                      <w:color w:val="000000"/>
                      <w:szCs w:val="21"/>
                      <w:lang w:val="zh-CN"/>
                    </w:rPr>
                    <w:t>BOD</w:t>
                  </w:r>
                  <w:r>
                    <w:rPr>
                      <w:rFonts w:ascii="Times New Roman" w:hAnsi="Times New Roman" w:eastAsia="宋体" w:cs="Times New Roman"/>
                      <w:bCs/>
                      <w:color w:val="000000"/>
                      <w:szCs w:val="21"/>
                      <w:vertAlign w:val="subscript"/>
                      <w:lang w:val="zh-CN"/>
                    </w:rPr>
                    <w:t>5</w:t>
                  </w:r>
                </w:p>
              </w:tc>
              <w:tc>
                <w:tcPr>
                  <w:tcW w:w="1583" w:type="dxa"/>
                  <w:noWrap w:val="0"/>
                  <w:vAlign w:val="top"/>
                </w:tcPr>
                <w:p w14:paraId="5B2ECA06">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r>
                    <w:rPr>
                      <w:rFonts w:ascii="Times New Roman" w:hAnsi="Times New Roman" w:eastAsia="宋体" w:cs="Times New Roman"/>
                      <w:bCs/>
                      <w:color w:val="000000"/>
                      <w:szCs w:val="32"/>
                      <w:lang w:val="zh-CN"/>
                    </w:rPr>
                    <w:t>≤</w:t>
                  </w:r>
                  <w:r>
                    <w:rPr>
                      <w:rFonts w:ascii="Times New Roman" w:hAnsi="Times New Roman" w:eastAsia="宋体" w:cs="Times New Roman"/>
                      <w:bCs/>
                      <w:color w:val="000000"/>
                      <w:szCs w:val="32"/>
                    </w:rPr>
                    <w:t>4</w:t>
                  </w:r>
                </w:p>
              </w:tc>
              <w:tc>
                <w:tcPr>
                  <w:tcW w:w="1583" w:type="dxa"/>
                  <w:vMerge w:val="continue"/>
                  <w:noWrap w:val="0"/>
                  <w:vAlign w:val="top"/>
                </w:tcPr>
                <w:p w14:paraId="6289D369">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p>
              </w:tc>
            </w:tr>
            <w:tr w14:paraId="47E25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2" w:type="dxa"/>
                  <w:noWrap w:val="0"/>
                  <w:vAlign w:val="center"/>
                </w:tcPr>
                <w:p w14:paraId="2E425C48">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21"/>
                      <w:lang w:val="zh-CN"/>
                    </w:rPr>
                  </w:pPr>
                  <w:r>
                    <w:rPr>
                      <w:rFonts w:ascii="Times New Roman" w:hAnsi="Times New Roman" w:eastAsia="宋体" w:cs="Times New Roman"/>
                      <w:bCs/>
                      <w:color w:val="000000"/>
                      <w:szCs w:val="21"/>
                      <w:lang w:val="zh-CN"/>
                    </w:rPr>
                    <w:t>CODcr</w:t>
                  </w:r>
                </w:p>
              </w:tc>
              <w:tc>
                <w:tcPr>
                  <w:tcW w:w="1583" w:type="dxa"/>
                  <w:noWrap w:val="0"/>
                  <w:vAlign w:val="top"/>
                </w:tcPr>
                <w:p w14:paraId="7B6345C1">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rPr>
                  </w:pPr>
                  <w:r>
                    <w:rPr>
                      <w:rFonts w:ascii="Times New Roman" w:hAnsi="Times New Roman" w:eastAsia="宋体" w:cs="Times New Roman"/>
                      <w:bCs/>
                      <w:color w:val="000000"/>
                      <w:szCs w:val="32"/>
                      <w:lang w:val="zh-CN"/>
                    </w:rPr>
                    <w:t>≤</w:t>
                  </w:r>
                  <w:r>
                    <w:rPr>
                      <w:rFonts w:ascii="Times New Roman" w:hAnsi="Times New Roman" w:eastAsia="宋体" w:cs="Times New Roman"/>
                      <w:bCs/>
                      <w:color w:val="000000"/>
                      <w:szCs w:val="32"/>
                    </w:rPr>
                    <w:t>20</w:t>
                  </w:r>
                </w:p>
              </w:tc>
              <w:tc>
                <w:tcPr>
                  <w:tcW w:w="1583" w:type="dxa"/>
                  <w:vMerge w:val="continue"/>
                  <w:noWrap w:val="0"/>
                  <w:vAlign w:val="top"/>
                </w:tcPr>
                <w:p w14:paraId="13B45747">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p>
              </w:tc>
            </w:tr>
            <w:tr w14:paraId="61D6C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2" w:type="dxa"/>
                  <w:noWrap w:val="0"/>
                  <w:vAlign w:val="center"/>
                </w:tcPr>
                <w:p w14:paraId="7965FF55">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21"/>
                      <w:lang w:val="zh-CN"/>
                    </w:rPr>
                  </w:pPr>
                  <w:r>
                    <w:rPr>
                      <w:rFonts w:ascii="Times New Roman" w:hAnsi="Times New Roman" w:eastAsia="宋体" w:cs="Times New Roman"/>
                      <w:bCs/>
                      <w:color w:val="000000"/>
                      <w:szCs w:val="21"/>
                      <w:lang w:val="zh-CN"/>
                    </w:rPr>
                    <w:t>氨氮</w:t>
                  </w:r>
                </w:p>
              </w:tc>
              <w:tc>
                <w:tcPr>
                  <w:tcW w:w="1583" w:type="dxa"/>
                  <w:noWrap w:val="0"/>
                  <w:vAlign w:val="top"/>
                </w:tcPr>
                <w:p w14:paraId="7D4BAA3B">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r>
                    <w:rPr>
                      <w:rFonts w:ascii="Times New Roman" w:hAnsi="Times New Roman" w:eastAsia="宋体" w:cs="Times New Roman"/>
                      <w:bCs/>
                      <w:color w:val="000000"/>
                      <w:szCs w:val="32"/>
                      <w:lang w:val="zh-CN"/>
                    </w:rPr>
                    <w:t>≤1.</w:t>
                  </w:r>
                  <w:r>
                    <w:rPr>
                      <w:rFonts w:ascii="Times New Roman" w:hAnsi="Times New Roman" w:eastAsia="宋体" w:cs="Times New Roman"/>
                      <w:bCs/>
                      <w:color w:val="000000"/>
                      <w:szCs w:val="32"/>
                    </w:rPr>
                    <w:t>0</w:t>
                  </w:r>
                </w:p>
              </w:tc>
              <w:tc>
                <w:tcPr>
                  <w:tcW w:w="1583" w:type="dxa"/>
                  <w:vMerge w:val="continue"/>
                  <w:noWrap w:val="0"/>
                  <w:vAlign w:val="top"/>
                </w:tcPr>
                <w:p w14:paraId="48566989">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p>
              </w:tc>
            </w:tr>
            <w:tr w14:paraId="66606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2" w:type="dxa"/>
                  <w:noWrap w:val="0"/>
                  <w:vAlign w:val="center"/>
                </w:tcPr>
                <w:p w14:paraId="3738F83F">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21"/>
                      <w:lang w:val="zh-CN"/>
                    </w:rPr>
                  </w:pPr>
                  <w:r>
                    <w:rPr>
                      <w:rFonts w:ascii="Times New Roman" w:hAnsi="Times New Roman" w:eastAsia="宋体" w:cs="Times New Roman"/>
                      <w:bCs/>
                      <w:color w:val="000000"/>
                      <w:szCs w:val="21"/>
                      <w:lang w:val="zh-CN"/>
                    </w:rPr>
                    <w:t>总磷</w:t>
                  </w:r>
                </w:p>
              </w:tc>
              <w:tc>
                <w:tcPr>
                  <w:tcW w:w="1583" w:type="dxa"/>
                  <w:noWrap w:val="0"/>
                  <w:vAlign w:val="top"/>
                </w:tcPr>
                <w:p w14:paraId="739C51F3">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r>
                    <w:rPr>
                      <w:rFonts w:ascii="Times New Roman" w:hAnsi="Times New Roman" w:eastAsia="宋体" w:cs="Times New Roman"/>
                      <w:bCs/>
                      <w:color w:val="000000"/>
                      <w:szCs w:val="32"/>
                      <w:lang w:val="zh-CN"/>
                    </w:rPr>
                    <w:t>≤0.</w:t>
                  </w:r>
                  <w:r>
                    <w:rPr>
                      <w:rFonts w:ascii="Times New Roman" w:hAnsi="Times New Roman" w:eastAsia="宋体" w:cs="Times New Roman"/>
                      <w:bCs/>
                      <w:color w:val="000000"/>
                      <w:szCs w:val="32"/>
                    </w:rPr>
                    <w:t>2</w:t>
                  </w:r>
                </w:p>
              </w:tc>
              <w:tc>
                <w:tcPr>
                  <w:tcW w:w="1583" w:type="dxa"/>
                  <w:vMerge w:val="continue"/>
                  <w:noWrap w:val="0"/>
                  <w:vAlign w:val="top"/>
                </w:tcPr>
                <w:p w14:paraId="591C578E">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p>
              </w:tc>
            </w:tr>
            <w:tr w14:paraId="24117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2" w:type="dxa"/>
                  <w:noWrap w:val="0"/>
                  <w:vAlign w:val="center"/>
                </w:tcPr>
                <w:p w14:paraId="710D7E91">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21"/>
                      <w:lang w:val="zh-CN"/>
                    </w:rPr>
                  </w:pPr>
                  <w:r>
                    <w:rPr>
                      <w:rFonts w:ascii="Times New Roman" w:hAnsi="Times New Roman" w:eastAsia="宋体" w:cs="Times New Roman"/>
                      <w:bCs/>
                      <w:color w:val="000000"/>
                      <w:szCs w:val="21"/>
                      <w:lang w:val="zh-CN"/>
                    </w:rPr>
                    <w:t>石油类</w:t>
                  </w:r>
                </w:p>
              </w:tc>
              <w:tc>
                <w:tcPr>
                  <w:tcW w:w="1583" w:type="dxa"/>
                  <w:noWrap w:val="0"/>
                  <w:vAlign w:val="top"/>
                </w:tcPr>
                <w:p w14:paraId="0D6DFD05">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r>
                    <w:rPr>
                      <w:rFonts w:ascii="Times New Roman" w:hAnsi="Times New Roman" w:eastAsia="宋体" w:cs="Times New Roman"/>
                      <w:bCs/>
                      <w:color w:val="000000"/>
                      <w:szCs w:val="32"/>
                      <w:lang w:val="zh-CN"/>
                    </w:rPr>
                    <w:t>≤0.</w:t>
                  </w:r>
                  <w:r>
                    <w:rPr>
                      <w:rFonts w:ascii="Times New Roman" w:hAnsi="Times New Roman" w:eastAsia="宋体" w:cs="Times New Roman"/>
                      <w:bCs/>
                      <w:color w:val="000000"/>
                      <w:szCs w:val="32"/>
                    </w:rPr>
                    <w:t>0</w:t>
                  </w:r>
                  <w:r>
                    <w:rPr>
                      <w:rFonts w:ascii="Times New Roman" w:hAnsi="Times New Roman" w:eastAsia="宋体" w:cs="Times New Roman"/>
                      <w:bCs/>
                      <w:color w:val="000000"/>
                      <w:szCs w:val="32"/>
                      <w:lang w:val="zh-CN"/>
                    </w:rPr>
                    <w:t>5</w:t>
                  </w:r>
                </w:p>
              </w:tc>
              <w:tc>
                <w:tcPr>
                  <w:tcW w:w="1583" w:type="dxa"/>
                  <w:vMerge w:val="continue"/>
                  <w:noWrap w:val="0"/>
                  <w:vAlign w:val="top"/>
                </w:tcPr>
                <w:p w14:paraId="16E3B498">
                  <w:pPr>
                    <w:keepNext w:val="0"/>
                    <w:keepLines w:val="0"/>
                    <w:suppressLineNumbers w:val="0"/>
                    <w:spacing w:before="0" w:beforeAutospacing="0" w:after="0" w:afterAutospacing="0"/>
                    <w:ind w:left="0" w:right="0"/>
                    <w:jc w:val="center"/>
                    <w:rPr>
                      <w:rFonts w:ascii="Times New Roman" w:hAnsi="Times New Roman" w:eastAsia="宋体" w:cs="Times New Roman"/>
                      <w:bCs/>
                      <w:color w:val="000000"/>
                      <w:szCs w:val="32"/>
                      <w:lang w:val="zh-CN"/>
                    </w:rPr>
                  </w:pPr>
                </w:p>
              </w:tc>
            </w:tr>
          </w:tbl>
          <w:p w14:paraId="6D24B1E8">
            <w:pPr>
              <w:keepNext w:val="0"/>
              <w:keepLines w:val="0"/>
              <w:pageBreakBefore w:val="0"/>
              <w:widowControl w:val="0"/>
              <w:spacing w:before="157" w:line="360" w:lineRule="auto"/>
              <w:ind w:firstLine="480"/>
              <w:rPr>
                <w:rFonts w:ascii="Times New Roman" w:hAnsi="Times New Roman" w:eastAsia="宋体" w:cs="Times New Roman"/>
                <w:color w:val="000000"/>
                <w:sz w:val="24"/>
              </w:rPr>
            </w:pPr>
            <w:r>
              <w:rPr>
                <w:rFonts w:ascii="Times New Roman" w:hAnsi="Times New Roman" w:cs="Times New Roman"/>
                <w:color w:val="000000"/>
                <w:sz w:val="24"/>
              </w:rPr>
              <w:t>根据《202</w:t>
            </w:r>
            <w:r>
              <w:rPr>
                <w:rFonts w:hint="eastAsia" w:ascii="Times New Roman" w:hAnsi="Times New Roman" w:cs="Times New Roman"/>
                <w:color w:val="000000"/>
                <w:sz w:val="24"/>
                <w:lang w:val="en-US" w:eastAsia="zh-CN"/>
              </w:rPr>
              <w:t>1</w:t>
            </w:r>
            <w:r>
              <w:rPr>
                <w:rFonts w:ascii="Times New Roman" w:hAnsi="Times New Roman" w:cs="Times New Roman"/>
                <w:color w:val="000000"/>
                <w:sz w:val="24"/>
              </w:rPr>
              <w:t>年德宏州环境</w:t>
            </w:r>
            <w:r>
              <w:rPr>
                <w:rFonts w:hint="eastAsia" w:ascii="Times New Roman" w:hAnsi="Times New Roman" w:cs="Times New Roman"/>
                <w:color w:val="000000"/>
                <w:sz w:val="24"/>
                <w:lang w:val="en-US" w:eastAsia="zh-CN"/>
              </w:rPr>
              <w:t>状况</w:t>
            </w:r>
            <w:r>
              <w:rPr>
                <w:rFonts w:ascii="Times New Roman" w:hAnsi="Times New Roman" w:cs="Times New Roman"/>
                <w:color w:val="000000"/>
                <w:sz w:val="24"/>
              </w:rPr>
              <w:t>公报》，202</w:t>
            </w:r>
            <w:r>
              <w:rPr>
                <w:rFonts w:hint="eastAsia" w:ascii="Times New Roman" w:hAnsi="Times New Roman" w:cs="Times New Roman"/>
                <w:color w:val="000000"/>
                <w:sz w:val="24"/>
                <w:lang w:val="en-US" w:eastAsia="zh-CN"/>
              </w:rPr>
              <w:t>1</w:t>
            </w:r>
            <w:r>
              <w:rPr>
                <w:rFonts w:ascii="Times New Roman" w:hAnsi="Times New Roman" w:cs="Times New Roman"/>
                <w:color w:val="000000"/>
                <w:sz w:val="24"/>
              </w:rPr>
              <w:t>年德宏州1</w:t>
            </w:r>
            <w:r>
              <w:rPr>
                <w:rFonts w:hint="eastAsia" w:ascii="Times New Roman" w:hAnsi="Times New Roman" w:cs="Times New Roman"/>
                <w:color w:val="000000"/>
                <w:sz w:val="24"/>
                <w:lang w:val="en-US" w:eastAsia="zh-CN"/>
              </w:rPr>
              <w:t>1</w:t>
            </w:r>
            <w:r>
              <w:rPr>
                <w:rFonts w:ascii="Times New Roman" w:hAnsi="Times New Roman" w:cs="Times New Roman"/>
                <w:color w:val="000000"/>
                <w:sz w:val="24"/>
              </w:rPr>
              <w:t>个</w:t>
            </w:r>
            <w:r>
              <w:rPr>
                <w:rFonts w:hint="eastAsia" w:ascii="Times New Roman" w:hAnsi="Times New Roman" w:cs="Times New Roman"/>
                <w:color w:val="000000"/>
                <w:sz w:val="24"/>
                <w:lang w:val="en-US" w:eastAsia="zh-CN"/>
              </w:rPr>
              <w:t>国控、省控</w:t>
            </w:r>
            <w:r>
              <w:rPr>
                <w:rFonts w:ascii="Times New Roman" w:hAnsi="Times New Roman" w:cs="Times New Roman"/>
                <w:color w:val="000000"/>
                <w:sz w:val="24"/>
              </w:rPr>
              <w:t>河流</w:t>
            </w:r>
            <w:r>
              <w:rPr>
                <w:rFonts w:hint="eastAsia" w:ascii="Times New Roman" w:hAnsi="Times New Roman" w:cs="Times New Roman"/>
                <w:color w:val="000000"/>
                <w:sz w:val="24"/>
                <w:lang w:val="en-US" w:eastAsia="zh-CN"/>
              </w:rPr>
              <w:t>监测</w:t>
            </w:r>
            <w:r>
              <w:rPr>
                <w:rFonts w:ascii="Times New Roman" w:hAnsi="Times New Roman" w:cs="Times New Roman"/>
                <w:color w:val="000000"/>
                <w:sz w:val="24"/>
              </w:rPr>
              <w:t>断面</w:t>
            </w:r>
            <w:r>
              <w:rPr>
                <w:rFonts w:hint="eastAsia" w:ascii="Times New Roman" w:hAnsi="Times New Roman" w:cs="Times New Roman"/>
                <w:color w:val="000000"/>
                <w:sz w:val="24"/>
                <w:lang w:val="en-US" w:eastAsia="zh-CN"/>
              </w:rPr>
              <w:t>均达到</w:t>
            </w:r>
            <w:r>
              <w:rPr>
                <w:rFonts w:ascii="Times New Roman" w:hAnsi="Times New Roman" w:cs="Times New Roman"/>
                <w:color w:val="000000"/>
                <w:sz w:val="24"/>
              </w:rPr>
              <w:t>Ⅲ类</w:t>
            </w:r>
            <w:r>
              <w:rPr>
                <w:rFonts w:hint="eastAsia" w:ascii="Times New Roman" w:hAnsi="Times New Roman" w:cs="Times New Roman"/>
                <w:color w:val="000000"/>
                <w:sz w:val="24"/>
                <w:lang w:val="en-US" w:eastAsia="zh-CN"/>
              </w:rPr>
              <w:t>水环境功能要求。其中</w:t>
            </w:r>
            <w:r>
              <w:rPr>
                <w:rFonts w:ascii="Times New Roman" w:hAnsi="Times New Roman" w:cs="Times New Roman"/>
                <w:color w:val="000000"/>
                <w:sz w:val="24"/>
                <w:lang w:val="en-US" w:eastAsia="zh-CN"/>
              </w:rPr>
              <w:t>Ⅰ类水断面1</w:t>
            </w:r>
            <w:r>
              <w:rPr>
                <w:rFonts w:hint="eastAsia" w:ascii="Times New Roman" w:hAnsi="Times New Roman" w:cs="Times New Roman"/>
                <w:color w:val="000000"/>
                <w:sz w:val="24"/>
                <w:lang w:val="en-US" w:eastAsia="zh-CN"/>
              </w:rPr>
              <w:t>个</w:t>
            </w:r>
            <w:r>
              <w:rPr>
                <w:rFonts w:ascii="Times New Roman" w:hAnsi="Times New Roman" w:cs="Times New Roman"/>
                <w:color w:val="000000"/>
                <w:sz w:val="24"/>
                <w:lang w:val="en-US" w:eastAsia="zh-CN"/>
              </w:rPr>
              <w:t>，占比9.1%，水质状况优；Ⅱ类水断面7个，占比63.6%，水质状况优；Ⅲ类水断面3个，占比27.3%，水质状况良</w:t>
            </w:r>
            <w:r>
              <w:rPr>
                <w:rFonts w:ascii="Times New Roman" w:hAnsi="Times New Roman" w:cs="Times New Roman"/>
                <w:color w:val="000000"/>
                <w:sz w:val="24"/>
              </w:rPr>
              <w:t>。</w:t>
            </w:r>
            <w:r>
              <w:rPr>
                <w:rFonts w:ascii="Times New Roman" w:hAnsi="Times New Roman" w:cs="Times New Roman"/>
                <w:color w:val="000000"/>
                <w:sz w:val="24"/>
                <w:lang w:val="en-US" w:eastAsia="zh-CN"/>
              </w:rPr>
              <w:t>全州优良率100%。</w:t>
            </w:r>
            <w:r>
              <w:rPr>
                <w:rFonts w:ascii="Times New Roman" w:hAnsi="Times New Roman" w:cs="Times New Roman"/>
                <w:color w:val="000000"/>
                <w:sz w:val="24"/>
              </w:rPr>
              <w:t>除大盈江桥头村桥头、芒市河风平水质状况为良，其余8</w:t>
            </w:r>
            <w:r>
              <w:rPr>
                <w:rFonts w:hint="eastAsia" w:ascii="Times New Roman" w:hAnsi="Times New Roman" w:cs="Times New Roman"/>
                <w:color w:val="000000"/>
                <w:sz w:val="24"/>
                <w:lang w:val="en-US" w:eastAsia="zh-CN"/>
              </w:rPr>
              <w:t>条</w:t>
            </w:r>
            <w:r>
              <w:rPr>
                <w:rFonts w:ascii="Times New Roman" w:hAnsi="Times New Roman" w:cs="Times New Roman"/>
                <w:color w:val="000000"/>
                <w:sz w:val="24"/>
              </w:rPr>
              <w:t>河流水质状况均为优。</w:t>
            </w:r>
            <w:r>
              <w:rPr>
                <w:rFonts w:ascii="Times New Roman" w:hAnsi="Times New Roman" w:cs="Times New Roman"/>
                <w:color w:val="000000"/>
                <w:sz w:val="24"/>
                <w:lang w:val="en-US" w:eastAsia="zh-CN"/>
              </w:rPr>
              <w:t>与202</w:t>
            </w:r>
            <w:r>
              <w:rPr>
                <w:rFonts w:hint="eastAsia" w:ascii="Times New Roman" w:hAnsi="Times New Roman" w:cs="Times New Roman"/>
                <w:color w:val="000000"/>
                <w:sz w:val="24"/>
                <w:lang w:val="en-US" w:eastAsia="zh-CN"/>
              </w:rPr>
              <w:t>0</w:t>
            </w:r>
            <w:r>
              <w:rPr>
                <w:rFonts w:ascii="Times New Roman" w:hAnsi="Times New Roman" w:cs="Times New Roman"/>
                <w:color w:val="000000"/>
                <w:sz w:val="24"/>
                <w:lang w:val="en-US" w:eastAsia="zh-CN"/>
              </w:rPr>
              <w:t>年相比，全州Ⅰ类水质比例下降10.8%，Ⅱ类水质比例上升1.4%，Ⅲ类水质比例上升6%，Ⅳ类水质比例上升5%，全州未出现Ⅴ类及劣Ⅴ类水质断面</w:t>
            </w:r>
            <w:r>
              <w:rPr>
                <w:rFonts w:ascii="Times New Roman" w:hAnsi="Times New Roman" w:cs="Times New Roman"/>
                <w:color w:val="000000"/>
                <w:sz w:val="24"/>
              </w:rPr>
              <w:t>。202</w:t>
            </w:r>
            <w:r>
              <w:rPr>
                <w:rFonts w:ascii="Times New Roman" w:hAnsi="Times New Roman" w:cs="Times New Roman"/>
                <w:color w:val="000000"/>
                <w:sz w:val="24"/>
                <w:lang w:val="en-US" w:eastAsia="zh-CN"/>
              </w:rPr>
              <w:t>1</w:t>
            </w:r>
            <w:r>
              <w:rPr>
                <w:rFonts w:ascii="Times New Roman" w:hAnsi="Times New Roman" w:cs="Times New Roman"/>
                <w:color w:val="000000"/>
                <w:sz w:val="24"/>
              </w:rPr>
              <w:t>年所有河流断面均满足《云南省地表水水环境功能区划（2010~2020年）》规定的水质类别要求。</w:t>
            </w:r>
            <w:r>
              <w:rPr>
                <w:rFonts w:ascii="Times New Roman" w:hAnsi="Times New Roman" w:eastAsia="宋体" w:cs="Times New Roman"/>
                <w:color w:val="000000"/>
                <w:sz w:val="24"/>
                <w:szCs w:val="24"/>
                <w:lang w:val="en-US" w:eastAsia="zh-CN"/>
              </w:rPr>
              <w:t>芒市大河</w:t>
            </w:r>
            <w:r>
              <w:rPr>
                <w:rFonts w:ascii="Times New Roman" w:hAnsi="Times New Roman" w:cs="Times New Roman"/>
                <w:color w:val="000000"/>
                <w:sz w:val="24"/>
              </w:rPr>
              <w:t>能</w:t>
            </w:r>
            <w:r>
              <w:rPr>
                <w:rFonts w:ascii="Times New Roman" w:hAnsi="Times New Roman" w:cs="Times New Roman"/>
                <w:color w:val="000000"/>
                <w:sz w:val="24"/>
                <w:lang w:val="en-US" w:eastAsia="zh-CN"/>
              </w:rPr>
              <w:t>够</w:t>
            </w:r>
            <w:r>
              <w:rPr>
                <w:rFonts w:ascii="Times New Roman" w:hAnsi="Times New Roman" w:cs="Times New Roman"/>
                <w:color w:val="000000"/>
                <w:sz w:val="24"/>
              </w:rPr>
              <w:t>达</w:t>
            </w:r>
            <w:r>
              <w:rPr>
                <w:rFonts w:ascii="Times New Roman" w:hAnsi="Times New Roman" w:cs="Times New Roman"/>
                <w:color w:val="000000"/>
                <w:sz w:val="24"/>
                <w:lang w:val="en-US" w:eastAsia="zh-CN"/>
              </w:rPr>
              <w:t>到</w:t>
            </w:r>
            <w:r>
              <w:rPr>
                <w:rFonts w:ascii="Times New Roman" w:hAnsi="Times New Roman" w:cs="Times New Roman"/>
                <w:color w:val="000000"/>
                <w:sz w:val="24"/>
              </w:rPr>
              <w:t>《地表水环境质量标准》（GB3838-2002）中Ⅲ类水质标准，属达标区</w:t>
            </w:r>
            <w:r>
              <w:rPr>
                <w:rFonts w:ascii="Times New Roman" w:hAnsi="Times New Roman" w:eastAsia="宋体" w:cs="Times New Roman"/>
                <w:color w:val="000000"/>
                <w:sz w:val="24"/>
              </w:rPr>
              <w:t>。</w:t>
            </w:r>
          </w:p>
          <w:p w14:paraId="3281FB0A">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综上，项目区河段水环境功能良好，能满足《地表水环境质量标准》（GB3838-2002）中</w:t>
            </w:r>
            <w:r>
              <w:rPr>
                <w:rFonts w:ascii="Times New Roman" w:hAnsi="Times New Roman" w:eastAsia="宋体" w:cs="Times New Roman"/>
                <w:color w:val="000000"/>
                <w:sz w:val="24"/>
                <w:lang w:val="zh-CN"/>
              </w:rPr>
              <w:t>Ⅲ</w:t>
            </w:r>
            <w:r>
              <w:rPr>
                <w:rFonts w:ascii="Times New Roman" w:hAnsi="Times New Roman" w:eastAsia="宋体" w:cs="Times New Roman"/>
                <w:color w:val="000000"/>
                <w:sz w:val="24"/>
              </w:rPr>
              <w:t>类水质要求。</w:t>
            </w:r>
          </w:p>
          <w:p w14:paraId="29692E34">
            <w:pPr>
              <w:keepNext w:val="0"/>
              <w:keepLines w:val="0"/>
              <w:pageBreakBefore w:val="0"/>
              <w:widowControl w:val="0"/>
              <w:tabs>
                <w:tab w:val="left" w:pos="6153"/>
              </w:tabs>
              <w:spacing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2、环境空气质量现状</w:t>
            </w:r>
          </w:p>
          <w:p w14:paraId="2D7D749A">
            <w:pPr>
              <w:keepNext w:val="0"/>
              <w:keepLines w:val="0"/>
              <w:pageBreakBefore w:val="0"/>
              <w:widowControl w:val="0"/>
              <w:tabs>
                <w:tab w:val="left" w:pos="6153"/>
              </w:tabs>
              <w:spacing w:line="360" w:lineRule="auto"/>
              <w:ind w:firstLine="482"/>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eastAsia="zh-CN"/>
              </w:rPr>
              <w:t>（</w:t>
            </w:r>
            <w:r>
              <w:rPr>
                <w:rFonts w:ascii="Times New Roman" w:hAnsi="Times New Roman" w:eastAsia="宋体" w:cs="Times New Roman"/>
                <w:b/>
                <w:bCs/>
                <w:color w:val="000000"/>
                <w:sz w:val="24"/>
                <w:szCs w:val="24"/>
                <w:lang w:val="en-US" w:eastAsia="zh-CN"/>
              </w:rPr>
              <w:t>1</w:t>
            </w:r>
            <w:r>
              <w:rPr>
                <w:rFonts w:ascii="Times New Roman" w:hAnsi="Times New Roman" w:eastAsia="宋体" w:cs="Times New Roman"/>
                <w:b/>
                <w:bCs/>
                <w:color w:val="000000"/>
                <w:sz w:val="24"/>
                <w:szCs w:val="24"/>
                <w:lang w:eastAsia="zh-CN"/>
              </w:rPr>
              <w:t>）</w:t>
            </w:r>
            <w:r>
              <w:rPr>
                <w:rFonts w:ascii="Times New Roman" w:hAnsi="Times New Roman" w:eastAsia="宋体" w:cs="Times New Roman"/>
                <w:b/>
                <w:bCs/>
                <w:color w:val="000000"/>
                <w:sz w:val="24"/>
                <w:szCs w:val="24"/>
                <w:lang w:val="en-US" w:eastAsia="zh-CN"/>
              </w:rPr>
              <w:t>区域达标性判断</w:t>
            </w:r>
          </w:p>
          <w:p w14:paraId="041E5003">
            <w:pPr>
              <w:pStyle w:val="240"/>
              <w:spacing w:line="360" w:lineRule="auto"/>
              <w:jc w:val="both"/>
              <w:rPr>
                <w:rFonts w:ascii="Times New Roman" w:hAnsi="Times New Roman" w:eastAsia="宋体" w:cs="Times New Roman"/>
                <w:bCs/>
                <w:color w:val="000000"/>
                <w:sz w:val="24"/>
                <w:lang w:val="en-US" w:eastAsia="zh-CN"/>
              </w:rPr>
            </w:pPr>
            <w:r>
              <w:rPr>
                <w:rFonts w:ascii="Times New Roman" w:hAnsi="Times New Roman" w:eastAsia="宋体" w:cs="Times New Roman"/>
                <w:color w:val="000000"/>
                <w:sz w:val="24"/>
                <w:szCs w:val="24"/>
              </w:rPr>
              <w:t>本项目位于</w:t>
            </w:r>
            <w:r>
              <w:rPr>
                <w:rFonts w:hint="eastAsia" w:ascii="Times New Roman" w:hAnsi="Times New Roman" w:eastAsia="宋体" w:cs="Times New Roman"/>
                <w:color w:val="000000"/>
                <w:sz w:val="24"/>
                <w:szCs w:val="24"/>
                <w:lang w:eastAsia="zh-CN"/>
              </w:rPr>
              <w:t>云南省德宏州芒市风平镇帕底村芒市糖厂</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highlight w:val="none"/>
              </w:rPr>
              <w:t>根据环境空气质量功能区划分原则及项目周围环境情况，</w:t>
            </w:r>
            <w:r>
              <w:rPr>
                <w:rFonts w:ascii="Times New Roman" w:hAnsi="Times New Roman" w:eastAsia="宋体" w:cs="Times New Roman"/>
                <w:color w:val="000000"/>
                <w:sz w:val="24"/>
                <w:szCs w:val="24"/>
              </w:rPr>
              <w:t>属于环境空气功能二类区，执行GB3095-2012《环境空气质量标准》二级标准。</w:t>
            </w:r>
            <w:r>
              <w:rPr>
                <w:rFonts w:ascii="Times New Roman" w:hAnsi="Times New Roman" w:eastAsia="宋体" w:cs="Times New Roman"/>
                <w:bCs/>
                <w:color w:val="000000"/>
                <w:sz w:val="24"/>
                <w:lang w:val="en-US" w:eastAsia="zh-CN"/>
              </w:rPr>
              <w:t>具体标准限值如下。</w:t>
            </w:r>
          </w:p>
          <w:p w14:paraId="4209BC6F">
            <w:pPr>
              <w:keepNext w:val="0"/>
              <w:keepLines w:val="0"/>
              <w:suppressLineNumbers w:val="0"/>
              <w:spacing w:before="0" w:beforeAutospacing="0" w:after="0" w:afterAutospacing="0"/>
              <w:ind w:left="0" w:right="0"/>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表</w:t>
            </w:r>
            <w:r>
              <w:rPr>
                <w:rFonts w:ascii="Times New Roman" w:hAnsi="Times New Roman" w:eastAsia="宋体" w:cs="Times New Roman"/>
                <w:b/>
                <w:color w:val="000000"/>
                <w:sz w:val="24"/>
                <w:lang w:val="en-US" w:eastAsia="zh-CN"/>
              </w:rPr>
              <w:t>3-2</w:t>
            </w:r>
            <w:r>
              <w:rPr>
                <w:rFonts w:ascii="Times New Roman" w:hAnsi="Times New Roman" w:eastAsia="宋体" w:cs="Times New Roman"/>
                <w:b/>
                <w:color w:val="000000"/>
                <w:sz w:val="24"/>
              </w:rPr>
              <w:t xml:space="preserve">  环境空气质量标准 </w:t>
            </w:r>
            <w:r>
              <w:rPr>
                <w:rFonts w:ascii="Times New Roman" w:hAnsi="Times New Roman" w:eastAsia="宋体" w:cs="Times New Roman"/>
                <w:b/>
                <w:color w:val="000000"/>
                <w:sz w:val="24"/>
                <w:lang w:val="en-US" w:eastAsia="zh-CN"/>
              </w:rPr>
              <w:t xml:space="preserve"> </w:t>
            </w:r>
            <w:r>
              <w:rPr>
                <w:rFonts w:ascii="Times New Roman" w:hAnsi="Times New Roman" w:eastAsia="宋体" w:cs="Times New Roman"/>
                <w:b/>
                <w:color w:val="000000"/>
                <w:sz w:val="24"/>
              </w:rPr>
              <w:t>单位：µg/m</w:t>
            </w:r>
            <w:r>
              <w:rPr>
                <w:rFonts w:ascii="Times New Roman" w:hAnsi="Times New Roman" w:eastAsia="宋体" w:cs="Times New Roman"/>
                <w:b/>
                <w:color w:val="000000"/>
                <w:sz w:val="24"/>
                <w:vertAlign w:val="superscript"/>
              </w:rPr>
              <w:t>3</w:t>
            </w:r>
          </w:p>
          <w:tbl>
            <w:tblPr>
              <w:tblStyle w:val="2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8"/>
              <w:gridCol w:w="1768"/>
              <w:gridCol w:w="1768"/>
              <w:gridCol w:w="1768"/>
              <w:gridCol w:w="1768"/>
            </w:tblGrid>
            <w:tr w14:paraId="062D2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18" w:hRule="atLeast"/>
                <w:jc w:val="center"/>
              </w:trPr>
              <w:tc>
                <w:tcPr>
                  <w:tcW w:w="946" w:type="dxa"/>
                  <w:vMerge w:val="restart"/>
                  <w:noWrap w:val="0"/>
                  <w:vAlign w:val="center"/>
                </w:tcPr>
                <w:p w14:paraId="10255A94">
                  <w:pPr>
                    <w:pStyle w:val="225"/>
                    <w:keepNext w:val="0"/>
                    <w:keepLines w:val="0"/>
                    <w:suppressLineNumbers w:val="0"/>
                    <w:spacing w:before="0" w:beforeAutospacing="0" w:after="0" w:afterAutospacing="0"/>
                    <w:ind w:left="0" w:right="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污染因子</w:t>
                  </w:r>
                </w:p>
              </w:tc>
              <w:tc>
                <w:tcPr>
                  <w:tcW w:w="2309" w:type="dxa"/>
                  <w:noWrap w:val="0"/>
                  <w:vAlign w:val="center"/>
                </w:tcPr>
                <w:p w14:paraId="590893A8">
                  <w:pPr>
                    <w:pStyle w:val="225"/>
                    <w:keepNext w:val="0"/>
                    <w:keepLines w:val="0"/>
                    <w:suppressLineNumbers w:val="0"/>
                    <w:spacing w:before="0" w:beforeAutospacing="0" w:after="0" w:afterAutospacing="0"/>
                    <w:ind w:left="0" w:right="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二级标准浓度限值</w:t>
                  </w:r>
                </w:p>
              </w:tc>
              <w:tc>
                <w:tcPr>
                  <w:tcW w:w="1744" w:type="dxa"/>
                  <w:vMerge w:val="restart"/>
                  <w:noWrap w:val="0"/>
                  <w:vAlign w:val="center"/>
                </w:tcPr>
                <w:p w14:paraId="6336AAEC">
                  <w:pPr>
                    <w:pStyle w:val="225"/>
                    <w:keepNext w:val="0"/>
                    <w:keepLines w:val="0"/>
                    <w:suppressLineNumbers w:val="0"/>
                    <w:spacing w:before="0" w:beforeAutospacing="0" w:after="0" w:afterAutospacing="0"/>
                    <w:ind w:left="0" w:right="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执行标准</w:t>
                  </w:r>
                </w:p>
              </w:tc>
            </w:tr>
            <w:tr w14:paraId="6ADEA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946" w:type="dxa"/>
                  <w:vMerge w:val="continue"/>
                  <w:noWrap w:val="0"/>
                  <w:vAlign w:val="center"/>
                </w:tcPr>
                <w:p w14:paraId="41712FEB">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c>
                <w:tcPr>
                  <w:tcW w:w="769" w:type="dxa"/>
                  <w:noWrap w:val="0"/>
                  <w:vAlign w:val="center"/>
                </w:tcPr>
                <w:p w14:paraId="2AE3D7FC">
                  <w:pPr>
                    <w:pStyle w:val="225"/>
                    <w:keepNext w:val="0"/>
                    <w:keepLines w:val="0"/>
                    <w:suppressLineNumbers w:val="0"/>
                    <w:spacing w:before="0" w:beforeAutospacing="0" w:after="0" w:afterAutospacing="0"/>
                    <w:ind w:left="0" w:right="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1小时平均</w:t>
                  </w:r>
                </w:p>
              </w:tc>
              <w:tc>
                <w:tcPr>
                  <w:tcW w:w="769" w:type="dxa"/>
                  <w:noWrap w:val="0"/>
                  <w:vAlign w:val="center"/>
                </w:tcPr>
                <w:p w14:paraId="21006881">
                  <w:pPr>
                    <w:pStyle w:val="225"/>
                    <w:keepNext w:val="0"/>
                    <w:keepLines w:val="0"/>
                    <w:suppressLineNumbers w:val="0"/>
                    <w:spacing w:before="0" w:beforeAutospacing="0" w:after="0" w:afterAutospacing="0"/>
                    <w:ind w:left="0" w:right="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24小时平均</w:t>
                  </w:r>
                </w:p>
              </w:tc>
              <w:tc>
                <w:tcPr>
                  <w:tcW w:w="771" w:type="dxa"/>
                  <w:noWrap w:val="0"/>
                  <w:vAlign w:val="center"/>
                </w:tcPr>
                <w:p w14:paraId="308256A7">
                  <w:pPr>
                    <w:pStyle w:val="225"/>
                    <w:keepNext w:val="0"/>
                    <w:keepLines w:val="0"/>
                    <w:suppressLineNumbers w:val="0"/>
                    <w:spacing w:before="0" w:beforeAutospacing="0" w:after="0" w:afterAutospacing="0"/>
                    <w:ind w:left="0" w:right="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年平均</w:t>
                  </w:r>
                </w:p>
              </w:tc>
              <w:tc>
                <w:tcPr>
                  <w:tcW w:w="1744" w:type="dxa"/>
                  <w:vMerge w:val="restart"/>
                  <w:noWrap w:val="0"/>
                  <w:vAlign w:val="center"/>
                </w:tcPr>
                <w:p w14:paraId="73A8534E">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r>
            <w:tr w14:paraId="7B9B7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68E0BE92">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SO</w:t>
                  </w:r>
                  <w:r>
                    <w:rPr>
                      <w:rFonts w:ascii="Times New Roman" w:hAnsi="Times New Roman" w:eastAsia="宋体" w:cs="Times New Roman"/>
                      <w:color w:val="000000"/>
                      <w:sz w:val="21"/>
                      <w:szCs w:val="21"/>
                      <w:vertAlign w:val="subscript"/>
                    </w:rPr>
                    <w:t>2</w:t>
                  </w:r>
                </w:p>
              </w:tc>
              <w:tc>
                <w:tcPr>
                  <w:tcW w:w="769" w:type="dxa"/>
                  <w:noWrap w:val="0"/>
                  <w:vAlign w:val="center"/>
                </w:tcPr>
                <w:p w14:paraId="12137755">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500</w:t>
                  </w:r>
                </w:p>
              </w:tc>
              <w:tc>
                <w:tcPr>
                  <w:tcW w:w="769" w:type="dxa"/>
                  <w:noWrap w:val="0"/>
                  <w:vAlign w:val="center"/>
                </w:tcPr>
                <w:p w14:paraId="79A12E12">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150</w:t>
                  </w:r>
                </w:p>
              </w:tc>
              <w:tc>
                <w:tcPr>
                  <w:tcW w:w="771" w:type="dxa"/>
                  <w:noWrap w:val="0"/>
                  <w:vAlign w:val="center"/>
                </w:tcPr>
                <w:p w14:paraId="56B232A8">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60</w:t>
                  </w:r>
                </w:p>
              </w:tc>
              <w:tc>
                <w:tcPr>
                  <w:tcW w:w="1744" w:type="dxa"/>
                  <w:vMerge w:val="restart"/>
                  <w:noWrap w:val="0"/>
                  <w:vAlign w:val="center"/>
                </w:tcPr>
                <w:p w14:paraId="212E7AD7">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《环境空气质量标准》(GB3095-2012)二级标准</w:t>
                  </w:r>
                </w:p>
              </w:tc>
            </w:tr>
            <w:tr w14:paraId="36C8B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946" w:type="dxa"/>
                  <w:noWrap w:val="0"/>
                  <w:vAlign w:val="center"/>
                </w:tcPr>
                <w:p w14:paraId="0A0D94D1">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NO</w:t>
                  </w:r>
                  <w:r>
                    <w:rPr>
                      <w:rFonts w:ascii="Times New Roman" w:hAnsi="Times New Roman" w:eastAsia="宋体" w:cs="Times New Roman"/>
                      <w:color w:val="000000"/>
                      <w:sz w:val="21"/>
                      <w:szCs w:val="21"/>
                      <w:vertAlign w:val="subscript"/>
                    </w:rPr>
                    <w:t>2</w:t>
                  </w:r>
                </w:p>
              </w:tc>
              <w:tc>
                <w:tcPr>
                  <w:tcW w:w="769" w:type="dxa"/>
                  <w:noWrap w:val="0"/>
                  <w:vAlign w:val="center"/>
                </w:tcPr>
                <w:p w14:paraId="72A3AD9B">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200</w:t>
                  </w:r>
                </w:p>
              </w:tc>
              <w:tc>
                <w:tcPr>
                  <w:tcW w:w="769" w:type="dxa"/>
                  <w:noWrap w:val="0"/>
                  <w:vAlign w:val="center"/>
                </w:tcPr>
                <w:p w14:paraId="09DAAAF2">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80</w:t>
                  </w:r>
                </w:p>
              </w:tc>
              <w:tc>
                <w:tcPr>
                  <w:tcW w:w="771" w:type="dxa"/>
                  <w:noWrap w:val="0"/>
                  <w:vAlign w:val="center"/>
                </w:tcPr>
                <w:p w14:paraId="767A962A">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40</w:t>
                  </w:r>
                </w:p>
              </w:tc>
              <w:tc>
                <w:tcPr>
                  <w:tcW w:w="1744" w:type="dxa"/>
                  <w:vMerge w:val="continue"/>
                  <w:noWrap w:val="0"/>
                  <w:vAlign w:val="center"/>
                </w:tcPr>
                <w:p w14:paraId="14EDB599">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r>
            <w:tr w14:paraId="24B05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946" w:type="dxa"/>
                  <w:noWrap w:val="0"/>
                  <w:vAlign w:val="center"/>
                </w:tcPr>
                <w:p w14:paraId="69DA3813">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NO</w:t>
                  </w:r>
                  <w:r>
                    <w:rPr>
                      <w:rFonts w:ascii="Times New Roman" w:hAnsi="Times New Roman" w:eastAsia="宋体" w:cs="Times New Roman"/>
                      <w:color w:val="000000"/>
                      <w:sz w:val="21"/>
                      <w:szCs w:val="21"/>
                      <w:vertAlign w:val="subscript"/>
                    </w:rPr>
                    <w:t>x</w:t>
                  </w:r>
                </w:p>
              </w:tc>
              <w:tc>
                <w:tcPr>
                  <w:tcW w:w="769" w:type="dxa"/>
                  <w:noWrap w:val="0"/>
                  <w:vAlign w:val="center"/>
                </w:tcPr>
                <w:p w14:paraId="3F431594">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250</w:t>
                  </w:r>
                </w:p>
              </w:tc>
              <w:tc>
                <w:tcPr>
                  <w:tcW w:w="769" w:type="dxa"/>
                  <w:noWrap w:val="0"/>
                  <w:vAlign w:val="center"/>
                </w:tcPr>
                <w:p w14:paraId="4934D0D0">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100</w:t>
                  </w:r>
                </w:p>
              </w:tc>
              <w:tc>
                <w:tcPr>
                  <w:tcW w:w="771" w:type="dxa"/>
                  <w:noWrap w:val="0"/>
                  <w:vAlign w:val="center"/>
                </w:tcPr>
                <w:p w14:paraId="3A602B7D">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50</w:t>
                  </w:r>
                </w:p>
              </w:tc>
              <w:tc>
                <w:tcPr>
                  <w:tcW w:w="1744" w:type="dxa"/>
                  <w:vMerge w:val="continue"/>
                  <w:noWrap w:val="0"/>
                  <w:vAlign w:val="center"/>
                </w:tcPr>
                <w:p w14:paraId="332B45C7">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r>
            <w:tr w14:paraId="687D3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3499B714">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TSP</w:t>
                  </w:r>
                </w:p>
              </w:tc>
              <w:tc>
                <w:tcPr>
                  <w:tcW w:w="769" w:type="dxa"/>
                  <w:noWrap w:val="0"/>
                  <w:vAlign w:val="center"/>
                </w:tcPr>
                <w:p w14:paraId="591B3F8E">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769" w:type="dxa"/>
                  <w:noWrap w:val="0"/>
                  <w:vAlign w:val="center"/>
                </w:tcPr>
                <w:p w14:paraId="658C91BD">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300</w:t>
                  </w:r>
                </w:p>
              </w:tc>
              <w:tc>
                <w:tcPr>
                  <w:tcW w:w="771" w:type="dxa"/>
                  <w:noWrap w:val="0"/>
                  <w:vAlign w:val="center"/>
                </w:tcPr>
                <w:p w14:paraId="6F9334E5">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200</w:t>
                  </w:r>
                </w:p>
              </w:tc>
              <w:tc>
                <w:tcPr>
                  <w:tcW w:w="1744" w:type="dxa"/>
                  <w:vMerge w:val="continue"/>
                  <w:noWrap w:val="0"/>
                  <w:vAlign w:val="center"/>
                </w:tcPr>
                <w:p w14:paraId="5D881587">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r>
            <w:tr w14:paraId="476E2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946" w:type="dxa"/>
                  <w:noWrap w:val="0"/>
                  <w:vAlign w:val="center"/>
                </w:tcPr>
                <w:p w14:paraId="2A3DA0AD">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10</w:t>
                  </w:r>
                </w:p>
              </w:tc>
              <w:tc>
                <w:tcPr>
                  <w:tcW w:w="769" w:type="dxa"/>
                  <w:noWrap w:val="0"/>
                  <w:vAlign w:val="center"/>
                </w:tcPr>
                <w:p w14:paraId="0899C2E1">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769" w:type="dxa"/>
                  <w:noWrap w:val="0"/>
                  <w:vAlign w:val="center"/>
                </w:tcPr>
                <w:p w14:paraId="483CA9F5">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150</w:t>
                  </w:r>
                </w:p>
              </w:tc>
              <w:tc>
                <w:tcPr>
                  <w:tcW w:w="771" w:type="dxa"/>
                  <w:noWrap w:val="0"/>
                  <w:vAlign w:val="center"/>
                </w:tcPr>
                <w:p w14:paraId="63971957">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70</w:t>
                  </w:r>
                </w:p>
              </w:tc>
              <w:tc>
                <w:tcPr>
                  <w:tcW w:w="1744" w:type="dxa"/>
                  <w:vMerge w:val="continue"/>
                  <w:noWrap w:val="0"/>
                  <w:vAlign w:val="center"/>
                </w:tcPr>
                <w:p w14:paraId="39D4827B">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r>
            <w:tr w14:paraId="43FB0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946" w:type="dxa"/>
                  <w:noWrap w:val="0"/>
                  <w:vAlign w:val="center"/>
                </w:tcPr>
                <w:p w14:paraId="13B7C788">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2.5</w:t>
                  </w:r>
                </w:p>
              </w:tc>
              <w:tc>
                <w:tcPr>
                  <w:tcW w:w="769" w:type="dxa"/>
                  <w:noWrap w:val="0"/>
                  <w:vAlign w:val="center"/>
                </w:tcPr>
                <w:p w14:paraId="11AABEBE">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769" w:type="dxa"/>
                  <w:noWrap w:val="0"/>
                  <w:vAlign w:val="center"/>
                </w:tcPr>
                <w:p w14:paraId="4C27BE96">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75</w:t>
                  </w:r>
                </w:p>
              </w:tc>
              <w:tc>
                <w:tcPr>
                  <w:tcW w:w="771" w:type="dxa"/>
                  <w:noWrap w:val="0"/>
                  <w:vAlign w:val="center"/>
                </w:tcPr>
                <w:p w14:paraId="0E0668A1">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35</w:t>
                  </w:r>
                </w:p>
              </w:tc>
              <w:tc>
                <w:tcPr>
                  <w:tcW w:w="1744" w:type="dxa"/>
                  <w:vMerge w:val="continue"/>
                  <w:noWrap w:val="0"/>
                  <w:vAlign w:val="center"/>
                </w:tcPr>
                <w:p w14:paraId="72DD4754">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r>
            <w:tr w14:paraId="733D4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946" w:type="dxa"/>
                  <w:noWrap w:val="0"/>
                  <w:vAlign w:val="center"/>
                </w:tcPr>
                <w:p w14:paraId="7E21ECD4">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CO</w:t>
                  </w:r>
                </w:p>
              </w:tc>
              <w:tc>
                <w:tcPr>
                  <w:tcW w:w="769" w:type="dxa"/>
                  <w:noWrap w:val="0"/>
                  <w:vAlign w:val="center"/>
                </w:tcPr>
                <w:p w14:paraId="547CA4D3">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w:t>
                  </w:r>
                </w:p>
              </w:tc>
              <w:tc>
                <w:tcPr>
                  <w:tcW w:w="769" w:type="dxa"/>
                  <w:noWrap w:val="0"/>
                  <w:vAlign w:val="center"/>
                </w:tcPr>
                <w:p w14:paraId="4FB197D4">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w:t>
                  </w:r>
                </w:p>
              </w:tc>
              <w:tc>
                <w:tcPr>
                  <w:tcW w:w="771" w:type="dxa"/>
                  <w:noWrap w:val="0"/>
                  <w:vAlign w:val="center"/>
                </w:tcPr>
                <w:p w14:paraId="0784AEA4">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744" w:type="dxa"/>
                  <w:vMerge w:val="continue"/>
                  <w:noWrap w:val="0"/>
                  <w:vAlign w:val="center"/>
                </w:tcPr>
                <w:p w14:paraId="29124A36">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r>
            <w:tr w14:paraId="4DA9F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946" w:type="dxa"/>
                  <w:noWrap w:val="0"/>
                  <w:vAlign w:val="center"/>
                </w:tcPr>
                <w:p w14:paraId="39E45FD8">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O</w:t>
                  </w:r>
                  <w:r>
                    <w:rPr>
                      <w:rFonts w:ascii="Times New Roman" w:hAnsi="Times New Roman" w:eastAsia="宋体" w:cs="Times New Roman"/>
                      <w:color w:val="000000"/>
                      <w:sz w:val="21"/>
                      <w:szCs w:val="21"/>
                      <w:vertAlign w:val="subscript"/>
                    </w:rPr>
                    <w:t>3</w:t>
                  </w:r>
                </w:p>
              </w:tc>
              <w:tc>
                <w:tcPr>
                  <w:tcW w:w="769" w:type="dxa"/>
                  <w:noWrap w:val="0"/>
                  <w:vAlign w:val="center"/>
                </w:tcPr>
                <w:p w14:paraId="0E3AAB76">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200</w:t>
                  </w:r>
                </w:p>
              </w:tc>
              <w:tc>
                <w:tcPr>
                  <w:tcW w:w="769" w:type="dxa"/>
                  <w:noWrap w:val="0"/>
                  <w:vAlign w:val="center"/>
                </w:tcPr>
                <w:p w14:paraId="31D39AEC">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771" w:type="dxa"/>
                  <w:noWrap w:val="0"/>
                  <w:vAlign w:val="center"/>
                </w:tcPr>
                <w:p w14:paraId="450F7FFB">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744" w:type="dxa"/>
                  <w:vMerge w:val="continue"/>
                  <w:noWrap w:val="0"/>
                  <w:vAlign w:val="center"/>
                </w:tcPr>
                <w:p w14:paraId="1E39A3BB">
                  <w:pPr>
                    <w:pStyle w:val="225"/>
                    <w:keepNext w:val="0"/>
                    <w:keepLines w:val="0"/>
                    <w:suppressLineNumbers w:val="0"/>
                    <w:spacing w:before="0" w:beforeAutospacing="0" w:after="0" w:afterAutospacing="0"/>
                    <w:ind w:left="0" w:right="0"/>
                    <w:rPr>
                      <w:rFonts w:ascii="Times New Roman" w:hAnsi="Times New Roman" w:eastAsia="宋体" w:cs="Times New Roman"/>
                      <w:color w:val="000000"/>
                      <w:sz w:val="21"/>
                      <w:szCs w:val="21"/>
                    </w:rPr>
                  </w:pPr>
                </w:p>
              </w:tc>
            </w:tr>
            <w:tr w14:paraId="14AE8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946" w:type="dxa"/>
                  <w:noWrap w:val="0"/>
                  <w:vAlign w:val="center"/>
                </w:tcPr>
                <w:p w14:paraId="754F848C">
                  <w:pPr>
                    <w:pStyle w:val="225"/>
                    <w:keepNext w:val="0"/>
                    <w:keepLines w:val="0"/>
                    <w:suppressLineNumbers w:val="0"/>
                    <w:spacing w:before="0" w:beforeAutospacing="0" w:after="0" w:afterAutospacing="0"/>
                    <w:ind w:left="0" w:right="0" w:firstLine="0"/>
                    <w:rPr>
                      <w:rFonts w:hint="eastAsia"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非甲烷总烃</w:t>
                  </w:r>
                </w:p>
              </w:tc>
              <w:tc>
                <w:tcPr>
                  <w:tcW w:w="769" w:type="dxa"/>
                  <w:noWrap w:val="0"/>
                  <w:vAlign w:val="center"/>
                </w:tcPr>
                <w:p w14:paraId="1175B568">
                  <w:pPr>
                    <w:pStyle w:val="225"/>
                    <w:keepNext w:val="0"/>
                    <w:keepLines w:val="0"/>
                    <w:suppressLineNumbers w:val="0"/>
                    <w:spacing w:before="0" w:beforeAutospacing="0" w:after="0" w:afterAutospacing="0"/>
                    <w:ind w:left="0" w:right="0" w:firstLine="0"/>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2000</w:t>
                  </w:r>
                </w:p>
              </w:tc>
              <w:tc>
                <w:tcPr>
                  <w:tcW w:w="769" w:type="dxa"/>
                  <w:noWrap w:val="0"/>
                  <w:vAlign w:val="center"/>
                </w:tcPr>
                <w:p w14:paraId="5BBB4FBB">
                  <w:pPr>
                    <w:pStyle w:val="225"/>
                    <w:keepNext w:val="0"/>
                    <w:keepLines w:val="0"/>
                    <w:suppressLineNumbers w:val="0"/>
                    <w:spacing w:before="0" w:beforeAutospacing="0" w:after="0" w:afterAutospacing="0"/>
                    <w:ind w:left="0" w:right="0" w:firstLine="0"/>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w:t>
                  </w:r>
                </w:p>
              </w:tc>
              <w:tc>
                <w:tcPr>
                  <w:tcW w:w="771" w:type="dxa"/>
                  <w:noWrap w:val="0"/>
                  <w:vAlign w:val="center"/>
                </w:tcPr>
                <w:p w14:paraId="757BA758">
                  <w:pPr>
                    <w:pStyle w:val="225"/>
                    <w:keepNext w:val="0"/>
                    <w:keepLines w:val="0"/>
                    <w:suppressLineNumbers w:val="0"/>
                    <w:spacing w:before="0" w:beforeAutospacing="0" w:after="0" w:afterAutospacing="0"/>
                    <w:ind w:left="0" w:right="0" w:firstLine="0"/>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w:t>
                  </w:r>
                </w:p>
              </w:tc>
              <w:tc>
                <w:tcPr>
                  <w:tcW w:w="1744" w:type="dxa"/>
                  <w:noWrap w:val="0"/>
                  <w:vAlign w:val="center"/>
                </w:tcPr>
                <w:p w14:paraId="3C9E63B2">
                  <w:pPr>
                    <w:pStyle w:val="225"/>
                    <w:keepNext w:val="0"/>
                    <w:keepLines w:val="0"/>
                    <w:suppressLineNumbers w:val="0"/>
                    <w:spacing w:before="0" w:beforeAutospacing="0" w:after="0" w:afterAutospacing="0"/>
                    <w:ind w:left="0" w:right="0" w:firstLine="0"/>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rPr>
                    <w:t>参照《大气污染物综合排放标准详解》</w:t>
                  </w:r>
                </w:p>
              </w:tc>
            </w:tr>
          </w:tbl>
          <w:p w14:paraId="3742D990">
            <w:pPr>
              <w:keepNext w:val="0"/>
              <w:keepLines w:val="0"/>
              <w:pageBreakBefore w:val="0"/>
              <w:widowControl w:val="0"/>
              <w:tabs>
                <w:tab w:val="left" w:pos="6153"/>
              </w:tabs>
              <w:spacing w:before="157"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w:t>
            </w:r>
            <w:r>
              <w:rPr>
                <w:rFonts w:ascii="Times New Roman" w:hAnsi="Times New Roman" w:cs="Times New Roman"/>
                <w:color w:val="000000"/>
                <w:sz w:val="24"/>
              </w:rPr>
              <w:t>202</w:t>
            </w:r>
            <w:r>
              <w:rPr>
                <w:rFonts w:hint="eastAsia" w:ascii="Times New Roman" w:hAnsi="Times New Roman" w:cs="Times New Roman"/>
                <w:color w:val="000000"/>
                <w:sz w:val="24"/>
                <w:lang w:val="en-US" w:eastAsia="zh-CN"/>
              </w:rPr>
              <w:t>1</w:t>
            </w:r>
            <w:r>
              <w:rPr>
                <w:rFonts w:ascii="Times New Roman" w:hAnsi="Times New Roman" w:cs="Times New Roman"/>
                <w:color w:val="000000"/>
                <w:sz w:val="24"/>
              </w:rPr>
              <w:t>年德宏州环境</w:t>
            </w:r>
            <w:r>
              <w:rPr>
                <w:rFonts w:hint="eastAsia" w:ascii="Times New Roman" w:hAnsi="Times New Roman" w:cs="Times New Roman"/>
                <w:color w:val="000000"/>
                <w:sz w:val="24"/>
                <w:lang w:val="en-US" w:eastAsia="zh-CN"/>
              </w:rPr>
              <w:t>状况</w:t>
            </w:r>
            <w:r>
              <w:rPr>
                <w:rFonts w:ascii="Times New Roman" w:hAnsi="Times New Roman" w:cs="Times New Roman"/>
                <w:color w:val="000000"/>
                <w:sz w:val="24"/>
              </w:rPr>
              <w:t>公报</w:t>
            </w:r>
            <w:r>
              <w:rPr>
                <w:rFonts w:ascii="Times New Roman" w:hAnsi="Times New Roman" w:eastAsia="宋体" w:cs="Times New Roman"/>
                <w:color w:val="000000"/>
                <w:sz w:val="24"/>
                <w:szCs w:val="24"/>
              </w:rPr>
              <w:t>》，全州环境空气质量总体保持良好，全州5个城市年评价结果均符合《环境空气质量标准》</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GB3095-2012</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二级标准要求。从全州范围看，环境空气质最最好的是梁河县，芒市排名最后。与2020年相比，除陇川县城外，其他4个城市环境空气质最綜合指数不同程度上升，环境空气质量有所下降。</w:t>
            </w:r>
            <w:r>
              <w:rPr>
                <w:rFonts w:hint="eastAsia" w:ascii="Times New Roman" w:hAnsi="Times New Roman" w:eastAsia="宋体" w:cs="Times New Roman"/>
                <w:color w:val="000000"/>
                <w:sz w:val="24"/>
                <w:szCs w:val="24"/>
                <w:lang w:val="en-US" w:eastAsia="zh-CN"/>
              </w:rPr>
              <w:t>德宏州五个县级城市优良天数比率在89.6%~98.9%之间，平均优良天数比率为95.9%，较2020年下降1.9个百分点。全州累计出现轻度及以上污染天数73天（轻度污染58天，中度污染12天，重度污染3天）</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val="en-US" w:eastAsia="zh-CN"/>
              </w:rPr>
              <w:t>较2020年增加33天。与2020年相比，环境空气主要污染物呈单一型污染态势，</w:t>
            </w:r>
            <w:r>
              <w:rPr>
                <w:rFonts w:ascii="Times New Roman" w:hAnsi="Times New Roman" w:eastAsia="宋体" w:cs="Times New Roman"/>
                <w:color w:val="000000"/>
                <w:sz w:val="24"/>
                <w:szCs w:val="24"/>
              </w:rPr>
              <w:t>首要污染物为细颗粒物。</w:t>
            </w:r>
            <w:r>
              <w:rPr>
                <w:rFonts w:hint="eastAsia" w:ascii="Times New Roman" w:hAnsi="Times New Roman" w:eastAsia="宋体" w:cs="Times New Roman"/>
                <w:color w:val="000000"/>
                <w:sz w:val="24"/>
                <w:szCs w:val="24"/>
                <w:lang w:val="en-US" w:eastAsia="zh-CN"/>
              </w:rPr>
              <w:t>全州五个城市年评价结果均符合</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环境空气质量</w:t>
            </w:r>
            <w:r>
              <w:rPr>
                <w:rFonts w:hint="eastAsia" w:ascii="Times New Roman" w:hAnsi="Times New Roman" w:eastAsia="宋体" w:cs="Times New Roman"/>
                <w:color w:val="000000"/>
                <w:sz w:val="24"/>
                <w:szCs w:val="24"/>
                <w:lang w:val="en-US" w:eastAsia="zh-CN"/>
              </w:rPr>
              <w:t>标准</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二级标准</w:t>
            </w:r>
            <w:r>
              <w:rPr>
                <w:rFonts w:hint="eastAsia" w:ascii="Times New Roman" w:hAnsi="Times New Roman" w:eastAsia="宋体" w:cs="Times New Roman"/>
                <w:color w:val="000000"/>
                <w:sz w:val="24"/>
                <w:szCs w:val="24"/>
                <w:lang w:val="en-US" w:eastAsia="zh-CN"/>
              </w:rPr>
              <w:t>要求</w:t>
            </w:r>
            <w:r>
              <w:rPr>
                <w:rFonts w:ascii="Times New Roman" w:hAnsi="Times New Roman" w:eastAsia="宋体" w:cs="Times New Roman"/>
                <w:color w:val="000000"/>
                <w:sz w:val="24"/>
                <w:szCs w:val="24"/>
              </w:rPr>
              <w:t>。各指标监测数据如下表所示。</w:t>
            </w:r>
          </w:p>
          <w:p w14:paraId="75D14354">
            <w:pPr>
              <w:widowControl/>
              <w:spacing w:line="240" w:lineRule="auto"/>
              <w:ind w:firstLine="482"/>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表3-</w:t>
            </w:r>
            <w:r>
              <w:rPr>
                <w:rFonts w:ascii="Times New Roman" w:hAnsi="Times New Roman" w:eastAsia="宋体" w:cs="Times New Roman"/>
                <w:b/>
                <w:bCs/>
                <w:color w:val="000000"/>
                <w:sz w:val="24"/>
                <w:szCs w:val="24"/>
                <w:lang w:val="en-US" w:eastAsia="zh-CN"/>
              </w:rPr>
              <w:t>3</w:t>
            </w:r>
            <w:r>
              <w:rPr>
                <w:rFonts w:ascii="Times New Roman" w:hAnsi="Times New Roman" w:eastAsia="宋体" w:cs="Times New Roman"/>
                <w:b/>
                <w:bCs/>
                <w:color w:val="000000"/>
                <w:sz w:val="24"/>
                <w:szCs w:val="24"/>
              </w:rPr>
              <w:t xml:space="preserve">  20</w:t>
            </w:r>
            <w:r>
              <w:rPr>
                <w:rFonts w:ascii="Times New Roman" w:hAnsi="Times New Roman" w:eastAsia="宋体" w:cs="Times New Roman"/>
                <w:b/>
                <w:bCs/>
                <w:color w:val="000000"/>
                <w:sz w:val="24"/>
                <w:szCs w:val="24"/>
                <w:lang w:val="en-US" w:eastAsia="zh-CN"/>
              </w:rPr>
              <w:t>2</w:t>
            </w:r>
            <w:r>
              <w:rPr>
                <w:rFonts w:hint="eastAsia" w:ascii="Times New Roman" w:hAnsi="Times New Roman" w:eastAsia="宋体" w:cs="Times New Roman"/>
                <w:b/>
                <w:bCs/>
                <w:color w:val="000000"/>
                <w:sz w:val="24"/>
                <w:szCs w:val="24"/>
                <w:lang w:val="en-US" w:eastAsia="zh-CN"/>
              </w:rPr>
              <w:t xml:space="preserve">1 </w:t>
            </w:r>
            <w:r>
              <w:rPr>
                <w:rFonts w:ascii="Times New Roman" w:hAnsi="Times New Roman" w:eastAsia="宋体" w:cs="Times New Roman"/>
                <w:b/>
                <w:bCs/>
                <w:color w:val="000000"/>
                <w:sz w:val="24"/>
                <w:szCs w:val="24"/>
              </w:rPr>
              <w:t>年芒市环境空气质量监测指标达标情况</w:t>
            </w:r>
          </w:p>
          <w:tbl>
            <w:tblPr>
              <w:tblStyle w:val="2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61"/>
              <w:gridCol w:w="2412"/>
              <w:gridCol w:w="2414"/>
              <w:gridCol w:w="1250"/>
            </w:tblGrid>
            <w:tr w14:paraId="47AC7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noWrap w:val="0"/>
                  <w:vAlign w:val="center"/>
                </w:tcPr>
                <w:p w14:paraId="75DFF064">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b/>
                      <w:bCs/>
                      <w:color w:val="000000"/>
                      <w:sz w:val="21"/>
                      <w:szCs w:val="21"/>
                    </w:rPr>
                    <w:t>监测指标</w:t>
                  </w:r>
                </w:p>
              </w:tc>
              <w:tc>
                <w:tcPr>
                  <w:tcW w:w="1364" w:type="dxa"/>
                  <w:noWrap w:val="0"/>
                  <w:vAlign w:val="center"/>
                </w:tcPr>
                <w:p w14:paraId="39BF8134">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b/>
                      <w:bCs/>
                      <w:color w:val="000000"/>
                      <w:sz w:val="21"/>
                      <w:szCs w:val="21"/>
                    </w:rPr>
                    <w:t>年均浓度（μg/m³）</w:t>
                  </w:r>
                </w:p>
              </w:tc>
              <w:tc>
                <w:tcPr>
                  <w:tcW w:w="1365" w:type="dxa"/>
                  <w:noWrap w:val="0"/>
                  <w:vAlign w:val="center"/>
                </w:tcPr>
                <w:p w14:paraId="05F725B2">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b/>
                      <w:bCs/>
                      <w:color w:val="000000"/>
                      <w:sz w:val="21"/>
                      <w:szCs w:val="21"/>
                    </w:rPr>
                    <w:t>二级标准（μg/m³）</w:t>
                  </w:r>
                </w:p>
              </w:tc>
              <w:tc>
                <w:tcPr>
                  <w:tcW w:w="707" w:type="dxa"/>
                  <w:noWrap w:val="0"/>
                  <w:vAlign w:val="center"/>
                </w:tcPr>
                <w:p w14:paraId="4934CC24">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b/>
                      <w:bCs/>
                      <w:color w:val="000000"/>
                      <w:sz w:val="21"/>
                      <w:szCs w:val="21"/>
                    </w:rPr>
                    <w:t>达标情况</w:t>
                  </w:r>
                </w:p>
              </w:tc>
            </w:tr>
            <w:tr w14:paraId="64966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noWrap w:val="0"/>
                  <w:vAlign w:val="center"/>
                </w:tcPr>
                <w:p w14:paraId="3C7A8D7B">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二氧化硫（SO</w:t>
                  </w:r>
                  <w:r>
                    <w:rPr>
                      <w:rFonts w:ascii="Times New Roman" w:hAnsi="Times New Roman" w:eastAsia="宋体" w:cs="Times New Roman"/>
                      <w:color w:val="000000"/>
                      <w:sz w:val="21"/>
                      <w:szCs w:val="21"/>
                      <w:vertAlign w:val="subscript"/>
                    </w:rPr>
                    <w:t>2</w:t>
                  </w:r>
                  <w:r>
                    <w:rPr>
                      <w:rFonts w:ascii="Times New Roman" w:hAnsi="Times New Roman" w:eastAsia="宋体" w:cs="Times New Roman"/>
                      <w:color w:val="000000"/>
                      <w:sz w:val="21"/>
                      <w:szCs w:val="21"/>
                    </w:rPr>
                    <w:t>）</w:t>
                  </w:r>
                </w:p>
              </w:tc>
              <w:tc>
                <w:tcPr>
                  <w:tcW w:w="1364" w:type="dxa"/>
                  <w:noWrap w:val="0"/>
                  <w:vAlign w:val="center"/>
                </w:tcPr>
                <w:p w14:paraId="266BC466">
                  <w:pPr>
                    <w:widowControl/>
                    <w:spacing w:line="240" w:lineRule="auto"/>
                    <w:ind w:firstLine="0"/>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7</w:t>
                  </w:r>
                </w:p>
              </w:tc>
              <w:tc>
                <w:tcPr>
                  <w:tcW w:w="1365" w:type="dxa"/>
                  <w:noWrap w:val="0"/>
                  <w:vAlign w:val="center"/>
                </w:tcPr>
                <w:p w14:paraId="17434D53">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60</w:t>
                  </w:r>
                </w:p>
              </w:tc>
              <w:tc>
                <w:tcPr>
                  <w:tcW w:w="707" w:type="dxa"/>
                  <w:noWrap w:val="0"/>
                  <w:vAlign w:val="center"/>
                </w:tcPr>
                <w:p w14:paraId="3948F475">
                  <w:pPr>
                    <w:widowControl/>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34199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noWrap w:val="0"/>
                  <w:vAlign w:val="center"/>
                </w:tcPr>
                <w:p w14:paraId="600DD030">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二氧化氮（NO</w:t>
                  </w:r>
                  <w:r>
                    <w:rPr>
                      <w:rFonts w:ascii="Times New Roman" w:hAnsi="Times New Roman" w:eastAsia="宋体" w:cs="Times New Roman"/>
                      <w:color w:val="000000"/>
                      <w:sz w:val="21"/>
                      <w:szCs w:val="21"/>
                      <w:vertAlign w:val="subscript"/>
                    </w:rPr>
                    <w:t>2</w:t>
                  </w:r>
                  <w:r>
                    <w:rPr>
                      <w:rFonts w:ascii="Times New Roman" w:hAnsi="Times New Roman" w:eastAsia="宋体" w:cs="Times New Roman"/>
                      <w:color w:val="000000"/>
                      <w:sz w:val="21"/>
                      <w:szCs w:val="21"/>
                    </w:rPr>
                    <w:t>）</w:t>
                  </w:r>
                </w:p>
              </w:tc>
              <w:tc>
                <w:tcPr>
                  <w:tcW w:w="1364" w:type="dxa"/>
                  <w:noWrap w:val="0"/>
                  <w:vAlign w:val="center"/>
                </w:tcPr>
                <w:p w14:paraId="051787AD">
                  <w:pPr>
                    <w:widowControl/>
                    <w:spacing w:line="240" w:lineRule="auto"/>
                    <w:ind w:firstLine="0"/>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21</w:t>
                  </w:r>
                </w:p>
              </w:tc>
              <w:tc>
                <w:tcPr>
                  <w:tcW w:w="1365" w:type="dxa"/>
                  <w:noWrap w:val="0"/>
                  <w:vAlign w:val="center"/>
                </w:tcPr>
                <w:p w14:paraId="1845143D">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40</w:t>
                  </w:r>
                </w:p>
              </w:tc>
              <w:tc>
                <w:tcPr>
                  <w:tcW w:w="707" w:type="dxa"/>
                  <w:noWrap w:val="0"/>
                  <w:vAlign w:val="center"/>
                </w:tcPr>
                <w:p w14:paraId="19E52768">
                  <w:pPr>
                    <w:widowControl/>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57302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noWrap w:val="0"/>
                  <w:vAlign w:val="center"/>
                </w:tcPr>
                <w:p w14:paraId="4FF9FE53">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可吸入颗粒物（PM</w:t>
                  </w:r>
                  <w:r>
                    <w:rPr>
                      <w:rFonts w:ascii="Times New Roman" w:hAnsi="Times New Roman" w:eastAsia="宋体" w:cs="Times New Roman"/>
                      <w:color w:val="000000"/>
                      <w:sz w:val="21"/>
                      <w:szCs w:val="21"/>
                      <w:vertAlign w:val="subscript"/>
                    </w:rPr>
                    <w:t>10</w:t>
                  </w:r>
                  <w:r>
                    <w:rPr>
                      <w:rFonts w:ascii="Times New Roman" w:hAnsi="Times New Roman" w:eastAsia="宋体" w:cs="Times New Roman"/>
                      <w:color w:val="000000"/>
                      <w:sz w:val="21"/>
                      <w:szCs w:val="21"/>
                    </w:rPr>
                    <w:t>）</w:t>
                  </w:r>
                </w:p>
              </w:tc>
              <w:tc>
                <w:tcPr>
                  <w:tcW w:w="1364" w:type="dxa"/>
                  <w:noWrap w:val="0"/>
                  <w:vAlign w:val="center"/>
                </w:tcPr>
                <w:p w14:paraId="696EC2DB">
                  <w:pPr>
                    <w:widowControl/>
                    <w:spacing w:line="240" w:lineRule="auto"/>
                    <w:ind w:firstLine="0"/>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47</w:t>
                  </w:r>
                </w:p>
              </w:tc>
              <w:tc>
                <w:tcPr>
                  <w:tcW w:w="1365" w:type="dxa"/>
                  <w:noWrap w:val="0"/>
                  <w:vAlign w:val="center"/>
                </w:tcPr>
                <w:p w14:paraId="203844B9">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70</w:t>
                  </w:r>
                </w:p>
              </w:tc>
              <w:tc>
                <w:tcPr>
                  <w:tcW w:w="707" w:type="dxa"/>
                  <w:noWrap w:val="0"/>
                  <w:vAlign w:val="center"/>
                </w:tcPr>
                <w:p w14:paraId="6C8316E1">
                  <w:pPr>
                    <w:widowControl/>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18E85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noWrap w:val="0"/>
                  <w:vAlign w:val="center"/>
                </w:tcPr>
                <w:p w14:paraId="5EEE4662">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细颗粒物（PM</w:t>
                  </w:r>
                  <w:r>
                    <w:rPr>
                      <w:rFonts w:ascii="Times New Roman" w:hAnsi="Times New Roman" w:eastAsia="宋体" w:cs="Times New Roman"/>
                      <w:color w:val="000000"/>
                      <w:sz w:val="21"/>
                      <w:szCs w:val="21"/>
                      <w:vertAlign w:val="subscript"/>
                      <w:lang w:val="en-US" w:eastAsia="zh-CN"/>
                    </w:rPr>
                    <w:t>2</w:t>
                  </w:r>
                  <w:r>
                    <w:rPr>
                      <w:rFonts w:ascii="Times New Roman" w:hAnsi="Times New Roman" w:eastAsia="宋体" w:cs="Times New Roman"/>
                      <w:color w:val="000000"/>
                      <w:sz w:val="21"/>
                      <w:szCs w:val="21"/>
                      <w:vertAlign w:val="subscript"/>
                    </w:rPr>
                    <w:t>.</w:t>
                  </w:r>
                  <w:r>
                    <w:rPr>
                      <w:rFonts w:ascii="Times New Roman" w:hAnsi="Times New Roman" w:eastAsia="宋体" w:cs="Times New Roman"/>
                      <w:color w:val="000000"/>
                      <w:sz w:val="21"/>
                      <w:szCs w:val="21"/>
                      <w:vertAlign w:val="subscript"/>
                      <w:lang w:val="en-US" w:eastAsia="zh-CN"/>
                    </w:rPr>
                    <w:t>.</w:t>
                  </w:r>
                  <w:r>
                    <w:rPr>
                      <w:rFonts w:ascii="Times New Roman" w:hAnsi="Times New Roman" w:eastAsia="宋体" w:cs="Times New Roman"/>
                      <w:color w:val="000000"/>
                      <w:sz w:val="21"/>
                      <w:szCs w:val="21"/>
                      <w:vertAlign w:val="subscript"/>
                    </w:rPr>
                    <w:t>5</w:t>
                  </w:r>
                  <w:r>
                    <w:rPr>
                      <w:rFonts w:ascii="Times New Roman" w:hAnsi="Times New Roman" w:eastAsia="宋体" w:cs="Times New Roman"/>
                      <w:color w:val="000000"/>
                      <w:sz w:val="21"/>
                      <w:szCs w:val="21"/>
                    </w:rPr>
                    <w:t>）</w:t>
                  </w:r>
                </w:p>
              </w:tc>
              <w:tc>
                <w:tcPr>
                  <w:tcW w:w="1364" w:type="dxa"/>
                  <w:noWrap w:val="0"/>
                  <w:vAlign w:val="center"/>
                </w:tcPr>
                <w:p w14:paraId="6033C364">
                  <w:pPr>
                    <w:widowControl/>
                    <w:spacing w:line="240" w:lineRule="auto"/>
                    <w:ind w:firstLine="0"/>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27</w:t>
                  </w:r>
                </w:p>
              </w:tc>
              <w:tc>
                <w:tcPr>
                  <w:tcW w:w="1365" w:type="dxa"/>
                  <w:noWrap w:val="0"/>
                  <w:vAlign w:val="center"/>
                </w:tcPr>
                <w:p w14:paraId="7F21C405">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35</w:t>
                  </w:r>
                </w:p>
              </w:tc>
              <w:tc>
                <w:tcPr>
                  <w:tcW w:w="707" w:type="dxa"/>
                  <w:noWrap w:val="0"/>
                  <w:vAlign w:val="center"/>
                </w:tcPr>
                <w:p w14:paraId="03656A14">
                  <w:pPr>
                    <w:widowControl/>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020D1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noWrap w:val="0"/>
                  <w:vAlign w:val="center"/>
                </w:tcPr>
                <w:p w14:paraId="4F1DAFE7">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一氧化碳（CO）</w:t>
                  </w:r>
                </w:p>
              </w:tc>
              <w:tc>
                <w:tcPr>
                  <w:tcW w:w="1364" w:type="dxa"/>
                  <w:noWrap w:val="0"/>
                  <w:vAlign w:val="center"/>
                </w:tcPr>
                <w:p w14:paraId="7C60EB02">
                  <w:pPr>
                    <w:widowControl/>
                    <w:spacing w:line="240" w:lineRule="auto"/>
                    <w:ind w:firstLine="0"/>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700</w:t>
                  </w:r>
                </w:p>
              </w:tc>
              <w:tc>
                <w:tcPr>
                  <w:tcW w:w="1365" w:type="dxa"/>
                  <w:noWrap w:val="0"/>
                  <w:vAlign w:val="center"/>
                </w:tcPr>
                <w:p w14:paraId="7B6EA834">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4000</w:t>
                  </w:r>
                </w:p>
              </w:tc>
              <w:tc>
                <w:tcPr>
                  <w:tcW w:w="707" w:type="dxa"/>
                  <w:noWrap w:val="0"/>
                  <w:vAlign w:val="center"/>
                </w:tcPr>
                <w:p w14:paraId="0471745B">
                  <w:pPr>
                    <w:widowControl/>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5F921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noWrap w:val="0"/>
                  <w:vAlign w:val="center"/>
                </w:tcPr>
                <w:p w14:paraId="59096A86">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臭氧（O</w:t>
                  </w:r>
                  <w:r>
                    <w:rPr>
                      <w:rFonts w:ascii="Times New Roman" w:hAnsi="Times New Roman" w:eastAsia="宋体" w:cs="Times New Roman"/>
                      <w:color w:val="000000"/>
                      <w:sz w:val="21"/>
                      <w:szCs w:val="21"/>
                      <w:vertAlign w:val="subscript"/>
                    </w:rPr>
                    <w:t>3</w:t>
                  </w:r>
                  <w:r>
                    <w:rPr>
                      <w:rFonts w:ascii="Times New Roman" w:hAnsi="Times New Roman" w:eastAsia="宋体" w:cs="Times New Roman"/>
                      <w:color w:val="000000"/>
                      <w:sz w:val="21"/>
                      <w:szCs w:val="21"/>
                    </w:rPr>
                    <w:t>）</w:t>
                  </w:r>
                </w:p>
              </w:tc>
              <w:tc>
                <w:tcPr>
                  <w:tcW w:w="1364" w:type="dxa"/>
                  <w:noWrap w:val="0"/>
                  <w:vAlign w:val="center"/>
                </w:tcPr>
                <w:p w14:paraId="63BB6509">
                  <w:pPr>
                    <w:widowControl/>
                    <w:spacing w:line="240" w:lineRule="auto"/>
                    <w:ind w:firstLine="0"/>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80</w:t>
                  </w:r>
                </w:p>
              </w:tc>
              <w:tc>
                <w:tcPr>
                  <w:tcW w:w="1365" w:type="dxa"/>
                  <w:noWrap w:val="0"/>
                  <w:vAlign w:val="center"/>
                </w:tcPr>
                <w:p w14:paraId="4E53C87C">
                  <w:pPr>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160</w:t>
                  </w:r>
                </w:p>
              </w:tc>
              <w:tc>
                <w:tcPr>
                  <w:tcW w:w="707" w:type="dxa"/>
                  <w:noWrap w:val="0"/>
                  <w:vAlign w:val="center"/>
                </w:tcPr>
                <w:p w14:paraId="4184C214">
                  <w:pPr>
                    <w:widowControl/>
                    <w:spacing w:line="240" w:lineRule="auto"/>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bl>
          <w:p w14:paraId="1C9FC8AC">
            <w:pPr>
              <w:keepNext w:val="0"/>
              <w:keepLines w:val="0"/>
              <w:pageBreakBefore w:val="0"/>
              <w:widowControl w:val="0"/>
              <w:spacing w:before="157" w:line="360" w:lineRule="auto"/>
              <w:ind w:firstLine="480"/>
              <w:jc w:val="both"/>
              <w:rPr>
                <w:rFonts w:hint="eastAsia" w:ascii="Times New Roman" w:hAnsi="Times New Roman" w:eastAsia="宋体" w:cs="Times New Roman"/>
                <w:b w:val="0"/>
                <w:bCs/>
                <w:color w:val="000000"/>
                <w:sz w:val="24"/>
                <w:szCs w:val="24"/>
                <w:lang w:eastAsia="zh-CN"/>
              </w:rPr>
            </w:pPr>
            <w:r>
              <w:rPr>
                <w:rFonts w:ascii="Times New Roman" w:hAnsi="Times New Roman" w:eastAsia="宋体" w:cs="Times New Roman"/>
                <w:b w:val="0"/>
                <w:bCs/>
                <w:color w:val="000000"/>
                <w:sz w:val="24"/>
                <w:szCs w:val="24"/>
                <w:lang w:bidi="ar"/>
              </w:rPr>
              <w:t>由上表可知：</w:t>
            </w:r>
            <w:r>
              <w:rPr>
                <w:rFonts w:hint="eastAsia" w:ascii="Times New Roman" w:hAnsi="Times New Roman" w:eastAsia="宋体" w:cs="Times New Roman"/>
                <w:b w:val="0"/>
                <w:bCs/>
                <w:color w:val="000000"/>
                <w:sz w:val="24"/>
                <w:szCs w:val="24"/>
                <w:lang w:val="en-US" w:eastAsia="zh-CN" w:bidi="ar"/>
              </w:rPr>
              <w:t>芒市</w:t>
            </w:r>
            <w:r>
              <w:rPr>
                <w:rFonts w:ascii="Times New Roman" w:hAnsi="Times New Roman" w:eastAsia="宋体" w:cs="Times New Roman"/>
                <w:b w:val="0"/>
                <w:bCs/>
                <w:color w:val="000000"/>
                <w:sz w:val="24"/>
                <w:szCs w:val="24"/>
                <w:lang w:bidi="ar"/>
              </w:rPr>
              <w:t>各指标浓度满足</w:t>
            </w:r>
            <w:r>
              <w:rPr>
                <w:rFonts w:ascii="Times New Roman" w:hAnsi="Times New Roman" w:eastAsia="宋体" w:cs="Times New Roman"/>
                <w:b w:val="0"/>
                <w:bCs/>
                <w:color w:val="000000"/>
                <w:sz w:val="24"/>
                <w:szCs w:val="24"/>
              </w:rPr>
              <w:t>《环境空气质量标准》（GB3095-2012）中</w:t>
            </w:r>
            <w:r>
              <w:rPr>
                <w:rFonts w:ascii="Times New Roman" w:hAnsi="Times New Roman" w:eastAsia="宋体" w:cs="Times New Roman"/>
                <w:b w:val="0"/>
                <w:bCs/>
                <w:color w:val="000000"/>
                <w:sz w:val="24"/>
                <w:szCs w:val="24"/>
                <w:lang w:bidi="ar"/>
              </w:rPr>
              <w:t>二级标准的要求，</w:t>
            </w:r>
            <w:r>
              <w:rPr>
                <w:rFonts w:ascii="Times New Roman" w:hAnsi="Times New Roman" w:eastAsia="宋体" w:cs="Times New Roman"/>
                <w:color w:val="000000"/>
                <w:sz w:val="24"/>
                <w:szCs w:val="24"/>
                <w:highlight w:val="none"/>
              </w:rPr>
              <w:t>根据现场踏勘，</w:t>
            </w:r>
            <w:r>
              <w:rPr>
                <w:rFonts w:hint="eastAsia" w:ascii="Times New Roman" w:hAnsi="Times New Roman" w:eastAsia="宋体" w:cs="Times New Roman"/>
                <w:b w:val="0"/>
                <w:bCs/>
                <w:color w:val="000000"/>
                <w:sz w:val="24"/>
                <w:szCs w:val="24"/>
                <w:lang w:val="en-US" w:eastAsia="zh-CN" w:bidi="ar"/>
              </w:rPr>
              <w:t>项目</w:t>
            </w:r>
            <w:r>
              <w:rPr>
                <w:rFonts w:ascii="Times New Roman" w:hAnsi="Times New Roman" w:eastAsia="宋体" w:cs="Times New Roman"/>
                <w:color w:val="000000"/>
                <w:sz w:val="24"/>
                <w:szCs w:val="24"/>
              </w:rPr>
              <w:t>位于</w:t>
            </w:r>
            <w:r>
              <w:rPr>
                <w:rFonts w:hint="eastAsia" w:ascii="Times New Roman" w:hAnsi="Times New Roman" w:eastAsia="宋体" w:cs="Times New Roman"/>
                <w:color w:val="000000"/>
                <w:sz w:val="24"/>
                <w:szCs w:val="24"/>
                <w:lang w:eastAsia="zh-CN"/>
              </w:rPr>
              <w:t>云南省德宏州芒市风平镇帕底村芒市糖厂</w:t>
            </w:r>
            <w:r>
              <w:rPr>
                <w:rFonts w:ascii="Times New Roman" w:hAnsi="Times New Roman" w:eastAsia="宋体" w:cs="Times New Roman"/>
                <w:b w:val="0"/>
                <w:bCs/>
                <w:color w:val="000000"/>
                <w:sz w:val="24"/>
                <w:szCs w:val="24"/>
                <w:lang w:bidi="ar"/>
              </w:rPr>
              <w:t>，</w:t>
            </w:r>
            <w:r>
              <w:rPr>
                <w:rFonts w:ascii="Times New Roman" w:hAnsi="Times New Roman" w:eastAsia="宋体" w:cs="Times New Roman"/>
                <w:b w:val="0"/>
                <w:bCs/>
                <w:color w:val="000000"/>
                <w:sz w:val="24"/>
                <w:szCs w:val="24"/>
              </w:rPr>
              <w:t>区域环境空气质量良好，属于达标区</w:t>
            </w:r>
            <w:r>
              <w:rPr>
                <w:rFonts w:hint="eastAsia" w:ascii="Times New Roman" w:hAnsi="Times New Roman" w:eastAsia="宋体" w:cs="Times New Roman"/>
                <w:b w:val="0"/>
                <w:bCs/>
                <w:color w:val="000000"/>
                <w:sz w:val="24"/>
                <w:szCs w:val="24"/>
                <w:lang w:eastAsia="zh-CN"/>
              </w:rPr>
              <w:t>。</w:t>
            </w:r>
          </w:p>
          <w:p w14:paraId="1C77A432">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（2）</w:t>
            </w:r>
            <w:r>
              <w:rPr>
                <w:rFonts w:hint="eastAsia" w:ascii="Times New Roman" w:hAnsi="Times New Roman" w:eastAsia="宋体" w:cs="Times New Roman"/>
                <w:b/>
                <w:bCs/>
                <w:color w:val="000000"/>
                <w:sz w:val="24"/>
                <w:szCs w:val="24"/>
                <w:highlight w:val="none"/>
                <w:lang w:val="en-US" w:eastAsia="zh-CN"/>
              </w:rPr>
              <w:t>补充监测</w:t>
            </w:r>
          </w:p>
          <w:p w14:paraId="3A142751">
            <w:pPr>
              <w:keepNext w:val="0"/>
              <w:keepLines w:val="0"/>
              <w:suppressLineNumbers w:val="0"/>
              <w:spacing w:before="0" w:beforeAutospacing="0" w:after="0" w:afterAutospacing="0" w:line="360" w:lineRule="auto"/>
              <w:ind w:left="0" w:right="0" w:firstLine="480"/>
              <w:rPr>
                <w:rFonts w:ascii="Times New Roman" w:hAnsi="Times New Roman" w:eastAsia="宋体" w:cs="Times New Roman"/>
                <w:color w:val="000000"/>
                <w:sz w:val="24"/>
                <w:szCs w:val="20"/>
                <w:lang w:val="en-US" w:eastAsia="zh-CN"/>
              </w:rPr>
            </w:pPr>
            <w:r>
              <w:rPr>
                <w:rFonts w:ascii="Times New Roman" w:hAnsi="Times New Roman" w:eastAsia="宋体" w:cs="Times New Roman"/>
                <w:color w:val="000000"/>
                <w:sz w:val="24"/>
                <w:szCs w:val="20"/>
                <w:lang w:val="en-US" w:eastAsia="zh-CN"/>
              </w:rPr>
              <w:t>为了解项目区特征污染物TSP</w:t>
            </w:r>
            <w:r>
              <w:rPr>
                <w:rFonts w:hint="eastAsia" w:ascii="Times New Roman" w:hAnsi="Times New Roman" w:eastAsia="宋体" w:cs="Times New Roman"/>
                <w:color w:val="000000"/>
                <w:sz w:val="24"/>
                <w:szCs w:val="20"/>
                <w:lang w:val="en-US" w:eastAsia="zh-CN"/>
              </w:rPr>
              <w:t>、非甲烷总烃、甲醛</w:t>
            </w:r>
            <w:r>
              <w:rPr>
                <w:rFonts w:ascii="Times New Roman" w:hAnsi="Times New Roman" w:eastAsia="宋体" w:cs="Times New Roman"/>
                <w:color w:val="000000"/>
                <w:sz w:val="24"/>
                <w:szCs w:val="20"/>
                <w:lang w:val="en-US" w:eastAsia="zh-CN"/>
              </w:rPr>
              <w:t>环境质量状况，建设单位</w:t>
            </w:r>
            <w:r>
              <w:rPr>
                <w:rFonts w:hint="eastAsia" w:ascii="Times New Roman" w:hAnsi="Times New Roman" w:eastAsia="宋体" w:cs="Times New Roman"/>
                <w:color w:val="000000"/>
                <w:sz w:val="24"/>
                <w:szCs w:val="20"/>
                <w:lang w:val="en-US" w:eastAsia="zh-CN"/>
              </w:rPr>
              <w:t>引用厂区旁边德宏林帆佳源木业有限责任公司</w:t>
            </w:r>
            <w:r>
              <w:rPr>
                <w:rFonts w:ascii="Times New Roman" w:hAnsi="Times New Roman" w:eastAsia="宋体" w:cs="Times New Roman"/>
                <w:color w:val="000000"/>
                <w:sz w:val="24"/>
                <w:szCs w:val="20"/>
                <w:lang w:val="en-US" w:eastAsia="zh-CN"/>
              </w:rPr>
              <w:t>委托</w:t>
            </w:r>
            <w:r>
              <w:rPr>
                <w:rFonts w:hint="eastAsia" w:ascii="Times New Roman" w:hAnsi="Times New Roman" w:eastAsia="宋体" w:cs="Times New Roman"/>
                <w:color w:val="000000"/>
                <w:sz w:val="24"/>
                <w:szCs w:val="20"/>
                <w:lang w:val="en-US" w:eastAsia="zh-CN"/>
              </w:rPr>
              <w:t>云南聚盈环保科技有限公司检测出具的环境现状检测报告，检测报告</w:t>
            </w:r>
            <w:r>
              <w:rPr>
                <w:rFonts w:ascii="Times New Roman" w:hAnsi="Times New Roman" w:eastAsia="宋体" w:cs="Times New Roman"/>
                <w:color w:val="000000"/>
                <w:sz w:val="24"/>
                <w:szCs w:val="20"/>
                <w:lang w:val="en-US" w:eastAsia="zh-CN"/>
              </w:rPr>
              <w:t>对项目区TSP</w:t>
            </w:r>
            <w:r>
              <w:rPr>
                <w:rFonts w:hint="eastAsia" w:ascii="Times New Roman" w:hAnsi="Times New Roman" w:eastAsia="宋体" w:cs="Times New Roman"/>
                <w:color w:val="000000"/>
                <w:sz w:val="24"/>
                <w:szCs w:val="20"/>
                <w:lang w:val="en-US" w:eastAsia="zh-CN"/>
              </w:rPr>
              <w:t>、非甲烷总烃、甲醛</w:t>
            </w:r>
            <w:r>
              <w:rPr>
                <w:rFonts w:ascii="Times New Roman" w:hAnsi="Times New Roman" w:eastAsia="宋体" w:cs="Times New Roman"/>
                <w:color w:val="000000"/>
                <w:sz w:val="24"/>
                <w:szCs w:val="20"/>
                <w:lang w:val="en-US" w:eastAsia="zh-CN"/>
              </w:rPr>
              <w:t>进行</w:t>
            </w:r>
            <w:r>
              <w:rPr>
                <w:rFonts w:hint="eastAsia" w:ascii="Times New Roman" w:hAnsi="Times New Roman" w:eastAsia="宋体" w:cs="Times New Roman"/>
                <w:color w:val="000000"/>
                <w:sz w:val="24"/>
                <w:szCs w:val="20"/>
                <w:lang w:val="en-US" w:eastAsia="zh-CN"/>
              </w:rPr>
              <w:t>检测</w:t>
            </w:r>
            <w:r>
              <w:rPr>
                <w:rFonts w:ascii="Times New Roman" w:hAnsi="Times New Roman" w:eastAsia="宋体" w:cs="Times New Roman"/>
                <w:color w:val="000000"/>
                <w:sz w:val="24"/>
                <w:szCs w:val="20"/>
                <w:lang w:val="en-US" w:eastAsia="zh-CN"/>
              </w:rPr>
              <w:t>，具体检测情况如下。</w:t>
            </w:r>
          </w:p>
          <w:p w14:paraId="01BC320D">
            <w:pPr>
              <w:spacing w:line="360" w:lineRule="auto"/>
              <w:ind w:firstLine="47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监测布点：</w:t>
            </w:r>
            <w:r>
              <w:rPr>
                <w:rFonts w:ascii="Times New Roman" w:hAnsi="Times New Roman" w:eastAsia="宋体" w:cs="Times New Roman"/>
                <w:color w:val="000000"/>
                <w:sz w:val="24"/>
              </w:rPr>
              <w:t>项目区</w:t>
            </w:r>
            <w:r>
              <w:rPr>
                <w:rFonts w:hint="eastAsia" w:ascii="Times New Roman" w:hAnsi="Times New Roman" w:eastAsia="宋体" w:cs="Times New Roman"/>
                <w:color w:val="000000"/>
                <w:sz w:val="24"/>
                <w:lang w:val="en-US" w:eastAsia="zh-CN"/>
              </w:rPr>
              <w:t>下风向</w:t>
            </w:r>
            <w:r>
              <w:rPr>
                <w:rFonts w:ascii="Times New Roman" w:hAnsi="Times New Roman" w:eastAsia="宋体" w:cs="Times New Roman"/>
                <w:color w:val="000000"/>
                <w:sz w:val="24"/>
              </w:rPr>
              <w:t>设置1个监测点。</w:t>
            </w:r>
          </w:p>
          <w:p w14:paraId="201E2608">
            <w:pPr>
              <w:spacing w:line="360" w:lineRule="auto"/>
              <w:ind w:firstLine="472"/>
              <w:rPr>
                <w:rFonts w:ascii="Times New Roman" w:hAnsi="Times New Roman" w:eastAsia="宋体" w:cs="Times New Roman"/>
                <w:color w:val="000000"/>
                <w:sz w:val="24"/>
              </w:rPr>
            </w:pPr>
            <w:r>
              <w:rPr>
                <w:rFonts w:ascii="Times New Roman" w:hAnsi="Times New Roman" w:eastAsia="宋体" w:cs="Times New Roman"/>
                <w:b/>
                <w:bCs/>
                <w:color w:val="000000"/>
                <w:sz w:val="24"/>
              </w:rPr>
              <w:t>监测因子：</w:t>
            </w:r>
            <w:r>
              <w:rPr>
                <w:rFonts w:hint="eastAsia" w:ascii="Times New Roman" w:hAnsi="Times New Roman" w:eastAsia="宋体" w:cs="Times New Roman"/>
                <w:b w:val="0"/>
                <w:bCs w:val="0"/>
                <w:color w:val="000000"/>
                <w:sz w:val="24"/>
                <w:lang w:val="en-US" w:eastAsia="zh-CN"/>
              </w:rPr>
              <w:t>TSP</w:t>
            </w:r>
            <w:r>
              <w:rPr>
                <w:rFonts w:hint="eastAsia" w:ascii="Times New Roman" w:hAnsi="Times New Roman" w:eastAsia="宋体" w:cs="Times New Roman"/>
                <w:color w:val="000000"/>
                <w:sz w:val="24"/>
                <w:szCs w:val="20"/>
                <w:lang w:val="en-US" w:eastAsia="zh-CN"/>
              </w:rPr>
              <w:t>、非甲烷总烃、甲醛</w:t>
            </w:r>
            <w:r>
              <w:rPr>
                <w:rFonts w:ascii="Times New Roman" w:hAnsi="Times New Roman" w:eastAsia="宋体" w:cs="Times New Roman"/>
                <w:color w:val="000000"/>
                <w:sz w:val="24"/>
              </w:rPr>
              <w:t>。</w:t>
            </w:r>
          </w:p>
          <w:p w14:paraId="236AF170">
            <w:pPr>
              <w:spacing w:line="360" w:lineRule="auto"/>
              <w:ind w:firstLine="472"/>
              <w:rPr>
                <w:rFonts w:ascii="Times New Roman" w:hAnsi="Times New Roman" w:eastAsia="宋体" w:cs="Times New Roman"/>
                <w:color w:val="000000"/>
                <w:sz w:val="24"/>
              </w:rPr>
            </w:pPr>
            <w:r>
              <w:rPr>
                <w:rFonts w:ascii="Times New Roman" w:hAnsi="Times New Roman" w:eastAsia="宋体" w:cs="Times New Roman"/>
                <w:b/>
                <w:bCs/>
                <w:color w:val="000000"/>
                <w:sz w:val="24"/>
              </w:rPr>
              <w:t>监测频率：</w:t>
            </w:r>
            <w:r>
              <w:rPr>
                <w:rFonts w:ascii="Times New Roman" w:hAnsi="Times New Roman" w:eastAsia="宋体" w:cs="Times New Roman"/>
                <w:color w:val="000000"/>
                <w:sz w:val="24"/>
              </w:rPr>
              <w:t>202</w:t>
            </w:r>
            <w:r>
              <w:rPr>
                <w:rFonts w:hint="eastAsia" w:ascii="Times New Roman" w:hAnsi="Times New Roman" w:eastAsia="宋体" w:cs="Times New Roman"/>
                <w:color w:val="000000"/>
                <w:sz w:val="24"/>
                <w:lang w:val="en-US" w:eastAsia="zh-CN"/>
              </w:rPr>
              <w:t>2</w:t>
            </w:r>
            <w:r>
              <w:rPr>
                <w:rFonts w:ascii="Times New Roman" w:hAnsi="Times New Roman" w:eastAsia="宋体" w:cs="Times New Roman"/>
                <w:color w:val="000000"/>
                <w:sz w:val="24"/>
              </w:rPr>
              <w:t>年</w:t>
            </w:r>
            <w:r>
              <w:rPr>
                <w:rFonts w:hint="eastAsia" w:ascii="Times New Roman" w:hAnsi="Times New Roman" w:eastAsia="宋体" w:cs="Times New Roman"/>
                <w:color w:val="000000"/>
                <w:sz w:val="24"/>
                <w:lang w:val="en-US" w:eastAsia="zh-CN"/>
              </w:rPr>
              <w:t>12</w:t>
            </w:r>
            <w:r>
              <w:rPr>
                <w:rFonts w:ascii="Times New Roman" w:hAnsi="Times New Roman" w:eastAsia="宋体" w:cs="Times New Roman"/>
                <w:color w:val="000000"/>
                <w:sz w:val="24"/>
              </w:rPr>
              <w:t>月</w:t>
            </w:r>
            <w:r>
              <w:rPr>
                <w:rFonts w:hint="eastAsia" w:ascii="Times New Roman" w:hAnsi="Times New Roman" w:eastAsia="宋体" w:cs="Times New Roman"/>
                <w:color w:val="000000"/>
                <w:sz w:val="24"/>
                <w:lang w:val="en-US" w:eastAsia="zh-CN"/>
              </w:rPr>
              <w:t>14</w:t>
            </w:r>
            <w:r>
              <w:rPr>
                <w:rFonts w:ascii="Times New Roman" w:hAnsi="Times New Roman" w:eastAsia="宋体" w:cs="Times New Roman"/>
                <w:color w:val="000000"/>
                <w:sz w:val="24"/>
              </w:rPr>
              <w:t>日~202</w:t>
            </w:r>
            <w:r>
              <w:rPr>
                <w:rFonts w:hint="eastAsia" w:ascii="Times New Roman" w:hAnsi="Times New Roman" w:eastAsia="宋体" w:cs="Times New Roman"/>
                <w:color w:val="000000"/>
                <w:sz w:val="24"/>
                <w:lang w:val="en-US" w:eastAsia="zh-CN"/>
              </w:rPr>
              <w:t>2</w:t>
            </w:r>
            <w:r>
              <w:rPr>
                <w:rFonts w:ascii="Times New Roman" w:hAnsi="Times New Roman" w:eastAsia="宋体" w:cs="Times New Roman"/>
                <w:color w:val="000000"/>
                <w:sz w:val="24"/>
              </w:rPr>
              <w:t>年</w:t>
            </w:r>
            <w:r>
              <w:rPr>
                <w:rFonts w:hint="eastAsia" w:ascii="Times New Roman" w:hAnsi="Times New Roman" w:eastAsia="宋体" w:cs="Times New Roman"/>
                <w:color w:val="000000"/>
                <w:sz w:val="24"/>
                <w:lang w:val="en-US" w:eastAsia="zh-CN"/>
              </w:rPr>
              <w:t>12</w:t>
            </w:r>
            <w:r>
              <w:rPr>
                <w:rFonts w:ascii="Times New Roman" w:hAnsi="Times New Roman" w:eastAsia="宋体" w:cs="Times New Roman"/>
                <w:color w:val="000000"/>
                <w:sz w:val="24"/>
              </w:rPr>
              <w:t>月</w:t>
            </w:r>
            <w:r>
              <w:rPr>
                <w:rFonts w:hint="eastAsia" w:ascii="Times New Roman" w:hAnsi="Times New Roman" w:eastAsia="宋体" w:cs="Times New Roman"/>
                <w:color w:val="000000"/>
                <w:sz w:val="24"/>
                <w:lang w:val="en-US" w:eastAsia="zh-CN"/>
              </w:rPr>
              <w:t>16</w:t>
            </w:r>
            <w:r>
              <w:rPr>
                <w:rFonts w:ascii="Times New Roman" w:hAnsi="Times New Roman" w:eastAsia="宋体" w:cs="Times New Roman"/>
                <w:color w:val="000000"/>
                <w:sz w:val="24"/>
              </w:rPr>
              <w:t>日，连续监测3天，</w:t>
            </w:r>
            <w:r>
              <w:rPr>
                <w:rFonts w:ascii="Times New Roman" w:hAnsi="Times New Roman" w:eastAsia="宋体" w:cs="Times New Roman"/>
                <w:color w:val="000000"/>
                <w:sz w:val="24"/>
                <w:lang w:val="en-US" w:eastAsia="zh-CN"/>
              </w:rPr>
              <w:t>取</w:t>
            </w:r>
            <w:r>
              <w:rPr>
                <w:rFonts w:ascii="Times New Roman" w:hAnsi="Times New Roman" w:eastAsia="宋体" w:cs="Times New Roman"/>
                <w:color w:val="000000"/>
                <w:sz w:val="24"/>
              </w:rPr>
              <w:t>24小时平均</w:t>
            </w:r>
            <w:r>
              <w:rPr>
                <w:rFonts w:ascii="Times New Roman" w:hAnsi="Times New Roman" w:eastAsia="宋体" w:cs="Times New Roman"/>
                <w:color w:val="000000"/>
                <w:sz w:val="24"/>
                <w:lang w:val="en-US" w:eastAsia="zh-CN"/>
              </w:rPr>
              <w:t>值</w:t>
            </w:r>
            <w:r>
              <w:rPr>
                <w:rFonts w:ascii="Times New Roman" w:hAnsi="Times New Roman" w:eastAsia="宋体" w:cs="Times New Roman"/>
                <w:color w:val="000000"/>
                <w:sz w:val="24"/>
              </w:rPr>
              <w:t>。</w:t>
            </w:r>
          </w:p>
          <w:p w14:paraId="73001EA6">
            <w:pPr>
              <w:pStyle w:val="212"/>
              <w:jc w:val="center"/>
              <w:rPr>
                <w:rFonts w:ascii="Times New Roman" w:hAnsi="Times New Roman" w:eastAsia="宋体" w:cs="Times New Roman"/>
                <w:color w:val="000000"/>
              </w:rPr>
            </w:pPr>
            <w:r>
              <w:rPr>
                <w:rFonts w:ascii="Times New Roman" w:hAnsi="Times New Roman" w:eastAsia="宋体" w:cs="Times New Roman"/>
                <w:b/>
                <w:bCs/>
                <w:color w:val="000000"/>
                <w:sz w:val="24"/>
                <w:szCs w:val="24"/>
              </w:rPr>
              <w:t>表3-</w:t>
            </w:r>
            <w:r>
              <w:rPr>
                <w:rFonts w:ascii="Times New Roman" w:hAnsi="Times New Roman" w:eastAsia="宋体" w:cs="Times New Roman"/>
                <w:b/>
                <w:bCs/>
                <w:color w:val="000000"/>
                <w:sz w:val="24"/>
                <w:szCs w:val="24"/>
                <w:lang w:val="en-US" w:eastAsia="zh-CN"/>
              </w:rPr>
              <w:t>4</w:t>
            </w:r>
            <w:r>
              <w:rPr>
                <w:rFonts w:ascii="Times New Roman" w:hAnsi="Times New Roman" w:eastAsia="宋体" w:cs="Times New Roman"/>
                <w:b/>
                <w:bCs/>
                <w:color w:val="000000"/>
                <w:sz w:val="24"/>
                <w:szCs w:val="24"/>
              </w:rPr>
              <w:t xml:space="preserve">  </w:t>
            </w:r>
            <w:r>
              <w:rPr>
                <w:rFonts w:ascii="Times New Roman" w:hAnsi="Times New Roman" w:eastAsia="宋体" w:cs="Times New Roman"/>
                <w:b/>
                <w:bCs/>
                <w:color w:val="000000"/>
                <w:sz w:val="24"/>
                <w:szCs w:val="24"/>
                <w:lang w:val="en-US" w:eastAsia="zh-CN"/>
              </w:rPr>
              <w:t>TSP</w:t>
            </w:r>
            <w:r>
              <w:rPr>
                <w:rFonts w:ascii="Times New Roman" w:hAnsi="Times New Roman" w:eastAsia="宋体" w:cs="Times New Roman"/>
                <w:b/>
                <w:bCs/>
                <w:color w:val="000000"/>
                <w:sz w:val="24"/>
                <w:szCs w:val="24"/>
              </w:rPr>
              <w:t>环境空气质量监测结果</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3"/>
              <w:gridCol w:w="1268"/>
              <w:gridCol w:w="1813"/>
              <w:gridCol w:w="1923"/>
              <w:gridCol w:w="1650"/>
              <w:gridCol w:w="1099"/>
            </w:tblGrid>
            <w:tr w14:paraId="2F64E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3" w:type="dxa"/>
                  <w:noWrap w:val="0"/>
                  <w:vAlign w:val="center"/>
                </w:tcPr>
                <w:p w14:paraId="69D5F377">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检测点位</w:t>
                  </w:r>
                </w:p>
              </w:tc>
              <w:tc>
                <w:tcPr>
                  <w:tcW w:w="1268" w:type="dxa"/>
                  <w:noWrap w:val="0"/>
                  <w:vAlign w:val="center"/>
                </w:tcPr>
                <w:p w14:paraId="25DF9EEA">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采样日期</w:t>
                  </w:r>
                </w:p>
              </w:tc>
              <w:tc>
                <w:tcPr>
                  <w:tcW w:w="1813" w:type="dxa"/>
                  <w:noWrap w:val="0"/>
                  <w:vAlign w:val="center"/>
                </w:tcPr>
                <w:p w14:paraId="6D168F95">
                  <w:pPr>
                    <w:tabs>
                      <w:tab w:val="left" w:pos="562"/>
                    </w:tabs>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采样时段</w:t>
                  </w:r>
                </w:p>
              </w:tc>
              <w:tc>
                <w:tcPr>
                  <w:tcW w:w="1923" w:type="dxa"/>
                  <w:noWrap w:val="0"/>
                  <w:vAlign w:val="center"/>
                </w:tcPr>
                <w:p w14:paraId="50F5199D">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检测结果（</w:t>
                  </w:r>
                  <w:r>
                    <w:rPr>
                      <w:rFonts w:ascii="Times New Roman" w:hAnsi="Times New Roman" w:eastAsia="宋体" w:cs="Times New Roman"/>
                      <w:b/>
                      <w:color w:val="000000"/>
                      <w:szCs w:val="21"/>
                      <w:lang w:val="en-US" w:eastAsia="zh-CN"/>
                    </w:rPr>
                    <w:t>u</w:t>
                  </w:r>
                  <w:r>
                    <w:rPr>
                      <w:rFonts w:ascii="Times New Roman" w:hAnsi="Times New Roman" w:eastAsia="宋体" w:cs="Times New Roman"/>
                      <w:b/>
                      <w:color w:val="000000"/>
                      <w:szCs w:val="21"/>
                    </w:rPr>
                    <w:t>g/m</w:t>
                  </w:r>
                  <w:r>
                    <w:rPr>
                      <w:rFonts w:ascii="Times New Roman" w:hAnsi="Times New Roman" w:eastAsia="宋体" w:cs="Times New Roman"/>
                      <w:b/>
                      <w:color w:val="000000"/>
                      <w:szCs w:val="21"/>
                      <w:vertAlign w:val="superscript"/>
                    </w:rPr>
                    <w:t>3</w:t>
                  </w:r>
                  <w:r>
                    <w:rPr>
                      <w:rFonts w:ascii="Times New Roman" w:hAnsi="Times New Roman" w:eastAsia="宋体" w:cs="Times New Roman"/>
                      <w:b/>
                      <w:color w:val="000000"/>
                      <w:szCs w:val="21"/>
                    </w:rPr>
                    <w:t>）</w:t>
                  </w:r>
                </w:p>
              </w:tc>
              <w:tc>
                <w:tcPr>
                  <w:tcW w:w="1650" w:type="dxa"/>
                  <w:noWrap w:val="0"/>
                  <w:vAlign w:val="center"/>
                </w:tcPr>
                <w:p w14:paraId="591975D7">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lang w:val="en-US" w:eastAsia="zh-CN"/>
                    </w:rPr>
                    <w:t>标准值</w:t>
                  </w:r>
                  <w:r>
                    <w:rPr>
                      <w:rFonts w:ascii="Times New Roman" w:hAnsi="Times New Roman" w:eastAsia="宋体" w:cs="Times New Roman"/>
                      <w:b/>
                      <w:color w:val="000000"/>
                      <w:szCs w:val="21"/>
                    </w:rPr>
                    <w:t>（</w:t>
                  </w:r>
                  <w:r>
                    <w:rPr>
                      <w:rFonts w:ascii="Times New Roman" w:hAnsi="Times New Roman" w:eastAsia="宋体" w:cs="Times New Roman"/>
                      <w:b/>
                      <w:color w:val="000000"/>
                      <w:szCs w:val="21"/>
                      <w:lang w:val="en-US" w:eastAsia="zh-CN"/>
                    </w:rPr>
                    <w:t>u</w:t>
                  </w:r>
                  <w:r>
                    <w:rPr>
                      <w:rFonts w:ascii="Times New Roman" w:hAnsi="Times New Roman" w:eastAsia="宋体" w:cs="Times New Roman"/>
                      <w:b/>
                      <w:color w:val="000000"/>
                      <w:szCs w:val="21"/>
                    </w:rPr>
                    <w:t>g/m</w:t>
                  </w:r>
                  <w:r>
                    <w:rPr>
                      <w:rFonts w:ascii="Times New Roman" w:hAnsi="Times New Roman" w:eastAsia="宋体" w:cs="Times New Roman"/>
                      <w:b/>
                      <w:color w:val="000000"/>
                      <w:szCs w:val="21"/>
                      <w:vertAlign w:val="superscript"/>
                    </w:rPr>
                    <w:t>3</w:t>
                  </w:r>
                  <w:r>
                    <w:rPr>
                      <w:rFonts w:ascii="Times New Roman" w:hAnsi="Times New Roman" w:eastAsia="宋体" w:cs="Times New Roman"/>
                      <w:b/>
                      <w:color w:val="000000"/>
                      <w:szCs w:val="21"/>
                    </w:rPr>
                    <w:t>）</w:t>
                  </w:r>
                </w:p>
              </w:tc>
              <w:tc>
                <w:tcPr>
                  <w:tcW w:w="1099" w:type="dxa"/>
                  <w:noWrap w:val="0"/>
                  <w:vAlign w:val="center"/>
                </w:tcPr>
                <w:p w14:paraId="5DD8CE10">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达标情况</w:t>
                  </w:r>
                </w:p>
              </w:tc>
            </w:tr>
            <w:tr w14:paraId="5317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3" w:type="dxa"/>
                  <w:vMerge w:val="restart"/>
                  <w:noWrap w:val="0"/>
                  <w:vAlign w:val="center"/>
                </w:tcPr>
                <w:p w14:paraId="7CAAA650">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项目区下风向</w:t>
                  </w:r>
                </w:p>
              </w:tc>
              <w:tc>
                <w:tcPr>
                  <w:tcW w:w="1268" w:type="dxa"/>
                  <w:noWrap w:val="0"/>
                  <w:vAlign w:val="center"/>
                </w:tcPr>
                <w:p w14:paraId="69C235A5">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202</w:t>
                  </w:r>
                  <w:r>
                    <w:rPr>
                      <w:rFonts w:hint="eastAsia" w:ascii="Times New Roman" w:hAnsi="Times New Roman" w:eastAsia="宋体" w:cs="Times New Roman"/>
                      <w:color w:val="000000"/>
                      <w:szCs w:val="21"/>
                      <w:lang w:val="en-US" w:eastAsia="zh-CN"/>
                    </w:rPr>
                    <w:t>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14</w:t>
                  </w:r>
                </w:p>
              </w:tc>
              <w:tc>
                <w:tcPr>
                  <w:tcW w:w="1813" w:type="dxa"/>
                  <w:noWrap w:val="0"/>
                  <w:vAlign w:val="top"/>
                </w:tcPr>
                <w:p w14:paraId="00AD8D5B">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:03-次日</w:t>
                  </w: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:03</w:t>
                  </w:r>
                </w:p>
              </w:tc>
              <w:tc>
                <w:tcPr>
                  <w:tcW w:w="1923" w:type="dxa"/>
                  <w:noWrap w:val="0"/>
                  <w:vAlign w:val="center"/>
                </w:tcPr>
                <w:p w14:paraId="7C1B7734">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125</w:t>
                  </w:r>
                </w:p>
              </w:tc>
              <w:tc>
                <w:tcPr>
                  <w:tcW w:w="1650" w:type="dxa"/>
                  <w:noWrap w:val="0"/>
                  <w:vAlign w:val="center"/>
                </w:tcPr>
                <w:p w14:paraId="5D2D8838">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300</w:t>
                  </w:r>
                </w:p>
              </w:tc>
              <w:tc>
                <w:tcPr>
                  <w:tcW w:w="1099" w:type="dxa"/>
                  <w:noWrap w:val="0"/>
                  <w:vAlign w:val="center"/>
                </w:tcPr>
                <w:p w14:paraId="3859269F">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r w14:paraId="74AFC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3" w:type="dxa"/>
                  <w:vMerge w:val="continue"/>
                  <w:noWrap w:val="0"/>
                  <w:vAlign w:val="center"/>
                </w:tcPr>
                <w:p w14:paraId="04E50C83">
                  <w:pPr>
                    <w:widowControl/>
                    <w:jc w:val="center"/>
                    <w:rPr>
                      <w:rFonts w:ascii="Times New Roman" w:hAnsi="Times New Roman" w:eastAsia="宋体" w:cs="Times New Roman"/>
                      <w:color w:val="000000"/>
                      <w:szCs w:val="21"/>
                    </w:rPr>
                  </w:pPr>
                </w:p>
              </w:tc>
              <w:tc>
                <w:tcPr>
                  <w:tcW w:w="1268" w:type="dxa"/>
                  <w:noWrap w:val="0"/>
                  <w:vAlign w:val="center"/>
                </w:tcPr>
                <w:p w14:paraId="2D63C633">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202</w:t>
                  </w:r>
                  <w:r>
                    <w:rPr>
                      <w:rFonts w:hint="eastAsia" w:ascii="Times New Roman" w:hAnsi="Times New Roman" w:eastAsia="宋体" w:cs="Times New Roman"/>
                      <w:color w:val="000000"/>
                      <w:szCs w:val="21"/>
                      <w:lang w:val="en-US" w:eastAsia="zh-CN"/>
                    </w:rPr>
                    <w:t>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15</w:t>
                  </w:r>
                </w:p>
              </w:tc>
              <w:tc>
                <w:tcPr>
                  <w:tcW w:w="1813" w:type="dxa"/>
                  <w:noWrap w:val="0"/>
                  <w:vAlign w:val="top"/>
                </w:tcPr>
                <w:p w14:paraId="7CA18BE4">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w:t>
                  </w:r>
                  <w:r>
                    <w:rPr>
                      <w:rFonts w:ascii="Times New Roman" w:hAnsi="Times New Roman" w:eastAsia="宋体" w:cs="Times New Roman"/>
                      <w:color w:val="000000"/>
                      <w:szCs w:val="21"/>
                      <w:lang w:val="en-US" w:eastAsia="zh-CN"/>
                    </w:rPr>
                    <w:t>9-次日</w:t>
                  </w: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:29</w:t>
                  </w:r>
                </w:p>
              </w:tc>
              <w:tc>
                <w:tcPr>
                  <w:tcW w:w="1923" w:type="dxa"/>
                  <w:noWrap w:val="0"/>
                  <w:vAlign w:val="center"/>
                </w:tcPr>
                <w:p w14:paraId="4157C40F">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168</w:t>
                  </w:r>
                </w:p>
              </w:tc>
              <w:tc>
                <w:tcPr>
                  <w:tcW w:w="1650" w:type="dxa"/>
                  <w:noWrap w:val="0"/>
                  <w:vAlign w:val="center"/>
                </w:tcPr>
                <w:p w14:paraId="5DF5FBBC">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300</w:t>
                  </w:r>
                </w:p>
              </w:tc>
              <w:tc>
                <w:tcPr>
                  <w:tcW w:w="1099" w:type="dxa"/>
                  <w:noWrap w:val="0"/>
                  <w:vAlign w:val="center"/>
                </w:tcPr>
                <w:p w14:paraId="209C503C">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r w14:paraId="34F46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3" w:type="dxa"/>
                  <w:vMerge w:val="continue"/>
                  <w:noWrap w:val="0"/>
                  <w:vAlign w:val="center"/>
                </w:tcPr>
                <w:p w14:paraId="0C1496DA">
                  <w:pPr>
                    <w:widowControl/>
                    <w:jc w:val="center"/>
                    <w:rPr>
                      <w:rFonts w:ascii="Times New Roman" w:hAnsi="Times New Roman" w:eastAsia="宋体" w:cs="Times New Roman"/>
                      <w:color w:val="000000"/>
                      <w:szCs w:val="21"/>
                    </w:rPr>
                  </w:pPr>
                </w:p>
              </w:tc>
              <w:tc>
                <w:tcPr>
                  <w:tcW w:w="1268" w:type="dxa"/>
                  <w:noWrap w:val="0"/>
                  <w:vAlign w:val="center"/>
                </w:tcPr>
                <w:p w14:paraId="7FC12107">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202</w:t>
                  </w:r>
                  <w:r>
                    <w:rPr>
                      <w:rFonts w:hint="eastAsia" w:ascii="Times New Roman" w:hAnsi="Times New Roman" w:eastAsia="宋体" w:cs="Times New Roman"/>
                      <w:color w:val="000000"/>
                      <w:szCs w:val="21"/>
                      <w:lang w:val="en-US" w:eastAsia="zh-CN"/>
                    </w:rPr>
                    <w:t>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16</w:t>
                  </w:r>
                </w:p>
              </w:tc>
              <w:tc>
                <w:tcPr>
                  <w:tcW w:w="1813" w:type="dxa"/>
                  <w:noWrap w:val="0"/>
                  <w:vAlign w:val="top"/>
                </w:tcPr>
                <w:p w14:paraId="165585DA">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26</w:t>
                  </w:r>
                  <w:r>
                    <w:rPr>
                      <w:rFonts w:ascii="Times New Roman" w:hAnsi="Times New Roman" w:eastAsia="宋体" w:cs="Times New Roman"/>
                      <w:color w:val="000000"/>
                      <w:szCs w:val="21"/>
                      <w:lang w:val="en-US" w:eastAsia="zh-CN"/>
                    </w:rPr>
                    <w:t>-次日</w:t>
                  </w: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26</w:t>
                  </w:r>
                </w:p>
              </w:tc>
              <w:tc>
                <w:tcPr>
                  <w:tcW w:w="1923" w:type="dxa"/>
                  <w:noWrap w:val="0"/>
                  <w:vAlign w:val="center"/>
                </w:tcPr>
                <w:p w14:paraId="363E03FA">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201</w:t>
                  </w:r>
                </w:p>
              </w:tc>
              <w:tc>
                <w:tcPr>
                  <w:tcW w:w="1650" w:type="dxa"/>
                  <w:noWrap w:val="0"/>
                  <w:vAlign w:val="center"/>
                </w:tcPr>
                <w:p w14:paraId="673A8215">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300</w:t>
                  </w:r>
                </w:p>
              </w:tc>
              <w:tc>
                <w:tcPr>
                  <w:tcW w:w="1099" w:type="dxa"/>
                  <w:noWrap w:val="0"/>
                  <w:vAlign w:val="center"/>
                </w:tcPr>
                <w:p w14:paraId="0C5593E8">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bl>
          <w:p w14:paraId="09BC3B77">
            <w:pPr>
              <w:keepNext w:val="0"/>
              <w:keepLines w:val="0"/>
              <w:pageBreakBefore w:val="0"/>
              <w:widowControl w:val="0"/>
              <w:suppressLineNumbers w:val="0"/>
              <w:spacing w:before="157" w:beforeAutospacing="0" w:after="0" w:afterAutospacing="0" w:line="360" w:lineRule="auto"/>
              <w:ind w:left="0" w:right="0" w:firstLine="480"/>
              <w:rPr>
                <w:rFonts w:ascii="Times New Roman" w:hAnsi="Times New Roman" w:eastAsia="宋体" w:cs="Times New Roman"/>
                <w:color w:val="000000"/>
                <w:sz w:val="24"/>
                <w:szCs w:val="20"/>
                <w:lang w:val="en-US" w:eastAsia="zh-CN"/>
              </w:rPr>
            </w:pPr>
            <w:r>
              <w:rPr>
                <w:rFonts w:ascii="Times New Roman" w:hAnsi="Times New Roman" w:eastAsia="宋体" w:cs="Times New Roman"/>
                <w:b w:val="0"/>
                <w:bCs/>
                <w:color w:val="000000"/>
                <w:sz w:val="24"/>
                <w:szCs w:val="24"/>
                <w:highlight w:val="none"/>
              </w:rPr>
              <w:t>根据</w:t>
            </w:r>
            <w:r>
              <w:rPr>
                <w:rFonts w:ascii="Times New Roman" w:hAnsi="Times New Roman" w:eastAsia="宋体" w:cs="Times New Roman"/>
                <w:b w:val="0"/>
                <w:bCs/>
                <w:color w:val="000000"/>
                <w:sz w:val="24"/>
                <w:szCs w:val="24"/>
                <w:highlight w:val="none"/>
                <w:lang w:val="en-US" w:eastAsia="zh-CN"/>
              </w:rPr>
              <w:t>检</w:t>
            </w:r>
            <w:r>
              <w:rPr>
                <w:rFonts w:ascii="Times New Roman" w:hAnsi="Times New Roman" w:eastAsia="宋体" w:cs="Times New Roman"/>
                <w:b w:val="0"/>
                <w:bCs/>
                <w:color w:val="000000"/>
                <w:sz w:val="24"/>
                <w:szCs w:val="24"/>
                <w:highlight w:val="none"/>
              </w:rPr>
              <w:t>测结果，</w:t>
            </w:r>
            <w:r>
              <w:rPr>
                <w:rFonts w:ascii="Times New Roman" w:hAnsi="Times New Roman" w:eastAsia="宋体" w:cs="Times New Roman"/>
                <w:color w:val="000000"/>
                <w:sz w:val="24"/>
              </w:rPr>
              <w:t>项目区域</w:t>
            </w:r>
            <w:r>
              <w:rPr>
                <w:rFonts w:ascii="Times New Roman" w:hAnsi="Times New Roman" w:eastAsia="宋体" w:cs="Times New Roman"/>
                <w:color w:val="000000"/>
                <w:sz w:val="24"/>
                <w:lang w:val="en-US" w:eastAsia="zh-CN"/>
              </w:rPr>
              <w:t>TSP</w:t>
            </w:r>
            <w:r>
              <w:rPr>
                <w:rFonts w:ascii="Times New Roman" w:hAnsi="Times New Roman" w:eastAsia="宋体" w:cs="Times New Roman"/>
                <w:color w:val="000000"/>
                <w:sz w:val="24"/>
              </w:rPr>
              <w:t>环境空气质量</w:t>
            </w:r>
            <w:r>
              <w:rPr>
                <w:rFonts w:ascii="Times New Roman" w:hAnsi="Times New Roman" w:eastAsia="宋体" w:cs="Times New Roman"/>
                <w:color w:val="000000"/>
                <w:sz w:val="24"/>
                <w:lang w:val="en-US" w:eastAsia="zh-CN"/>
              </w:rPr>
              <w:t>现状值</w:t>
            </w:r>
            <w:r>
              <w:rPr>
                <w:rFonts w:ascii="Times New Roman" w:hAnsi="Times New Roman" w:eastAsia="宋体" w:cs="Times New Roman"/>
                <w:color w:val="000000"/>
                <w:sz w:val="24"/>
              </w:rPr>
              <w:t>能满足GB3095-2012《环境空气质量标准》二级标准。</w:t>
            </w:r>
          </w:p>
          <w:p w14:paraId="17172A49">
            <w:pPr>
              <w:pStyle w:val="212"/>
              <w:jc w:val="center"/>
              <w:rPr>
                <w:rFonts w:ascii="Times New Roman" w:hAnsi="Times New Roman" w:eastAsia="宋体" w:cs="Times New Roman"/>
                <w:b/>
                <w:bCs/>
                <w:color w:val="000000"/>
                <w:sz w:val="24"/>
                <w:szCs w:val="24"/>
              </w:rPr>
            </w:pPr>
            <w:r>
              <w:rPr>
                <w:rFonts w:ascii="Times New Roman" w:hAnsi="Times New Roman" w:cs="Times New Roman"/>
                <w:b/>
                <w:color w:val="000000"/>
                <w:sz w:val="24"/>
                <w:szCs w:val="24"/>
              </w:rPr>
              <w:t>表3-</w:t>
            </w:r>
            <w:r>
              <w:rPr>
                <w:rFonts w:hint="eastAsia" w:ascii="Times New Roman" w:hAnsi="Times New Roman" w:cs="Times New Roman"/>
                <w:b/>
                <w:color w:val="000000"/>
                <w:sz w:val="24"/>
                <w:szCs w:val="24"/>
                <w:lang w:val="en-US" w:eastAsia="zh-CN"/>
              </w:rPr>
              <w:t>5</w:t>
            </w:r>
            <w:r>
              <w:rPr>
                <w:rFonts w:ascii="Times New Roman" w:hAnsi="Times New Roman" w:cs="Times New Roman"/>
                <w:b/>
                <w:color w:val="000000"/>
                <w:sz w:val="24"/>
                <w:szCs w:val="24"/>
              </w:rPr>
              <w:t xml:space="preserve">  </w:t>
            </w:r>
            <w:r>
              <w:rPr>
                <w:rFonts w:ascii="Times New Roman" w:hAnsi="Times New Roman" w:eastAsia="宋体" w:cs="Times New Roman"/>
                <w:b/>
                <w:bCs/>
                <w:color w:val="000000"/>
                <w:sz w:val="24"/>
                <w:szCs w:val="24"/>
              </w:rPr>
              <w:t>非甲烷总烃环境空气质量监测结果</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
              <w:gridCol w:w="2106"/>
              <w:gridCol w:w="1966"/>
              <w:gridCol w:w="1529"/>
              <w:gridCol w:w="1420"/>
              <w:gridCol w:w="902"/>
            </w:tblGrid>
            <w:tr w14:paraId="34905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13" w:type="dxa"/>
                  <w:noWrap w:val="0"/>
                  <w:vAlign w:val="center"/>
                </w:tcPr>
                <w:p w14:paraId="2C9829B4">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检测</w:t>
                  </w:r>
                </w:p>
                <w:p w14:paraId="2FF9DCF9">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点位</w:t>
                  </w:r>
                </w:p>
              </w:tc>
              <w:tc>
                <w:tcPr>
                  <w:tcW w:w="2106" w:type="dxa"/>
                  <w:noWrap w:val="0"/>
                  <w:vAlign w:val="center"/>
                </w:tcPr>
                <w:p w14:paraId="38919223">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采样日期</w:t>
                  </w:r>
                </w:p>
              </w:tc>
              <w:tc>
                <w:tcPr>
                  <w:tcW w:w="1966" w:type="dxa"/>
                  <w:noWrap w:val="0"/>
                  <w:vAlign w:val="center"/>
                </w:tcPr>
                <w:p w14:paraId="763C6B3A">
                  <w:pPr>
                    <w:tabs>
                      <w:tab w:val="left" w:pos="562"/>
                    </w:tabs>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采样时段</w:t>
                  </w:r>
                </w:p>
              </w:tc>
              <w:tc>
                <w:tcPr>
                  <w:tcW w:w="1529" w:type="dxa"/>
                  <w:noWrap w:val="0"/>
                  <w:vAlign w:val="center"/>
                </w:tcPr>
                <w:p w14:paraId="2E791E63">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检测结果（</w:t>
                  </w:r>
                  <w:r>
                    <w:rPr>
                      <w:rFonts w:hint="eastAsia" w:ascii="Times New Roman" w:hAnsi="Times New Roman" w:eastAsia="宋体" w:cs="Times New Roman"/>
                      <w:b/>
                      <w:color w:val="000000"/>
                      <w:szCs w:val="21"/>
                      <w:lang w:val="en-US" w:eastAsia="zh-CN"/>
                    </w:rPr>
                    <w:t>mg</w:t>
                  </w:r>
                  <w:r>
                    <w:rPr>
                      <w:rFonts w:ascii="Times New Roman" w:hAnsi="Times New Roman" w:eastAsia="宋体" w:cs="Times New Roman"/>
                      <w:b/>
                      <w:color w:val="000000"/>
                      <w:szCs w:val="21"/>
                    </w:rPr>
                    <w:t>/m</w:t>
                  </w:r>
                  <w:r>
                    <w:rPr>
                      <w:rFonts w:ascii="Times New Roman" w:hAnsi="Times New Roman" w:eastAsia="宋体" w:cs="Times New Roman"/>
                      <w:b/>
                      <w:color w:val="000000"/>
                      <w:szCs w:val="21"/>
                      <w:vertAlign w:val="superscript"/>
                    </w:rPr>
                    <w:t>3</w:t>
                  </w:r>
                  <w:r>
                    <w:rPr>
                      <w:rFonts w:ascii="Times New Roman" w:hAnsi="Times New Roman" w:eastAsia="宋体" w:cs="Times New Roman"/>
                      <w:b/>
                      <w:color w:val="000000"/>
                      <w:szCs w:val="21"/>
                    </w:rPr>
                    <w:t>）</w:t>
                  </w:r>
                </w:p>
              </w:tc>
              <w:tc>
                <w:tcPr>
                  <w:tcW w:w="1420" w:type="dxa"/>
                  <w:noWrap w:val="0"/>
                  <w:vAlign w:val="center"/>
                </w:tcPr>
                <w:p w14:paraId="05589740">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lang w:val="en-US" w:eastAsia="zh-CN"/>
                    </w:rPr>
                    <w:t>标准值</w:t>
                  </w:r>
                  <w:r>
                    <w:rPr>
                      <w:rFonts w:ascii="Times New Roman" w:hAnsi="Times New Roman" w:eastAsia="宋体" w:cs="Times New Roman"/>
                      <w:b/>
                      <w:color w:val="000000"/>
                      <w:szCs w:val="21"/>
                    </w:rPr>
                    <w:t>（</w:t>
                  </w:r>
                  <w:r>
                    <w:rPr>
                      <w:rFonts w:hint="eastAsia" w:ascii="Times New Roman" w:hAnsi="Times New Roman" w:eastAsia="宋体" w:cs="Times New Roman"/>
                      <w:b/>
                      <w:color w:val="000000"/>
                      <w:szCs w:val="21"/>
                      <w:lang w:val="en-US" w:eastAsia="zh-CN"/>
                    </w:rPr>
                    <w:t>mg</w:t>
                  </w:r>
                  <w:r>
                    <w:rPr>
                      <w:rFonts w:ascii="Times New Roman" w:hAnsi="Times New Roman" w:eastAsia="宋体" w:cs="Times New Roman"/>
                      <w:b/>
                      <w:color w:val="000000"/>
                      <w:szCs w:val="21"/>
                    </w:rPr>
                    <w:t>/m</w:t>
                  </w:r>
                  <w:r>
                    <w:rPr>
                      <w:rFonts w:ascii="Times New Roman" w:hAnsi="Times New Roman" w:eastAsia="宋体" w:cs="Times New Roman"/>
                      <w:b/>
                      <w:color w:val="000000"/>
                      <w:szCs w:val="21"/>
                      <w:vertAlign w:val="superscript"/>
                    </w:rPr>
                    <w:t>3</w:t>
                  </w:r>
                  <w:r>
                    <w:rPr>
                      <w:rFonts w:ascii="Times New Roman" w:hAnsi="Times New Roman" w:eastAsia="宋体" w:cs="Times New Roman"/>
                      <w:b/>
                      <w:color w:val="000000"/>
                      <w:szCs w:val="21"/>
                    </w:rPr>
                    <w:t>）</w:t>
                  </w:r>
                </w:p>
              </w:tc>
              <w:tc>
                <w:tcPr>
                  <w:tcW w:w="902" w:type="dxa"/>
                  <w:noWrap w:val="0"/>
                  <w:vAlign w:val="center"/>
                </w:tcPr>
                <w:p w14:paraId="5C075AD3">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达标</w:t>
                  </w:r>
                </w:p>
                <w:p w14:paraId="328D4CF7">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情况</w:t>
                  </w:r>
                </w:p>
              </w:tc>
            </w:tr>
            <w:tr w14:paraId="2DEE6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 w:type="dxa"/>
                  <w:vMerge w:val="restart"/>
                  <w:noWrap w:val="0"/>
                  <w:vAlign w:val="center"/>
                </w:tcPr>
                <w:p w14:paraId="4D2AFD58">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项目区下风向</w:t>
                  </w:r>
                </w:p>
              </w:tc>
              <w:tc>
                <w:tcPr>
                  <w:tcW w:w="2106" w:type="dxa"/>
                  <w:noWrap w:val="0"/>
                  <w:vAlign w:val="center"/>
                </w:tcPr>
                <w:p w14:paraId="14CC7E16">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202</w:t>
                  </w:r>
                  <w:r>
                    <w:rPr>
                      <w:rFonts w:hint="eastAsia" w:ascii="Times New Roman" w:hAnsi="Times New Roman" w:eastAsia="宋体" w:cs="Times New Roman"/>
                      <w:color w:val="000000"/>
                      <w:szCs w:val="21"/>
                      <w:lang w:val="en-US" w:eastAsia="zh-CN"/>
                    </w:rPr>
                    <w:t>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14</w:t>
                  </w:r>
                </w:p>
              </w:tc>
              <w:tc>
                <w:tcPr>
                  <w:tcW w:w="1966" w:type="dxa"/>
                  <w:noWrap w:val="0"/>
                  <w:vAlign w:val="top"/>
                </w:tcPr>
                <w:p w14:paraId="45A511FF">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:03-次日</w:t>
                  </w: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:03</w:t>
                  </w:r>
                </w:p>
              </w:tc>
              <w:tc>
                <w:tcPr>
                  <w:tcW w:w="1529" w:type="dxa"/>
                  <w:noWrap w:val="0"/>
                  <w:vAlign w:val="center"/>
                </w:tcPr>
                <w:p w14:paraId="71E12407">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0.11</w:t>
                  </w:r>
                </w:p>
              </w:tc>
              <w:tc>
                <w:tcPr>
                  <w:tcW w:w="1420" w:type="dxa"/>
                  <w:noWrap w:val="0"/>
                  <w:vAlign w:val="center"/>
                </w:tcPr>
                <w:p w14:paraId="7D5860DB">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w:t>
                  </w:r>
                </w:p>
              </w:tc>
              <w:tc>
                <w:tcPr>
                  <w:tcW w:w="902" w:type="dxa"/>
                  <w:noWrap w:val="0"/>
                  <w:vAlign w:val="center"/>
                </w:tcPr>
                <w:p w14:paraId="4BA767B5">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r w14:paraId="56B4E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 w:type="dxa"/>
                  <w:vMerge w:val="continue"/>
                  <w:noWrap w:val="0"/>
                  <w:vAlign w:val="center"/>
                </w:tcPr>
                <w:p w14:paraId="0CA0CD70">
                  <w:pPr>
                    <w:widowControl/>
                    <w:jc w:val="center"/>
                    <w:rPr>
                      <w:rFonts w:ascii="Times New Roman" w:hAnsi="Times New Roman" w:eastAsia="宋体" w:cs="Times New Roman"/>
                      <w:color w:val="000000"/>
                      <w:szCs w:val="21"/>
                    </w:rPr>
                  </w:pPr>
                </w:p>
              </w:tc>
              <w:tc>
                <w:tcPr>
                  <w:tcW w:w="2106" w:type="dxa"/>
                  <w:noWrap w:val="0"/>
                  <w:vAlign w:val="center"/>
                </w:tcPr>
                <w:p w14:paraId="3D052A50">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202</w:t>
                  </w:r>
                  <w:r>
                    <w:rPr>
                      <w:rFonts w:hint="eastAsia" w:ascii="Times New Roman" w:hAnsi="Times New Roman" w:eastAsia="宋体" w:cs="Times New Roman"/>
                      <w:color w:val="000000"/>
                      <w:szCs w:val="21"/>
                      <w:lang w:val="en-US" w:eastAsia="zh-CN"/>
                    </w:rPr>
                    <w:t>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15</w:t>
                  </w:r>
                </w:p>
              </w:tc>
              <w:tc>
                <w:tcPr>
                  <w:tcW w:w="1966" w:type="dxa"/>
                  <w:noWrap w:val="0"/>
                  <w:vAlign w:val="top"/>
                </w:tcPr>
                <w:p w14:paraId="02B83B19">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w:t>
                  </w:r>
                  <w:r>
                    <w:rPr>
                      <w:rFonts w:ascii="Times New Roman" w:hAnsi="Times New Roman" w:eastAsia="宋体" w:cs="Times New Roman"/>
                      <w:color w:val="000000"/>
                      <w:szCs w:val="21"/>
                      <w:lang w:val="en-US" w:eastAsia="zh-CN"/>
                    </w:rPr>
                    <w:t>9-次日</w:t>
                  </w: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:29</w:t>
                  </w:r>
                </w:p>
              </w:tc>
              <w:tc>
                <w:tcPr>
                  <w:tcW w:w="1529" w:type="dxa"/>
                  <w:noWrap w:val="0"/>
                  <w:vAlign w:val="center"/>
                </w:tcPr>
                <w:p w14:paraId="167B67AE">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0.12</w:t>
                  </w:r>
                </w:p>
              </w:tc>
              <w:tc>
                <w:tcPr>
                  <w:tcW w:w="1420" w:type="dxa"/>
                  <w:noWrap w:val="0"/>
                  <w:vAlign w:val="center"/>
                </w:tcPr>
                <w:p w14:paraId="29202BFE">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w:t>
                  </w:r>
                </w:p>
              </w:tc>
              <w:tc>
                <w:tcPr>
                  <w:tcW w:w="902" w:type="dxa"/>
                  <w:noWrap w:val="0"/>
                  <w:vAlign w:val="center"/>
                </w:tcPr>
                <w:p w14:paraId="6C7E3862">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r w14:paraId="30988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 w:type="dxa"/>
                  <w:vMerge w:val="continue"/>
                  <w:noWrap w:val="0"/>
                  <w:vAlign w:val="center"/>
                </w:tcPr>
                <w:p w14:paraId="47545A93">
                  <w:pPr>
                    <w:widowControl/>
                    <w:jc w:val="center"/>
                    <w:rPr>
                      <w:rFonts w:ascii="Times New Roman" w:hAnsi="Times New Roman" w:eastAsia="宋体" w:cs="Times New Roman"/>
                      <w:color w:val="000000"/>
                      <w:szCs w:val="21"/>
                    </w:rPr>
                  </w:pPr>
                </w:p>
              </w:tc>
              <w:tc>
                <w:tcPr>
                  <w:tcW w:w="2106" w:type="dxa"/>
                  <w:noWrap w:val="0"/>
                  <w:vAlign w:val="center"/>
                </w:tcPr>
                <w:p w14:paraId="7CA3BD62">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202</w:t>
                  </w:r>
                  <w:r>
                    <w:rPr>
                      <w:rFonts w:hint="eastAsia" w:ascii="Times New Roman" w:hAnsi="Times New Roman" w:eastAsia="宋体" w:cs="Times New Roman"/>
                      <w:color w:val="000000"/>
                      <w:szCs w:val="21"/>
                      <w:lang w:val="en-US" w:eastAsia="zh-CN"/>
                    </w:rPr>
                    <w:t>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16</w:t>
                  </w:r>
                </w:p>
              </w:tc>
              <w:tc>
                <w:tcPr>
                  <w:tcW w:w="1966" w:type="dxa"/>
                  <w:noWrap w:val="0"/>
                  <w:vAlign w:val="top"/>
                </w:tcPr>
                <w:p w14:paraId="53D75B19">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26</w:t>
                  </w:r>
                  <w:r>
                    <w:rPr>
                      <w:rFonts w:ascii="Times New Roman" w:hAnsi="Times New Roman" w:eastAsia="宋体" w:cs="Times New Roman"/>
                      <w:color w:val="000000"/>
                      <w:szCs w:val="21"/>
                      <w:lang w:val="en-US" w:eastAsia="zh-CN"/>
                    </w:rPr>
                    <w:t>-次日</w:t>
                  </w: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26</w:t>
                  </w:r>
                </w:p>
              </w:tc>
              <w:tc>
                <w:tcPr>
                  <w:tcW w:w="1529" w:type="dxa"/>
                  <w:noWrap w:val="0"/>
                  <w:vAlign w:val="center"/>
                </w:tcPr>
                <w:p w14:paraId="257B016E">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0.11</w:t>
                  </w:r>
                </w:p>
              </w:tc>
              <w:tc>
                <w:tcPr>
                  <w:tcW w:w="1420" w:type="dxa"/>
                  <w:noWrap w:val="0"/>
                  <w:vAlign w:val="center"/>
                </w:tcPr>
                <w:p w14:paraId="0ACE91F6">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w:t>
                  </w:r>
                </w:p>
              </w:tc>
              <w:tc>
                <w:tcPr>
                  <w:tcW w:w="902" w:type="dxa"/>
                  <w:noWrap w:val="0"/>
                  <w:vAlign w:val="center"/>
                </w:tcPr>
                <w:p w14:paraId="054E7E26">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bl>
          <w:p w14:paraId="12340676">
            <w:pPr>
              <w:keepNext w:val="0"/>
              <w:keepLines w:val="0"/>
              <w:pageBreakBefore w:val="0"/>
              <w:widowControl w:val="0"/>
              <w:suppressLineNumbers w:val="0"/>
              <w:spacing w:before="157" w:beforeAutospacing="0" w:after="0" w:afterAutospacing="0" w:line="360" w:lineRule="auto"/>
              <w:ind w:left="0" w:right="0" w:firstLine="480"/>
              <w:rPr>
                <w:rFonts w:ascii="Times New Roman" w:hAnsi="Times New Roman" w:eastAsia="宋体" w:cs="Times New Roman"/>
                <w:b w:val="0"/>
                <w:bCs/>
                <w:color w:val="000000"/>
                <w:sz w:val="24"/>
                <w:szCs w:val="24"/>
                <w:highlight w:val="none"/>
              </w:rPr>
            </w:pPr>
            <w:r>
              <w:rPr>
                <w:rFonts w:ascii="Times New Roman" w:hAnsi="Times New Roman" w:eastAsia="宋体" w:cs="Times New Roman"/>
                <w:b w:val="0"/>
                <w:bCs/>
                <w:color w:val="000000"/>
                <w:sz w:val="24"/>
                <w:szCs w:val="24"/>
                <w:highlight w:val="none"/>
              </w:rPr>
              <w:t>根据</w:t>
            </w:r>
            <w:r>
              <w:rPr>
                <w:rFonts w:hint="eastAsia" w:ascii="Times New Roman" w:hAnsi="Times New Roman" w:eastAsia="宋体" w:cs="Times New Roman"/>
                <w:b w:val="0"/>
                <w:bCs/>
                <w:color w:val="000000"/>
                <w:sz w:val="24"/>
                <w:szCs w:val="24"/>
                <w:highlight w:val="none"/>
                <w:lang w:val="en-US" w:eastAsia="zh-CN"/>
              </w:rPr>
              <w:t>上表</w:t>
            </w:r>
            <w:r>
              <w:rPr>
                <w:rFonts w:ascii="Times New Roman" w:hAnsi="Times New Roman" w:eastAsia="宋体" w:cs="Times New Roman"/>
                <w:b w:val="0"/>
                <w:bCs/>
                <w:color w:val="000000"/>
                <w:sz w:val="24"/>
                <w:szCs w:val="24"/>
                <w:highlight w:val="none"/>
                <w:lang w:val="en-US" w:eastAsia="zh-CN"/>
              </w:rPr>
              <w:t>检</w:t>
            </w:r>
            <w:r>
              <w:rPr>
                <w:rFonts w:ascii="Times New Roman" w:hAnsi="Times New Roman" w:eastAsia="宋体" w:cs="Times New Roman"/>
                <w:b w:val="0"/>
                <w:bCs/>
                <w:color w:val="000000"/>
                <w:sz w:val="24"/>
                <w:szCs w:val="24"/>
                <w:highlight w:val="none"/>
              </w:rPr>
              <w:t>测结果，项目区域</w:t>
            </w:r>
            <w:r>
              <w:rPr>
                <w:rFonts w:ascii="Times New Roman" w:hAnsi="Times New Roman" w:eastAsia="宋体" w:cs="Times New Roman"/>
                <w:b w:val="0"/>
                <w:bCs/>
                <w:color w:val="000000"/>
                <w:sz w:val="24"/>
                <w:szCs w:val="24"/>
                <w:highlight w:val="none"/>
                <w:lang w:val="en-US" w:eastAsia="zh-CN"/>
              </w:rPr>
              <w:t>非甲烷总烃</w:t>
            </w:r>
            <w:r>
              <w:rPr>
                <w:rFonts w:ascii="Times New Roman" w:hAnsi="Times New Roman" w:eastAsia="宋体" w:cs="Times New Roman"/>
                <w:color w:val="000000"/>
                <w:sz w:val="24"/>
              </w:rPr>
              <w:t>环境空气质量</w:t>
            </w:r>
            <w:r>
              <w:rPr>
                <w:rFonts w:ascii="Times New Roman" w:hAnsi="Times New Roman" w:eastAsia="宋体" w:cs="Times New Roman"/>
                <w:color w:val="000000"/>
                <w:sz w:val="24"/>
                <w:lang w:val="en-US" w:eastAsia="zh-CN"/>
              </w:rPr>
              <w:t>现状值</w:t>
            </w:r>
            <w:r>
              <w:rPr>
                <w:rFonts w:ascii="Times New Roman" w:hAnsi="Times New Roman" w:eastAsia="宋体" w:cs="Times New Roman"/>
                <w:b w:val="0"/>
                <w:bCs/>
                <w:color w:val="000000"/>
                <w:sz w:val="24"/>
                <w:szCs w:val="24"/>
                <w:highlight w:val="none"/>
              </w:rPr>
              <w:t>能</w:t>
            </w:r>
            <w:r>
              <w:rPr>
                <w:rFonts w:ascii="Times New Roman" w:hAnsi="Times New Roman" w:eastAsia="宋体" w:cs="Times New Roman"/>
                <w:b w:val="0"/>
                <w:bCs/>
                <w:color w:val="000000"/>
                <w:sz w:val="24"/>
                <w:szCs w:val="24"/>
                <w:highlight w:val="none"/>
                <w:lang w:val="en-US" w:eastAsia="zh-CN"/>
              </w:rPr>
              <w:t>满足</w:t>
            </w:r>
            <w:r>
              <w:rPr>
                <w:rFonts w:ascii="Times New Roman" w:hAnsi="Times New Roman" w:eastAsia="宋体" w:cs="Times New Roman"/>
                <w:b w:val="0"/>
                <w:bCs/>
                <w:color w:val="000000"/>
                <w:sz w:val="24"/>
                <w:szCs w:val="24"/>
                <w:highlight w:val="none"/>
              </w:rPr>
              <w:t>《大气污染物综合排放标准详解》中关于非甲烷总烃环境质量标准的推荐限值</w:t>
            </w:r>
            <w:r>
              <w:rPr>
                <w:rFonts w:hint="eastAsia" w:ascii="Times New Roman" w:hAnsi="Times New Roman" w:eastAsia="宋体" w:cs="Times New Roman"/>
                <w:b w:val="0"/>
                <w:bCs/>
                <w:color w:val="000000"/>
                <w:sz w:val="24"/>
                <w:szCs w:val="24"/>
                <w:highlight w:val="none"/>
                <w:lang w:eastAsia="zh-CN"/>
              </w:rPr>
              <w:t>（</w:t>
            </w:r>
            <w:r>
              <w:rPr>
                <w:rFonts w:hint="eastAsia" w:ascii="Times New Roman" w:hAnsi="Times New Roman" w:eastAsia="宋体" w:cs="Times New Roman"/>
                <w:b w:val="0"/>
                <w:bCs/>
                <w:color w:val="000000"/>
                <w:sz w:val="24"/>
                <w:szCs w:val="24"/>
                <w:highlight w:val="none"/>
                <w:lang w:val="en-US" w:eastAsia="zh-CN"/>
              </w:rPr>
              <w:t>小时平均值2mg/m</w:t>
            </w:r>
            <w:r>
              <w:rPr>
                <w:rFonts w:hint="eastAsia" w:ascii="Times New Roman" w:hAnsi="Times New Roman" w:eastAsia="宋体" w:cs="Times New Roman"/>
                <w:b w:val="0"/>
                <w:bCs/>
                <w:color w:val="000000"/>
                <w:sz w:val="24"/>
                <w:szCs w:val="24"/>
                <w:highlight w:val="none"/>
                <w:vertAlign w:val="superscript"/>
                <w:lang w:val="en-US" w:eastAsia="zh-CN"/>
              </w:rPr>
              <w:t>3</w:t>
            </w:r>
            <w:r>
              <w:rPr>
                <w:rFonts w:hint="eastAsia" w:ascii="Times New Roman" w:hAnsi="Times New Roman" w:eastAsia="宋体" w:cs="Times New Roman"/>
                <w:b w:val="0"/>
                <w:bCs/>
                <w:color w:val="000000"/>
                <w:sz w:val="24"/>
                <w:szCs w:val="24"/>
                <w:highlight w:val="none"/>
                <w:lang w:eastAsia="zh-CN"/>
              </w:rPr>
              <w:t>）</w:t>
            </w:r>
            <w:r>
              <w:rPr>
                <w:rFonts w:ascii="Times New Roman" w:hAnsi="Times New Roman" w:eastAsia="宋体" w:cs="Times New Roman"/>
                <w:b w:val="0"/>
                <w:bCs/>
                <w:color w:val="000000"/>
                <w:sz w:val="24"/>
                <w:szCs w:val="24"/>
                <w:highlight w:val="none"/>
              </w:rPr>
              <w:t>。</w:t>
            </w:r>
          </w:p>
          <w:p w14:paraId="0F87A956">
            <w:pPr>
              <w:pStyle w:val="212"/>
              <w:jc w:val="center"/>
              <w:rPr>
                <w:rFonts w:hint="eastAsia" w:ascii="Times New Roman" w:hAnsi="Times New Roman" w:eastAsia="宋体" w:cs="Times New Roman"/>
                <w:b/>
                <w:color w:val="000000"/>
                <w:sz w:val="24"/>
                <w:szCs w:val="24"/>
                <w:lang w:val="en-US" w:eastAsia="zh-CN"/>
              </w:rPr>
            </w:pPr>
            <w:r>
              <w:rPr>
                <w:rFonts w:hint="eastAsia" w:ascii="Times New Roman" w:hAnsi="Times New Roman" w:eastAsia="宋体" w:cs="Times New Roman"/>
                <w:b/>
                <w:color w:val="000000"/>
                <w:sz w:val="24"/>
                <w:szCs w:val="24"/>
                <w:lang w:val="en-US" w:eastAsia="zh-CN"/>
              </w:rPr>
              <w:t>表3-6  甲醛环境空气质量监测结果</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
              <w:gridCol w:w="2106"/>
              <w:gridCol w:w="1966"/>
              <w:gridCol w:w="1529"/>
              <w:gridCol w:w="1420"/>
              <w:gridCol w:w="902"/>
            </w:tblGrid>
            <w:tr w14:paraId="7C15B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 w:type="dxa"/>
                  <w:noWrap w:val="0"/>
                  <w:vAlign w:val="center"/>
                </w:tcPr>
                <w:p w14:paraId="5E1CE748">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检测</w:t>
                  </w:r>
                </w:p>
                <w:p w14:paraId="05669784">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点位</w:t>
                  </w:r>
                </w:p>
              </w:tc>
              <w:tc>
                <w:tcPr>
                  <w:tcW w:w="2106" w:type="dxa"/>
                  <w:noWrap w:val="0"/>
                  <w:vAlign w:val="center"/>
                </w:tcPr>
                <w:p w14:paraId="39D19EB7">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采样日期</w:t>
                  </w:r>
                </w:p>
              </w:tc>
              <w:tc>
                <w:tcPr>
                  <w:tcW w:w="1966" w:type="dxa"/>
                  <w:noWrap w:val="0"/>
                  <w:vAlign w:val="center"/>
                </w:tcPr>
                <w:p w14:paraId="56FFB0ED">
                  <w:pPr>
                    <w:tabs>
                      <w:tab w:val="left" w:pos="562"/>
                    </w:tabs>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采样时段</w:t>
                  </w:r>
                </w:p>
              </w:tc>
              <w:tc>
                <w:tcPr>
                  <w:tcW w:w="1529" w:type="dxa"/>
                  <w:noWrap w:val="0"/>
                  <w:vAlign w:val="center"/>
                </w:tcPr>
                <w:p w14:paraId="776FB31B">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检测结果（</w:t>
                  </w:r>
                  <w:r>
                    <w:rPr>
                      <w:rFonts w:hint="eastAsia" w:ascii="Times New Roman" w:hAnsi="Times New Roman" w:eastAsia="宋体" w:cs="Times New Roman"/>
                      <w:b/>
                      <w:color w:val="000000"/>
                      <w:szCs w:val="21"/>
                      <w:lang w:val="en-US" w:eastAsia="zh-CN"/>
                    </w:rPr>
                    <w:t>mg</w:t>
                  </w:r>
                  <w:r>
                    <w:rPr>
                      <w:rFonts w:ascii="Times New Roman" w:hAnsi="Times New Roman" w:eastAsia="宋体" w:cs="Times New Roman"/>
                      <w:b/>
                      <w:color w:val="000000"/>
                      <w:szCs w:val="21"/>
                    </w:rPr>
                    <w:t>/m</w:t>
                  </w:r>
                  <w:r>
                    <w:rPr>
                      <w:rFonts w:ascii="Times New Roman" w:hAnsi="Times New Roman" w:eastAsia="宋体" w:cs="Times New Roman"/>
                      <w:b/>
                      <w:color w:val="000000"/>
                      <w:szCs w:val="21"/>
                      <w:vertAlign w:val="superscript"/>
                    </w:rPr>
                    <w:t>3</w:t>
                  </w:r>
                  <w:r>
                    <w:rPr>
                      <w:rFonts w:ascii="Times New Roman" w:hAnsi="Times New Roman" w:eastAsia="宋体" w:cs="Times New Roman"/>
                      <w:b/>
                      <w:color w:val="000000"/>
                      <w:szCs w:val="21"/>
                    </w:rPr>
                    <w:t>）</w:t>
                  </w:r>
                </w:p>
              </w:tc>
              <w:tc>
                <w:tcPr>
                  <w:tcW w:w="1420" w:type="dxa"/>
                  <w:noWrap w:val="0"/>
                  <w:vAlign w:val="center"/>
                </w:tcPr>
                <w:p w14:paraId="094DDCE2">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lang w:val="en-US" w:eastAsia="zh-CN"/>
                    </w:rPr>
                    <w:t>标准值</w:t>
                  </w:r>
                  <w:r>
                    <w:rPr>
                      <w:rFonts w:ascii="Times New Roman" w:hAnsi="Times New Roman" w:eastAsia="宋体" w:cs="Times New Roman"/>
                      <w:b/>
                      <w:color w:val="000000"/>
                      <w:szCs w:val="21"/>
                    </w:rPr>
                    <w:t>（</w:t>
                  </w:r>
                  <w:r>
                    <w:rPr>
                      <w:rFonts w:hint="eastAsia" w:ascii="Times New Roman" w:hAnsi="Times New Roman" w:eastAsia="宋体" w:cs="Times New Roman"/>
                      <w:b/>
                      <w:color w:val="000000"/>
                      <w:szCs w:val="21"/>
                      <w:lang w:val="en-US" w:eastAsia="zh-CN"/>
                    </w:rPr>
                    <w:t>mg</w:t>
                  </w:r>
                  <w:r>
                    <w:rPr>
                      <w:rFonts w:ascii="Times New Roman" w:hAnsi="Times New Roman" w:eastAsia="宋体" w:cs="Times New Roman"/>
                      <w:b/>
                      <w:color w:val="000000"/>
                      <w:szCs w:val="21"/>
                    </w:rPr>
                    <w:t>/m</w:t>
                  </w:r>
                  <w:r>
                    <w:rPr>
                      <w:rFonts w:ascii="Times New Roman" w:hAnsi="Times New Roman" w:eastAsia="宋体" w:cs="Times New Roman"/>
                      <w:b/>
                      <w:color w:val="000000"/>
                      <w:szCs w:val="21"/>
                      <w:vertAlign w:val="superscript"/>
                    </w:rPr>
                    <w:t>3</w:t>
                  </w:r>
                  <w:r>
                    <w:rPr>
                      <w:rFonts w:ascii="Times New Roman" w:hAnsi="Times New Roman" w:eastAsia="宋体" w:cs="Times New Roman"/>
                      <w:b/>
                      <w:color w:val="000000"/>
                      <w:szCs w:val="21"/>
                    </w:rPr>
                    <w:t>）</w:t>
                  </w:r>
                </w:p>
              </w:tc>
              <w:tc>
                <w:tcPr>
                  <w:tcW w:w="902" w:type="dxa"/>
                  <w:noWrap w:val="0"/>
                  <w:vAlign w:val="center"/>
                </w:tcPr>
                <w:p w14:paraId="60A9BA93">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达标</w:t>
                  </w:r>
                </w:p>
                <w:p w14:paraId="6946AF96">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情况</w:t>
                  </w:r>
                </w:p>
              </w:tc>
            </w:tr>
            <w:tr w14:paraId="7863C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 w:type="dxa"/>
                  <w:vMerge w:val="restart"/>
                  <w:noWrap w:val="0"/>
                  <w:vAlign w:val="center"/>
                </w:tcPr>
                <w:p w14:paraId="6B915CB6">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项目区下风向</w:t>
                  </w:r>
                </w:p>
              </w:tc>
              <w:tc>
                <w:tcPr>
                  <w:tcW w:w="2106" w:type="dxa"/>
                  <w:noWrap w:val="0"/>
                  <w:vAlign w:val="center"/>
                </w:tcPr>
                <w:p w14:paraId="0A77042F">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202</w:t>
                  </w:r>
                  <w:r>
                    <w:rPr>
                      <w:rFonts w:hint="eastAsia" w:ascii="Times New Roman" w:hAnsi="Times New Roman" w:eastAsia="宋体" w:cs="Times New Roman"/>
                      <w:color w:val="000000"/>
                      <w:szCs w:val="21"/>
                      <w:lang w:val="en-US" w:eastAsia="zh-CN"/>
                    </w:rPr>
                    <w:t>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14</w:t>
                  </w:r>
                </w:p>
              </w:tc>
              <w:tc>
                <w:tcPr>
                  <w:tcW w:w="1966" w:type="dxa"/>
                  <w:noWrap w:val="0"/>
                  <w:vAlign w:val="top"/>
                </w:tcPr>
                <w:p w14:paraId="475EAA9B">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:03-次日</w:t>
                  </w: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:03</w:t>
                  </w:r>
                </w:p>
              </w:tc>
              <w:tc>
                <w:tcPr>
                  <w:tcW w:w="1529" w:type="dxa"/>
                  <w:noWrap w:val="0"/>
                  <w:vAlign w:val="center"/>
                </w:tcPr>
                <w:p w14:paraId="6B777527">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0.05L</w:t>
                  </w:r>
                </w:p>
              </w:tc>
              <w:tc>
                <w:tcPr>
                  <w:tcW w:w="1420" w:type="dxa"/>
                  <w:noWrap w:val="0"/>
                  <w:vAlign w:val="center"/>
                </w:tcPr>
                <w:p w14:paraId="166F6E02">
                  <w:pPr>
                    <w:widowControl/>
                    <w:jc w:val="center"/>
                    <w:rPr>
                      <w:rFonts w:ascii="Times New Roman" w:hAnsi="Times New Roman" w:eastAsia="宋体" w:cs="Times New Roman"/>
                      <w:color w:val="000000"/>
                      <w:szCs w:val="21"/>
                      <w:lang w:val="en-US" w:eastAsia="zh-CN"/>
                    </w:rPr>
                  </w:pPr>
                  <w:r>
                    <w:rPr>
                      <w:rFonts w:hint="eastAsia"/>
                      <w:lang w:val="en-US" w:eastAsia="zh-CN"/>
                    </w:rPr>
                    <w:t>0.05</w:t>
                  </w:r>
                </w:p>
              </w:tc>
              <w:tc>
                <w:tcPr>
                  <w:tcW w:w="902" w:type="dxa"/>
                  <w:noWrap w:val="0"/>
                  <w:vAlign w:val="center"/>
                </w:tcPr>
                <w:p w14:paraId="0DD8B6BD">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r w14:paraId="3CB63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 w:type="dxa"/>
                  <w:vMerge w:val="continue"/>
                  <w:noWrap w:val="0"/>
                  <w:vAlign w:val="center"/>
                </w:tcPr>
                <w:p w14:paraId="5255870C">
                  <w:pPr>
                    <w:widowControl/>
                    <w:jc w:val="center"/>
                    <w:rPr>
                      <w:rFonts w:ascii="Times New Roman" w:hAnsi="Times New Roman" w:eastAsia="宋体" w:cs="Times New Roman"/>
                      <w:color w:val="000000"/>
                      <w:szCs w:val="21"/>
                    </w:rPr>
                  </w:pPr>
                </w:p>
              </w:tc>
              <w:tc>
                <w:tcPr>
                  <w:tcW w:w="2106" w:type="dxa"/>
                  <w:noWrap w:val="0"/>
                  <w:vAlign w:val="center"/>
                </w:tcPr>
                <w:p w14:paraId="0B17027D">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202</w:t>
                  </w:r>
                  <w:r>
                    <w:rPr>
                      <w:rFonts w:hint="eastAsia" w:ascii="Times New Roman" w:hAnsi="Times New Roman" w:eastAsia="宋体" w:cs="Times New Roman"/>
                      <w:color w:val="000000"/>
                      <w:szCs w:val="21"/>
                      <w:lang w:val="en-US" w:eastAsia="zh-CN"/>
                    </w:rPr>
                    <w:t>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15</w:t>
                  </w:r>
                </w:p>
              </w:tc>
              <w:tc>
                <w:tcPr>
                  <w:tcW w:w="1966" w:type="dxa"/>
                  <w:noWrap w:val="0"/>
                  <w:vAlign w:val="top"/>
                </w:tcPr>
                <w:p w14:paraId="4E9F78CE">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w:t>
                  </w:r>
                  <w:r>
                    <w:rPr>
                      <w:rFonts w:ascii="Times New Roman" w:hAnsi="Times New Roman" w:eastAsia="宋体" w:cs="Times New Roman"/>
                      <w:color w:val="000000"/>
                      <w:szCs w:val="21"/>
                      <w:lang w:val="en-US" w:eastAsia="zh-CN"/>
                    </w:rPr>
                    <w:t>9-次日</w:t>
                  </w: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:29</w:t>
                  </w:r>
                </w:p>
              </w:tc>
              <w:tc>
                <w:tcPr>
                  <w:tcW w:w="1529" w:type="dxa"/>
                  <w:noWrap w:val="0"/>
                  <w:vAlign w:val="center"/>
                </w:tcPr>
                <w:p w14:paraId="46BDC06C">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0.05L</w:t>
                  </w:r>
                </w:p>
              </w:tc>
              <w:tc>
                <w:tcPr>
                  <w:tcW w:w="1420" w:type="dxa"/>
                  <w:noWrap w:val="0"/>
                  <w:vAlign w:val="center"/>
                </w:tcPr>
                <w:p w14:paraId="501E5846">
                  <w:pPr>
                    <w:widowControl/>
                    <w:jc w:val="center"/>
                    <w:rPr>
                      <w:rFonts w:ascii="Times New Roman" w:hAnsi="Times New Roman" w:eastAsia="宋体" w:cs="Times New Roman"/>
                      <w:color w:val="000000"/>
                      <w:szCs w:val="21"/>
                      <w:lang w:val="en-US" w:eastAsia="zh-CN"/>
                    </w:rPr>
                  </w:pPr>
                  <w:r>
                    <w:rPr>
                      <w:rFonts w:hint="eastAsia"/>
                      <w:lang w:val="en-US" w:eastAsia="zh-CN"/>
                    </w:rPr>
                    <w:t>0.05</w:t>
                  </w:r>
                </w:p>
              </w:tc>
              <w:tc>
                <w:tcPr>
                  <w:tcW w:w="902" w:type="dxa"/>
                  <w:noWrap w:val="0"/>
                  <w:vAlign w:val="center"/>
                </w:tcPr>
                <w:p w14:paraId="26ACB1DF">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r w14:paraId="6326D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 w:type="dxa"/>
                  <w:vMerge w:val="continue"/>
                  <w:noWrap w:val="0"/>
                  <w:vAlign w:val="center"/>
                </w:tcPr>
                <w:p w14:paraId="331728A1">
                  <w:pPr>
                    <w:widowControl/>
                    <w:jc w:val="center"/>
                    <w:rPr>
                      <w:rFonts w:ascii="Times New Roman" w:hAnsi="Times New Roman" w:eastAsia="宋体" w:cs="Times New Roman"/>
                      <w:color w:val="000000"/>
                      <w:szCs w:val="21"/>
                    </w:rPr>
                  </w:pPr>
                </w:p>
              </w:tc>
              <w:tc>
                <w:tcPr>
                  <w:tcW w:w="2106" w:type="dxa"/>
                  <w:noWrap w:val="0"/>
                  <w:vAlign w:val="center"/>
                </w:tcPr>
                <w:p w14:paraId="79D74E1D">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202</w:t>
                  </w:r>
                  <w:r>
                    <w:rPr>
                      <w:rFonts w:hint="eastAsia" w:ascii="Times New Roman" w:hAnsi="Times New Roman" w:eastAsia="宋体" w:cs="Times New Roman"/>
                      <w:color w:val="000000"/>
                      <w:szCs w:val="21"/>
                      <w:lang w:val="en-US" w:eastAsia="zh-CN"/>
                    </w:rPr>
                    <w:t>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12</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16</w:t>
                  </w:r>
                </w:p>
              </w:tc>
              <w:tc>
                <w:tcPr>
                  <w:tcW w:w="1966" w:type="dxa"/>
                  <w:noWrap w:val="0"/>
                  <w:vAlign w:val="top"/>
                </w:tcPr>
                <w:p w14:paraId="27575650">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26</w:t>
                  </w:r>
                  <w:r>
                    <w:rPr>
                      <w:rFonts w:ascii="Times New Roman" w:hAnsi="Times New Roman" w:eastAsia="宋体" w:cs="Times New Roman"/>
                      <w:color w:val="000000"/>
                      <w:szCs w:val="21"/>
                      <w:lang w:val="en-US" w:eastAsia="zh-CN"/>
                    </w:rPr>
                    <w:t>-次日</w:t>
                  </w: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szCs w:val="21"/>
                      <w:lang w:val="en-US" w:eastAsia="zh-CN"/>
                    </w:rPr>
                    <w:t>26</w:t>
                  </w:r>
                </w:p>
              </w:tc>
              <w:tc>
                <w:tcPr>
                  <w:tcW w:w="1529" w:type="dxa"/>
                  <w:noWrap w:val="0"/>
                  <w:vAlign w:val="center"/>
                </w:tcPr>
                <w:p w14:paraId="70A98AED">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0.05L</w:t>
                  </w:r>
                </w:p>
              </w:tc>
              <w:tc>
                <w:tcPr>
                  <w:tcW w:w="1420" w:type="dxa"/>
                  <w:noWrap w:val="0"/>
                  <w:vAlign w:val="center"/>
                </w:tcPr>
                <w:p w14:paraId="7618B6F7">
                  <w:pPr>
                    <w:widowControl/>
                    <w:jc w:val="center"/>
                    <w:rPr>
                      <w:rFonts w:ascii="Times New Roman" w:hAnsi="Times New Roman" w:eastAsia="宋体" w:cs="Times New Roman"/>
                      <w:color w:val="000000"/>
                      <w:szCs w:val="21"/>
                      <w:lang w:val="en-US" w:eastAsia="zh-CN"/>
                    </w:rPr>
                  </w:pPr>
                  <w:r>
                    <w:rPr>
                      <w:rFonts w:hint="eastAsia"/>
                      <w:lang w:val="en-US" w:eastAsia="zh-CN"/>
                    </w:rPr>
                    <w:t>0.05</w:t>
                  </w:r>
                </w:p>
              </w:tc>
              <w:tc>
                <w:tcPr>
                  <w:tcW w:w="902" w:type="dxa"/>
                  <w:noWrap w:val="0"/>
                  <w:vAlign w:val="center"/>
                </w:tcPr>
                <w:p w14:paraId="2CF02A1D">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w:t>
                  </w:r>
                </w:p>
              </w:tc>
            </w:tr>
          </w:tbl>
          <w:p w14:paraId="4DE4A711">
            <w:pPr>
              <w:keepNext w:val="0"/>
              <w:keepLines w:val="0"/>
              <w:pageBreakBefore w:val="0"/>
              <w:widowControl w:val="0"/>
              <w:ind w:right="0"/>
              <w:rPr>
                <w:sz w:val="21"/>
                <w:szCs w:val="21"/>
                <w:lang w:val="en-US" w:eastAsia="zh-CN"/>
              </w:rPr>
            </w:pPr>
            <w:r>
              <w:rPr>
                <w:rFonts w:hint="eastAsia"/>
                <w:b/>
                <w:bCs/>
                <w:sz w:val="21"/>
                <w:szCs w:val="21"/>
                <w:lang w:val="en-US" w:eastAsia="zh-CN"/>
              </w:rPr>
              <w:t>注：“L”表示小于方法检出限</w:t>
            </w:r>
          </w:p>
          <w:p w14:paraId="62051B1A">
            <w:pPr>
              <w:keepNext w:val="0"/>
              <w:keepLines w:val="0"/>
              <w:pageBreakBefore w:val="0"/>
              <w:widowControl/>
              <w:suppressLineNumbers w:val="0"/>
              <w:spacing w:line="360" w:lineRule="auto"/>
              <w:ind w:firstLine="480"/>
              <w:jc w:val="both"/>
              <w:rPr>
                <w:rFonts w:ascii="Times New Roman" w:hAnsi="Times New Roman" w:eastAsia="宋体" w:cs="Times New Roman"/>
                <w:color w:val="000000"/>
                <w:sz w:val="24"/>
                <w:szCs w:val="24"/>
                <w:lang w:val="en-US" w:eastAsia="zh-CN"/>
              </w:rPr>
            </w:pPr>
            <w:r>
              <w:rPr>
                <w:rFonts w:ascii="Times New Roman" w:hAnsi="Times New Roman" w:eastAsia="宋体" w:cs="Times New Roman"/>
                <w:b w:val="0"/>
                <w:bCs/>
                <w:color w:val="000000"/>
                <w:sz w:val="24"/>
                <w:szCs w:val="24"/>
                <w:highlight w:val="none"/>
              </w:rPr>
              <w:t>根据</w:t>
            </w:r>
            <w:r>
              <w:rPr>
                <w:rFonts w:ascii="Times New Roman" w:hAnsi="Times New Roman" w:eastAsia="宋体" w:cs="Times New Roman"/>
                <w:b w:val="0"/>
                <w:bCs/>
                <w:color w:val="000000"/>
                <w:sz w:val="24"/>
                <w:szCs w:val="24"/>
                <w:highlight w:val="none"/>
                <w:lang w:val="en-US" w:eastAsia="zh-CN"/>
              </w:rPr>
              <w:t>检</w:t>
            </w:r>
            <w:r>
              <w:rPr>
                <w:rFonts w:ascii="Times New Roman" w:hAnsi="Times New Roman" w:eastAsia="宋体" w:cs="Times New Roman"/>
                <w:b w:val="0"/>
                <w:bCs/>
                <w:color w:val="000000"/>
                <w:sz w:val="24"/>
                <w:szCs w:val="24"/>
                <w:highlight w:val="none"/>
              </w:rPr>
              <w:t>测结果，</w:t>
            </w:r>
            <w:r>
              <w:rPr>
                <w:rFonts w:ascii="Times New Roman" w:hAnsi="Times New Roman" w:eastAsia="宋体" w:cs="Times New Roman"/>
                <w:color w:val="000000"/>
                <w:sz w:val="24"/>
                <w:szCs w:val="24"/>
              </w:rPr>
              <w:t>项目区域</w:t>
            </w:r>
            <w:r>
              <w:rPr>
                <w:rFonts w:ascii="Times New Roman" w:hAnsi="Times New Roman" w:eastAsia="宋体" w:cs="Times New Roman"/>
                <w:color w:val="000000"/>
                <w:sz w:val="24"/>
                <w:szCs w:val="24"/>
                <w:lang w:val="en-US" w:eastAsia="zh-CN"/>
              </w:rPr>
              <w:t>甲醛</w:t>
            </w:r>
            <w:r>
              <w:rPr>
                <w:rFonts w:ascii="Times New Roman" w:hAnsi="Times New Roman" w:eastAsia="宋体" w:cs="Times New Roman"/>
                <w:color w:val="000000"/>
                <w:sz w:val="24"/>
                <w:szCs w:val="24"/>
              </w:rPr>
              <w:t>环境空气质量</w:t>
            </w:r>
            <w:r>
              <w:rPr>
                <w:rFonts w:ascii="Times New Roman" w:hAnsi="Times New Roman" w:eastAsia="宋体" w:cs="Times New Roman"/>
                <w:color w:val="000000"/>
                <w:sz w:val="24"/>
                <w:szCs w:val="24"/>
                <w:lang w:val="en-US" w:eastAsia="zh-CN"/>
              </w:rPr>
              <w:t>现状值</w:t>
            </w:r>
            <w:r>
              <w:rPr>
                <w:rFonts w:ascii="Times New Roman" w:hAnsi="Times New Roman" w:eastAsia="宋体" w:cs="Times New Roman"/>
                <w:color w:val="000000"/>
                <w:sz w:val="24"/>
                <w:szCs w:val="24"/>
              </w:rPr>
              <w:t>能满足</w:t>
            </w:r>
            <w:r>
              <w:rPr>
                <w:rFonts w:ascii="Times New Roman" w:hAnsi="Times New Roman" w:eastAsia="宋体" w:cs="Times New Roman"/>
                <w:color w:val="000000"/>
                <w:sz w:val="24"/>
                <w:szCs w:val="24"/>
                <w:lang w:val="en-US" w:eastAsia="zh-CN" w:bidi="ar"/>
              </w:rPr>
              <w:t>《环境影响评价技术导则大气环境 HJ2.2-2018》附录 D中的空气质量浓度限值标准要求</w:t>
            </w:r>
            <w:r>
              <w:rPr>
                <w:rFonts w:ascii="Times New Roman" w:hAnsi="Times New Roman" w:eastAsia="宋体" w:cs="Times New Roman"/>
                <w:color w:val="000000"/>
                <w:sz w:val="24"/>
                <w:szCs w:val="24"/>
              </w:rPr>
              <w:t>。</w:t>
            </w:r>
          </w:p>
          <w:p w14:paraId="185A7D0D">
            <w:pPr>
              <w:keepNext w:val="0"/>
              <w:keepLines w:val="0"/>
              <w:pageBreakBefore w:val="0"/>
              <w:spacing w:line="360" w:lineRule="auto"/>
              <w:ind w:firstLine="480"/>
              <w:jc w:val="both"/>
              <w:rPr>
                <w:rFonts w:ascii="Times New Roman" w:hAnsi="Times New Roman" w:eastAsia="宋体" w:cs="Times New Roman"/>
                <w:b/>
                <w:color w:val="000000"/>
                <w:sz w:val="24"/>
                <w:szCs w:val="24"/>
                <w:highlight w:val="none"/>
              </w:rPr>
            </w:pPr>
            <w:r>
              <w:rPr>
                <w:rFonts w:ascii="Times New Roman" w:hAnsi="Times New Roman" w:eastAsia="宋体" w:cs="Times New Roman"/>
                <w:sz w:val="24"/>
                <w:szCs w:val="24"/>
                <w:lang w:val="en-US" w:eastAsia="zh-CN"/>
              </w:rPr>
              <w:t>综上，项目区为环境空气质量达标区。</w:t>
            </w:r>
          </w:p>
          <w:p w14:paraId="366F3605">
            <w:pPr>
              <w:spacing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3、声环境质量现状</w:t>
            </w:r>
          </w:p>
          <w:p w14:paraId="6E5CC47F">
            <w:pPr>
              <w:keepNext w:val="0"/>
              <w:keepLines w:val="0"/>
              <w:pageBreakBefore w:val="0"/>
              <w:widowControl w:val="0"/>
              <w:spacing w:line="360" w:lineRule="auto"/>
              <w:ind w:firstLine="480"/>
              <w:jc w:val="both"/>
              <w:rPr>
                <w:rFonts w:ascii="Times New Roman" w:hAnsi="Times New Roman" w:eastAsia="宋体" w:cs="Times New Roman"/>
                <w:b w:val="0"/>
                <w:bCs w:val="0"/>
                <w:color w:val="000000"/>
                <w:sz w:val="24"/>
                <w:szCs w:val="24"/>
                <w:lang w:val="en-US" w:eastAsia="zh-CN"/>
              </w:rPr>
            </w:pPr>
            <w:r>
              <w:rPr>
                <w:rFonts w:ascii="Times New Roman" w:hAnsi="Times New Roman" w:eastAsia="宋体" w:cs="Times New Roman"/>
                <w:b w:val="0"/>
                <w:bCs w:val="0"/>
                <w:color w:val="000000"/>
                <w:sz w:val="24"/>
                <w:szCs w:val="24"/>
                <w:highlight w:val="none"/>
                <w:lang w:val="en-US" w:eastAsia="zh-CN"/>
              </w:rPr>
              <w:t>项目位于</w:t>
            </w:r>
            <w:r>
              <w:rPr>
                <w:rFonts w:hint="eastAsia" w:ascii="Times New Roman" w:hAnsi="Times New Roman" w:eastAsia="宋体" w:cs="Times New Roman"/>
                <w:b w:val="0"/>
                <w:bCs w:val="0"/>
                <w:color w:val="000000"/>
                <w:sz w:val="24"/>
                <w:szCs w:val="24"/>
                <w:highlight w:val="none"/>
                <w:lang w:val="en-US" w:eastAsia="zh-CN"/>
              </w:rPr>
              <w:t>云南省德宏州芒市风平镇帕底村芒市糖厂</w:t>
            </w:r>
            <w:r>
              <w:rPr>
                <w:rFonts w:ascii="Times New Roman" w:hAnsi="Times New Roman" w:eastAsia="宋体" w:cs="Times New Roman"/>
                <w:b w:val="0"/>
                <w:bCs w:val="0"/>
                <w:color w:val="000000"/>
                <w:sz w:val="24"/>
                <w:szCs w:val="24"/>
                <w:highlight w:val="none"/>
                <w:lang w:val="en-US" w:eastAsia="zh-CN"/>
              </w:rPr>
              <w:t>，</w:t>
            </w:r>
            <w:r>
              <w:rPr>
                <w:rFonts w:ascii="Times New Roman" w:hAnsi="Times New Roman" w:eastAsia="宋体" w:cs="Times New Roman"/>
                <w:b w:val="0"/>
                <w:bCs w:val="0"/>
                <w:color w:val="000000"/>
                <w:sz w:val="24"/>
                <w:szCs w:val="24"/>
                <w:lang w:val="en-US" w:eastAsia="zh-CN"/>
              </w:rPr>
              <w:t>区域声环境执行《声环境质量标准》（GB3096-2008）2类标准</w:t>
            </w:r>
            <w:r>
              <w:rPr>
                <w:rFonts w:hint="eastAsia" w:ascii="Times New Roman" w:hAnsi="Times New Roman" w:eastAsia="宋体" w:cs="Times New Roman"/>
                <w:b w:val="0"/>
                <w:bCs w:val="0"/>
                <w:color w:val="000000"/>
                <w:sz w:val="24"/>
                <w:szCs w:val="24"/>
                <w:lang w:val="en-US" w:eastAsia="zh-CN"/>
              </w:rPr>
              <w:t>，</w:t>
            </w:r>
            <w:r>
              <w:rPr>
                <w:rFonts w:ascii="Times New Roman" w:hAnsi="Times New Roman" w:eastAsia="宋体" w:cs="Times New Roman"/>
                <w:bCs/>
                <w:color w:val="000000"/>
                <w:sz w:val="24"/>
                <w:lang w:val="en-US" w:eastAsia="zh-CN"/>
              </w:rPr>
              <w:t>具体标准限值如下。</w:t>
            </w:r>
          </w:p>
          <w:p w14:paraId="38472404">
            <w:pPr>
              <w:keepNext w:val="0"/>
              <w:keepLines w:val="0"/>
              <w:pageBreakBefore w:val="0"/>
              <w:widowControl w:val="0"/>
              <w:suppressLineNumbers w:val="0"/>
              <w:spacing w:beforeAutospacing="0" w:afterAutospacing="0"/>
              <w:ind w:left="0" w:right="0"/>
              <w:jc w:val="center"/>
              <w:rPr>
                <w:rFonts w:ascii="Times New Roman" w:hAnsi="Times New Roman" w:eastAsia="宋体" w:cs="Times New Roman"/>
                <w:b/>
                <w:color w:val="000000"/>
                <w:sz w:val="24"/>
                <w:szCs w:val="21"/>
                <w:lang w:val="zh-CN"/>
              </w:rPr>
            </w:pPr>
            <w:r>
              <w:rPr>
                <w:rFonts w:ascii="Times New Roman" w:hAnsi="Times New Roman" w:eastAsia="宋体" w:cs="Times New Roman"/>
                <w:b/>
                <w:color w:val="000000"/>
                <w:sz w:val="24"/>
                <w:lang w:val="zh-CN"/>
              </w:rPr>
              <w:t>表</w:t>
            </w:r>
            <w:r>
              <w:rPr>
                <w:rFonts w:ascii="Times New Roman" w:hAnsi="Times New Roman" w:eastAsia="宋体" w:cs="Times New Roman"/>
                <w:b/>
                <w:color w:val="000000"/>
                <w:sz w:val="24"/>
                <w:lang w:val="en-US" w:eastAsia="zh-CN"/>
              </w:rPr>
              <w:t>3-</w:t>
            </w:r>
            <w:r>
              <w:rPr>
                <w:rFonts w:hint="eastAsia" w:ascii="Times New Roman" w:hAnsi="Times New Roman" w:eastAsia="宋体" w:cs="Times New Roman"/>
                <w:b/>
                <w:color w:val="000000"/>
                <w:sz w:val="24"/>
                <w:lang w:val="en-US" w:eastAsia="zh-CN"/>
              </w:rPr>
              <w:t>7</w:t>
            </w:r>
            <w:r>
              <w:rPr>
                <w:rFonts w:ascii="Times New Roman" w:hAnsi="Times New Roman" w:eastAsia="宋体" w:cs="Times New Roman"/>
                <w:b/>
                <w:color w:val="000000"/>
                <w:sz w:val="24"/>
                <w:lang w:val="en-US" w:eastAsia="zh-CN"/>
              </w:rPr>
              <w:t xml:space="preserve"> </w:t>
            </w:r>
            <w:r>
              <w:rPr>
                <w:rFonts w:ascii="Times New Roman" w:hAnsi="Times New Roman" w:eastAsia="宋体" w:cs="Times New Roman"/>
                <w:b/>
                <w:color w:val="000000"/>
                <w:sz w:val="24"/>
                <w:lang w:val="zh-CN"/>
              </w:rPr>
              <w:t xml:space="preserve"> 声环境质量标准限值 </w:t>
            </w:r>
            <w:r>
              <w:rPr>
                <w:rFonts w:ascii="Times New Roman" w:hAnsi="Times New Roman" w:eastAsia="宋体" w:cs="Times New Roman"/>
                <w:b/>
                <w:color w:val="000000"/>
                <w:sz w:val="24"/>
                <w:lang w:val="en-US" w:eastAsia="zh-CN"/>
              </w:rPr>
              <w:t xml:space="preserve"> </w:t>
            </w:r>
            <w:r>
              <w:rPr>
                <w:rFonts w:ascii="Times New Roman" w:hAnsi="Times New Roman" w:eastAsia="宋体" w:cs="Times New Roman"/>
                <w:b/>
                <w:color w:val="000000"/>
                <w:sz w:val="24"/>
                <w:szCs w:val="21"/>
                <w:lang w:val="zh-CN"/>
              </w:rPr>
              <w:t>单位：dB(A)</w:t>
            </w:r>
          </w:p>
          <w:tbl>
            <w:tblPr>
              <w:tblStyle w:val="29"/>
              <w:tblW w:w="4997"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9"/>
              <w:gridCol w:w="2209"/>
              <w:gridCol w:w="2209"/>
              <w:gridCol w:w="2209"/>
            </w:tblGrid>
            <w:tr w14:paraId="47294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0" w:hRule="atLeast"/>
              </w:trPr>
              <w:tc>
                <w:tcPr>
                  <w:tcW w:w="1028" w:type="dxa"/>
                  <w:vMerge w:val="restart"/>
                  <w:noWrap w:val="0"/>
                  <w:vAlign w:val="center"/>
                </w:tcPr>
                <w:p w14:paraId="2362128B">
                  <w:pPr>
                    <w:keepNext w:val="0"/>
                    <w:keepLines w:val="0"/>
                    <w:suppressLineNumbers w:val="0"/>
                    <w:spacing w:before="0" w:beforeAutospacing="0" w:after="0" w:afterAutospacing="0"/>
                    <w:ind w:left="0" w:right="0"/>
                    <w:jc w:val="center"/>
                    <w:rPr>
                      <w:rFonts w:ascii="Times New Roman" w:hAnsi="Times New Roman" w:eastAsia="宋体" w:cs="Times New Roman"/>
                      <w:b/>
                      <w:color w:val="000000"/>
                      <w:szCs w:val="22"/>
                      <w:lang w:val="zh-CN"/>
                    </w:rPr>
                  </w:pPr>
                  <w:r>
                    <w:rPr>
                      <w:rFonts w:ascii="Times New Roman" w:hAnsi="Times New Roman" w:eastAsia="宋体" w:cs="Times New Roman"/>
                      <w:b/>
                      <w:color w:val="000000"/>
                      <w:szCs w:val="22"/>
                      <w:lang w:val="zh-CN"/>
                    </w:rPr>
                    <w:t>声环境功能区类</w:t>
                  </w:r>
                </w:p>
              </w:tc>
              <w:tc>
                <w:tcPr>
                  <w:tcW w:w="2261" w:type="dxa"/>
                  <w:noWrap w:val="0"/>
                  <w:vAlign w:val="center"/>
                </w:tcPr>
                <w:p w14:paraId="34790250">
                  <w:pPr>
                    <w:keepNext w:val="0"/>
                    <w:keepLines w:val="0"/>
                    <w:suppressLineNumbers w:val="0"/>
                    <w:spacing w:before="0" w:beforeAutospacing="0" w:after="0" w:afterAutospacing="0"/>
                    <w:ind w:left="0" w:right="0"/>
                    <w:jc w:val="center"/>
                    <w:rPr>
                      <w:rFonts w:ascii="Times New Roman" w:hAnsi="Times New Roman" w:eastAsia="宋体" w:cs="Times New Roman"/>
                      <w:b/>
                      <w:color w:val="000000"/>
                      <w:szCs w:val="22"/>
                      <w:lang w:val="zh-CN"/>
                    </w:rPr>
                  </w:pPr>
                  <w:r>
                    <w:rPr>
                      <w:rFonts w:ascii="Times New Roman" w:hAnsi="Times New Roman" w:eastAsia="宋体" w:cs="Times New Roman"/>
                      <w:b/>
                      <w:color w:val="000000"/>
                      <w:szCs w:val="22"/>
                      <w:lang w:val="zh-CN"/>
                    </w:rPr>
                    <w:t>时段</w:t>
                  </w:r>
                </w:p>
              </w:tc>
              <w:tc>
                <w:tcPr>
                  <w:tcW w:w="1710" w:type="dxa"/>
                  <w:noWrap w:val="0"/>
                  <w:vAlign w:val="center"/>
                </w:tcPr>
                <w:p w14:paraId="4C59F92D">
                  <w:pPr>
                    <w:keepNext w:val="0"/>
                    <w:keepLines w:val="0"/>
                    <w:suppressLineNumbers w:val="0"/>
                    <w:spacing w:before="0" w:beforeAutospacing="0" w:after="0" w:afterAutospacing="0"/>
                    <w:ind w:left="0" w:right="0"/>
                    <w:jc w:val="center"/>
                    <w:rPr>
                      <w:rFonts w:ascii="Times New Roman" w:hAnsi="Times New Roman" w:eastAsia="宋体" w:cs="Times New Roman"/>
                      <w:b/>
                      <w:color w:val="000000"/>
                      <w:szCs w:val="22"/>
                      <w:lang w:val="en-US" w:eastAsia="zh-CN"/>
                    </w:rPr>
                  </w:pPr>
                  <w:r>
                    <w:rPr>
                      <w:rFonts w:ascii="Times New Roman" w:hAnsi="Times New Roman" w:eastAsia="宋体" w:cs="Times New Roman"/>
                      <w:b/>
                      <w:color w:val="000000"/>
                      <w:szCs w:val="22"/>
                      <w:lang w:val="en-US" w:eastAsia="zh-CN"/>
                    </w:rPr>
                    <w:t>执行标准</w:t>
                  </w:r>
                </w:p>
              </w:tc>
            </w:tr>
            <w:tr w14:paraId="3F2C0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trPr>
              <w:tc>
                <w:tcPr>
                  <w:tcW w:w="1028" w:type="dxa"/>
                  <w:vMerge w:val="continue"/>
                  <w:noWrap w:val="0"/>
                  <w:vAlign w:val="center"/>
                </w:tcPr>
                <w:p w14:paraId="52FE6410">
                  <w:pPr>
                    <w:keepNext w:val="0"/>
                    <w:keepLines w:val="0"/>
                    <w:suppressLineNumbers w:val="0"/>
                    <w:spacing w:before="0" w:beforeAutospacing="0" w:after="0" w:afterAutospacing="0"/>
                    <w:ind w:left="0" w:right="0"/>
                    <w:jc w:val="center"/>
                    <w:rPr>
                      <w:rFonts w:ascii="Times New Roman" w:hAnsi="Times New Roman" w:eastAsia="宋体" w:cs="Times New Roman"/>
                      <w:b/>
                      <w:color w:val="000000"/>
                      <w:szCs w:val="22"/>
                      <w:lang w:val="zh-CN"/>
                    </w:rPr>
                  </w:pPr>
                </w:p>
              </w:tc>
              <w:tc>
                <w:tcPr>
                  <w:tcW w:w="1130" w:type="dxa"/>
                  <w:noWrap w:val="0"/>
                  <w:vAlign w:val="center"/>
                </w:tcPr>
                <w:p w14:paraId="0DFA5594">
                  <w:pPr>
                    <w:keepNext w:val="0"/>
                    <w:keepLines w:val="0"/>
                    <w:suppressLineNumbers w:val="0"/>
                    <w:spacing w:before="0" w:beforeAutospacing="0" w:after="0" w:afterAutospacing="0"/>
                    <w:ind w:left="0" w:right="0"/>
                    <w:jc w:val="center"/>
                    <w:rPr>
                      <w:rFonts w:ascii="Times New Roman" w:hAnsi="Times New Roman" w:eastAsia="宋体" w:cs="Times New Roman"/>
                      <w:color w:val="000000"/>
                      <w:szCs w:val="22"/>
                      <w:lang w:val="zh-CN"/>
                    </w:rPr>
                  </w:pPr>
                  <w:r>
                    <w:rPr>
                      <w:rFonts w:ascii="Times New Roman" w:hAnsi="Times New Roman" w:eastAsia="宋体" w:cs="Times New Roman"/>
                      <w:color w:val="000000"/>
                      <w:szCs w:val="22"/>
                      <w:lang w:val="zh-CN"/>
                    </w:rPr>
                    <w:t>昼间</w:t>
                  </w:r>
                </w:p>
              </w:tc>
              <w:tc>
                <w:tcPr>
                  <w:tcW w:w="1131" w:type="dxa"/>
                  <w:noWrap w:val="0"/>
                  <w:vAlign w:val="center"/>
                </w:tcPr>
                <w:p w14:paraId="22DD5D47">
                  <w:pPr>
                    <w:keepNext w:val="0"/>
                    <w:keepLines w:val="0"/>
                    <w:suppressLineNumbers w:val="0"/>
                    <w:spacing w:before="0" w:beforeAutospacing="0" w:after="0" w:afterAutospacing="0"/>
                    <w:ind w:left="0" w:right="0"/>
                    <w:jc w:val="center"/>
                    <w:rPr>
                      <w:rFonts w:ascii="Times New Roman" w:hAnsi="Times New Roman" w:eastAsia="宋体" w:cs="Times New Roman"/>
                      <w:color w:val="000000"/>
                      <w:szCs w:val="22"/>
                      <w:lang w:val="zh-CN"/>
                    </w:rPr>
                  </w:pPr>
                  <w:r>
                    <w:rPr>
                      <w:rFonts w:ascii="Times New Roman" w:hAnsi="Times New Roman" w:eastAsia="宋体" w:cs="Times New Roman"/>
                      <w:color w:val="000000"/>
                      <w:szCs w:val="22"/>
                      <w:lang w:val="zh-CN"/>
                    </w:rPr>
                    <w:t>夜间</w:t>
                  </w:r>
                </w:p>
              </w:tc>
              <w:tc>
                <w:tcPr>
                  <w:tcW w:w="1710" w:type="dxa"/>
                  <w:vMerge w:val="restart"/>
                  <w:noWrap w:val="0"/>
                  <w:vAlign w:val="center"/>
                </w:tcPr>
                <w:p w14:paraId="5C9C9374">
                  <w:pPr>
                    <w:keepNext w:val="0"/>
                    <w:keepLines w:val="0"/>
                    <w:suppressLineNumbers w:val="0"/>
                    <w:spacing w:before="0" w:beforeAutospacing="0" w:after="0" w:afterAutospacing="0"/>
                    <w:ind w:left="0" w:right="0"/>
                    <w:jc w:val="center"/>
                    <w:rPr>
                      <w:rFonts w:ascii="Times New Roman" w:hAnsi="Times New Roman" w:eastAsia="宋体" w:cs="Times New Roman"/>
                      <w:color w:val="000000"/>
                      <w:szCs w:val="22"/>
                      <w:lang w:val="zh-CN"/>
                    </w:rPr>
                  </w:pPr>
                  <w:r>
                    <w:rPr>
                      <w:rFonts w:ascii="Times New Roman" w:hAnsi="Times New Roman" w:eastAsia="宋体" w:cs="Times New Roman"/>
                      <w:color w:val="000000"/>
                      <w:szCs w:val="22"/>
                      <w:lang w:val="zh-CN"/>
                    </w:rPr>
                    <w:t>《声环境质量标准》（GB3096-2008）2类标准</w:t>
                  </w:r>
                </w:p>
              </w:tc>
            </w:tr>
            <w:tr w14:paraId="766D8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28" w:type="dxa"/>
                  <w:noWrap w:val="0"/>
                  <w:vAlign w:val="center"/>
                </w:tcPr>
                <w:p w14:paraId="50E70968">
                  <w:pPr>
                    <w:keepNext w:val="0"/>
                    <w:keepLines w:val="0"/>
                    <w:suppressLineNumbers w:val="0"/>
                    <w:spacing w:before="0" w:beforeAutospacing="0" w:after="0" w:afterAutospacing="0"/>
                    <w:ind w:left="0" w:right="0"/>
                    <w:jc w:val="center"/>
                    <w:rPr>
                      <w:rFonts w:ascii="Times New Roman" w:hAnsi="Times New Roman" w:eastAsia="宋体" w:cs="Times New Roman"/>
                      <w:color w:val="000000"/>
                      <w:szCs w:val="18"/>
                      <w:lang w:val="zh-CN"/>
                    </w:rPr>
                  </w:pPr>
                  <w:r>
                    <w:rPr>
                      <w:rFonts w:ascii="Times New Roman" w:hAnsi="Times New Roman" w:eastAsia="宋体" w:cs="Times New Roman"/>
                      <w:color w:val="000000"/>
                      <w:szCs w:val="18"/>
                      <w:lang w:val="zh-CN"/>
                    </w:rPr>
                    <w:t>2类</w:t>
                  </w:r>
                </w:p>
              </w:tc>
              <w:tc>
                <w:tcPr>
                  <w:tcW w:w="1130" w:type="dxa"/>
                  <w:noWrap w:val="0"/>
                  <w:vAlign w:val="center"/>
                </w:tcPr>
                <w:p w14:paraId="5167BE10">
                  <w:pPr>
                    <w:keepNext w:val="0"/>
                    <w:keepLines w:val="0"/>
                    <w:suppressLineNumbers w:val="0"/>
                    <w:spacing w:before="0" w:beforeAutospacing="0" w:after="0" w:afterAutospacing="0"/>
                    <w:ind w:left="0" w:right="0"/>
                    <w:jc w:val="center"/>
                    <w:rPr>
                      <w:rFonts w:ascii="Times New Roman" w:hAnsi="Times New Roman" w:eastAsia="宋体" w:cs="Times New Roman"/>
                      <w:color w:val="000000"/>
                      <w:szCs w:val="18"/>
                      <w:lang w:val="zh-CN"/>
                    </w:rPr>
                  </w:pPr>
                  <w:r>
                    <w:rPr>
                      <w:rFonts w:ascii="Times New Roman" w:hAnsi="Times New Roman" w:eastAsia="宋体" w:cs="Times New Roman"/>
                      <w:color w:val="000000"/>
                      <w:szCs w:val="18"/>
                      <w:lang w:val="zh-CN"/>
                    </w:rPr>
                    <w:t>60</w:t>
                  </w:r>
                </w:p>
              </w:tc>
              <w:tc>
                <w:tcPr>
                  <w:tcW w:w="1131" w:type="dxa"/>
                  <w:noWrap w:val="0"/>
                  <w:vAlign w:val="center"/>
                </w:tcPr>
                <w:p w14:paraId="1937B761">
                  <w:pPr>
                    <w:keepNext w:val="0"/>
                    <w:keepLines w:val="0"/>
                    <w:suppressLineNumbers w:val="0"/>
                    <w:spacing w:before="0" w:beforeAutospacing="0" w:after="0" w:afterAutospacing="0"/>
                    <w:ind w:left="0" w:right="0"/>
                    <w:jc w:val="center"/>
                    <w:rPr>
                      <w:rFonts w:ascii="Times New Roman" w:hAnsi="Times New Roman" w:eastAsia="宋体" w:cs="Times New Roman"/>
                      <w:color w:val="000000"/>
                      <w:szCs w:val="18"/>
                      <w:lang w:val="zh-CN"/>
                    </w:rPr>
                  </w:pPr>
                  <w:r>
                    <w:rPr>
                      <w:rFonts w:ascii="Times New Roman" w:hAnsi="Times New Roman" w:eastAsia="宋体" w:cs="Times New Roman"/>
                      <w:color w:val="000000"/>
                      <w:szCs w:val="18"/>
                      <w:lang w:val="zh-CN"/>
                    </w:rPr>
                    <w:t>50</w:t>
                  </w:r>
                </w:p>
              </w:tc>
              <w:tc>
                <w:tcPr>
                  <w:tcW w:w="1710" w:type="dxa"/>
                  <w:vMerge w:val="continue"/>
                  <w:noWrap w:val="0"/>
                  <w:vAlign w:val="center"/>
                </w:tcPr>
                <w:p w14:paraId="6427D648">
                  <w:pPr>
                    <w:keepNext w:val="0"/>
                    <w:keepLines w:val="0"/>
                    <w:suppressLineNumbers w:val="0"/>
                    <w:spacing w:before="0" w:beforeAutospacing="0" w:after="0" w:afterAutospacing="0"/>
                    <w:ind w:left="0" w:right="0"/>
                    <w:jc w:val="center"/>
                    <w:rPr>
                      <w:rFonts w:ascii="Times New Roman" w:hAnsi="Times New Roman" w:eastAsia="宋体" w:cs="Times New Roman"/>
                      <w:color w:val="000000"/>
                      <w:szCs w:val="18"/>
                      <w:lang w:val="zh-CN"/>
                    </w:rPr>
                  </w:pPr>
                </w:p>
              </w:tc>
            </w:tr>
          </w:tbl>
          <w:p w14:paraId="5F282B35">
            <w:pPr>
              <w:keepNext w:val="0"/>
              <w:keepLines w:val="0"/>
              <w:pageBreakBefore w:val="0"/>
              <w:widowControl w:val="0"/>
              <w:spacing w:before="157" w:line="360" w:lineRule="auto"/>
              <w:ind w:firstLine="480"/>
              <w:rPr>
                <w:rFonts w:ascii="Times New Roman" w:hAnsi="Times New Roman" w:eastAsia="宋体" w:cs="Times New Roman"/>
                <w:color w:val="000000"/>
                <w:sz w:val="24"/>
                <w:lang w:eastAsia="zh-CN"/>
              </w:rPr>
            </w:pPr>
            <w:r>
              <w:rPr>
                <w:rFonts w:ascii="Times New Roman" w:hAnsi="Times New Roman" w:eastAsia="宋体" w:cs="Times New Roman"/>
                <w:color w:val="000000"/>
                <w:sz w:val="24"/>
                <w:highlight w:val="none"/>
              </w:rPr>
              <w:t>根据现场踏勘，项目所在地四周主要为</w:t>
            </w:r>
            <w:r>
              <w:rPr>
                <w:rFonts w:hint="eastAsia" w:ascii="Times New Roman" w:hAnsi="Times New Roman" w:eastAsia="宋体" w:cs="Times New Roman"/>
                <w:color w:val="000000"/>
                <w:sz w:val="24"/>
                <w:highlight w:val="none"/>
                <w:lang w:val="en-US" w:eastAsia="zh-CN"/>
              </w:rPr>
              <w:t>村庄、林地</w:t>
            </w:r>
            <w:r>
              <w:rPr>
                <w:rFonts w:ascii="Times New Roman" w:hAnsi="Times New Roman" w:eastAsia="宋体" w:cs="Times New Roman"/>
                <w:color w:val="000000"/>
                <w:sz w:val="24"/>
                <w:highlight w:val="none"/>
              </w:rPr>
              <w:t>，周边无明显噪声源，</w:t>
            </w:r>
            <w:r>
              <w:rPr>
                <w:rFonts w:hint="eastAsia" w:ascii="Times New Roman" w:hAnsi="Times New Roman" w:eastAsia="宋体" w:cs="Times New Roman"/>
                <w:color w:val="000000"/>
                <w:sz w:val="24"/>
                <w:highlight w:val="none"/>
                <w:lang w:val="en-US" w:eastAsia="zh-CN"/>
              </w:rPr>
              <w:t>项目区</w:t>
            </w:r>
            <w:r>
              <w:rPr>
                <w:rFonts w:ascii="Times New Roman" w:hAnsi="Times New Roman" w:eastAsia="宋体" w:cs="Times New Roman"/>
                <w:color w:val="000000"/>
                <w:sz w:val="24"/>
                <w:highlight w:val="none"/>
                <w:lang w:eastAsia="zh-CN"/>
              </w:rPr>
              <w:t>周边道路</w:t>
            </w:r>
            <w:r>
              <w:rPr>
                <w:rFonts w:hint="eastAsia" w:ascii="Times New Roman" w:hAnsi="Times New Roman" w:eastAsia="宋体" w:cs="Times New Roman"/>
                <w:color w:val="000000"/>
                <w:sz w:val="24"/>
                <w:highlight w:val="none"/>
                <w:lang w:val="en-US" w:eastAsia="zh-CN"/>
              </w:rPr>
              <w:t>多</w:t>
            </w:r>
            <w:r>
              <w:rPr>
                <w:rFonts w:ascii="Times New Roman" w:hAnsi="Times New Roman" w:eastAsia="宋体" w:cs="Times New Roman"/>
                <w:color w:val="000000"/>
                <w:sz w:val="24"/>
                <w:highlight w:val="none"/>
                <w:lang w:eastAsia="zh-CN"/>
              </w:rPr>
              <w:t>属于乡镇道路，车辆噪声源强也不大，项目区域声环境质量</w:t>
            </w:r>
            <w:r>
              <w:rPr>
                <w:rFonts w:hint="eastAsia" w:ascii="Times New Roman" w:hAnsi="Times New Roman" w:eastAsia="宋体" w:cs="Times New Roman"/>
                <w:color w:val="000000"/>
                <w:sz w:val="24"/>
                <w:highlight w:val="none"/>
                <w:lang w:val="en-US" w:eastAsia="zh-CN"/>
              </w:rPr>
              <w:t>总体上</w:t>
            </w:r>
            <w:r>
              <w:rPr>
                <w:rFonts w:ascii="Times New Roman" w:hAnsi="Times New Roman" w:eastAsia="宋体" w:cs="Times New Roman"/>
                <w:color w:val="000000"/>
                <w:sz w:val="24"/>
                <w:highlight w:val="none"/>
                <w:lang w:eastAsia="zh-CN"/>
              </w:rPr>
              <w:t>满足GB3096-2008《声环境质量标准》2类标准要求。</w:t>
            </w:r>
          </w:p>
          <w:p w14:paraId="4E97B680">
            <w:pPr>
              <w:spacing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4、生态环境质量现状</w:t>
            </w:r>
          </w:p>
          <w:p w14:paraId="0BB518C5">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zh-CN"/>
              </w:rPr>
            </w:pPr>
            <w:r>
              <w:rPr>
                <w:rFonts w:ascii="Times New Roman" w:hAnsi="Times New Roman" w:eastAsia="宋体" w:cs="Times New Roman"/>
                <w:color w:val="000000"/>
                <w:sz w:val="24"/>
                <w:szCs w:val="24"/>
                <w:highlight w:val="none"/>
                <w:lang w:val="zh-CN"/>
              </w:rPr>
              <w:t>本项目位于</w:t>
            </w:r>
            <w:r>
              <w:rPr>
                <w:rFonts w:hint="eastAsia" w:ascii="Times New Roman" w:hAnsi="Times New Roman" w:eastAsia="宋体" w:cs="Times New Roman"/>
                <w:color w:val="000000"/>
                <w:sz w:val="24"/>
                <w:szCs w:val="24"/>
                <w:highlight w:val="none"/>
                <w:lang w:val="en-US" w:eastAsia="zh-CN"/>
              </w:rPr>
              <w:t>云南省德宏州芒市风平镇帕底村芒市糖厂</w:t>
            </w:r>
            <w:r>
              <w:rPr>
                <w:rFonts w:ascii="Times New Roman" w:hAnsi="Times New Roman" w:eastAsia="宋体" w:cs="Times New Roman"/>
                <w:color w:val="000000"/>
                <w:sz w:val="24"/>
                <w:szCs w:val="24"/>
                <w:highlight w:val="none"/>
                <w:lang w:val="zh-CN"/>
              </w:rPr>
              <w:t>，</w:t>
            </w:r>
            <w:r>
              <w:rPr>
                <w:rFonts w:ascii="Times New Roman" w:hAnsi="Times New Roman" w:eastAsia="宋体" w:cs="Times New Roman"/>
                <w:color w:val="000000"/>
                <w:sz w:val="24"/>
                <w:szCs w:val="24"/>
                <w:highlight w:val="none"/>
                <w:lang w:val="en-US" w:eastAsia="zh-CN"/>
              </w:rPr>
              <w:t>项目占地</w:t>
            </w:r>
            <w:r>
              <w:rPr>
                <w:rFonts w:hint="eastAsia" w:ascii="Times New Roman" w:hAnsi="Times New Roman" w:eastAsia="宋体" w:cs="Times New Roman"/>
                <w:color w:val="000000"/>
                <w:sz w:val="24"/>
                <w:szCs w:val="24"/>
                <w:highlight w:val="none"/>
                <w:lang w:val="en-US" w:eastAsia="zh-CN"/>
              </w:rPr>
              <w:t>性质为工业用地</w:t>
            </w:r>
            <w:r>
              <w:rPr>
                <w:rFonts w:ascii="Times New Roman" w:hAnsi="Times New Roman" w:eastAsia="宋体" w:cs="Times New Roman"/>
                <w:color w:val="000000"/>
                <w:sz w:val="24"/>
                <w:szCs w:val="24"/>
                <w:highlight w:val="none"/>
                <w:lang w:val="en-US" w:eastAsia="zh-CN"/>
              </w:rPr>
              <w:t>，</w:t>
            </w:r>
            <w:r>
              <w:rPr>
                <w:rFonts w:ascii="Times New Roman" w:hAnsi="Times New Roman" w:eastAsia="宋体" w:cs="Times New Roman"/>
                <w:color w:val="000000"/>
                <w:sz w:val="24"/>
              </w:rPr>
              <w:t>受人类开发</w:t>
            </w:r>
            <w:r>
              <w:rPr>
                <w:rFonts w:ascii="Times New Roman" w:hAnsi="Times New Roman" w:eastAsia="宋体" w:cs="Times New Roman"/>
                <w:color w:val="000000"/>
                <w:sz w:val="24"/>
                <w:lang w:val="en-US" w:eastAsia="zh-CN"/>
              </w:rPr>
              <w:t>利用较早</w:t>
            </w:r>
            <w:r>
              <w:rPr>
                <w:rFonts w:ascii="Times New Roman" w:hAnsi="Times New Roman" w:eastAsia="宋体" w:cs="Times New Roman"/>
                <w:color w:val="000000"/>
                <w:sz w:val="24"/>
              </w:rPr>
              <w:t>，项目区内</w:t>
            </w:r>
            <w:r>
              <w:rPr>
                <w:rFonts w:ascii="Times New Roman" w:hAnsi="Times New Roman" w:eastAsia="宋体" w:cs="Times New Roman"/>
                <w:color w:val="000000"/>
                <w:sz w:val="24"/>
                <w:lang w:val="en-US" w:eastAsia="zh-CN"/>
              </w:rPr>
              <w:t>植被覆盖</w:t>
            </w:r>
            <w:r>
              <w:rPr>
                <w:rFonts w:hint="eastAsia" w:ascii="Times New Roman" w:hAnsi="Times New Roman" w:eastAsia="宋体" w:cs="Times New Roman"/>
                <w:color w:val="000000"/>
                <w:sz w:val="24"/>
                <w:lang w:val="en-US" w:eastAsia="zh-CN"/>
              </w:rPr>
              <w:t>较</w:t>
            </w:r>
            <w:r>
              <w:rPr>
                <w:rFonts w:ascii="Times New Roman" w:hAnsi="Times New Roman" w:eastAsia="宋体" w:cs="Times New Roman"/>
                <w:color w:val="000000"/>
                <w:sz w:val="24"/>
                <w:lang w:val="en-US" w:eastAsia="zh-CN"/>
              </w:rPr>
              <w:t>少</w:t>
            </w:r>
            <w:r>
              <w:rPr>
                <w:rFonts w:ascii="Times New Roman" w:hAnsi="Times New Roman" w:eastAsia="宋体" w:cs="Times New Roman"/>
                <w:color w:val="000000"/>
                <w:sz w:val="24"/>
              </w:rPr>
              <w:t>，</w:t>
            </w:r>
            <w:r>
              <w:rPr>
                <w:rFonts w:ascii="Times New Roman" w:hAnsi="Times New Roman" w:eastAsia="宋体" w:cs="Times New Roman"/>
                <w:color w:val="000000"/>
                <w:sz w:val="24"/>
                <w:lang w:val="en-US" w:eastAsia="zh-CN"/>
              </w:rPr>
              <w:t>项目区周边</w:t>
            </w:r>
            <w:r>
              <w:rPr>
                <w:rFonts w:ascii="Times New Roman" w:hAnsi="Times New Roman" w:eastAsia="宋体" w:cs="Times New Roman"/>
                <w:color w:val="000000"/>
                <w:sz w:val="24"/>
                <w:szCs w:val="24"/>
                <w:highlight w:val="none"/>
                <w:lang w:val="zh-CN"/>
              </w:rPr>
              <w:t>现状为</w:t>
            </w:r>
            <w:r>
              <w:rPr>
                <w:rFonts w:hint="eastAsia" w:ascii="Times New Roman" w:hAnsi="Times New Roman" w:eastAsia="宋体" w:cs="Times New Roman"/>
                <w:color w:val="000000"/>
                <w:sz w:val="24"/>
                <w:szCs w:val="24"/>
                <w:highlight w:val="none"/>
                <w:lang w:val="en-US" w:eastAsia="zh-CN"/>
              </w:rPr>
              <w:t>居民点</w:t>
            </w:r>
            <w:r>
              <w:rPr>
                <w:rFonts w:ascii="Times New Roman" w:hAnsi="Times New Roman" w:eastAsia="宋体" w:cs="Times New Roman"/>
                <w:color w:val="000000"/>
                <w:sz w:val="24"/>
                <w:szCs w:val="24"/>
                <w:highlight w:val="none"/>
                <w:lang w:val="en-US" w:eastAsia="zh-CN"/>
              </w:rPr>
              <w:t>、</w:t>
            </w:r>
            <w:r>
              <w:rPr>
                <w:rFonts w:ascii="Times New Roman" w:hAnsi="Times New Roman" w:eastAsia="宋体" w:cs="Times New Roman"/>
                <w:bCs/>
                <w:color w:val="000000"/>
                <w:sz w:val="24"/>
                <w:szCs w:val="24"/>
                <w:highlight w:val="none"/>
                <w:lang w:val="en-US" w:eastAsia="zh-CN"/>
              </w:rPr>
              <w:t>裸地</w:t>
            </w:r>
            <w:r>
              <w:rPr>
                <w:rFonts w:hint="eastAsia" w:ascii="Times New Roman" w:hAnsi="Times New Roman" w:eastAsia="宋体" w:cs="Times New Roman"/>
                <w:bCs/>
                <w:color w:val="000000"/>
                <w:sz w:val="24"/>
                <w:szCs w:val="24"/>
                <w:highlight w:val="none"/>
                <w:lang w:val="en-US" w:eastAsia="zh-CN"/>
              </w:rPr>
              <w:t>及绿化带</w:t>
            </w:r>
            <w:r>
              <w:rPr>
                <w:rFonts w:ascii="Times New Roman" w:hAnsi="Times New Roman" w:eastAsia="宋体" w:cs="Times New Roman"/>
                <w:color w:val="000000"/>
                <w:sz w:val="24"/>
                <w:szCs w:val="24"/>
                <w:highlight w:val="none"/>
                <w:lang w:val="zh-CN"/>
              </w:rPr>
              <w:t>，区域动物极少，经常出没的动物为常见的小型野生动物，主要有褐家鼠（</w:t>
            </w:r>
            <w:r>
              <w:rPr>
                <w:rFonts w:ascii="Times New Roman" w:hAnsi="Times New Roman" w:eastAsia="宋体" w:cs="Times New Roman"/>
                <w:i/>
                <w:iCs/>
                <w:color w:val="000000"/>
                <w:sz w:val="24"/>
                <w:szCs w:val="24"/>
                <w:highlight w:val="none"/>
                <w:lang w:val="zh-CN"/>
              </w:rPr>
              <w:t>Rattus norvgicus</w:t>
            </w:r>
            <w:r>
              <w:rPr>
                <w:rFonts w:ascii="Times New Roman" w:hAnsi="Times New Roman" w:eastAsia="宋体" w:cs="Times New Roman"/>
                <w:color w:val="000000"/>
                <w:sz w:val="24"/>
                <w:szCs w:val="24"/>
                <w:highlight w:val="none"/>
                <w:lang w:val="zh-CN"/>
              </w:rPr>
              <w:t>）、小家鼠（</w:t>
            </w:r>
            <w:r>
              <w:rPr>
                <w:rFonts w:ascii="Times New Roman" w:hAnsi="Times New Roman" w:eastAsia="宋体" w:cs="Times New Roman"/>
                <w:i/>
                <w:iCs/>
                <w:color w:val="000000"/>
                <w:sz w:val="24"/>
                <w:szCs w:val="24"/>
                <w:highlight w:val="none"/>
                <w:lang w:val="zh-CN"/>
              </w:rPr>
              <w:t>Mus musculus</w:t>
            </w:r>
            <w:r>
              <w:rPr>
                <w:rFonts w:ascii="Times New Roman" w:hAnsi="Times New Roman" w:eastAsia="宋体" w:cs="Times New Roman"/>
                <w:color w:val="000000"/>
                <w:sz w:val="24"/>
                <w:szCs w:val="24"/>
                <w:highlight w:val="none"/>
                <w:lang w:val="zh-CN"/>
              </w:rPr>
              <w:t>）、树麻雀（</w:t>
            </w:r>
            <w:r>
              <w:rPr>
                <w:rFonts w:ascii="Times New Roman" w:hAnsi="Times New Roman" w:eastAsia="宋体" w:cs="Times New Roman"/>
                <w:i/>
                <w:iCs/>
                <w:color w:val="000000"/>
                <w:sz w:val="24"/>
                <w:szCs w:val="24"/>
                <w:highlight w:val="none"/>
                <w:lang w:val="zh-CN"/>
              </w:rPr>
              <w:t>Passer montanu</w:t>
            </w:r>
            <w:r>
              <w:rPr>
                <w:rFonts w:ascii="Times New Roman" w:hAnsi="Times New Roman" w:eastAsia="宋体" w:cs="Times New Roman"/>
                <w:color w:val="000000"/>
                <w:sz w:val="24"/>
                <w:szCs w:val="24"/>
                <w:highlight w:val="none"/>
                <w:lang w:val="zh-CN"/>
              </w:rPr>
              <w:t>）、家燕（</w:t>
            </w:r>
            <w:r>
              <w:rPr>
                <w:rFonts w:ascii="Times New Roman" w:hAnsi="Times New Roman" w:eastAsia="宋体" w:cs="Times New Roman"/>
                <w:i/>
                <w:iCs/>
                <w:color w:val="000000"/>
                <w:sz w:val="24"/>
                <w:szCs w:val="24"/>
                <w:highlight w:val="none"/>
                <w:lang w:val="zh-CN"/>
              </w:rPr>
              <w:t>Hirundo rustica</w:t>
            </w:r>
            <w:r>
              <w:rPr>
                <w:rFonts w:ascii="Times New Roman" w:hAnsi="Times New Roman" w:eastAsia="宋体" w:cs="Times New Roman"/>
                <w:color w:val="000000"/>
                <w:sz w:val="24"/>
                <w:szCs w:val="24"/>
                <w:highlight w:val="none"/>
                <w:lang w:val="zh-CN"/>
              </w:rPr>
              <w:t>）等。</w:t>
            </w:r>
            <w:r>
              <w:rPr>
                <w:rFonts w:ascii="Times New Roman" w:hAnsi="Times New Roman" w:eastAsia="宋体" w:cs="Times New Roman"/>
                <w:color w:val="000000"/>
                <w:sz w:val="24"/>
                <w:szCs w:val="24"/>
                <w:highlight w:val="none"/>
                <w:lang w:val="en-US" w:eastAsia="zh-CN"/>
              </w:rPr>
              <w:t>根据调查，项目</w:t>
            </w:r>
            <w:r>
              <w:rPr>
                <w:rFonts w:ascii="Times New Roman" w:hAnsi="Times New Roman" w:eastAsia="宋体" w:cs="Times New Roman"/>
                <w:color w:val="000000"/>
                <w:sz w:val="24"/>
                <w:szCs w:val="24"/>
                <w:highlight w:val="none"/>
                <w:lang w:val="zh-CN"/>
              </w:rPr>
              <w:t>用地范围内无国家级和省级保护物种、珍稀濒危物种和地方特有种，无国家级和省级规定保护的古树名木。工程区域内生物多样性单一，生物多样性较差，生态环境自身调控能力较低，受人为影响较大。</w:t>
            </w:r>
          </w:p>
          <w:p w14:paraId="03C28A98">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zh-CN"/>
              </w:rPr>
            </w:pPr>
            <w:r>
              <w:rPr>
                <w:rFonts w:ascii="Times New Roman" w:hAnsi="Times New Roman" w:eastAsia="宋体" w:cs="Times New Roman"/>
                <w:color w:val="000000"/>
                <w:sz w:val="24"/>
                <w:szCs w:val="24"/>
                <w:highlight w:val="none"/>
                <w:lang w:val="zh-CN"/>
              </w:rPr>
              <w:t>总体来说，评价区域植物类型较为单一，生态系统受人为控制，自身调节能力较弱。</w:t>
            </w:r>
          </w:p>
          <w:p w14:paraId="625660A5">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5、土壤环境和地下水</w:t>
            </w:r>
          </w:p>
          <w:p w14:paraId="2473C371">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项目占地</w:t>
            </w:r>
            <w:r>
              <w:rPr>
                <w:rFonts w:hint="eastAsia" w:ascii="Times New Roman" w:hAnsi="Times New Roman" w:eastAsia="宋体" w:cs="Times New Roman"/>
                <w:color w:val="000000"/>
                <w:sz w:val="24"/>
                <w:szCs w:val="24"/>
                <w:highlight w:val="none"/>
                <w:lang w:val="en-US" w:eastAsia="zh-CN"/>
              </w:rPr>
              <w:t>性质为工业用地，周边为林地及村庄，</w:t>
            </w:r>
            <w:r>
              <w:rPr>
                <w:rFonts w:ascii="Times New Roman" w:hAnsi="Times New Roman" w:eastAsia="宋体" w:cs="Times New Roman"/>
                <w:color w:val="000000"/>
                <w:sz w:val="24"/>
                <w:szCs w:val="24"/>
                <w:highlight w:val="none"/>
                <w:lang w:val="en-US" w:eastAsia="zh-CN"/>
              </w:rPr>
              <w:t>周边区域内目前尚未发现土壤、地下水过度开采和被受污染的现象，土壤、地下水环境状况总体良好。</w:t>
            </w:r>
          </w:p>
        </w:tc>
      </w:tr>
      <w:tr w14:paraId="30615D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716" w:type="dxa"/>
            <w:noWrap w:val="0"/>
            <w:vAlign w:val="center"/>
          </w:tcPr>
          <w:p w14:paraId="3052F32A">
            <w:pPr>
              <w:keepNext w:val="0"/>
              <w:keepLines w:val="0"/>
              <w:pageBreakBefore w:val="0"/>
              <w:widowControl w:val="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环境保护目标</w:t>
            </w:r>
          </w:p>
        </w:tc>
        <w:tc>
          <w:tcPr>
            <w:tcW w:w="9067" w:type="dxa"/>
            <w:noWrap w:val="0"/>
            <w:vAlign w:val="center"/>
          </w:tcPr>
          <w:p w14:paraId="0E7A8D44">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根据生态环境部办公厅印发的“《建设项目环境影响报告表》内容、格式及编制技术指南的通知”（环办环评[2020]33号），本项目环境保护目标如下所示。</w:t>
            </w:r>
          </w:p>
          <w:p w14:paraId="0F4EB04D">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1、大气环境保护目标</w:t>
            </w:r>
          </w:p>
          <w:p w14:paraId="6BF1DEE4">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根据现场踏勘及调查，项目厂界外</w:t>
            </w:r>
            <w:r>
              <w:rPr>
                <w:rFonts w:hint="eastAsia" w:ascii="Times New Roman" w:hAnsi="Times New Roman" w:eastAsia="宋体" w:cs="Times New Roman"/>
                <w:color w:val="000000"/>
                <w:sz w:val="24"/>
                <w:lang w:val="en-US" w:eastAsia="zh-CN"/>
              </w:rPr>
              <w:t>2.5k</w:t>
            </w:r>
            <w:r>
              <w:rPr>
                <w:rFonts w:ascii="Times New Roman" w:hAnsi="Times New Roman" w:eastAsia="宋体" w:cs="Times New Roman"/>
                <w:color w:val="000000"/>
                <w:sz w:val="24"/>
              </w:rPr>
              <w:t>m范围内无自然保护区、风景名胜区，项目厂界外</w:t>
            </w:r>
            <w:r>
              <w:rPr>
                <w:rFonts w:hint="eastAsia" w:ascii="Times New Roman" w:hAnsi="Times New Roman" w:eastAsia="宋体" w:cs="Times New Roman"/>
                <w:color w:val="000000"/>
                <w:sz w:val="24"/>
                <w:lang w:val="en-US" w:eastAsia="zh-CN"/>
              </w:rPr>
              <w:t>2.5k</w:t>
            </w:r>
            <w:r>
              <w:rPr>
                <w:rFonts w:ascii="Times New Roman" w:hAnsi="Times New Roman" w:eastAsia="宋体" w:cs="Times New Roman"/>
                <w:color w:val="000000"/>
                <w:sz w:val="24"/>
              </w:rPr>
              <w:t>m范围内大气环境保护目标主要是</w:t>
            </w:r>
            <w:r>
              <w:rPr>
                <w:rFonts w:hint="eastAsia" w:ascii="Times New Roman" w:hAnsi="Times New Roman" w:eastAsia="宋体" w:cs="Times New Roman"/>
                <w:color w:val="000000"/>
                <w:sz w:val="24"/>
                <w:lang w:val="en-US" w:eastAsia="zh-CN"/>
              </w:rPr>
              <w:t>村庄</w:t>
            </w:r>
            <w:r>
              <w:rPr>
                <w:rFonts w:ascii="Times New Roman" w:hAnsi="Times New Roman" w:eastAsia="宋体" w:cs="Times New Roman"/>
                <w:color w:val="000000"/>
                <w:sz w:val="24"/>
                <w:lang w:val="en-US" w:eastAsia="zh-CN"/>
              </w:rPr>
              <w:t>等</w:t>
            </w:r>
            <w:r>
              <w:rPr>
                <w:rFonts w:ascii="Times New Roman" w:hAnsi="Times New Roman" w:eastAsia="宋体" w:cs="Times New Roman"/>
                <w:color w:val="000000"/>
                <w:sz w:val="24"/>
              </w:rPr>
              <w:t>。</w:t>
            </w:r>
          </w:p>
          <w:p w14:paraId="162E2ACB">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2、地表水环境保护目标</w:t>
            </w:r>
          </w:p>
          <w:p w14:paraId="7436126E">
            <w:pPr>
              <w:spacing w:line="360" w:lineRule="auto"/>
              <w:ind w:firstLine="480"/>
              <w:rPr>
                <w:rFonts w:ascii="Times New Roman" w:hAnsi="Times New Roman" w:eastAsia="宋体" w:cs="Times New Roman"/>
                <w:b w:val="0"/>
                <w:bCs w:val="0"/>
                <w:color w:val="000000"/>
                <w:sz w:val="24"/>
                <w:szCs w:val="24"/>
                <w:highlight w:val="none"/>
              </w:rPr>
            </w:pPr>
            <w:r>
              <w:rPr>
                <w:rFonts w:ascii="Times New Roman" w:hAnsi="Times New Roman" w:eastAsia="宋体" w:cs="Times New Roman"/>
                <w:color w:val="000000"/>
                <w:sz w:val="24"/>
                <w:szCs w:val="24"/>
                <w:highlight w:val="none"/>
                <w:lang w:val="en-US" w:eastAsia="zh-CN"/>
              </w:rPr>
              <w:t>本项目</w:t>
            </w:r>
            <w:r>
              <w:rPr>
                <w:rFonts w:hint="eastAsia" w:ascii="Times New Roman" w:hAnsi="Times New Roman" w:eastAsia="宋体" w:cs="Times New Roman"/>
                <w:color w:val="000000"/>
                <w:sz w:val="24"/>
                <w:szCs w:val="24"/>
                <w:highlight w:val="none"/>
                <w:lang w:val="en-US" w:eastAsia="zh-CN"/>
              </w:rPr>
              <w:t>废水</w:t>
            </w:r>
            <w:r>
              <w:rPr>
                <w:rFonts w:ascii="Times New Roman" w:hAnsi="Times New Roman" w:eastAsia="宋体" w:cs="Times New Roman"/>
                <w:color w:val="000000"/>
                <w:sz w:val="24"/>
                <w:szCs w:val="24"/>
                <w:highlight w:val="none"/>
                <w:lang w:val="en-US" w:eastAsia="zh-CN"/>
              </w:rPr>
              <w:t>不外排</w:t>
            </w:r>
            <w:r>
              <w:rPr>
                <w:rFonts w:hint="eastAsia" w:ascii="Times New Roman" w:hAnsi="Times New Roman" w:eastAsia="宋体" w:cs="Times New Roman"/>
                <w:color w:val="000000"/>
                <w:sz w:val="24"/>
                <w:szCs w:val="24"/>
                <w:highlight w:val="none"/>
                <w:lang w:val="en-US" w:eastAsia="zh-CN"/>
              </w:rPr>
              <w:t>。</w:t>
            </w:r>
            <w:r>
              <w:rPr>
                <w:rFonts w:ascii="Times New Roman" w:hAnsi="Times New Roman" w:eastAsia="宋体" w:cs="Times New Roman"/>
                <w:b w:val="0"/>
                <w:bCs w:val="0"/>
                <w:color w:val="000000"/>
                <w:sz w:val="24"/>
                <w:szCs w:val="24"/>
                <w:highlight w:val="none"/>
              </w:rPr>
              <w:t>地表水水质按《地表水环境质量标准》（GB3838-2002）III类标准进行控制，保护区域地表水保护目标</w:t>
            </w:r>
            <w:r>
              <w:rPr>
                <w:rFonts w:ascii="Times New Roman" w:hAnsi="Times New Roman" w:eastAsia="宋体" w:cs="Times New Roman"/>
                <w:color w:val="000000"/>
                <w:sz w:val="24"/>
                <w:lang w:val="en-US" w:eastAsia="zh-CN"/>
              </w:rPr>
              <w:t>芒市大河</w:t>
            </w:r>
            <w:r>
              <w:rPr>
                <w:rFonts w:hint="eastAsia" w:ascii="Times New Roman" w:hAnsi="Times New Roman" w:eastAsia="宋体" w:cs="Times New Roman"/>
                <w:color w:val="000000"/>
                <w:sz w:val="24"/>
                <w:lang w:val="en-US" w:eastAsia="zh-CN"/>
              </w:rPr>
              <w:t>、果朗河</w:t>
            </w:r>
            <w:r>
              <w:rPr>
                <w:rFonts w:ascii="Times New Roman" w:hAnsi="Times New Roman" w:eastAsia="宋体" w:cs="Times New Roman"/>
                <w:b w:val="0"/>
                <w:bCs w:val="0"/>
                <w:color w:val="000000"/>
                <w:sz w:val="24"/>
                <w:szCs w:val="24"/>
                <w:highlight w:val="none"/>
              </w:rPr>
              <w:t>水环境质量，不因本项目而降低区域水环境质量级别。</w:t>
            </w:r>
          </w:p>
          <w:p w14:paraId="51B1AD8C">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3、声环境保护目标</w:t>
            </w:r>
          </w:p>
          <w:p w14:paraId="40ACEFAC">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根据现场踏勘及调查，</w:t>
            </w:r>
            <w:r>
              <w:rPr>
                <w:rFonts w:ascii="Times New Roman" w:hAnsi="Times New Roman" w:eastAsia="宋体" w:cs="Times New Roman"/>
                <w:color w:val="000000"/>
                <w:sz w:val="24"/>
                <w:highlight w:val="none"/>
              </w:rPr>
              <w:t>项目厂界外50m范围内</w:t>
            </w:r>
            <w:r>
              <w:rPr>
                <w:rFonts w:hint="eastAsia" w:ascii="Times New Roman" w:hAnsi="Times New Roman" w:eastAsia="宋体" w:cs="Times New Roman"/>
                <w:color w:val="000000"/>
                <w:sz w:val="24"/>
                <w:highlight w:val="none"/>
                <w:lang w:val="en-US" w:eastAsia="zh-CN"/>
              </w:rPr>
              <w:t>无声环境敏感点</w:t>
            </w:r>
            <w:r>
              <w:rPr>
                <w:rFonts w:ascii="Times New Roman" w:hAnsi="Times New Roman" w:eastAsia="宋体" w:cs="Times New Roman"/>
                <w:color w:val="000000"/>
                <w:sz w:val="24"/>
              </w:rPr>
              <w:t>。</w:t>
            </w:r>
          </w:p>
          <w:p w14:paraId="3899ACFE">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4、地下水环境保护目标</w:t>
            </w:r>
          </w:p>
          <w:p w14:paraId="6230915F">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根据现场踏勘及调查，项目厂界外500m范围内无地下水集中式饮用水源点和热水、矿泉水、温泉等特殊地下水资源，本次评价不设地下水环境保护目标。</w:t>
            </w:r>
          </w:p>
          <w:p w14:paraId="0A11C4C7">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5、生态环境保护目标</w:t>
            </w:r>
          </w:p>
          <w:p w14:paraId="4E6B15B2">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rPr>
              <w:t>根据现场踏勘及调查，项目</w:t>
            </w:r>
            <w:r>
              <w:rPr>
                <w:rFonts w:ascii="Times New Roman" w:hAnsi="Times New Roman" w:eastAsia="宋体" w:cs="Times New Roman"/>
                <w:color w:val="000000"/>
                <w:sz w:val="24"/>
                <w:lang w:val="en-US" w:eastAsia="zh-CN"/>
              </w:rPr>
              <w:t>区</w:t>
            </w:r>
            <w:r>
              <w:rPr>
                <w:rFonts w:ascii="Times New Roman" w:hAnsi="Times New Roman" w:eastAsia="宋体" w:cs="Times New Roman"/>
                <w:color w:val="000000"/>
                <w:sz w:val="24"/>
              </w:rPr>
              <w:t>周边不涉及自然保护区、风景名胜区等生态环境敏感点。</w:t>
            </w:r>
          </w:p>
          <w:p w14:paraId="01219BB2">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lang w:val="en-US" w:eastAsia="zh-CN"/>
              </w:rPr>
              <w:t>本项目主要保护目标情况见下表。</w:t>
            </w:r>
          </w:p>
          <w:p w14:paraId="6FE14517">
            <w:pPr>
              <w:spacing w:line="240" w:lineRule="auto"/>
              <w:ind w:firstLine="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表3-</w:t>
            </w:r>
            <w:r>
              <w:rPr>
                <w:rFonts w:hint="eastAsia" w:ascii="Times New Roman" w:hAnsi="Times New Roman" w:eastAsia="宋体" w:cs="Times New Roman"/>
                <w:b/>
                <w:bCs/>
                <w:color w:val="000000"/>
                <w:sz w:val="24"/>
                <w:szCs w:val="24"/>
                <w:highlight w:val="none"/>
                <w:lang w:val="en-US" w:eastAsia="zh-CN"/>
              </w:rPr>
              <w:t>9</w:t>
            </w:r>
            <w:r>
              <w:rPr>
                <w:rFonts w:ascii="Times New Roman" w:hAnsi="Times New Roman" w:eastAsia="宋体" w:cs="Times New Roman"/>
                <w:b/>
                <w:bCs/>
                <w:color w:val="000000"/>
                <w:sz w:val="24"/>
                <w:szCs w:val="24"/>
                <w:highlight w:val="none"/>
              </w:rPr>
              <w:t xml:space="preserve">  </w:t>
            </w:r>
            <w:r>
              <w:rPr>
                <w:rFonts w:ascii="Times New Roman" w:hAnsi="Times New Roman" w:eastAsia="宋体" w:cs="Times New Roman"/>
                <w:b/>
                <w:bCs/>
                <w:color w:val="000000"/>
                <w:sz w:val="24"/>
                <w:szCs w:val="24"/>
                <w:highlight w:val="none"/>
                <w:lang w:val="en-US" w:eastAsia="zh-CN"/>
              </w:rPr>
              <w:t>项目主要</w:t>
            </w:r>
            <w:r>
              <w:rPr>
                <w:rFonts w:ascii="Times New Roman" w:hAnsi="Times New Roman" w:eastAsia="宋体" w:cs="Times New Roman"/>
                <w:b/>
                <w:bCs/>
                <w:color w:val="000000"/>
                <w:sz w:val="24"/>
                <w:szCs w:val="24"/>
                <w:highlight w:val="none"/>
              </w:rPr>
              <w:t>环境保护</w:t>
            </w:r>
            <w:r>
              <w:rPr>
                <w:rFonts w:ascii="Times New Roman" w:hAnsi="Times New Roman" w:eastAsia="宋体" w:cs="Times New Roman"/>
                <w:b/>
                <w:bCs/>
                <w:color w:val="000000"/>
                <w:sz w:val="24"/>
                <w:szCs w:val="24"/>
                <w:highlight w:val="none"/>
                <w:lang w:val="en-US" w:eastAsia="zh-CN"/>
              </w:rPr>
              <w:t>目标</w:t>
            </w:r>
            <w:r>
              <w:rPr>
                <w:rFonts w:ascii="Times New Roman" w:hAnsi="Times New Roman" w:eastAsia="宋体" w:cs="Times New Roman"/>
                <w:b/>
                <w:bCs/>
                <w:color w:val="000000"/>
                <w:sz w:val="24"/>
                <w:szCs w:val="24"/>
                <w:highlight w:val="none"/>
              </w:rPr>
              <w:t>一览表</w:t>
            </w:r>
          </w:p>
          <w:tbl>
            <w:tblPr>
              <w:tblStyle w:val="2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2"/>
              <w:gridCol w:w="982"/>
              <w:gridCol w:w="982"/>
              <w:gridCol w:w="982"/>
              <w:gridCol w:w="982"/>
              <w:gridCol w:w="982"/>
              <w:gridCol w:w="982"/>
              <w:gridCol w:w="982"/>
              <w:gridCol w:w="982"/>
            </w:tblGrid>
            <w:tr w14:paraId="49B6E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3" w:hRule="atLeast"/>
                <w:jc w:val="center"/>
              </w:trPr>
              <w:tc>
                <w:tcPr>
                  <w:tcW w:w="350" w:type="dxa"/>
                  <w:vMerge w:val="restart"/>
                  <w:noWrap w:val="0"/>
                  <w:vAlign w:val="center"/>
                </w:tcPr>
                <w:p w14:paraId="336BBB91">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b/>
                      <w:color w:val="000000"/>
                      <w:spacing w:val="-10"/>
                      <w:sz w:val="21"/>
                      <w:szCs w:val="21"/>
                      <w:highlight w:val="none"/>
                      <w:lang w:val="en-US" w:eastAsia="zh-CN"/>
                    </w:rPr>
                    <w:t>环境要素</w:t>
                  </w:r>
                </w:p>
              </w:tc>
              <w:tc>
                <w:tcPr>
                  <w:tcW w:w="459" w:type="dxa"/>
                  <w:vMerge w:val="restart"/>
                  <w:noWrap w:val="0"/>
                  <w:vAlign w:val="center"/>
                </w:tcPr>
                <w:p w14:paraId="09EF3244">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b/>
                      <w:color w:val="000000"/>
                      <w:spacing w:val="-10"/>
                      <w:sz w:val="21"/>
                      <w:szCs w:val="21"/>
                      <w:highlight w:val="none"/>
                      <w:lang w:val="en-US" w:eastAsia="zh-CN"/>
                    </w:rPr>
                    <w:t>名称</w:t>
                  </w:r>
                </w:p>
              </w:tc>
              <w:tc>
                <w:tcPr>
                  <w:tcW w:w="1258" w:type="dxa"/>
                  <w:noWrap w:val="0"/>
                  <w:vAlign w:val="center"/>
                </w:tcPr>
                <w:p w14:paraId="7F51E594">
                  <w:pPr>
                    <w:jc w:val="center"/>
                    <w:rPr>
                      <w:rFonts w:ascii="Times New Roman" w:hAnsi="Times New Roman" w:eastAsia="宋体" w:cs="Times New Roman"/>
                      <w:b/>
                      <w:color w:val="000000"/>
                      <w:spacing w:val="-10"/>
                      <w:sz w:val="21"/>
                      <w:szCs w:val="21"/>
                      <w:highlight w:val="none"/>
                    </w:rPr>
                  </w:pPr>
                  <w:r>
                    <w:rPr>
                      <w:rFonts w:ascii="Times New Roman" w:hAnsi="Times New Roman" w:eastAsia="宋体" w:cs="Times New Roman"/>
                      <w:b/>
                      <w:color w:val="000000"/>
                      <w:sz w:val="21"/>
                      <w:szCs w:val="21"/>
                      <w:highlight w:val="none"/>
                    </w:rPr>
                    <w:t>经纬度</w:t>
                  </w:r>
                </w:p>
              </w:tc>
              <w:tc>
                <w:tcPr>
                  <w:tcW w:w="430" w:type="dxa"/>
                  <w:vMerge w:val="restart"/>
                  <w:noWrap w:val="0"/>
                  <w:vAlign w:val="center"/>
                </w:tcPr>
                <w:p w14:paraId="2D48FDAA">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b/>
                      <w:bCs/>
                      <w:color w:val="000000"/>
                      <w:sz w:val="21"/>
                      <w:szCs w:val="21"/>
                      <w:highlight w:val="none"/>
                      <w:lang w:val="en-US" w:eastAsia="zh-CN"/>
                    </w:rPr>
                    <w:t>高程</w:t>
                  </w:r>
                </w:p>
              </w:tc>
              <w:tc>
                <w:tcPr>
                  <w:tcW w:w="537" w:type="dxa"/>
                  <w:vMerge w:val="restart"/>
                  <w:noWrap w:val="0"/>
                  <w:vAlign w:val="center"/>
                </w:tcPr>
                <w:p w14:paraId="0C4DBB4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b/>
                      <w:bCs/>
                      <w:color w:val="000000"/>
                      <w:sz w:val="21"/>
                      <w:szCs w:val="21"/>
                      <w:highlight w:val="none"/>
                    </w:rPr>
                    <w:t>保护</w:t>
                  </w:r>
                  <w:r>
                    <w:rPr>
                      <w:rFonts w:hint="eastAsia" w:ascii="Times New Roman" w:hAnsi="Times New Roman" w:eastAsia="宋体" w:cs="Times New Roman"/>
                      <w:b/>
                      <w:bCs/>
                      <w:color w:val="000000"/>
                      <w:sz w:val="21"/>
                      <w:szCs w:val="21"/>
                      <w:highlight w:val="none"/>
                      <w:lang w:val="en-US" w:eastAsia="zh-CN"/>
                    </w:rPr>
                    <w:t>对象</w:t>
                  </w:r>
                </w:p>
              </w:tc>
              <w:tc>
                <w:tcPr>
                  <w:tcW w:w="485" w:type="dxa"/>
                  <w:vMerge w:val="restart"/>
                  <w:noWrap w:val="0"/>
                  <w:vAlign w:val="center"/>
                </w:tcPr>
                <w:p w14:paraId="751D8920">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rPr>
                  </w:pPr>
                  <w:r>
                    <w:rPr>
                      <w:rFonts w:ascii="Times New Roman" w:hAnsi="Times New Roman" w:eastAsia="宋体" w:cs="Times New Roman"/>
                      <w:b/>
                      <w:color w:val="000000"/>
                      <w:spacing w:val="-10"/>
                      <w:sz w:val="21"/>
                      <w:szCs w:val="21"/>
                      <w:highlight w:val="none"/>
                    </w:rPr>
                    <w:t>相对厂址方向</w:t>
                  </w:r>
                </w:p>
              </w:tc>
              <w:tc>
                <w:tcPr>
                  <w:tcW w:w="511" w:type="dxa"/>
                  <w:vMerge w:val="restart"/>
                  <w:noWrap w:val="0"/>
                  <w:vAlign w:val="center"/>
                </w:tcPr>
                <w:p w14:paraId="70D46ADC">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lang w:val="en-US" w:eastAsia="zh-CN"/>
                    </w:rPr>
                  </w:pPr>
                  <w:r>
                    <w:rPr>
                      <w:rFonts w:ascii="Times New Roman" w:hAnsi="Times New Roman" w:eastAsia="宋体" w:cs="Times New Roman"/>
                      <w:b/>
                      <w:color w:val="000000"/>
                      <w:spacing w:val="-10"/>
                      <w:sz w:val="21"/>
                      <w:szCs w:val="21"/>
                      <w:highlight w:val="none"/>
                    </w:rPr>
                    <w:t>相对厂界距离</w:t>
                  </w:r>
                  <w:r>
                    <w:rPr>
                      <w:rFonts w:ascii="Times New Roman" w:hAnsi="Times New Roman" w:eastAsia="宋体" w:cs="Times New Roman"/>
                      <w:b/>
                      <w:color w:val="000000"/>
                      <w:spacing w:val="-10"/>
                      <w:sz w:val="21"/>
                      <w:szCs w:val="21"/>
                      <w:highlight w:val="none"/>
                      <w:lang w:val="en-US" w:eastAsia="zh-CN"/>
                    </w:rPr>
                    <w:t>/</w:t>
                  </w:r>
                  <w:r>
                    <w:rPr>
                      <w:rFonts w:hint="eastAsia" w:ascii="Times New Roman" w:hAnsi="Times New Roman" w:eastAsia="宋体" w:cs="Times New Roman"/>
                      <w:b/>
                      <w:color w:val="000000"/>
                      <w:spacing w:val="-10"/>
                      <w:sz w:val="21"/>
                      <w:szCs w:val="21"/>
                      <w:highlight w:val="none"/>
                      <w:lang w:val="en-US" w:eastAsia="zh-CN"/>
                    </w:rPr>
                    <w:t>k</w:t>
                  </w:r>
                  <w:r>
                    <w:rPr>
                      <w:rFonts w:ascii="Times New Roman" w:hAnsi="Times New Roman" w:eastAsia="宋体" w:cs="Times New Roman"/>
                      <w:b/>
                      <w:color w:val="000000"/>
                      <w:spacing w:val="-10"/>
                      <w:sz w:val="21"/>
                      <w:szCs w:val="21"/>
                      <w:highlight w:val="none"/>
                      <w:lang w:val="en-US" w:eastAsia="zh-CN"/>
                    </w:rPr>
                    <w:t>m</w:t>
                  </w:r>
                </w:p>
              </w:tc>
              <w:tc>
                <w:tcPr>
                  <w:tcW w:w="966" w:type="dxa"/>
                  <w:vMerge w:val="restart"/>
                  <w:noWrap w:val="0"/>
                  <w:vAlign w:val="center"/>
                </w:tcPr>
                <w:p w14:paraId="3DA799D9">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rPr>
                  </w:pPr>
                  <w:r>
                    <w:rPr>
                      <w:rFonts w:ascii="Times New Roman" w:hAnsi="Times New Roman" w:eastAsia="宋体" w:cs="Times New Roman"/>
                      <w:b/>
                      <w:color w:val="000000"/>
                      <w:spacing w:val="-10"/>
                      <w:sz w:val="21"/>
                      <w:szCs w:val="21"/>
                      <w:highlight w:val="none"/>
                    </w:rPr>
                    <w:t>保护级别</w:t>
                  </w:r>
                </w:p>
              </w:tc>
            </w:tr>
            <w:tr w14:paraId="6A56D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0" w:type="dxa"/>
                  <w:vMerge w:val="continue"/>
                  <w:noWrap w:val="0"/>
                  <w:vAlign w:val="center"/>
                </w:tcPr>
                <w:p w14:paraId="28F80FF1">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p>
              </w:tc>
              <w:tc>
                <w:tcPr>
                  <w:tcW w:w="459" w:type="dxa"/>
                  <w:vMerge w:val="continue"/>
                  <w:noWrap w:val="0"/>
                  <w:vAlign w:val="center"/>
                </w:tcPr>
                <w:p w14:paraId="1A4F7BBC">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p>
              </w:tc>
              <w:tc>
                <w:tcPr>
                  <w:tcW w:w="657" w:type="dxa"/>
                  <w:noWrap w:val="0"/>
                  <w:vAlign w:val="center"/>
                </w:tcPr>
                <w:p w14:paraId="75251B66">
                  <w:pPr>
                    <w:jc w:val="center"/>
                    <w:rPr>
                      <w:rFonts w:ascii="Times New Roman" w:hAnsi="Times New Roman" w:eastAsia="宋体" w:cs="Times New Roman"/>
                      <w:b/>
                      <w:i/>
                      <w:iCs/>
                      <w:color w:val="000000"/>
                      <w:spacing w:val="-10"/>
                      <w:sz w:val="21"/>
                      <w:szCs w:val="21"/>
                      <w:highlight w:val="none"/>
                    </w:rPr>
                  </w:pPr>
                  <w:r>
                    <w:rPr>
                      <w:rFonts w:ascii="Times New Roman" w:hAnsi="Times New Roman" w:eastAsia="宋体" w:cs="Times New Roman"/>
                      <w:b/>
                      <w:color w:val="000000"/>
                      <w:sz w:val="21"/>
                      <w:szCs w:val="21"/>
                      <w:highlight w:val="none"/>
                    </w:rPr>
                    <w:t>经度</w:t>
                  </w:r>
                </w:p>
              </w:tc>
              <w:tc>
                <w:tcPr>
                  <w:tcW w:w="601" w:type="dxa"/>
                  <w:noWrap w:val="0"/>
                  <w:vAlign w:val="center"/>
                </w:tcPr>
                <w:p w14:paraId="3228BF19">
                  <w:pPr>
                    <w:jc w:val="center"/>
                    <w:rPr>
                      <w:rFonts w:ascii="Times New Roman" w:hAnsi="Times New Roman" w:eastAsia="宋体" w:cs="Times New Roman"/>
                      <w:b/>
                      <w:i/>
                      <w:iCs/>
                      <w:color w:val="000000"/>
                      <w:spacing w:val="-10"/>
                      <w:sz w:val="21"/>
                      <w:szCs w:val="21"/>
                      <w:highlight w:val="none"/>
                    </w:rPr>
                  </w:pPr>
                  <w:r>
                    <w:rPr>
                      <w:rFonts w:ascii="Times New Roman" w:hAnsi="Times New Roman" w:eastAsia="宋体" w:cs="Times New Roman"/>
                      <w:b/>
                      <w:color w:val="000000"/>
                      <w:sz w:val="21"/>
                      <w:szCs w:val="21"/>
                      <w:highlight w:val="none"/>
                    </w:rPr>
                    <w:t>纬度</w:t>
                  </w:r>
                </w:p>
              </w:tc>
              <w:tc>
                <w:tcPr>
                  <w:tcW w:w="430" w:type="dxa"/>
                  <w:vMerge w:val="continue"/>
                  <w:noWrap w:val="0"/>
                  <w:vAlign w:val="center"/>
                </w:tcPr>
                <w:p w14:paraId="7F0E6942">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rPr>
                  </w:pPr>
                </w:p>
              </w:tc>
              <w:tc>
                <w:tcPr>
                  <w:tcW w:w="537" w:type="dxa"/>
                  <w:vMerge w:val="continue"/>
                  <w:noWrap w:val="0"/>
                  <w:vAlign w:val="center"/>
                </w:tcPr>
                <w:p w14:paraId="118E4E04">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rPr>
                  </w:pPr>
                </w:p>
              </w:tc>
              <w:tc>
                <w:tcPr>
                  <w:tcW w:w="485" w:type="dxa"/>
                  <w:vMerge w:val="continue"/>
                  <w:noWrap w:val="0"/>
                  <w:vAlign w:val="center"/>
                </w:tcPr>
                <w:p w14:paraId="4D7D5245">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rPr>
                  </w:pPr>
                </w:p>
              </w:tc>
              <w:tc>
                <w:tcPr>
                  <w:tcW w:w="511" w:type="dxa"/>
                  <w:vMerge w:val="continue"/>
                  <w:noWrap w:val="0"/>
                  <w:vAlign w:val="center"/>
                </w:tcPr>
                <w:p w14:paraId="2005BD69">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rPr>
                  </w:pPr>
                </w:p>
              </w:tc>
              <w:tc>
                <w:tcPr>
                  <w:tcW w:w="966" w:type="dxa"/>
                  <w:vMerge w:val="restart"/>
                  <w:noWrap w:val="0"/>
                  <w:vAlign w:val="center"/>
                </w:tcPr>
                <w:p w14:paraId="5AC71560">
                  <w:pPr>
                    <w:keepNext w:val="0"/>
                    <w:keepLines w:val="0"/>
                    <w:pageBreakBefore w:val="0"/>
                    <w:widowControl w:val="0"/>
                    <w:spacing w:line="240" w:lineRule="auto"/>
                    <w:ind w:firstLine="0"/>
                    <w:jc w:val="center"/>
                    <w:rPr>
                      <w:rFonts w:ascii="Times New Roman" w:hAnsi="Times New Roman" w:eastAsia="宋体" w:cs="Times New Roman"/>
                      <w:b/>
                      <w:color w:val="000000"/>
                      <w:spacing w:val="-10"/>
                      <w:sz w:val="21"/>
                      <w:szCs w:val="21"/>
                      <w:highlight w:val="none"/>
                    </w:rPr>
                  </w:pPr>
                </w:p>
              </w:tc>
            </w:tr>
            <w:tr w14:paraId="0CF61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0" w:type="dxa"/>
                  <w:vMerge w:val="restart"/>
                  <w:noWrap w:val="0"/>
                  <w:vAlign w:val="center"/>
                </w:tcPr>
                <w:p w14:paraId="7C31C92D">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 w:val="21"/>
                      <w:szCs w:val="21"/>
                      <w:highlight w:val="none"/>
                      <w:lang w:val="en-US" w:eastAsia="zh-CN"/>
                    </w:rPr>
                    <w:t>大气环境</w:t>
                  </w:r>
                </w:p>
              </w:tc>
              <w:tc>
                <w:tcPr>
                  <w:tcW w:w="459" w:type="dxa"/>
                  <w:noWrap w:val="0"/>
                  <w:vAlign w:val="center"/>
                </w:tcPr>
                <w:p w14:paraId="7A17C12E">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兴侨村</w:t>
                  </w:r>
                </w:p>
              </w:tc>
              <w:tc>
                <w:tcPr>
                  <w:tcW w:w="657" w:type="dxa"/>
                  <w:noWrap w:val="0"/>
                  <w:vAlign w:val="center"/>
                </w:tcPr>
                <w:p w14:paraId="73D86DEA">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98°26′58.57″</w:t>
                  </w:r>
                </w:p>
              </w:tc>
              <w:tc>
                <w:tcPr>
                  <w:tcW w:w="601" w:type="dxa"/>
                  <w:noWrap w:val="0"/>
                  <w:vAlign w:val="center"/>
                </w:tcPr>
                <w:p w14:paraId="1118F016">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24°22′10.33″</w:t>
                  </w:r>
                </w:p>
              </w:tc>
              <w:tc>
                <w:tcPr>
                  <w:tcW w:w="430" w:type="dxa"/>
                  <w:noWrap w:val="0"/>
                  <w:vAlign w:val="center"/>
                </w:tcPr>
                <w:p w14:paraId="46AEA154">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875</w:t>
                  </w:r>
                </w:p>
              </w:tc>
              <w:tc>
                <w:tcPr>
                  <w:tcW w:w="537" w:type="dxa"/>
                  <w:noWrap w:val="0"/>
                  <w:vAlign w:val="center"/>
                </w:tcPr>
                <w:p w14:paraId="58C91E8C">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67户，469人</w:t>
                  </w:r>
                </w:p>
              </w:tc>
              <w:tc>
                <w:tcPr>
                  <w:tcW w:w="485" w:type="dxa"/>
                  <w:noWrap w:val="0"/>
                  <w:vAlign w:val="center"/>
                </w:tcPr>
                <w:p w14:paraId="4A574623">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西南侧</w:t>
                  </w:r>
                </w:p>
              </w:tc>
              <w:tc>
                <w:tcPr>
                  <w:tcW w:w="511" w:type="dxa"/>
                  <w:noWrap w:val="0"/>
                  <w:vAlign w:val="center"/>
                </w:tcPr>
                <w:p w14:paraId="1836E4F5">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2.42</w:t>
                  </w:r>
                </w:p>
              </w:tc>
              <w:tc>
                <w:tcPr>
                  <w:tcW w:w="966" w:type="dxa"/>
                  <w:vMerge w:val="restart"/>
                  <w:noWrap w:val="0"/>
                  <w:vAlign w:val="center"/>
                </w:tcPr>
                <w:p w14:paraId="56611F47">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《环境空气质量标准》（GB3095-2012）二级标准</w:t>
                  </w:r>
                </w:p>
              </w:tc>
            </w:tr>
            <w:tr w14:paraId="15E42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0" w:type="dxa"/>
                  <w:vMerge w:val="continue"/>
                  <w:noWrap w:val="0"/>
                  <w:vAlign w:val="center"/>
                </w:tcPr>
                <w:p w14:paraId="44B64605">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rPr>
                  </w:pPr>
                </w:p>
              </w:tc>
              <w:tc>
                <w:tcPr>
                  <w:tcW w:w="459" w:type="dxa"/>
                  <w:noWrap w:val="0"/>
                  <w:vAlign w:val="center"/>
                </w:tcPr>
                <w:p w14:paraId="3E349EF4">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帕底村</w:t>
                  </w:r>
                </w:p>
              </w:tc>
              <w:tc>
                <w:tcPr>
                  <w:tcW w:w="657" w:type="dxa"/>
                  <w:noWrap w:val="0"/>
                  <w:vAlign w:val="center"/>
                </w:tcPr>
                <w:p w14:paraId="0749A45A">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98°28′53.98″</w:t>
                  </w:r>
                </w:p>
              </w:tc>
              <w:tc>
                <w:tcPr>
                  <w:tcW w:w="601" w:type="dxa"/>
                  <w:noWrap w:val="0"/>
                  <w:vAlign w:val="center"/>
                </w:tcPr>
                <w:p w14:paraId="4F94D5E2">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24°23′0.37″</w:t>
                  </w:r>
                </w:p>
              </w:tc>
              <w:tc>
                <w:tcPr>
                  <w:tcW w:w="430" w:type="dxa"/>
                  <w:noWrap w:val="0"/>
                  <w:vAlign w:val="center"/>
                </w:tcPr>
                <w:p w14:paraId="7A2D4D92">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864</w:t>
                  </w:r>
                </w:p>
              </w:tc>
              <w:tc>
                <w:tcPr>
                  <w:tcW w:w="537" w:type="dxa"/>
                  <w:noWrap w:val="0"/>
                  <w:vAlign w:val="center"/>
                </w:tcPr>
                <w:p w14:paraId="1E76FB04">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181户，724人</w:t>
                  </w:r>
                </w:p>
              </w:tc>
              <w:tc>
                <w:tcPr>
                  <w:tcW w:w="485" w:type="dxa"/>
                  <w:noWrap w:val="0"/>
                  <w:vAlign w:val="center"/>
                </w:tcPr>
                <w:p w14:paraId="371051B3">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西南侧</w:t>
                  </w:r>
                </w:p>
              </w:tc>
              <w:tc>
                <w:tcPr>
                  <w:tcW w:w="511" w:type="dxa"/>
                  <w:noWrap w:val="0"/>
                  <w:vAlign w:val="center"/>
                </w:tcPr>
                <w:p w14:paraId="52815E3D">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0.18</w:t>
                  </w:r>
                </w:p>
              </w:tc>
              <w:tc>
                <w:tcPr>
                  <w:tcW w:w="966" w:type="dxa"/>
                  <w:vMerge w:val="continue"/>
                  <w:noWrap w:val="0"/>
                  <w:vAlign w:val="center"/>
                </w:tcPr>
                <w:p w14:paraId="71B6A36C">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r>
            <w:tr w14:paraId="66210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350" w:type="dxa"/>
                  <w:vMerge w:val="continue"/>
                  <w:noWrap w:val="0"/>
                  <w:vAlign w:val="center"/>
                </w:tcPr>
                <w:p w14:paraId="07CBFEED">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rPr>
                  </w:pPr>
                </w:p>
              </w:tc>
              <w:tc>
                <w:tcPr>
                  <w:tcW w:w="459" w:type="dxa"/>
                  <w:noWrap w:val="0"/>
                  <w:vAlign w:val="center"/>
                </w:tcPr>
                <w:p w14:paraId="0C2F4C5B">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允门村</w:t>
                  </w:r>
                </w:p>
              </w:tc>
              <w:tc>
                <w:tcPr>
                  <w:tcW w:w="657" w:type="dxa"/>
                  <w:noWrap w:val="0"/>
                  <w:vAlign w:val="center"/>
                </w:tcPr>
                <w:p w14:paraId="0D996D0D">
                  <w:pPr>
                    <w:keepNext w:val="0"/>
                    <w:keepLines w:val="0"/>
                    <w:pageBreakBefore w:val="0"/>
                    <w:widowControl w:val="0"/>
                    <w:spacing w:line="240" w:lineRule="auto"/>
                    <w:ind w:firstLine="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98°28′14.27″</w:t>
                  </w:r>
                </w:p>
              </w:tc>
              <w:tc>
                <w:tcPr>
                  <w:tcW w:w="601" w:type="dxa"/>
                  <w:noWrap w:val="0"/>
                  <w:vAlign w:val="center"/>
                </w:tcPr>
                <w:p w14:paraId="2C0C39F5">
                  <w:pPr>
                    <w:keepNext w:val="0"/>
                    <w:keepLines w:val="0"/>
                    <w:pageBreakBefore w:val="0"/>
                    <w:widowControl w:val="0"/>
                    <w:spacing w:line="240" w:lineRule="auto"/>
                    <w:ind w:firstLine="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24°23′44.47″</w:t>
                  </w:r>
                </w:p>
              </w:tc>
              <w:tc>
                <w:tcPr>
                  <w:tcW w:w="430" w:type="dxa"/>
                  <w:noWrap w:val="0"/>
                  <w:vAlign w:val="center"/>
                </w:tcPr>
                <w:p w14:paraId="179B546B">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864</w:t>
                  </w:r>
                </w:p>
              </w:tc>
              <w:tc>
                <w:tcPr>
                  <w:tcW w:w="537" w:type="dxa"/>
                  <w:noWrap w:val="0"/>
                  <w:vAlign w:val="center"/>
                </w:tcPr>
                <w:p w14:paraId="7C44F4F6">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87户，348人</w:t>
                  </w:r>
                </w:p>
              </w:tc>
              <w:tc>
                <w:tcPr>
                  <w:tcW w:w="485" w:type="dxa"/>
                  <w:noWrap w:val="0"/>
                  <w:vAlign w:val="center"/>
                </w:tcPr>
                <w:p w14:paraId="2640B3DD">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西北侧</w:t>
                  </w:r>
                </w:p>
              </w:tc>
              <w:tc>
                <w:tcPr>
                  <w:tcW w:w="511" w:type="dxa"/>
                  <w:noWrap w:val="0"/>
                  <w:vAlign w:val="center"/>
                </w:tcPr>
                <w:p w14:paraId="75DC7C3B">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1.48</w:t>
                  </w:r>
                </w:p>
              </w:tc>
              <w:tc>
                <w:tcPr>
                  <w:tcW w:w="966" w:type="dxa"/>
                  <w:vMerge w:val="continue"/>
                  <w:noWrap w:val="0"/>
                  <w:vAlign w:val="center"/>
                </w:tcPr>
                <w:p w14:paraId="051A3ECC">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r>
            <w:tr w14:paraId="657D4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350" w:type="dxa"/>
                  <w:vMerge w:val="continue"/>
                  <w:noWrap w:val="0"/>
                  <w:vAlign w:val="center"/>
                </w:tcPr>
                <w:p w14:paraId="39470EF0">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rPr>
                  </w:pPr>
                </w:p>
              </w:tc>
              <w:tc>
                <w:tcPr>
                  <w:tcW w:w="459" w:type="dxa"/>
                  <w:noWrap w:val="0"/>
                  <w:vAlign w:val="center"/>
                </w:tcPr>
                <w:p w14:paraId="16676974">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芒波村</w:t>
                  </w:r>
                </w:p>
              </w:tc>
              <w:tc>
                <w:tcPr>
                  <w:tcW w:w="657" w:type="dxa"/>
                  <w:noWrap w:val="0"/>
                  <w:vAlign w:val="center"/>
                </w:tcPr>
                <w:p w14:paraId="2A0FD1CC">
                  <w:pPr>
                    <w:keepNext w:val="0"/>
                    <w:keepLines w:val="0"/>
                    <w:pageBreakBefore w:val="0"/>
                    <w:widowControl w:val="0"/>
                    <w:spacing w:line="240" w:lineRule="auto"/>
                    <w:ind w:firstLine="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98°30′28.68″</w:t>
                  </w:r>
                </w:p>
              </w:tc>
              <w:tc>
                <w:tcPr>
                  <w:tcW w:w="601" w:type="dxa"/>
                  <w:noWrap w:val="0"/>
                  <w:vAlign w:val="center"/>
                </w:tcPr>
                <w:p w14:paraId="44E30678">
                  <w:pPr>
                    <w:keepNext w:val="0"/>
                    <w:keepLines w:val="0"/>
                    <w:pageBreakBefore w:val="0"/>
                    <w:widowControl w:val="0"/>
                    <w:spacing w:line="240" w:lineRule="auto"/>
                    <w:ind w:firstLine="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24°23′25.20″</w:t>
                  </w:r>
                </w:p>
              </w:tc>
              <w:tc>
                <w:tcPr>
                  <w:tcW w:w="430" w:type="dxa"/>
                  <w:noWrap w:val="0"/>
                  <w:vAlign w:val="center"/>
                </w:tcPr>
                <w:p w14:paraId="57BC0132">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870</w:t>
                  </w:r>
                </w:p>
              </w:tc>
              <w:tc>
                <w:tcPr>
                  <w:tcW w:w="537" w:type="dxa"/>
                  <w:noWrap w:val="0"/>
                  <w:vAlign w:val="center"/>
                </w:tcPr>
                <w:p w14:paraId="73F3A460">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56户，224人</w:t>
                  </w:r>
                </w:p>
              </w:tc>
              <w:tc>
                <w:tcPr>
                  <w:tcW w:w="485" w:type="dxa"/>
                  <w:noWrap w:val="0"/>
                  <w:vAlign w:val="center"/>
                </w:tcPr>
                <w:p w14:paraId="3DCFE1EF">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东北侧</w:t>
                  </w:r>
                </w:p>
              </w:tc>
              <w:tc>
                <w:tcPr>
                  <w:tcW w:w="511" w:type="dxa"/>
                  <w:noWrap w:val="0"/>
                  <w:vAlign w:val="center"/>
                </w:tcPr>
                <w:p w14:paraId="4FC84C85">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2.57</w:t>
                  </w:r>
                </w:p>
              </w:tc>
              <w:tc>
                <w:tcPr>
                  <w:tcW w:w="966" w:type="dxa"/>
                  <w:vMerge w:val="continue"/>
                  <w:noWrap w:val="0"/>
                  <w:vAlign w:val="center"/>
                </w:tcPr>
                <w:p w14:paraId="5AEA6C8B">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r>
            <w:tr w14:paraId="726F4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350" w:type="dxa"/>
                  <w:vMerge w:val="continue"/>
                  <w:noWrap w:val="0"/>
                  <w:vAlign w:val="center"/>
                </w:tcPr>
                <w:p w14:paraId="0F79283A">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rPr>
                  </w:pPr>
                </w:p>
              </w:tc>
              <w:tc>
                <w:tcPr>
                  <w:tcW w:w="459" w:type="dxa"/>
                  <w:noWrap w:val="0"/>
                  <w:vAlign w:val="center"/>
                </w:tcPr>
                <w:p w14:paraId="6F97EF0C">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那目村</w:t>
                  </w:r>
                </w:p>
              </w:tc>
              <w:tc>
                <w:tcPr>
                  <w:tcW w:w="657" w:type="dxa"/>
                  <w:noWrap w:val="0"/>
                  <w:vAlign w:val="center"/>
                </w:tcPr>
                <w:p w14:paraId="33C1DA0C">
                  <w:pPr>
                    <w:keepNext w:val="0"/>
                    <w:keepLines w:val="0"/>
                    <w:pageBreakBefore w:val="0"/>
                    <w:widowControl w:val="0"/>
                    <w:spacing w:line="240" w:lineRule="auto"/>
                    <w:ind w:firstLine="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98°30′37.64″</w:t>
                  </w:r>
                </w:p>
              </w:tc>
              <w:tc>
                <w:tcPr>
                  <w:tcW w:w="601" w:type="dxa"/>
                  <w:noWrap w:val="0"/>
                  <w:vAlign w:val="center"/>
                </w:tcPr>
                <w:p w14:paraId="39C3AB2C">
                  <w:pPr>
                    <w:keepNext w:val="0"/>
                    <w:keepLines w:val="0"/>
                    <w:pageBreakBefore w:val="0"/>
                    <w:widowControl w:val="0"/>
                    <w:spacing w:line="240" w:lineRule="auto"/>
                    <w:ind w:firstLine="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24°22′7.80″</w:t>
                  </w:r>
                </w:p>
              </w:tc>
              <w:tc>
                <w:tcPr>
                  <w:tcW w:w="430" w:type="dxa"/>
                  <w:noWrap w:val="0"/>
                  <w:vAlign w:val="center"/>
                </w:tcPr>
                <w:p w14:paraId="536CA797">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869</w:t>
                  </w:r>
                </w:p>
              </w:tc>
              <w:tc>
                <w:tcPr>
                  <w:tcW w:w="537" w:type="dxa"/>
                  <w:noWrap w:val="0"/>
                  <w:vAlign w:val="center"/>
                </w:tcPr>
                <w:p w14:paraId="199E636C">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44户，176人</w:t>
                  </w:r>
                </w:p>
              </w:tc>
              <w:tc>
                <w:tcPr>
                  <w:tcW w:w="485" w:type="dxa"/>
                  <w:noWrap w:val="0"/>
                  <w:vAlign w:val="center"/>
                </w:tcPr>
                <w:p w14:paraId="532C10A1">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东南侧</w:t>
                  </w:r>
                </w:p>
              </w:tc>
              <w:tc>
                <w:tcPr>
                  <w:tcW w:w="511" w:type="dxa"/>
                  <w:noWrap w:val="0"/>
                  <w:vAlign w:val="center"/>
                </w:tcPr>
                <w:p w14:paraId="0152837F">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2.65</w:t>
                  </w:r>
                </w:p>
              </w:tc>
              <w:tc>
                <w:tcPr>
                  <w:tcW w:w="966" w:type="dxa"/>
                  <w:vMerge w:val="continue"/>
                  <w:noWrap w:val="0"/>
                  <w:vAlign w:val="center"/>
                </w:tcPr>
                <w:p w14:paraId="2F1C6D91">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r>
            <w:tr w14:paraId="5A17E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350" w:type="dxa"/>
                  <w:vMerge w:val="continue"/>
                  <w:noWrap w:val="0"/>
                  <w:vAlign w:val="center"/>
                </w:tcPr>
                <w:p w14:paraId="3B298699">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rPr>
                  </w:pPr>
                </w:p>
              </w:tc>
              <w:tc>
                <w:tcPr>
                  <w:tcW w:w="459" w:type="dxa"/>
                  <w:noWrap w:val="0"/>
                  <w:vAlign w:val="center"/>
                </w:tcPr>
                <w:p w14:paraId="30BD0DA1">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弄转村</w:t>
                  </w:r>
                </w:p>
              </w:tc>
              <w:tc>
                <w:tcPr>
                  <w:tcW w:w="657" w:type="dxa"/>
                  <w:noWrap w:val="0"/>
                  <w:vAlign w:val="center"/>
                </w:tcPr>
                <w:p w14:paraId="1A0502FA">
                  <w:pPr>
                    <w:keepNext w:val="0"/>
                    <w:keepLines w:val="0"/>
                    <w:pageBreakBefore w:val="0"/>
                    <w:widowControl w:val="0"/>
                    <w:spacing w:line="240" w:lineRule="auto"/>
                    <w:ind w:firstLine="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98°29′18.85″</w:t>
                  </w:r>
                </w:p>
              </w:tc>
              <w:tc>
                <w:tcPr>
                  <w:tcW w:w="601" w:type="dxa"/>
                  <w:noWrap w:val="0"/>
                  <w:vAlign w:val="center"/>
                </w:tcPr>
                <w:p w14:paraId="22B6450C">
                  <w:pPr>
                    <w:keepNext w:val="0"/>
                    <w:keepLines w:val="0"/>
                    <w:pageBreakBefore w:val="0"/>
                    <w:widowControl w:val="0"/>
                    <w:spacing w:line="240" w:lineRule="auto"/>
                    <w:ind w:firstLine="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24°21′31.77″</w:t>
                  </w:r>
                </w:p>
              </w:tc>
              <w:tc>
                <w:tcPr>
                  <w:tcW w:w="430" w:type="dxa"/>
                  <w:noWrap w:val="0"/>
                  <w:vAlign w:val="center"/>
                </w:tcPr>
                <w:p w14:paraId="24AEC799">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872</w:t>
                  </w:r>
                </w:p>
              </w:tc>
              <w:tc>
                <w:tcPr>
                  <w:tcW w:w="537" w:type="dxa"/>
                  <w:noWrap w:val="0"/>
                  <w:vAlign w:val="center"/>
                </w:tcPr>
                <w:p w14:paraId="6CBD3B4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98户，392人</w:t>
                  </w:r>
                </w:p>
              </w:tc>
              <w:tc>
                <w:tcPr>
                  <w:tcW w:w="485" w:type="dxa"/>
                  <w:noWrap w:val="0"/>
                  <w:vAlign w:val="center"/>
                </w:tcPr>
                <w:p w14:paraId="76A0EC02">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东南侧</w:t>
                  </w:r>
                </w:p>
              </w:tc>
              <w:tc>
                <w:tcPr>
                  <w:tcW w:w="511" w:type="dxa"/>
                  <w:noWrap w:val="0"/>
                  <w:vAlign w:val="center"/>
                </w:tcPr>
                <w:p w14:paraId="2A7765A5">
                  <w:pPr>
                    <w:keepNext w:val="0"/>
                    <w:keepLines w:val="0"/>
                    <w:pageBreakBefore w:val="0"/>
                    <w:widowControl w:val="0"/>
                    <w:jc w:val="center"/>
                    <w:rPr>
                      <w:rFonts w:hint="eastAsia"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2.12</w:t>
                  </w:r>
                </w:p>
              </w:tc>
              <w:tc>
                <w:tcPr>
                  <w:tcW w:w="966" w:type="dxa"/>
                  <w:vMerge w:val="continue"/>
                  <w:noWrap w:val="0"/>
                  <w:vAlign w:val="center"/>
                </w:tcPr>
                <w:p w14:paraId="24913432">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r>
            <w:tr w14:paraId="247B9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350" w:type="dxa"/>
                  <w:vMerge w:val="restart"/>
                  <w:noWrap w:val="0"/>
                  <w:vAlign w:val="center"/>
                </w:tcPr>
                <w:p w14:paraId="4B4FE76F">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rPr>
                  </w:pPr>
                  <w:r>
                    <w:rPr>
                      <w:rFonts w:ascii="Times New Roman" w:hAnsi="Times New Roman" w:eastAsia="宋体" w:cs="Times New Roman"/>
                      <w:color w:val="000000"/>
                      <w:spacing w:val="-10"/>
                      <w:sz w:val="21"/>
                      <w:szCs w:val="21"/>
                      <w:highlight w:val="none"/>
                      <w:lang w:val="en-US" w:eastAsia="zh-CN"/>
                    </w:rPr>
                    <w:t>地表水环境</w:t>
                  </w:r>
                </w:p>
              </w:tc>
              <w:tc>
                <w:tcPr>
                  <w:tcW w:w="459" w:type="dxa"/>
                  <w:noWrap w:val="0"/>
                  <w:vAlign w:val="center"/>
                </w:tcPr>
                <w:p w14:paraId="69EAB77C">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芒市大河</w:t>
                  </w:r>
                </w:p>
              </w:tc>
              <w:tc>
                <w:tcPr>
                  <w:tcW w:w="657" w:type="dxa"/>
                  <w:noWrap w:val="0"/>
                  <w:vAlign w:val="center"/>
                </w:tcPr>
                <w:p w14:paraId="227B52A9">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w:t>
                  </w:r>
                </w:p>
              </w:tc>
              <w:tc>
                <w:tcPr>
                  <w:tcW w:w="601" w:type="dxa"/>
                  <w:noWrap w:val="0"/>
                  <w:vAlign w:val="center"/>
                </w:tcPr>
                <w:p w14:paraId="0C4FCD17">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w:t>
                  </w:r>
                </w:p>
              </w:tc>
              <w:tc>
                <w:tcPr>
                  <w:tcW w:w="430" w:type="dxa"/>
                  <w:noWrap w:val="0"/>
                  <w:vAlign w:val="center"/>
                </w:tcPr>
                <w:p w14:paraId="69CCB146">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w:t>
                  </w:r>
                </w:p>
              </w:tc>
              <w:tc>
                <w:tcPr>
                  <w:tcW w:w="537" w:type="dxa"/>
                  <w:noWrap w:val="0"/>
                  <w:vAlign w:val="center"/>
                </w:tcPr>
                <w:p w14:paraId="270E90D9">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河流</w:t>
                  </w:r>
                </w:p>
              </w:tc>
              <w:tc>
                <w:tcPr>
                  <w:tcW w:w="485" w:type="dxa"/>
                  <w:noWrap w:val="0"/>
                  <w:vAlign w:val="center"/>
                </w:tcPr>
                <w:p w14:paraId="49B04EC9">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北侧</w:t>
                  </w:r>
                </w:p>
              </w:tc>
              <w:tc>
                <w:tcPr>
                  <w:tcW w:w="511" w:type="dxa"/>
                  <w:noWrap w:val="0"/>
                  <w:vAlign w:val="center"/>
                </w:tcPr>
                <w:p w14:paraId="2A9441AF">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410</w:t>
                  </w:r>
                </w:p>
              </w:tc>
              <w:tc>
                <w:tcPr>
                  <w:tcW w:w="966" w:type="dxa"/>
                  <w:vMerge w:val="restart"/>
                  <w:noWrap w:val="0"/>
                  <w:vAlign w:val="center"/>
                </w:tcPr>
                <w:p w14:paraId="7F6694B9">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《地表水环境质量标准》（GB3838-2002）Ⅲ类标准</w:t>
                  </w:r>
                </w:p>
              </w:tc>
            </w:tr>
            <w:tr w14:paraId="651E6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350" w:type="dxa"/>
                  <w:vMerge w:val="continue"/>
                  <w:noWrap w:val="0"/>
                  <w:vAlign w:val="center"/>
                </w:tcPr>
                <w:p w14:paraId="4BB563D9">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rPr>
                  </w:pPr>
                </w:p>
              </w:tc>
              <w:tc>
                <w:tcPr>
                  <w:tcW w:w="459" w:type="dxa"/>
                  <w:noWrap w:val="0"/>
                  <w:vAlign w:val="center"/>
                </w:tcPr>
                <w:p w14:paraId="059D22F5">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果朗河</w:t>
                  </w:r>
                </w:p>
              </w:tc>
              <w:tc>
                <w:tcPr>
                  <w:tcW w:w="657" w:type="dxa"/>
                  <w:noWrap w:val="0"/>
                  <w:vAlign w:val="center"/>
                </w:tcPr>
                <w:p w14:paraId="414AA321">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w:t>
                  </w:r>
                </w:p>
              </w:tc>
              <w:tc>
                <w:tcPr>
                  <w:tcW w:w="601" w:type="dxa"/>
                  <w:noWrap w:val="0"/>
                  <w:vAlign w:val="center"/>
                </w:tcPr>
                <w:p w14:paraId="72136C97">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w:t>
                  </w:r>
                </w:p>
              </w:tc>
              <w:tc>
                <w:tcPr>
                  <w:tcW w:w="430" w:type="dxa"/>
                  <w:noWrap w:val="0"/>
                  <w:vAlign w:val="center"/>
                </w:tcPr>
                <w:p w14:paraId="165DBE2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w:t>
                  </w:r>
                </w:p>
              </w:tc>
              <w:tc>
                <w:tcPr>
                  <w:tcW w:w="537" w:type="dxa"/>
                  <w:noWrap w:val="0"/>
                  <w:vAlign w:val="center"/>
                </w:tcPr>
                <w:p w14:paraId="371722C8">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河流</w:t>
                  </w:r>
                </w:p>
              </w:tc>
              <w:tc>
                <w:tcPr>
                  <w:tcW w:w="485" w:type="dxa"/>
                  <w:noWrap w:val="0"/>
                  <w:vAlign w:val="center"/>
                </w:tcPr>
                <w:p w14:paraId="70A9A2BB">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东北</w:t>
                  </w:r>
                </w:p>
              </w:tc>
              <w:tc>
                <w:tcPr>
                  <w:tcW w:w="511" w:type="dxa"/>
                  <w:noWrap w:val="0"/>
                  <w:vAlign w:val="center"/>
                </w:tcPr>
                <w:p w14:paraId="7DF8509A">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212</w:t>
                  </w:r>
                </w:p>
              </w:tc>
              <w:tc>
                <w:tcPr>
                  <w:tcW w:w="966" w:type="dxa"/>
                  <w:vMerge w:val="continue"/>
                  <w:noWrap w:val="0"/>
                  <w:vAlign w:val="center"/>
                </w:tcPr>
                <w:p w14:paraId="71969691">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r>
            <w:tr w14:paraId="09201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350" w:type="dxa"/>
                  <w:noWrap w:val="0"/>
                  <w:vAlign w:val="center"/>
                </w:tcPr>
                <w:p w14:paraId="3926F879">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rPr>
                  </w:pPr>
                  <w:r>
                    <w:rPr>
                      <w:rFonts w:ascii="Times New Roman" w:hAnsi="Times New Roman" w:eastAsia="宋体" w:cs="Times New Roman"/>
                      <w:color w:val="000000"/>
                      <w:spacing w:val="-10"/>
                      <w:sz w:val="21"/>
                      <w:szCs w:val="21"/>
                      <w:highlight w:val="none"/>
                      <w:lang w:val="en-US" w:eastAsia="zh-CN"/>
                    </w:rPr>
                    <w:t>声环境</w:t>
                  </w:r>
                </w:p>
              </w:tc>
              <w:tc>
                <w:tcPr>
                  <w:tcW w:w="459" w:type="dxa"/>
                  <w:noWrap w:val="0"/>
                  <w:vAlign w:val="center"/>
                </w:tcPr>
                <w:p w14:paraId="7D7E3C21">
                  <w:pPr>
                    <w:keepNext w:val="0"/>
                    <w:keepLines w:val="0"/>
                    <w:pageBreakBefore w:val="0"/>
                    <w:widowControl w:val="0"/>
                    <w:jc w:val="center"/>
                    <w:rPr>
                      <w:rFonts w:ascii="Times New Roman" w:hAnsi="Times New Roman" w:eastAsia="宋体" w:cs="Times New Roman"/>
                      <w:color w:val="000000"/>
                      <w:sz w:val="21"/>
                      <w:szCs w:val="21"/>
                      <w:vertAlign w:val="baseline"/>
                      <w:lang w:val="en-US" w:eastAsia="zh-CN" w:bidi="ar-SA"/>
                    </w:rPr>
                  </w:pPr>
                  <w:r>
                    <w:rPr>
                      <w:rFonts w:hint="eastAsia" w:ascii="Times New Roman" w:hAnsi="Times New Roman" w:eastAsia="宋体" w:cs="Times New Roman"/>
                      <w:color w:val="000000"/>
                      <w:sz w:val="21"/>
                      <w:szCs w:val="21"/>
                      <w:vertAlign w:val="baseline"/>
                      <w:lang w:val="en-US" w:eastAsia="zh-CN" w:bidi="ar-SA"/>
                    </w:rPr>
                    <w:t>/</w:t>
                  </w:r>
                </w:p>
              </w:tc>
              <w:tc>
                <w:tcPr>
                  <w:tcW w:w="657" w:type="dxa"/>
                  <w:noWrap w:val="0"/>
                  <w:vAlign w:val="center"/>
                </w:tcPr>
                <w:p w14:paraId="523B6357">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w:t>
                  </w:r>
                </w:p>
              </w:tc>
              <w:tc>
                <w:tcPr>
                  <w:tcW w:w="601" w:type="dxa"/>
                  <w:noWrap w:val="0"/>
                  <w:vAlign w:val="center"/>
                </w:tcPr>
                <w:p w14:paraId="4E290E61">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w:t>
                  </w:r>
                </w:p>
              </w:tc>
              <w:tc>
                <w:tcPr>
                  <w:tcW w:w="430" w:type="dxa"/>
                  <w:noWrap w:val="0"/>
                  <w:vAlign w:val="center"/>
                </w:tcPr>
                <w:p w14:paraId="5C64D7AA">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w:t>
                  </w:r>
                </w:p>
              </w:tc>
              <w:tc>
                <w:tcPr>
                  <w:tcW w:w="537" w:type="dxa"/>
                  <w:noWrap w:val="0"/>
                  <w:vAlign w:val="center"/>
                </w:tcPr>
                <w:p w14:paraId="6C4E73B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w:t>
                  </w:r>
                </w:p>
              </w:tc>
              <w:tc>
                <w:tcPr>
                  <w:tcW w:w="485" w:type="dxa"/>
                  <w:noWrap w:val="0"/>
                  <w:vAlign w:val="center"/>
                </w:tcPr>
                <w:p w14:paraId="26159D0C">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w:t>
                  </w:r>
                </w:p>
              </w:tc>
              <w:tc>
                <w:tcPr>
                  <w:tcW w:w="511" w:type="dxa"/>
                  <w:noWrap w:val="0"/>
                  <w:vAlign w:val="center"/>
                </w:tcPr>
                <w:p w14:paraId="2F15A9F2">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w:t>
                  </w:r>
                </w:p>
              </w:tc>
              <w:tc>
                <w:tcPr>
                  <w:tcW w:w="966" w:type="dxa"/>
                  <w:noWrap w:val="0"/>
                  <w:vAlign w:val="center"/>
                </w:tcPr>
                <w:p w14:paraId="04C7F204">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w:t>
                  </w:r>
                </w:p>
              </w:tc>
            </w:tr>
            <w:tr w14:paraId="3E525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3" w:hRule="atLeast"/>
                <w:jc w:val="center"/>
              </w:trPr>
              <w:tc>
                <w:tcPr>
                  <w:tcW w:w="350" w:type="dxa"/>
                  <w:noWrap w:val="0"/>
                  <w:vAlign w:val="center"/>
                </w:tcPr>
                <w:p w14:paraId="782188EF">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rPr>
                  </w:pPr>
                  <w:r>
                    <w:rPr>
                      <w:rFonts w:ascii="Times New Roman" w:hAnsi="Times New Roman" w:eastAsia="宋体" w:cs="Times New Roman"/>
                      <w:color w:val="000000"/>
                      <w:spacing w:val="-10"/>
                      <w:sz w:val="21"/>
                      <w:szCs w:val="21"/>
                      <w:highlight w:val="none"/>
                      <w:lang w:val="en-US" w:eastAsia="zh-CN"/>
                    </w:rPr>
                    <w:t>地下水环境</w:t>
                  </w:r>
                </w:p>
              </w:tc>
              <w:tc>
                <w:tcPr>
                  <w:tcW w:w="8222" w:type="dxa"/>
                  <w:gridSpan w:val="7"/>
                  <w:noWrap w:val="0"/>
                  <w:vAlign w:val="center"/>
                </w:tcPr>
                <w:p w14:paraId="215EDD1F">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 w:val="21"/>
                      <w:szCs w:val="21"/>
                      <w:highlight w:val="none"/>
                      <w:lang w:val="en-US" w:eastAsia="zh-CN" w:bidi="ar-SA"/>
                    </w:rPr>
                    <w:t>项目厂界500米范围内无地下水集中式饮用水水源和热水、矿泉水、温泉等特殊地下水资源</w:t>
                  </w:r>
                </w:p>
              </w:tc>
            </w:tr>
            <w:tr w14:paraId="30F2B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3" w:hRule="atLeast"/>
                <w:jc w:val="center"/>
              </w:trPr>
              <w:tc>
                <w:tcPr>
                  <w:tcW w:w="350" w:type="dxa"/>
                  <w:noWrap w:val="0"/>
                  <w:vAlign w:val="center"/>
                </w:tcPr>
                <w:p w14:paraId="6BC9DFB8">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rPr>
                  </w:pPr>
                  <w:r>
                    <w:rPr>
                      <w:rFonts w:ascii="Times New Roman" w:hAnsi="Times New Roman" w:eastAsia="宋体" w:cs="Times New Roman"/>
                      <w:color w:val="000000"/>
                      <w:spacing w:val="-10"/>
                      <w:sz w:val="21"/>
                      <w:szCs w:val="21"/>
                      <w:highlight w:val="none"/>
                      <w:lang w:val="en-US" w:eastAsia="zh-CN"/>
                    </w:rPr>
                    <w:t>生态环境</w:t>
                  </w:r>
                </w:p>
              </w:tc>
              <w:tc>
                <w:tcPr>
                  <w:tcW w:w="8222" w:type="dxa"/>
                  <w:gridSpan w:val="7"/>
                  <w:noWrap w:val="0"/>
                  <w:vAlign w:val="center"/>
                </w:tcPr>
                <w:p w14:paraId="342972BC">
                  <w:pPr>
                    <w:keepNext w:val="0"/>
                    <w:keepLines w:val="0"/>
                    <w:pageBreakBefore w:val="0"/>
                    <w:widowControl w:val="0"/>
                    <w:spacing w:line="240" w:lineRule="auto"/>
                    <w:ind w:firstLine="0"/>
                    <w:jc w:val="center"/>
                    <w:rPr>
                      <w:rFonts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z w:val="21"/>
                      <w:szCs w:val="21"/>
                      <w:highlight w:val="none"/>
                      <w:lang w:val="zh-CN"/>
                    </w:rPr>
                    <w:t>项目区周边不涉及自然保护区、风景名胜区等生态环境保护目标</w:t>
                  </w:r>
                </w:p>
              </w:tc>
            </w:tr>
          </w:tbl>
          <w:p w14:paraId="5709414A">
            <w:pPr>
              <w:jc w:val="left"/>
              <w:rPr>
                <w:rFonts w:ascii="Times New Roman" w:hAnsi="Times New Roman" w:eastAsia="宋体" w:cs="Times New Roman"/>
                <w:color w:val="000000"/>
                <w:sz w:val="24"/>
                <w:szCs w:val="24"/>
                <w:highlight w:val="none"/>
                <w:lang w:eastAsia="zh-CN"/>
              </w:rPr>
            </w:pPr>
            <w:r>
              <w:rPr>
                <w:rFonts w:ascii="Times New Roman" w:hAnsi="Times New Roman" w:eastAsia="宋体" w:cs="Times New Roman"/>
                <w:color w:val="000000"/>
                <w:sz w:val="24"/>
                <w:szCs w:val="24"/>
                <w:highlight w:val="none"/>
                <w:lang w:eastAsia="zh-CN"/>
              </w:rPr>
              <w:t xml:space="preserve"> </w:t>
            </w:r>
          </w:p>
        </w:tc>
      </w:tr>
      <w:tr w14:paraId="7DC792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716" w:type="dxa"/>
            <w:noWrap w:val="0"/>
            <w:tcMar>
              <w:left w:w="28" w:type="dxa"/>
              <w:right w:w="28" w:type="dxa"/>
            </w:tcMar>
            <w:vAlign w:val="center"/>
          </w:tcPr>
          <w:p w14:paraId="61F92B06">
            <w:pPr>
              <w:keepNext w:val="0"/>
              <w:keepLines w:val="0"/>
              <w:pageBreakBefore w:val="0"/>
              <w:widowControl w:val="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污染</w:t>
            </w:r>
          </w:p>
          <w:p w14:paraId="5A82BC58">
            <w:pPr>
              <w:keepNext w:val="0"/>
              <w:keepLines w:val="0"/>
              <w:pageBreakBefore w:val="0"/>
              <w:widowControl w:val="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物排</w:t>
            </w:r>
          </w:p>
          <w:p w14:paraId="2C4D7D58">
            <w:pPr>
              <w:keepNext w:val="0"/>
              <w:keepLines w:val="0"/>
              <w:pageBreakBefore w:val="0"/>
              <w:widowControl w:val="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放控</w:t>
            </w:r>
          </w:p>
          <w:p w14:paraId="28FF3F2E">
            <w:pPr>
              <w:keepNext w:val="0"/>
              <w:keepLines w:val="0"/>
              <w:pageBreakBefore w:val="0"/>
              <w:widowControl w:val="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制标</w:t>
            </w:r>
          </w:p>
          <w:p w14:paraId="4C1008E8">
            <w:pPr>
              <w:keepNext w:val="0"/>
              <w:keepLines w:val="0"/>
              <w:pageBreakBefore w:val="0"/>
              <w:widowControl w:val="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准</w:t>
            </w:r>
          </w:p>
        </w:tc>
        <w:tc>
          <w:tcPr>
            <w:tcW w:w="9067" w:type="dxa"/>
            <w:noWrap w:val="0"/>
            <w:vAlign w:val="center"/>
          </w:tcPr>
          <w:p w14:paraId="416D3967">
            <w:pPr>
              <w:spacing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1、废水排放标准</w:t>
            </w:r>
          </w:p>
          <w:p w14:paraId="030D5E5E">
            <w:pPr>
              <w:keepNext w:val="0"/>
              <w:keepLines w:val="0"/>
              <w:pageBreakBefore w:val="0"/>
              <w:widowControl w:val="0"/>
              <w:spacing w:line="360" w:lineRule="auto"/>
              <w:ind w:firstLine="482"/>
              <w:jc w:val="both"/>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（1）施工期废水排放标准</w:t>
            </w:r>
          </w:p>
          <w:p w14:paraId="58E0FC18">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lang w:val="en-US" w:eastAsia="zh-CN"/>
              </w:rPr>
              <w:t>项目施工期不提供食宿，产生的施工废水和施工人员生活废水设置临时沉淀池，经沉淀后回用于施工及场地洒水降尘，不外排，</w:t>
            </w:r>
            <w:r>
              <w:rPr>
                <w:rFonts w:ascii="Times New Roman" w:hAnsi="Times New Roman" w:eastAsia="宋体" w:cs="Times New Roman"/>
                <w:color w:val="000000"/>
                <w:sz w:val="24"/>
                <w:szCs w:val="24"/>
                <w:highlight w:val="none"/>
              </w:rPr>
              <w:t>不设排放标准。</w:t>
            </w:r>
          </w:p>
          <w:p w14:paraId="3430B0E2">
            <w:pPr>
              <w:keepNext w:val="0"/>
              <w:keepLines w:val="0"/>
              <w:pageBreakBefore w:val="0"/>
              <w:widowControl w:val="0"/>
              <w:spacing w:line="360" w:lineRule="auto"/>
              <w:ind w:firstLine="482"/>
              <w:jc w:val="both"/>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（2）运营期废水排放标准</w:t>
            </w:r>
          </w:p>
          <w:p w14:paraId="48490958">
            <w:pPr>
              <w:keepNext w:val="0"/>
              <w:keepLines w:val="0"/>
              <w:pageBreakBefore w:val="0"/>
              <w:widowControl w:val="0"/>
              <w:spacing w:line="360" w:lineRule="auto"/>
              <w:ind w:left="0" w:firstLine="480"/>
              <w:jc w:val="both"/>
              <w:rPr>
                <w:rFonts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rPr>
              <w:t>本项目运营期</w:t>
            </w:r>
            <w:r>
              <w:rPr>
                <w:rFonts w:ascii="Times New Roman" w:hAnsi="Times New Roman" w:eastAsia="宋体" w:cs="Times New Roman"/>
                <w:color w:val="000000"/>
                <w:sz w:val="24"/>
                <w:highlight w:val="none"/>
                <w:lang w:val="en-US" w:eastAsia="zh-CN"/>
              </w:rPr>
              <w:t>无生产废水</w:t>
            </w:r>
            <w:r>
              <w:rPr>
                <w:rFonts w:hint="eastAsia" w:ascii="Times New Roman" w:hAnsi="Times New Roman" w:eastAsia="宋体" w:cs="Times New Roman"/>
                <w:color w:val="000000"/>
                <w:sz w:val="24"/>
                <w:highlight w:val="none"/>
                <w:lang w:val="en-US" w:eastAsia="zh-CN"/>
              </w:rPr>
              <w:t>产生，</w:t>
            </w:r>
            <w:r>
              <w:rPr>
                <w:rFonts w:ascii="Times New Roman" w:hAnsi="Times New Roman" w:eastAsia="宋体" w:cs="Times New Roman"/>
                <w:color w:val="000000"/>
                <w:sz w:val="24"/>
                <w:highlight w:val="none"/>
              </w:rPr>
              <w:t>项目生活污水</w:t>
            </w:r>
            <w:r>
              <w:rPr>
                <w:rFonts w:hint="eastAsia" w:ascii="Times New Roman" w:hAnsi="Times New Roman" w:eastAsia="宋体" w:cs="Times New Roman"/>
                <w:color w:val="000000"/>
                <w:sz w:val="24"/>
                <w:highlight w:val="none"/>
                <w:lang w:val="en-US" w:eastAsia="zh-CN"/>
              </w:rPr>
              <w:t>经依托的公共卫生间的</w:t>
            </w:r>
            <w:r>
              <w:rPr>
                <w:rFonts w:ascii="Times New Roman" w:hAnsi="Times New Roman" w:eastAsia="宋体" w:cs="Times New Roman"/>
                <w:color w:val="000000"/>
                <w:sz w:val="24"/>
                <w:highlight w:val="none"/>
                <w:lang w:val="en-US" w:eastAsia="zh-CN"/>
              </w:rPr>
              <w:t>化粪池收集</w:t>
            </w:r>
            <w:r>
              <w:rPr>
                <w:rFonts w:ascii="Times New Roman" w:hAnsi="Times New Roman" w:eastAsia="宋体" w:cs="Times New Roman"/>
                <w:color w:val="000000"/>
                <w:sz w:val="24"/>
                <w:highlight w:val="none"/>
              </w:rPr>
              <w:t>处理后</w:t>
            </w:r>
            <w:r>
              <w:rPr>
                <w:rFonts w:hint="eastAsia" w:ascii="Times New Roman" w:hAnsi="Times New Roman" w:eastAsia="宋体" w:cs="Times New Roman"/>
                <w:color w:val="000000"/>
                <w:sz w:val="24"/>
                <w:highlight w:val="none"/>
                <w:lang w:eastAsia="zh-CN"/>
              </w:rPr>
              <w:t>，</w:t>
            </w:r>
            <w:r>
              <w:rPr>
                <w:rFonts w:hint="eastAsia" w:ascii="Times New Roman" w:hAnsi="Times New Roman" w:eastAsia="宋体" w:cs="Times New Roman"/>
                <w:color w:val="000000"/>
                <w:sz w:val="24"/>
                <w:highlight w:val="none"/>
                <w:lang w:val="en-US" w:eastAsia="zh-CN"/>
              </w:rPr>
              <w:t>由依托单位清掏用作农肥</w:t>
            </w:r>
            <w:r>
              <w:rPr>
                <w:rFonts w:ascii="Times New Roman" w:hAnsi="Times New Roman" w:eastAsia="宋体" w:cs="Times New Roman"/>
                <w:color w:val="000000"/>
                <w:sz w:val="24"/>
                <w:highlight w:val="none"/>
              </w:rPr>
              <w:t>，不外排</w:t>
            </w:r>
            <w:r>
              <w:rPr>
                <w:rFonts w:ascii="Times New Roman" w:hAnsi="Times New Roman" w:eastAsia="宋体" w:cs="Times New Roman"/>
                <w:color w:val="000000"/>
                <w:sz w:val="24"/>
                <w:highlight w:val="none"/>
                <w:lang w:eastAsia="zh-CN"/>
              </w:rPr>
              <w:t>，</w:t>
            </w:r>
            <w:r>
              <w:rPr>
                <w:rFonts w:ascii="Times New Roman" w:hAnsi="Times New Roman" w:eastAsia="宋体" w:cs="Times New Roman"/>
                <w:color w:val="000000"/>
                <w:sz w:val="24"/>
                <w:szCs w:val="24"/>
                <w:highlight w:val="none"/>
              </w:rPr>
              <w:t>不设排放标准</w:t>
            </w:r>
            <w:r>
              <w:rPr>
                <w:rFonts w:ascii="Times New Roman" w:hAnsi="Times New Roman" w:eastAsia="宋体" w:cs="Times New Roman"/>
                <w:color w:val="000000"/>
                <w:sz w:val="24"/>
                <w:highlight w:val="none"/>
              </w:rPr>
              <w:t>。</w:t>
            </w:r>
          </w:p>
          <w:p w14:paraId="6658FFF8">
            <w:pPr>
              <w:spacing w:line="360" w:lineRule="auto"/>
              <w:ind w:left="480"/>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2、废气排放标准</w:t>
            </w:r>
          </w:p>
          <w:p w14:paraId="1BD1AB4D">
            <w:pPr>
              <w:spacing w:line="360" w:lineRule="auto"/>
              <w:ind w:left="480"/>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（1）施工期大气污染物排放标准</w:t>
            </w:r>
          </w:p>
          <w:p w14:paraId="3901C44B">
            <w:pPr>
              <w:spacing w:line="360" w:lineRule="auto"/>
              <w:ind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本项目施工期</w:t>
            </w:r>
            <w:r>
              <w:rPr>
                <w:rFonts w:ascii="Times New Roman" w:hAnsi="Times New Roman" w:eastAsia="宋体" w:cs="Times New Roman"/>
                <w:color w:val="000000"/>
                <w:sz w:val="24"/>
                <w:highlight w:val="none"/>
                <w:lang w:val="en-US" w:eastAsia="zh-CN"/>
              </w:rPr>
              <w:t>扬尘</w:t>
            </w:r>
            <w:r>
              <w:rPr>
                <w:rFonts w:ascii="Times New Roman" w:hAnsi="Times New Roman" w:eastAsia="宋体" w:cs="Times New Roman"/>
                <w:color w:val="000000"/>
                <w:sz w:val="24"/>
                <w:highlight w:val="none"/>
              </w:rPr>
              <w:t>执行</w:t>
            </w:r>
            <w:r>
              <w:rPr>
                <w:rFonts w:ascii="Times New Roman" w:hAnsi="Times New Roman" w:eastAsia="宋体" w:cs="Times New Roman"/>
                <w:color w:val="000000"/>
                <w:sz w:val="24"/>
                <w:highlight w:val="none"/>
                <w:lang w:eastAsia="zh-CN"/>
              </w:rPr>
              <w:t>《大气污染物综合排放标准》（GB16297-1996）</w:t>
            </w:r>
            <w:r>
              <w:rPr>
                <w:rFonts w:ascii="Times New Roman" w:hAnsi="Times New Roman" w:eastAsia="宋体" w:cs="Times New Roman"/>
                <w:color w:val="000000"/>
                <w:sz w:val="24"/>
                <w:highlight w:val="none"/>
              </w:rPr>
              <w:t>表2无组织排放监控浓度限值，具体指标详见</w:t>
            </w:r>
            <w:r>
              <w:rPr>
                <w:rFonts w:ascii="Times New Roman" w:hAnsi="Times New Roman" w:eastAsia="宋体" w:cs="Times New Roman"/>
                <w:color w:val="000000"/>
                <w:sz w:val="24"/>
                <w:highlight w:val="none"/>
                <w:lang w:val="en-US" w:eastAsia="zh-CN"/>
              </w:rPr>
              <w:t>下表</w:t>
            </w:r>
            <w:r>
              <w:rPr>
                <w:rFonts w:ascii="Times New Roman" w:hAnsi="Times New Roman" w:eastAsia="宋体" w:cs="Times New Roman"/>
                <w:color w:val="000000"/>
                <w:sz w:val="24"/>
                <w:highlight w:val="none"/>
              </w:rPr>
              <w:t>。</w:t>
            </w:r>
          </w:p>
          <w:p w14:paraId="7C319852">
            <w:pPr>
              <w:ind w:firstLine="482"/>
              <w:jc w:val="center"/>
              <w:rPr>
                <w:rFonts w:ascii="Times New Roman" w:hAnsi="Times New Roman" w:eastAsia="宋体" w:cs="Times New Roman"/>
                <w:b/>
                <w:color w:val="000000"/>
                <w:sz w:val="24"/>
                <w:highlight w:val="none"/>
              </w:rPr>
            </w:pPr>
            <w:r>
              <w:rPr>
                <w:rFonts w:ascii="Times New Roman" w:hAnsi="Times New Roman" w:eastAsia="宋体" w:cs="Times New Roman"/>
                <w:b/>
                <w:bCs/>
                <w:color w:val="000000"/>
                <w:sz w:val="24"/>
                <w:highlight w:val="none"/>
              </w:rPr>
              <w:t>表</w:t>
            </w:r>
            <w:r>
              <w:rPr>
                <w:rFonts w:ascii="Times New Roman" w:hAnsi="Times New Roman" w:eastAsia="宋体" w:cs="Times New Roman"/>
                <w:b/>
                <w:bCs/>
                <w:color w:val="000000"/>
                <w:sz w:val="24"/>
                <w:highlight w:val="none"/>
                <w:lang w:val="en-US" w:eastAsia="zh-CN"/>
              </w:rPr>
              <w:t>3-</w:t>
            </w:r>
            <w:r>
              <w:rPr>
                <w:rFonts w:hint="eastAsia" w:ascii="Times New Roman" w:hAnsi="Times New Roman" w:eastAsia="宋体" w:cs="Times New Roman"/>
                <w:b/>
                <w:bCs/>
                <w:color w:val="000000"/>
                <w:sz w:val="24"/>
                <w:highlight w:val="none"/>
                <w:lang w:val="en-US" w:eastAsia="zh-CN"/>
              </w:rPr>
              <w:t>10</w:t>
            </w:r>
            <w:r>
              <w:rPr>
                <w:rFonts w:ascii="Times New Roman" w:hAnsi="Times New Roman" w:eastAsia="宋体" w:cs="Times New Roman"/>
                <w:b/>
                <w:bCs/>
                <w:color w:val="000000"/>
                <w:sz w:val="24"/>
                <w:highlight w:val="none"/>
              </w:rPr>
              <w:t xml:space="preserve">  </w:t>
            </w:r>
            <w:r>
              <w:rPr>
                <w:rFonts w:ascii="Times New Roman" w:hAnsi="Times New Roman" w:eastAsia="宋体" w:cs="Times New Roman"/>
                <w:b/>
                <w:color w:val="000000"/>
                <w:sz w:val="24"/>
                <w:highlight w:val="none"/>
              </w:rPr>
              <w:t>大气污染物综合排放标准 单位：mg/m</w:t>
            </w:r>
            <w:r>
              <w:rPr>
                <w:rFonts w:ascii="Times New Roman" w:hAnsi="Times New Roman" w:eastAsia="宋体" w:cs="Times New Roman"/>
                <w:b/>
                <w:color w:val="000000"/>
                <w:sz w:val="24"/>
                <w:highlight w:val="none"/>
                <w:vertAlign w:val="superscript"/>
              </w:rPr>
              <w:t>3</w:t>
            </w:r>
          </w:p>
          <w:tbl>
            <w:tblPr>
              <w:tblStyle w:val="2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6"/>
              <w:gridCol w:w="2946"/>
              <w:gridCol w:w="2946"/>
            </w:tblGrid>
            <w:tr w14:paraId="2D336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0" w:hRule="atLeast"/>
                <w:jc w:val="center"/>
              </w:trPr>
              <w:tc>
                <w:tcPr>
                  <w:tcW w:w="1665" w:type="dxa"/>
                  <w:vMerge w:val="restart"/>
                  <w:noWrap w:val="0"/>
                  <w:vAlign w:val="center"/>
                </w:tcPr>
                <w:p w14:paraId="007EEEF9">
                  <w:pPr>
                    <w:jc w:val="center"/>
                    <w:rPr>
                      <w:rFonts w:ascii="Times New Roman" w:hAnsi="Times New Roman" w:eastAsia="宋体" w:cs="Times New Roman"/>
                      <w:b/>
                      <w:bCs/>
                      <w:color w:val="000000"/>
                      <w:highlight w:val="none"/>
                    </w:rPr>
                  </w:pPr>
                  <w:r>
                    <w:rPr>
                      <w:rFonts w:ascii="Times New Roman" w:hAnsi="Times New Roman" w:eastAsia="宋体" w:cs="Times New Roman"/>
                      <w:b/>
                      <w:bCs/>
                      <w:color w:val="000000"/>
                      <w:highlight w:val="none"/>
                    </w:rPr>
                    <w:t>污染物</w:t>
                  </w:r>
                </w:p>
              </w:tc>
              <w:tc>
                <w:tcPr>
                  <w:tcW w:w="3334" w:type="dxa"/>
                  <w:noWrap w:val="0"/>
                  <w:vAlign w:val="center"/>
                </w:tcPr>
                <w:p w14:paraId="13D4197D">
                  <w:pPr>
                    <w:ind w:firstLine="422"/>
                    <w:jc w:val="center"/>
                    <w:rPr>
                      <w:rFonts w:ascii="Times New Roman" w:hAnsi="Times New Roman" w:eastAsia="宋体" w:cs="Times New Roman"/>
                      <w:b/>
                      <w:bCs/>
                      <w:color w:val="000000"/>
                      <w:highlight w:val="none"/>
                    </w:rPr>
                  </w:pPr>
                  <w:r>
                    <w:rPr>
                      <w:rFonts w:ascii="Times New Roman" w:hAnsi="Times New Roman" w:eastAsia="宋体" w:cs="Times New Roman"/>
                      <w:b/>
                      <w:bCs/>
                      <w:color w:val="000000"/>
                      <w:highlight w:val="none"/>
                    </w:rPr>
                    <w:t>无组织排放监控浓度</w:t>
                  </w:r>
                </w:p>
              </w:tc>
            </w:tr>
            <w:tr w14:paraId="31E31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65" w:type="dxa"/>
                  <w:vMerge w:val="continue"/>
                  <w:noWrap w:val="0"/>
                  <w:vAlign w:val="center"/>
                </w:tcPr>
                <w:p w14:paraId="6BF46974">
                  <w:pPr>
                    <w:jc w:val="center"/>
                    <w:rPr>
                      <w:rFonts w:ascii="Times New Roman" w:hAnsi="Times New Roman" w:eastAsia="宋体" w:cs="Times New Roman"/>
                      <w:b/>
                      <w:bCs/>
                      <w:color w:val="000000"/>
                      <w:highlight w:val="none"/>
                    </w:rPr>
                  </w:pPr>
                </w:p>
              </w:tc>
              <w:tc>
                <w:tcPr>
                  <w:tcW w:w="1665" w:type="dxa"/>
                  <w:noWrap w:val="0"/>
                  <w:vAlign w:val="center"/>
                </w:tcPr>
                <w:p w14:paraId="2189EFBB">
                  <w:pPr>
                    <w:pStyle w:val="262"/>
                    <w:spacing w:line="240" w:lineRule="auto"/>
                    <w:rPr>
                      <w:rFonts w:ascii="Times New Roman" w:hAnsi="Times New Roman" w:eastAsia="宋体" w:cs="Times New Roman"/>
                      <w:b/>
                      <w:bCs/>
                      <w:color w:val="000000"/>
                      <w:sz w:val="21"/>
                      <w:highlight w:val="none"/>
                    </w:rPr>
                  </w:pPr>
                  <w:r>
                    <w:rPr>
                      <w:rFonts w:ascii="Times New Roman" w:hAnsi="Times New Roman" w:eastAsia="宋体" w:cs="Times New Roman"/>
                      <w:b/>
                      <w:bCs/>
                      <w:color w:val="000000"/>
                      <w:sz w:val="21"/>
                      <w:highlight w:val="none"/>
                    </w:rPr>
                    <w:t>监控点</w:t>
                  </w:r>
                </w:p>
              </w:tc>
              <w:tc>
                <w:tcPr>
                  <w:tcW w:w="1669" w:type="dxa"/>
                  <w:noWrap w:val="0"/>
                  <w:vAlign w:val="center"/>
                </w:tcPr>
                <w:p w14:paraId="0925FDFF">
                  <w:pPr>
                    <w:pStyle w:val="262"/>
                    <w:spacing w:line="240" w:lineRule="auto"/>
                    <w:rPr>
                      <w:rFonts w:ascii="Times New Roman" w:hAnsi="Times New Roman" w:eastAsia="宋体" w:cs="Times New Roman"/>
                      <w:b/>
                      <w:bCs/>
                      <w:color w:val="000000"/>
                      <w:sz w:val="21"/>
                      <w:highlight w:val="none"/>
                    </w:rPr>
                  </w:pPr>
                  <w:r>
                    <w:rPr>
                      <w:rFonts w:ascii="Times New Roman" w:hAnsi="Times New Roman" w:eastAsia="宋体" w:cs="Times New Roman"/>
                      <w:b/>
                      <w:bCs/>
                      <w:color w:val="000000"/>
                      <w:sz w:val="21"/>
                      <w:highlight w:val="none"/>
                    </w:rPr>
                    <w:t>浓度</w:t>
                  </w:r>
                </w:p>
              </w:tc>
            </w:tr>
            <w:tr w14:paraId="0D211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65" w:type="dxa"/>
                  <w:noWrap w:val="0"/>
                  <w:vAlign w:val="center"/>
                </w:tcPr>
                <w:p w14:paraId="377B79E5">
                  <w:pPr>
                    <w:jc w:val="center"/>
                    <w:rPr>
                      <w:rFonts w:ascii="Times New Roman" w:hAnsi="Times New Roman" w:eastAsia="宋体" w:cs="Times New Roman"/>
                      <w:bCs/>
                      <w:color w:val="000000"/>
                      <w:highlight w:val="none"/>
                    </w:rPr>
                  </w:pPr>
                  <w:r>
                    <w:rPr>
                      <w:rFonts w:ascii="Times New Roman" w:hAnsi="Times New Roman" w:eastAsia="宋体" w:cs="Times New Roman"/>
                      <w:bCs/>
                      <w:color w:val="000000"/>
                      <w:highlight w:val="none"/>
                    </w:rPr>
                    <w:t>颗粒物</w:t>
                  </w:r>
                </w:p>
              </w:tc>
              <w:tc>
                <w:tcPr>
                  <w:tcW w:w="1665" w:type="dxa"/>
                  <w:noWrap w:val="0"/>
                  <w:vAlign w:val="center"/>
                </w:tcPr>
                <w:p w14:paraId="2F9BAB87">
                  <w:pPr>
                    <w:pStyle w:val="262"/>
                    <w:spacing w:line="240" w:lineRule="auto"/>
                    <w:rPr>
                      <w:rFonts w:ascii="Times New Roman" w:hAnsi="Times New Roman" w:eastAsia="宋体" w:cs="Times New Roman"/>
                      <w:bCs/>
                      <w:color w:val="000000"/>
                      <w:sz w:val="21"/>
                      <w:highlight w:val="none"/>
                    </w:rPr>
                  </w:pPr>
                  <w:r>
                    <w:rPr>
                      <w:rFonts w:ascii="Times New Roman" w:hAnsi="Times New Roman" w:eastAsia="宋体" w:cs="Times New Roman"/>
                      <w:bCs/>
                      <w:color w:val="000000"/>
                      <w:sz w:val="21"/>
                      <w:highlight w:val="none"/>
                    </w:rPr>
                    <w:t>周界外浓度最高点</w:t>
                  </w:r>
                </w:p>
              </w:tc>
              <w:tc>
                <w:tcPr>
                  <w:tcW w:w="1669" w:type="dxa"/>
                  <w:noWrap w:val="0"/>
                  <w:vAlign w:val="center"/>
                </w:tcPr>
                <w:p w14:paraId="22121ACE">
                  <w:pPr>
                    <w:pStyle w:val="262"/>
                    <w:spacing w:line="240" w:lineRule="auto"/>
                    <w:rPr>
                      <w:rFonts w:ascii="Times New Roman" w:hAnsi="Times New Roman" w:eastAsia="宋体" w:cs="Times New Roman"/>
                      <w:bCs/>
                      <w:color w:val="000000"/>
                      <w:sz w:val="21"/>
                      <w:highlight w:val="none"/>
                    </w:rPr>
                  </w:pPr>
                  <w:r>
                    <w:rPr>
                      <w:rFonts w:ascii="Times New Roman" w:hAnsi="Times New Roman" w:eastAsia="宋体" w:cs="Times New Roman"/>
                      <w:bCs/>
                      <w:color w:val="000000"/>
                      <w:sz w:val="21"/>
                      <w:highlight w:val="none"/>
                    </w:rPr>
                    <w:t>1.0</w:t>
                  </w:r>
                </w:p>
              </w:tc>
            </w:tr>
          </w:tbl>
          <w:p w14:paraId="29D0C578">
            <w:pPr>
              <w:keepNext w:val="0"/>
              <w:keepLines w:val="0"/>
              <w:pageBreakBefore w:val="0"/>
              <w:widowControl w:val="0"/>
              <w:tabs>
                <w:tab w:val="center" w:pos="4153"/>
                <w:tab w:val="right" w:pos="8306"/>
              </w:tabs>
              <w:spacing w:before="157" w:line="360" w:lineRule="auto"/>
              <w:ind w:firstLine="482"/>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（2）运营期大气污染物排放标准</w:t>
            </w:r>
          </w:p>
          <w:p w14:paraId="11A7E48F">
            <w:pPr>
              <w:keepNext w:val="0"/>
              <w:keepLines w:val="0"/>
              <w:pageBreakBefore w:val="0"/>
              <w:widowControl w:val="0"/>
              <w:spacing w:line="360" w:lineRule="auto"/>
              <w:ind w:firstLine="482"/>
              <w:rPr>
                <w:rFonts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1）有组织废气</w:t>
            </w:r>
          </w:p>
          <w:p w14:paraId="0294C805">
            <w:pPr>
              <w:keepNext w:val="0"/>
              <w:keepLines w:val="0"/>
              <w:pageBreakBefore w:val="0"/>
              <w:widowControl w:val="0"/>
              <w:spacing w:line="360" w:lineRule="auto"/>
              <w:ind w:firstLine="482"/>
              <w:rPr>
                <w:rFonts w:ascii="Times New Roman" w:hAnsi="Times New Roman" w:eastAsia="宋体" w:cs="Times New Roman"/>
                <w:color w:val="000000"/>
                <w:sz w:val="24"/>
                <w:szCs w:val="24"/>
              </w:rPr>
            </w:pPr>
            <w:r>
              <w:rPr>
                <w:rFonts w:hint="eastAsia" w:ascii="Times New Roman" w:hAnsi="Times New Roman" w:eastAsia="宋体" w:cs="Times New Roman"/>
                <w:b/>
                <w:bCs/>
                <w:color w:val="000000"/>
                <w:sz w:val="24"/>
                <w:szCs w:val="24"/>
                <w:lang w:val="en-US" w:eastAsia="zh-CN"/>
              </w:rPr>
              <w:t>①锅炉烟气：</w:t>
            </w:r>
            <w:r>
              <w:rPr>
                <w:rFonts w:ascii="Times New Roman" w:hAnsi="Times New Roman" w:eastAsia="宋体" w:cs="Times New Roman"/>
                <w:color w:val="000000"/>
                <w:sz w:val="24"/>
                <w:szCs w:val="24"/>
                <w:lang w:val="en-US" w:eastAsia="zh-CN"/>
              </w:rPr>
              <w:t>项目建成后使用</w:t>
            </w:r>
            <w:r>
              <w:rPr>
                <w:rFonts w:hint="eastAsia" w:ascii="Times New Roman" w:hAnsi="Times New Roman" w:eastAsia="宋体" w:cs="Times New Roman"/>
                <w:color w:val="000000"/>
                <w:sz w:val="24"/>
                <w:szCs w:val="24"/>
                <w:lang w:val="en-US" w:eastAsia="zh-CN"/>
              </w:rPr>
              <w:t>1</w:t>
            </w:r>
            <w:r>
              <w:rPr>
                <w:rFonts w:ascii="Times New Roman" w:hAnsi="Times New Roman" w:eastAsia="宋体" w:cs="Times New Roman"/>
                <w:color w:val="000000"/>
                <w:sz w:val="24"/>
                <w:szCs w:val="24"/>
                <w:lang w:val="en-US" w:eastAsia="zh-CN"/>
              </w:rPr>
              <w:t>台</w:t>
            </w:r>
            <w:r>
              <w:rPr>
                <w:rFonts w:hint="eastAsia" w:ascii="Times New Roman" w:hAnsi="Times New Roman" w:eastAsia="宋体" w:cs="Times New Roman"/>
                <w:color w:val="000000"/>
                <w:sz w:val="24"/>
                <w:szCs w:val="24"/>
                <w:lang w:val="en-US" w:eastAsia="zh-CN"/>
              </w:rPr>
              <w:t>2t/h</w:t>
            </w:r>
            <w:r>
              <w:rPr>
                <w:rFonts w:ascii="Times New Roman" w:hAnsi="Times New Roman" w:eastAsia="宋体" w:cs="Times New Roman"/>
                <w:color w:val="000000"/>
                <w:sz w:val="24"/>
                <w:szCs w:val="24"/>
              </w:rPr>
              <w:t>的</w:t>
            </w:r>
            <w:r>
              <w:rPr>
                <w:rFonts w:ascii="Times New Roman" w:hAnsi="Times New Roman" w:eastAsia="宋体" w:cs="Times New Roman"/>
                <w:color w:val="000000"/>
                <w:sz w:val="24"/>
                <w:szCs w:val="24"/>
                <w:lang w:val="en-US" w:eastAsia="zh-CN"/>
              </w:rPr>
              <w:t>生物质</w:t>
            </w:r>
            <w:r>
              <w:rPr>
                <w:rFonts w:ascii="Times New Roman" w:hAnsi="Times New Roman" w:eastAsia="宋体" w:cs="Times New Roman"/>
                <w:color w:val="000000"/>
                <w:sz w:val="24"/>
                <w:szCs w:val="24"/>
              </w:rPr>
              <w:t>锅炉，根据《锅炉大气污染物排放标准》（GB13271-2014）的要求，污染物排放</w:t>
            </w:r>
            <w:r>
              <w:rPr>
                <w:rFonts w:ascii="Times New Roman" w:hAnsi="Times New Roman" w:eastAsia="宋体" w:cs="Times New Roman"/>
                <w:color w:val="000000"/>
                <w:sz w:val="24"/>
                <w:szCs w:val="24"/>
                <w:lang w:val="en-US" w:eastAsia="zh-CN"/>
              </w:rPr>
              <w:t>参</w:t>
            </w:r>
            <w:r>
              <w:rPr>
                <w:rFonts w:ascii="Times New Roman" w:hAnsi="Times New Roman" w:eastAsia="宋体" w:cs="Times New Roman"/>
                <w:color w:val="000000"/>
                <w:sz w:val="24"/>
                <w:szCs w:val="24"/>
              </w:rPr>
              <w:t>照表2</w:t>
            </w:r>
            <w:r>
              <w:rPr>
                <w:rFonts w:ascii="Times New Roman" w:hAnsi="Times New Roman" w:eastAsia="宋体" w:cs="Times New Roman"/>
                <w:color w:val="000000"/>
                <w:sz w:val="24"/>
                <w:szCs w:val="24"/>
                <w:lang w:val="en-US" w:eastAsia="zh-CN"/>
              </w:rPr>
              <w:t>燃煤</w:t>
            </w:r>
            <w:r>
              <w:rPr>
                <w:rFonts w:ascii="Times New Roman" w:hAnsi="Times New Roman" w:eastAsia="宋体" w:cs="Times New Roman"/>
                <w:color w:val="000000"/>
                <w:sz w:val="24"/>
                <w:szCs w:val="24"/>
              </w:rPr>
              <w:t>锅炉标准执行，锅炉房烟囱高度要求按照表4执行</w:t>
            </w:r>
            <w:r>
              <w:rPr>
                <w:rFonts w:ascii="Times New Roman" w:hAnsi="Times New Roman" w:eastAsia="宋体" w:cs="Times New Roman"/>
                <w:color w:val="000000"/>
                <w:sz w:val="24"/>
                <w:szCs w:val="24"/>
                <w:lang w:eastAsia="zh-CN"/>
              </w:rPr>
              <w:t>：最低高度</w:t>
            </w:r>
            <w:r>
              <w:rPr>
                <w:rFonts w:ascii="Times New Roman" w:hAnsi="Times New Roman" w:eastAsia="宋体" w:cs="Times New Roman"/>
                <w:color w:val="000000"/>
                <w:sz w:val="24"/>
                <w:szCs w:val="24"/>
                <w:lang w:val="en-US" w:eastAsia="zh-CN"/>
              </w:rPr>
              <w:t>为</w:t>
            </w:r>
            <w:r>
              <w:rPr>
                <w:rFonts w:hint="eastAsia" w:ascii="Times New Roman" w:hAnsi="Times New Roman" w:eastAsia="宋体" w:cs="Times New Roman"/>
                <w:color w:val="000000"/>
                <w:sz w:val="24"/>
                <w:szCs w:val="24"/>
                <w:lang w:val="en-US" w:eastAsia="zh-CN"/>
              </w:rPr>
              <w:t>30</w:t>
            </w:r>
            <w:r>
              <w:rPr>
                <w:rFonts w:ascii="Times New Roman" w:hAnsi="Times New Roman" w:eastAsia="宋体" w:cs="Times New Roman"/>
                <w:color w:val="000000"/>
                <w:sz w:val="24"/>
                <w:szCs w:val="24"/>
                <w:lang w:val="en-US" w:eastAsia="zh-CN"/>
              </w:rPr>
              <w:t>m</w:t>
            </w:r>
            <w:r>
              <w:rPr>
                <w:rFonts w:ascii="Times New Roman" w:hAnsi="Times New Roman" w:eastAsia="宋体" w:cs="Times New Roman"/>
                <w:color w:val="000000"/>
                <w:sz w:val="24"/>
                <w:szCs w:val="24"/>
              </w:rPr>
              <w:t>，标准限值见</w:t>
            </w:r>
            <w:r>
              <w:rPr>
                <w:rFonts w:ascii="Times New Roman" w:hAnsi="Times New Roman" w:eastAsia="宋体" w:cs="Times New Roman"/>
                <w:color w:val="000000"/>
                <w:sz w:val="24"/>
                <w:szCs w:val="24"/>
                <w:lang w:val="en-US" w:eastAsia="zh-CN"/>
              </w:rPr>
              <w:t>下表</w:t>
            </w:r>
            <w:r>
              <w:rPr>
                <w:rFonts w:ascii="Times New Roman" w:hAnsi="Times New Roman" w:eastAsia="宋体" w:cs="Times New Roman"/>
                <w:color w:val="000000"/>
                <w:sz w:val="24"/>
                <w:szCs w:val="24"/>
              </w:rPr>
              <w:t>。</w:t>
            </w:r>
          </w:p>
          <w:p w14:paraId="43DDB442">
            <w:pPr>
              <w:spacing w:line="240" w:lineRule="auto"/>
              <w:jc w:val="center"/>
              <w:rPr>
                <w:rFonts w:ascii="Times New Roman" w:hAnsi="Times New Roman" w:eastAsia="宋体" w:cs="Times New Roman"/>
                <w:b/>
                <w:color w:val="000000"/>
                <w:sz w:val="24"/>
                <w:szCs w:val="24"/>
                <w:vertAlign w:val="superscript"/>
              </w:rPr>
            </w:pPr>
            <w:r>
              <w:rPr>
                <w:rFonts w:ascii="Times New Roman" w:hAnsi="Times New Roman" w:eastAsia="宋体" w:cs="Times New Roman"/>
                <w:b/>
                <w:color w:val="000000"/>
                <w:sz w:val="24"/>
                <w:szCs w:val="24"/>
              </w:rPr>
              <w:t>表</w:t>
            </w:r>
            <w:r>
              <w:rPr>
                <w:rFonts w:ascii="Times New Roman" w:hAnsi="Times New Roman" w:eastAsia="宋体" w:cs="Times New Roman"/>
                <w:b/>
                <w:color w:val="000000"/>
                <w:sz w:val="24"/>
                <w:szCs w:val="24"/>
                <w:lang w:val="en-US" w:eastAsia="zh-CN"/>
              </w:rPr>
              <w:t>3-1</w:t>
            </w:r>
            <w:r>
              <w:rPr>
                <w:rFonts w:hint="eastAsia" w:ascii="Times New Roman" w:hAnsi="Times New Roman" w:eastAsia="宋体" w:cs="Times New Roman"/>
                <w:b/>
                <w:color w:val="000000"/>
                <w:sz w:val="24"/>
                <w:szCs w:val="24"/>
                <w:lang w:val="en-US" w:eastAsia="zh-CN"/>
              </w:rPr>
              <w:t>1</w:t>
            </w:r>
            <w:r>
              <w:rPr>
                <w:rFonts w:ascii="Times New Roman" w:hAnsi="Times New Roman" w:eastAsia="宋体" w:cs="Times New Roman"/>
                <w:b/>
                <w:color w:val="000000"/>
                <w:sz w:val="24"/>
                <w:szCs w:val="24"/>
              </w:rPr>
              <w:t xml:space="preserve">  锅炉大气污染物排放标准限值  单位：mg/m</w:t>
            </w:r>
            <w:r>
              <w:rPr>
                <w:rFonts w:ascii="Times New Roman" w:hAnsi="Times New Roman" w:eastAsia="宋体" w:cs="Times New Roman"/>
                <w:b/>
                <w:color w:val="000000"/>
                <w:sz w:val="24"/>
                <w:szCs w:val="24"/>
                <w:vertAlign w:val="superscript"/>
              </w:rPr>
              <w:t>3</w:t>
            </w:r>
          </w:p>
          <w:tbl>
            <w:tblPr>
              <w:tblStyle w:val="29"/>
              <w:tblW w:w="4972"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64"/>
              <w:gridCol w:w="4042"/>
              <w:gridCol w:w="2081"/>
            </w:tblGrid>
            <w:tr w14:paraId="11072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8" w:hRule="atLeast"/>
                <w:jc w:val="center"/>
              </w:trPr>
              <w:tc>
                <w:tcPr>
                  <w:tcW w:w="1516" w:type="dxa"/>
                  <w:vMerge w:val="restart"/>
                  <w:noWrap w:val="0"/>
                  <w:vAlign w:val="center"/>
                </w:tcPr>
                <w:p w14:paraId="2CC54EA3">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项目</w:t>
                  </w:r>
                </w:p>
              </w:tc>
              <w:tc>
                <w:tcPr>
                  <w:tcW w:w="2300" w:type="dxa"/>
                  <w:noWrap w:val="0"/>
                  <w:vAlign w:val="center"/>
                </w:tcPr>
                <w:p w14:paraId="25F9A33C">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限值</w:t>
                  </w:r>
                </w:p>
              </w:tc>
              <w:tc>
                <w:tcPr>
                  <w:tcW w:w="1182" w:type="dxa"/>
                  <w:vMerge w:val="restart"/>
                  <w:noWrap w:val="0"/>
                  <w:vAlign w:val="center"/>
                </w:tcPr>
                <w:p w14:paraId="2711EC34">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污染物排放监控位置</w:t>
                  </w:r>
                </w:p>
              </w:tc>
            </w:tr>
            <w:tr w14:paraId="6F185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8" w:hRule="atLeast"/>
                <w:jc w:val="center"/>
              </w:trPr>
              <w:tc>
                <w:tcPr>
                  <w:tcW w:w="1516" w:type="dxa"/>
                  <w:vMerge w:val="continue"/>
                  <w:noWrap w:val="0"/>
                  <w:vAlign w:val="center"/>
                </w:tcPr>
                <w:p w14:paraId="002D1E7C">
                  <w:pPr>
                    <w:jc w:val="center"/>
                    <w:rPr>
                      <w:rFonts w:ascii="Times New Roman" w:hAnsi="Times New Roman" w:eastAsia="宋体" w:cs="Times New Roman"/>
                      <w:color w:val="000000"/>
                    </w:rPr>
                  </w:pPr>
                </w:p>
              </w:tc>
              <w:tc>
                <w:tcPr>
                  <w:tcW w:w="2300" w:type="dxa"/>
                  <w:noWrap w:val="0"/>
                  <w:vAlign w:val="center"/>
                </w:tcPr>
                <w:p w14:paraId="1E9335F7">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燃煤锅炉</w:t>
                  </w:r>
                </w:p>
              </w:tc>
              <w:tc>
                <w:tcPr>
                  <w:tcW w:w="1182" w:type="dxa"/>
                  <w:vMerge w:val="continue"/>
                  <w:noWrap w:val="0"/>
                  <w:vAlign w:val="center"/>
                </w:tcPr>
                <w:p w14:paraId="106D41FC">
                  <w:pPr>
                    <w:jc w:val="center"/>
                    <w:rPr>
                      <w:rFonts w:ascii="Times New Roman" w:hAnsi="Times New Roman" w:eastAsia="宋体" w:cs="Times New Roman"/>
                      <w:b/>
                      <w:color w:val="000000"/>
                      <w:szCs w:val="21"/>
                    </w:rPr>
                  </w:pPr>
                </w:p>
              </w:tc>
            </w:tr>
            <w:tr w14:paraId="7305C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516" w:type="dxa"/>
                  <w:noWrap w:val="0"/>
                  <w:vAlign w:val="center"/>
                </w:tcPr>
                <w:p w14:paraId="5481C47D">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颗粒物</w:t>
                  </w:r>
                </w:p>
              </w:tc>
              <w:tc>
                <w:tcPr>
                  <w:tcW w:w="2300" w:type="dxa"/>
                  <w:noWrap w:val="0"/>
                  <w:vAlign w:val="center"/>
                </w:tcPr>
                <w:p w14:paraId="3528F30B">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50</w:t>
                  </w:r>
                </w:p>
              </w:tc>
              <w:tc>
                <w:tcPr>
                  <w:tcW w:w="1182" w:type="dxa"/>
                  <w:vMerge w:val="restart"/>
                  <w:noWrap w:val="0"/>
                  <w:vAlign w:val="center"/>
                </w:tcPr>
                <w:p w14:paraId="6C8EF9D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烟囱或烟道</w:t>
                  </w:r>
                </w:p>
              </w:tc>
            </w:tr>
            <w:tr w14:paraId="10711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516" w:type="dxa"/>
                  <w:noWrap w:val="0"/>
                  <w:vAlign w:val="center"/>
                </w:tcPr>
                <w:p w14:paraId="7D3A58D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二氧化硫</w:t>
                  </w:r>
                </w:p>
              </w:tc>
              <w:tc>
                <w:tcPr>
                  <w:tcW w:w="2300" w:type="dxa"/>
                  <w:noWrap w:val="0"/>
                  <w:vAlign w:val="center"/>
                </w:tcPr>
                <w:p w14:paraId="76E31267">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300</w:t>
                  </w:r>
                </w:p>
              </w:tc>
              <w:tc>
                <w:tcPr>
                  <w:tcW w:w="1182" w:type="dxa"/>
                  <w:vMerge w:val="continue"/>
                  <w:noWrap w:val="0"/>
                  <w:vAlign w:val="center"/>
                </w:tcPr>
                <w:p w14:paraId="7AF8BD13">
                  <w:pPr>
                    <w:jc w:val="center"/>
                    <w:rPr>
                      <w:rFonts w:ascii="Times New Roman" w:hAnsi="Times New Roman" w:eastAsia="宋体" w:cs="Times New Roman"/>
                      <w:color w:val="000000"/>
                      <w:szCs w:val="21"/>
                    </w:rPr>
                  </w:pPr>
                </w:p>
              </w:tc>
            </w:tr>
            <w:tr w14:paraId="17E22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516" w:type="dxa"/>
                  <w:noWrap w:val="0"/>
                  <w:vAlign w:val="center"/>
                </w:tcPr>
                <w:p w14:paraId="45B31564">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氮氧化物</w:t>
                  </w:r>
                </w:p>
              </w:tc>
              <w:tc>
                <w:tcPr>
                  <w:tcW w:w="2300" w:type="dxa"/>
                  <w:noWrap w:val="0"/>
                  <w:vAlign w:val="center"/>
                </w:tcPr>
                <w:p w14:paraId="12625E3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300</w:t>
                  </w:r>
                </w:p>
              </w:tc>
              <w:tc>
                <w:tcPr>
                  <w:tcW w:w="1182" w:type="dxa"/>
                  <w:vMerge w:val="continue"/>
                  <w:noWrap w:val="0"/>
                  <w:vAlign w:val="center"/>
                </w:tcPr>
                <w:p w14:paraId="6C744EB3">
                  <w:pPr>
                    <w:jc w:val="center"/>
                    <w:rPr>
                      <w:rFonts w:ascii="Times New Roman" w:hAnsi="Times New Roman" w:eastAsia="宋体" w:cs="Times New Roman"/>
                      <w:color w:val="000000"/>
                      <w:szCs w:val="21"/>
                    </w:rPr>
                  </w:pPr>
                </w:p>
              </w:tc>
            </w:tr>
            <w:tr w14:paraId="5D19E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1516" w:type="dxa"/>
                  <w:noWrap w:val="0"/>
                  <w:vAlign w:val="center"/>
                </w:tcPr>
                <w:p w14:paraId="31B8A97D">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烟气黑度（林格曼黑度，级）</w:t>
                  </w:r>
                </w:p>
              </w:tc>
              <w:tc>
                <w:tcPr>
                  <w:tcW w:w="2300" w:type="dxa"/>
                  <w:noWrap w:val="0"/>
                  <w:vAlign w:val="center"/>
                </w:tcPr>
                <w:p w14:paraId="6ED82730">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1182" w:type="dxa"/>
                  <w:noWrap w:val="0"/>
                  <w:vAlign w:val="center"/>
                </w:tcPr>
                <w:p w14:paraId="51C5A99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烟囱排放口</w:t>
                  </w:r>
                </w:p>
              </w:tc>
            </w:tr>
            <w:tr w14:paraId="34AB3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8787" w:type="dxa"/>
                  <w:gridSpan w:val="3"/>
                  <w:noWrap w:val="0"/>
                  <w:vAlign w:val="center"/>
                </w:tcPr>
                <w:p w14:paraId="465AA7DD">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注：本项目锅炉热源为外购成型生物质燃料，烟气中不含</w:t>
                  </w:r>
                  <w:r>
                    <w:rPr>
                      <w:rFonts w:ascii="Times New Roman" w:hAnsi="Times New Roman" w:eastAsia="宋体" w:cs="Times New Roman"/>
                      <w:color w:val="000000"/>
                      <w:szCs w:val="21"/>
                    </w:rPr>
                    <w:t>汞及其化合物</w:t>
                  </w:r>
                  <w:r>
                    <w:rPr>
                      <w:rFonts w:ascii="Times New Roman" w:hAnsi="Times New Roman" w:eastAsia="宋体" w:cs="Times New Roman"/>
                      <w:color w:val="000000"/>
                      <w:szCs w:val="21"/>
                      <w:lang w:eastAsia="zh-CN"/>
                    </w:rPr>
                    <w:t>，</w:t>
                  </w:r>
                  <w:r>
                    <w:rPr>
                      <w:rFonts w:ascii="Times New Roman" w:hAnsi="Times New Roman" w:eastAsia="宋体" w:cs="Times New Roman"/>
                      <w:color w:val="000000"/>
                      <w:szCs w:val="21"/>
                      <w:lang w:val="en-US" w:eastAsia="zh-CN"/>
                    </w:rPr>
                    <w:t>故未罗列。</w:t>
                  </w:r>
                </w:p>
              </w:tc>
            </w:tr>
          </w:tbl>
          <w:p w14:paraId="77B774E9">
            <w:pPr>
              <w:keepNext w:val="0"/>
              <w:keepLines w:val="0"/>
              <w:pageBreakBefore w:val="0"/>
              <w:widowControl/>
              <w:suppressLineNumbers w:val="0"/>
              <w:spacing w:before="157" w:line="360" w:lineRule="auto"/>
              <w:ind w:firstLine="482"/>
              <w:jc w:val="both"/>
              <w:rPr>
                <w:rFonts w:hint="eastAsia" w:ascii="宋体" w:hAnsi="宋体" w:eastAsia="宋体" w:cs="宋体"/>
                <w:color w:val="000000"/>
                <w:sz w:val="24"/>
                <w:szCs w:val="24"/>
                <w:lang w:val="en-US" w:eastAsia="zh-CN" w:bidi="ar"/>
              </w:rPr>
            </w:pPr>
            <w:r>
              <w:rPr>
                <w:rFonts w:hint="eastAsia" w:ascii="Times New Roman" w:hAnsi="Times New Roman" w:eastAsia="宋体" w:cs="Times New Roman"/>
                <w:b/>
                <w:bCs/>
                <w:color w:val="000000"/>
                <w:sz w:val="24"/>
                <w:lang w:val="en-US" w:eastAsia="zh-CN"/>
              </w:rPr>
              <w:t>②木料烘干、涂胶废气：</w:t>
            </w:r>
            <w:r>
              <w:rPr>
                <w:rFonts w:hint="eastAsia" w:ascii="Times New Roman" w:hAnsi="Times New Roman" w:eastAsia="宋体" w:cs="Times New Roman"/>
                <w:b w:val="0"/>
                <w:bCs w:val="0"/>
                <w:color w:val="000000"/>
                <w:sz w:val="24"/>
                <w:lang w:val="en-US" w:eastAsia="zh-CN"/>
              </w:rPr>
              <w:t>木料烘干</w:t>
            </w:r>
            <w:r>
              <w:rPr>
                <w:rFonts w:hint="eastAsia" w:ascii="Times New Roman" w:hAnsi="Times New Roman" w:eastAsia="宋体" w:cs="Times New Roman"/>
                <w:color w:val="000000"/>
                <w:sz w:val="24"/>
                <w:lang w:val="en-US" w:eastAsia="zh-CN"/>
              </w:rPr>
              <w:t>、涂胶工序产生的非甲烷总烃有组织及厂界排放执行《大气污染物综合排放标准》（GB16297-1996）表2中相关标准限值，厂区无组织排放执行</w:t>
            </w:r>
            <w:r>
              <w:rPr>
                <w:rFonts w:ascii="Times New Roman" w:hAnsi="Times New Roman"/>
                <w:color w:val="000000"/>
                <w:sz w:val="24"/>
              </w:rPr>
              <w:t>《挥发性有机物无组织排放控制标准》（GB 37822-2019）表A.1企业厂区内VOCs无组织排放监控点浓度限值</w:t>
            </w:r>
            <w:r>
              <w:rPr>
                <w:rFonts w:hint="eastAsia" w:ascii="Times New Roman" w:hAnsi="Times New Roman"/>
                <w:color w:val="000000"/>
                <w:sz w:val="24"/>
                <w:lang w:eastAsia="zh-CN"/>
              </w:rPr>
              <w:t>；</w:t>
            </w:r>
            <w:r>
              <w:rPr>
                <w:rFonts w:hint="eastAsia" w:ascii="Times New Roman" w:hAnsi="Times New Roman" w:eastAsia="宋体" w:cs="Times New Roman"/>
                <w:color w:val="000000"/>
                <w:sz w:val="24"/>
                <w:lang w:val="en-US" w:eastAsia="zh-CN"/>
              </w:rPr>
              <w:t>涂胶工序产生的甲醛</w:t>
            </w:r>
            <w:r>
              <w:rPr>
                <w:rFonts w:hint="eastAsia" w:ascii="宋体" w:hAnsi="宋体" w:eastAsia="宋体" w:cs="宋体"/>
                <w:color w:val="000000"/>
                <w:sz w:val="24"/>
                <w:szCs w:val="24"/>
                <w:lang w:val="en-US" w:eastAsia="zh-CN" w:bidi="ar"/>
              </w:rPr>
              <w:t>排放执行《大气污染物综合排放标准》（</w:t>
            </w:r>
            <w:r>
              <w:rPr>
                <w:rFonts w:ascii="Times New Roman" w:hAnsi="Times New Roman" w:eastAsia="宋体" w:cs="Times New Roman"/>
                <w:color w:val="000000"/>
                <w:sz w:val="24"/>
                <w:szCs w:val="24"/>
                <w:lang w:val="en-US" w:eastAsia="zh-CN" w:bidi="ar"/>
              </w:rPr>
              <w:t>GB16297-1996</w:t>
            </w:r>
            <w:r>
              <w:rPr>
                <w:rFonts w:hint="eastAsia" w:ascii="宋体" w:hAnsi="宋体" w:eastAsia="宋体" w:cs="宋体"/>
                <w:color w:val="000000"/>
                <w:sz w:val="24"/>
                <w:szCs w:val="24"/>
                <w:lang w:val="en-US" w:eastAsia="zh-CN" w:bidi="ar"/>
              </w:rPr>
              <w:t>）表</w:t>
            </w:r>
            <w:r>
              <w:rPr>
                <w:rFonts w:ascii="Times New Roman" w:hAnsi="Times New Roman" w:eastAsia="宋体" w:cs="Times New Roman"/>
                <w:color w:val="000000"/>
                <w:sz w:val="24"/>
                <w:szCs w:val="24"/>
                <w:lang w:val="en-US" w:eastAsia="zh-CN" w:bidi="ar"/>
              </w:rPr>
              <w:t>2</w:t>
            </w:r>
            <w:r>
              <w:rPr>
                <w:rFonts w:hint="eastAsia" w:ascii="宋体" w:hAnsi="宋体" w:eastAsia="宋体" w:cs="宋体"/>
                <w:color w:val="000000"/>
                <w:sz w:val="24"/>
                <w:szCs w:val="24"/>
                <w:lang w:val="en-US" w:eastAsia="zh-CN" w:bidi="ar"/>
              </w:rPr>
              <w:t>中有组织最高允许排放浓度和无组织排放监控浓度限值。具体标准值如下。</w:t>
            </w:r>
          </w:p>
          <w:p w14:paraId="0157418C">
            <w:pPr>
              <w:pStyle w:val="2"/>
              <w:ind w:left="0" w:firstLine="0"/>
              <w:jc w:val="center"/>
            </w:pPr>
            <w:r>
              <w:rPr>
                <w:rFonts w:ascii="Times New Roman" w:hAnsi="Times New Roman" w:eastAsia="宋体" w:cs="Times New Roman"/>
                <w:b/>
                <w:color w:val="000000"/>
                <w:sz w:val="24"/>
              </w:rPr>
              <w:t>表</w:t>
            </w:r>
            <w:r>
              <w:rPr>
                <w:rFonts w:ascii="Times New Roman" w:hAnsi="Times New Roman" w:eastAsia="宋体" w:cs="Times New Roman"/>
                <w:b/>
                <w:color w:val="000000"/>
                <w:sz w:val="24"/>
                <w:lang w:val="en-US" w:eastAsia="zh-CN"/>
              </w:rPr>
              <w:t>3-1</w:t>
            </w:r>
            <w:r>
              <w:rPr>
                <w:rFonts w:hint="eastAsia" w:ascii="Times New Roman" w:hAnsi="Times New Roman" w:eastAsia="宋体" w:cs="Times New Roman"/>
                <w:b/>
                <w:color w:val="000000"/>
                <w:sz w:val="24"/>
                <w:lang w:val="en-US" w:eastAsia="zh-CN"/>
              </w:rPr>
              <w:t>2</w:t>
            </w:r>
            <w:r>
              <w:rPr>
                <w:rFonts w:ascii="Times New Roman" w:hAnsi="Times New Roman" w:eastAsia="宋体" w:cs="Times New Roman"/>
                <w:b/>
                <w:color w:val="000000"/>
                <w:sz w:val="24"/>
              </w:rPr>
              <w:t xml:space="preserve">  大气污染物综合排放标准  单位：mg/m</w:t>
            </w:r>
            <w:r>
              <w:rPr>
                <w:rFonts w:ascii="Times New Roman" w:hAnsi="Times New Roman" w:eastAsia="宋体" w:cs="Times New Roman"/>
                <w:b/>
                <w:color w:val="000000"/>
                <w:sz w:val="24"/>
                <w:vertAlign w:val="superscript"/>
              </w:rPr>
              <w:t>3</w:t>
            </w:r>
          </w:p>
          <w:tbl>
            <w:tblPr>
              <w:tblStyle w:val="217"/>
              <w:tblW w:w="885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tblGrid>
            <w:tr w14:paraId="06668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Pr>
              <w:tc>
                <w:tcPr>
                  <w:tcW w:w="1475" w:type="dxa"/>
                  <w:vMerge w:val="restart"/>
                  <w:noWrap w:val="0"/>
                  <w:vAlign w:val="center"/>
                </w:tcPr>
                <w:p w14:paraId="06F97FBC">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bCs/>
                      <w:color w:val="000000"/>
                      <w:sz w:val="21"/>
                      <w:szCs w:val="21"/>
                      <w:vertAlign w:val="baseline"/>
                      <w:lang w:val="en-US" w:eastAsia="zh-CN"/>
                    </w:rPr>
                    <w:t>污染物</w:t>
                  </w:r>
                </w:p>
              </w:tc>
              <w:tc>
                <w:tcPr>
                  <w:tcW w:w="1475" w:type="dxa"/>
                  <w:vMerge w:val="restart"/>
                  <w:noWrap w:val="0"/>
                  <w:vAlign w:val="center"/>
                </w:tcPr>
                <w:p w14:paraId="4398226F">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cs="Times New Roman"/>
                      <w:b/>
                      <w:color w:val="000000"/>
                      <w:szCs w:val="21"/>
                    </w:rPr>
                    <w:t>最高允许排放浓度mg/m</w:t>
                  </w:r>
                  <w:r>
                    <w:rPr>
                      <w:rFonts w:ascii="Times New Roman" w:hAnsi="Times New Roman" w:cs="Times New Roman"/>
                      <w:b/>
                      <w:color w:val="000000"/>
                      <w:szCs w:val="21"/>
                      <w:vertAlign w:val="superscript"/>
                    </w:rPr>
                    <w:t>3</w:t>
                  </w:r>
                </w:p>
              </w:tc>
              <w:tc>
                <w:tcPr>
                  <w:tcW w:w="2950" w:type="dxa"/>
                  <w:noWrap w:val="0"/>
                  <w:vAlign w:val="center"/>
                </w:tcPr>
                <w:p w14:paraId="6539EE72">
                  <w:pPr>
                    <w:keepNext w:val="0"/>
                    <w:keepLines w:val="0"/>
                    <w:pageBreakBefore w:val="0"/>
                    <w:widowControl w:val="0"/>
                    <w:spacing w:line="240" w:lineRule="auto"/>
                    <w:jc w:val="center"/>
                    <w:rPr>
                      <w:rFonts w:hint="eastAsia" w:ascii="Times New Roman" w:hAnsi="Times New Roman" w:eastAsia="宋体" w:cs="Times New Roman"/>
                      <w:b w:val="0"/>
                      <w:bCs w:val="0"/>
                      <w:color w:val="000000"/>
                      <w:sz w:val="21"/>
                      <w:szCs w:val="21"/>
                      <w:vertAlign w:val="baseline"/>
                      <w:lang w:val="en-US" w:eastAsia="zh-CN"/>
                    </w:rPr>
                  </w:pPr>
                  <w:r>
                    <w:rPr>
                      <w:rFonts w:ascii="Times New Roman" w:hAnsi="Times New Roman" w:cs="Times New Roman"/>
                      <w:b/>
                      <w:color w:val="000000"/>
                      <w:szCs w:val="21"/>
                    </w:rPr>
                    <w:t>最高允许排放</w:t>
                  </w:r>
                  <w:r>
                    <w:rPr>
                      <w:rFonts w:hint="eastAsia" w:ascii="Times New Roman" w:hAnsi="Times New Roman" w:cs="Times New Roman"/>
                      <w:b/>
                      <w:color w:val="000000"/>
                      <w:szCs w:val="21"/>
                      <w:lang w:val="en-US" w:eastAsia="zh-CN"/>
                    </w:rPr>
                    <w:t>速率kg/h</w:t>
                  </w:r>
                </w:p>
              </w:tc>
              <w:tc>
                <w:tcPr>
                  <w:tcW w:w="2951" w:type="dxa"/>
                  <w:noWrap w:val="0"/>
                  <w:vAlign w:val="center"/>
                </w:tcPr>
                <w:p w14:paraId="0C20B377">
                  <w:pPr>
                    <w:keepNext w:val="0"/>
                    <w:keepLines w:val="0"/>
                    <w:pageBreakBefore w:val="0"/>
                    <w:widowControl w:val="0"/>
                    <w:spacing w:line="240" w:lineRule="auto"/>
                    <w:jc w:val="center"/>
                    <w:rPr>
                      <w:rFonts w:hint="eastAsia"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bCs/>
                      <w:color w:val="000000"/>
                      <w:sz w:val="21"/>
                      <w:szCs w:val="21"/>
                      <w:vertAlign w:val="baseline"/>
                      <w:lang w:val="en-US" w:eastAsia="zh-CN"/>
                    </w:rPr>
                    <w:t>无组织排放监控浓度</w:t>
                  </w:r>
                </w:p>
              </w:tc>
            </w:tr>
            <w:tr w14:paraId="0404D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75" w:type="dxa"/>
                  <w:vMerge w:val="continue"/>
                  <w:noWrap w:val="0"/>
                  <w:vAlign w:val="center"/>
                </w:tcPr>
                <w:p w14:paraId="0D8FF063">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p>
              </w:tc>
              <w:tc>
                <w:tcPr>
                  <w:tcW w:w="1475" w:type="dxa"/>
                  <w:vMerge w:val="continue"/>
                  <w:noWrap w:val="0"/>
                  <w:vAlign w:val="center"/>
                </w:tcPr>
                <w:p w14:paraId="1E0E4E72">
                  <w:pPr>
                    <w:keepNext w:val="0"/>
                    <w:keepLines w:val="0"/>
                    <w:pageBreakBefore w:val="0"/>
                    <w:widowControl w:val="0"/>
                    <w:spacing w:line="240" w:lineRule="auto"/>
                    <w:jc w:val="center"/>
                    <w:rPr>
                      <w:rFonts w:hint="eastAsia" w:ascii="Times New Roman" w:hAnsi="Times New Roman" w:eastAsia="宋体" w:cs="Times New Roman"/>
                      <w:b w:val="0"/>
                      <w:bCs w:val="0"/>
                      <w:color w:val="000000"/>
                      <w:sz w:val="21"/>
                      <w:szCs w:val="21"/>
                      <w:vertAlign w:val="baseline"/>
                      <w:lang w:val="en-US" w:eastAsia="zh-CN"/>
                    </w:rPr>
                  </w:pPr>
                </w:p>
              </w:tc>
              <w:tc>
                <w:tcPr>
                  <w:tcW w:w="1475" w:type="dxa"/>
                  <w:noWrap w:val="0"/>
                  <w:vAlign w:val="center"/>
                </w:tcPr>
                <w:p w14:paraId="5D3407D0">
                  <w:pPr>
                    <w:keepNext w:val="0"/>
                    <w:keepLines w:val="0"/>
                    <w:pageBreakBefore w:val="0"/>
                    <w:widowControl w:val="0"/>
                    <w:spacing w:line="240" w:lineRule="auto"/>
                    <w:jc w:val="center"/>
                    <w:rPr>
                      <w:rFonts w:ascii="Times New Roman" w:hAnsi="Times New Roman" w:eastAsia="宋体" w:cs="Times New Roman"/>
                      <w:b/>
                      <w:bCs/>
                      <w:color w:val="000000"/>
                      <w:sz w:val="21"/>
                      <w:szCs w:val="21"/>
                      <w:vertAlign w:val="baseline"/>
                      <w:lang w:val="en-US" w:eastAsia="zh-CN"/>
                    </w:rPr>
                  </w:pPr>
                  <w:r>
                    <w:rPr>
                      <w:rFonts w:hint="eastAsia" w:ascii="Times New Roman" w:hAnsi="Times New Roman" w:eastAsia="宋体" w:cs="Times New Roman"/>
                      <w:b/>
                      <w:bCs/>
                      <w:color w:val="000000"/>
                      <w:sz w:val="21"/>
                      <w:szCs w:val="21"/>
                      <w:vertAlign w:val="baseline"/>
                      <w:lang w:val="en-US" w:eastAsia="zh-CN"/>
                    </w:rPr>
                    <w:t>排气筒高度</w:t>
                  </w:r>
                </w:p>
              </w:tc>
              <w:tc>
                <w:tcPr>
                  <w:tcW w:w="1475" w:type="dxa"/>
                  <w:noWrap w:val="0"/>
                  <w:vAlign w:val="center"/>
                </w:tcPr>
                <w:p w14:paraId="257DCA8A">
                  <w:pPr>
                    <w:keepNext w:val="0"/>
                    <w:keepLines w:val="0"/>
                    <w:pageBreakBefore w:val="0"/>
                    <w:widowControl w:val="0"/>
                    <w:spacing w:line="240" w:lineRule="auto"/>
                    <w:jc w:val="center"/>
                    <w:rPr>
                      <w:rFonts w:ascii="Times New Roman" w:hAnsi="Times New Roman" w:eastAsia="宋体" w:cs="Times New Roman"/>
                      <w:b/>
                      <w:bCs/>
                      <w:color w:val="000000"/>
                      <w:sz w:val="21"/>
                      <w:szCs w:val="21"/>
                      <w:vertAlign w:val="baseline"/>
                      <w:lang w:val="en-US" w:eastAsia="zh-CN"/>
                    </w:rPr>
                  </w:pPr>
                  <w:r>
                    <w:rPr>
                      <w:rFonts w:hint="eastAsia" w:ascii="Times New Roman" w:hAnsi="Times New Roman" w:eastAsia="宋体" w:cs="Times New Roman"/>
                      <w:b/>
                      <w:bCs/>
                      <w:color w:val="000000"/>
                      <w:sz w:val="21"/>
                      <w:szCs w:val="21"/>
                      <w:vertAlign w:val="baseline"/>
                      <w:lang w:val="en-US" w:eastAsia="zh-CN"/>
                    </w:rPr>
                    <w:t>二级</w:t>
                  </w:r>
                </w:p>
              </w:tc>
              <w:tc>
                <w:tcPr>
                  <w:tcW w:w="1475" w:type="dxa"/>
                  <w:noWrap w:val="0"/>
                  <w:vAlign w:val="center"/>
                </w:tcPr>
                <w:p w14:paraId="40FF940E">
                  <w:pPr>
                    <w:keepNext w:val="0"/>
                    <w:keepLines w:val="0"/>
                    <w:pageBreakBefore w:val="0"/>
                    <w:widowControl w:val="0"/>
                    <w:spacing w:line="240" w:lineRule="auto"/>
                    <w:jc w:val="center"/>
                    <w:rPr>
                      <w:rFonts w:ascii="Times New Roman" w:hAnsi="Times New Roman" w:eastAsia="宋体" w:cs="Times New Roman"/>
                      <w:b/>
                      <w:bCs/>
                      <w:color w:val="000000"/>
                      <w:sz w:val="21"/>
                      <w:szCs w:val="21"/>
                      <w:vertAlign w:val="baseline"/>
                      <w:lang w:val="en-US" w:eastAsia="zh-CN"/>
                    </w:rPr>
                  </w:pPr>
                  <w:r>
                    <w:rPr>
                      <w:rFonts w:hint="eastAsia" w:ascii="Times New Roman" w:hAnsi="Times New Roman" w:eastAsia="宋体" w:cs="Times New Roman"/>
                      <w:b/>
                      <w:bCs/>
                      <w:color w:val="000000"/>
                      <w:sz w:val="21"/>
                      <w:szCs w:val="21"/>
                      <w:vertAlign w:val="baseline"/>
                      <w:lang w:val="en-US" w:eastAsia="zh-CN"/>
                    </w:rPr>
                    <w:t>监测点</w:t>
                  </w:r>
                </w:p>
              </w:tc>
              <w:tc>
                <w:tcPr>
                  <w:tcW w:w="1476" w:type="dxa"/>
                  <w:noWrap w:val="0"/>
                  <w:vAlign w:val="center"/>
                </w:tcPr>
                <w:p w14:paraId="779F5BB2">
                  <w:pPr>
                    <w:keepNext w:val="0"/>
                    <w:keepLines w:val="0"/>
                    <w:pageBreakBefore w:val="0"/>
                    <w:widowControl w:val="0"/>
                    <w:spacing w:line="240" w:lineRule="auto"/>
                    <w:jc w:val="center"/>
                    <w:rPr>
                      <w:rFonts w:ascii="Times New Roman" w:hAnsi="Times New Roman" w:eastAsia="宋体" w:cs="Times New Roman"/>
                      <w:b/>
                      <w:bCs/>
                      <w:color w:val="000000"/>
                      <w:sz w:val="21"/>
                      <w:szCs w:val="21"/>
                      <w:vertAlign w:val="baseline"/>
                      <w:lang w:val="en-US" w:eastAsia="zh-CN"/>
                    </w:rPr>
                  </w:pPr>
                  <w:r>
                    <w:rPr>
                      <w:rFonts w:hint="eastAsia" w:ascii="Times New Roman" w:hAnsi="Times New Roman" w:eastAsia="宋体" w:cs="Times New Roman"/>
                      <w:b/>
                      <w:bCs/>
                      <w:color w:val="000000"/>
                      <w:sz w:val="21"/>
                      <w:szCs w:val="21"/>
                      <w:vertAlign w:val="baseline"/>
                      <w:lang w:val="en-US" w:eastAsia="zh-CN"/>
                    </w:rPr>
                    <w:t>浓度（</w:t>
                  </w:r>
                  <w:r>
                    <w:rPr>
                      <w:rFonts w:ascii="Times New Roman" w:hAnsi="Times New Roman" w:cs="Times New Roman"/>
                      <w:b/>
                      <w:bCs/>
                      <w:color w:val="000000"/>
                      <w:szCs w:val="21"/>
                    </w:rPr>
                    <w:t>mg/m</w:t>
                  </w:r>
                  <w:r>
                    <w:rPr>
                      <w:rFonts w:ascii="Times New Roman" w:hAnsi="Times New Roman" w:cs="Times New Roman"/>
                      <w:b/>
                      <w:bCs/>
                      <w:color w:val="000000"/>
                      <w:szCs w:val="21"/>
                      <w:vertAlign w:val="superscript"/>
                    </w:rPr>
                    <w:t>3</w:t>
                  </w:r>
                  <w:r>
                    <w:rPr>
                      <w:rFonts w:hint="eastAsia" w:ascii="Times New Roman" w:hAnsi="Times New Roman" w:eastAsia="宋体" w:cs="Times New Roman"/>
                      <w:b/>
                      <w:bCs/>
                      <w:color w:val="000000"/>
                      <w:sz w:val="21"/>
                      <w:szCs w:val="21"/>
                      <w:vertAlign w:val="baseline"/>
                      <w:lang w:val="en-US" w:eastAsia="zh-CN"/>
                    </w:rPr>
                    <w:t>）</w:t>
                  </w:r>
                </w:p>
              </w:tc>
            </w:tr>
            <w:tr w14:paraId="58CE4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75" w:type="dxa"/>
                  <w:noWrap w:val="0"/>
                  <w:vAlign w:val="center"/>
                </w:tcPr>
                <w:p w14:paraId="1E5352FC">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非甲烷总烃</w:t>
                  </w:r>
                </w:p>
              </w:tc>
              <w:tc>
                <w:tcPr>
                  <w:tcW w:w="1475" w:type="dxa"/>
                  <w:noWrap w:val="0"/>
                  <w:vAlign w:val="center"/>
                </w:tcPr>
                <w:p w14:paraId="35B5D416">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120</w:t>
                  </w:r>
                </w:p>
              </w:tc>
              <w:tc>
                <w:tcPr>
                  <w:tcW w:w="1475" w:type="dxa"/>
                  <w:noWrap w:val="0"/>
                  <w:vAlign w:val="center"/>
                </w:tcPr>
                <w:p w14:paraId="76239417">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15</w:t>
                  </w:r>
                </w:p>
              </w:tc>
              <w:tc>
                <w:tcPr>
                  <w:tcW w:w="1475" w:type="dxa"/>
                  <w:noWrap w:val="0"/>
                  <w:vAlign w:val="center"/>
                </w:tcPr>
                <w:p w14:paraId="796ECC31">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10</w:t>
                  </w:r>
                </w:p>
              </w:tc>
              <w:tc>
                <w:tcPr>
                  <w:tcW w:w="1475" w:type="dxa"/>
                  <w:vMerge w:val="restart"/>
                  <w:noWrap w:val="0"/>
                  <w:vAlign w:val="center"/>
                </w:tcPr>
                <w:p w14:paraId="79EFC340">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周界外浓度最高点</w:t>
                  </w:r>
                </w:p>
              </w:tc>
              <w:tc>
                <w:tcPr>
                  <w:tcW w:w="1476" w:type="dxa"/>
                  <w:noWrap w:val="0"/>
                  <w:vAlign w:val="center"/>
                </w:tcPr>
                <w:p w14:paraId="25B0CBE9">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4.0</w:t>
                  </w:r>
                </w:p>
              </w:tc>
            </w:tr>
            <w:tr w14:paraId="2B581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75" w:type="dxa"/>
                  <w:noWrap w:val="0"/>
                  <w:vAlign w:val="center"/>
                </w:tcPr>
                <w:p w14:paraId="7C397B7F">
                  <w:pPr>
                    <w:keepNext w:val="0"/>
                    <w:keepLines w:val="0"/>
                    <w:pageBreakBefore w:val="0"/>
                    <w:widowControl w:val="0"/>
                    <w:spacing w:line="240" w:lineRule="auto"/>
                    <w:jc w:val="center"/>
                    <w:rPr>
                      <w:rFonts w:hint="eastAsia"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甲醛</w:t>
                  </w:r>
                </w:p>
              </w:tc>
              <w:tc>
                <w:tcPr>
                  <w:tcW w:w="1475" w:type="dxa"/>
                  <w:noWrap w:val="0"/>
                  <w:vAlign w:val="center"/>
                </w:tcPr>
                <w:p w14:paraId="39C2F114">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25</w:t>
                  </w:r>
                </w:p>
              </w:tc>
              <w:tc>
                <w:tcPr>
                  <w:tcW w:w="1475" w:type="dxa"/>
                  <w:noWrap w:val="0"/>
                  <w:vAlign w:val="center"/>
                </w:tcPr>
                <w:p w14:paraId="201F563D">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15</w:t>
                  </w:r>
                </w:p>
              </w:tc>
              <w:tc>
                <w:tcPr>
                  <w:tcW w:w="1475" w:type="dxa"/>
                  <w:noWrap w:val="0"/>
                  <w:vAlign w:val="center"/>
                </w:tcPr>
                <w:p w14:paraId="6BB41AD6">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0.26</w:t>
                  </w:r>
                </w:p>
              </w:tc>
              <w:tc>
                <w:tcPr>
                  <w:tcW w:w="1475" w:type="dxa"/>
                  <w:vMerge w:val="continue"/>
                  <w:noWrap w:val="0"/>
                  <w:vAlign w:val="center"/>
                </w:tcPr>
                <w:p w14:paraId="60623186">
                  <w:pPr>
                    <w:keepNext w:val="0"/>
                    <w:keepLines w:val="0"/>
                    <w:pageBreakBefore w:val="0"/>
                    <w:widowControl w:val="0"/>
                    <w:spacing w:line="240" w:lineRule="auto"/>
                    <w:jc w:val="center"/>
                    <w:rPr>
                      <w:rFonts w:hint="eastAsia" w:ascii="Times New Roman" w:hAnsi="Times New Roman" w:eastAsia="宋体" w:cs="Times New Roman"/>
                      <w:b w:val="0"/>
                      <w:bCs w:val="0"/>
                      <w:color w:val="000000"/>
                      <w:sz w:val="21"/>
                      <w:szCs w:val="21"/>
                      <w:vertAlign w:val="baseline"/>
                      <w:lang w:val="en-US" w:eastAsia="zh-CN"/>
                    </w:rPr>
                  </w:pPr>
                </w:p>
              </w:tc>
              <w:tc>
                <w:tcPr>
                  <w:tcW w:w="1476" w:type="dxa"/>
                  <w:noWrap w:val="0"/>
                  <w:vAlign w:val="center"/>
                </w:tcPr>
                <w:p w14:paraId="4386247B">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0.20</w:t>
                  </w:r>
                </w:p>
              </w:tc>
            </w:tr>
          </w:tbl>
          <w:p w14:paraId="20FBBC1A">
            <w:pPr>
              <w:keepNext w:val="0"/>
              <w:keepLines w:val="0"/>
              <w:pageBreakBefore w:val="0"/>
              <w:widowControl w:val="0"/>
              <w:spacing w:before="157"/>
              <w:ind w:firstLine="482"/>
              <w:jc w:val="center"/>
              <w:rPr>
                <w:b/>
                <w:color w:val="000000"/>
                <w:sz w:val="24"/>
              </w:rPr>
            </w:pPr>
            <w:r>
              <w:rPr>
                <w:b/>
                <w:color w:val="000000"/>
                <w:sz w:val="24"/>
                <w:lang w:bidi="ar"/>
              </w:rPr>
              <w:t>表3-1</w:t>
            </w:r>
            <w:r>
              <w:rPr>
                <w:rFonts w:hint="eastAsia"/>
                <w:b/>
                <w:color w:val="000000"/>
                <w:sz w:val="24"/>
                <w:lang w:val="en-US" w:eastAsia="zh-CN" w:bidi="ar"/>
              </w:rPr>
              <w:t>3</w:t>
            </w:r>
            <w:r>
              <w:rPr>
                <w:b/>
                <w:color w:val="000000"/>
                <w:sz w:val="24"/>
                <w:lang w:bidi="ar"/>
              </w:rPr>
              <w:t xml:space="preserve">  </w:t>
            </w:r>
            <w:r>
              <w:rPr>
                <w:rFonts w:hint="eastAsia"/>
                <w:b/>
                <w:color w:val="000000"/>
                <w:sz w:val="24"/>
                <w:lang w:bidi="ar"/>
              </w:rPr>
              <w:t>挥发性有机物无组织排放控制标准</w:t>
            </w:r>
          </w:p>
          <w:tbl>
            <w:tblPr>
              <w:tblStyle w:val="29"/>
              <w:tblW w:w="499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48"/>
              <w:gridCol w:w="1482"/>
              <w:gridCol w:w="3351"/>
              <w:gridCol w:w="2439"/>
            </w:tblGrid>
            <w:tr w14:paraId="08D20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77" w:type="dxa"/>
                  <w:noWrap w:val="0"/>
                  <w:vAlign w:val="center"/>
                </w:tcPr>
                <w:p w14:paraId="507DB005">
                  <w:pPr>
                    <w:spacing w:line="276" w:lineRule="auto"/>
                    <w:jc w:val="center"/>
                    <w:rPr>
                      <w:b/>
                      <w:color w:val="000000"/>
                      <w:szCs w:val="21"/>
                    </w:rPr>
                  </w:pPr>
                  <w:r>
                    <w:rPr>
                      <w:b/>
                      <w:color w:val="000000"/>
                      <w:szCs w:val="21"/>
                    </w:rPr>
                    <w:t>污染物项目</w:t>
                  </w:r>
                </w:p>
              </w:tc>
              <w:tc>
                <w:tcPr>
                  <w:tcW w:w="840" w:type="dxa"/>
                  <w:noWrap w:val="0"/>
                  <w:vAlign w:val="center"/>
                </w:tcPr>
                <w:p w14:paraId="3860FBD8">
                  <w:pPr>
                    <w:spacing w:line="276" w:lineRule="auto"/>
                    <w:jc w:val="center"/>
                    <w:rPr>
                      <w:b/>
                      <w:color w:val="000000"/>
                      <w:szCs w:val="21"/>
                    </w:rPr>
                  </w:pPr>
                  <w:r>
                    <w:rPr>
                      <w:b/>
                      <w:color w:val="000000"/>
                      <w:szCs w:val="21"/>
                    </w:rPr>
                    <w:t>排放限值</w:t>
                  </w:r>
                </w:p>
                <w:p w14:paraId="74388847">
                  <w:pPr>
                    <w:spacing w:line="276" w:lineRule="auto"/>
                    <w:jc w:val="center"/>
                    <w:rPr>
                      <w:b/>
                      <w:color w:val="000000"/>
                      <w:szCs w:val="21"/>
                    </w:rPr>
                  </w:pPr>
                  <w:r>
                    <w:rPr>
                      <w:b/>
                      <w:bCs/>
                      <w:color w:val="000000"/>
                    </w:rPr>
                    <w:t>（mg/m</w:t>
                  </w:r>
                  <w:r>
                    <w:rPr>
                      <w:b/>
                      <w:bCs/>
                      <w:color w:val="000000"/>
                      <w:vertAlign w:val="superscript"/>
                    </w:rPr>
                    <w:t>3</w:t>
                  </w:r>
                  <w:r>
                    <w:rPr>
                      <w:b/>
                      <w:bCs/>
                      <w:color w:val="000000"/>
                    </w:rPr>
                    <w:t>）</w:t>
                  </w:r>
                  <w:r>
                    <w:rPr>
                      <w:b/>
                      <w:color w:val="000000"/>
                      <w:szCs w:val="21"/>
                    </w:rPr>
                    <w:t xml:space="preserve"> </w:t>
                  </w:r>
                </w:p>
              </w:tc>
              <w:tc>
                <w:tcPr>
                  <w:tcW w:w="1899" w:type="dxa"/>
                  <w:noWrap w:val="0"/>
                  <w:vAlign w:val="center"/>
                </w:tcPr>
                <w:p w14:paraId="1554D17F">
                  <w:pPr>
                    <w:spacing w:line="276" w:lineRule="auto"/>
                    <w:jc w:val="center"/>
                    <w:rPr>
                      <w:b/>
                      <w:color w:val="000000"/>
                      <w:szCs w:val="21"/>
                    </w:rPr>
                  </w:pPr>
                  <w:r>
                    <w:rPr>
                      <w:b/>
                      <w:color w:val="000000"/>
                      <w:szCs w:val="21"/>
                    </w:rPr>
                    <w:t>限值含义</w:t>
                  </w:r>
                </w:p>
              </w:tc>
              <w:tc>
                <w:tcPr>
                  <w:tcW w:w="1382" w:type="dxa"/>
                  <w:noWrap w:val="0"/>
                  <w:vAlign w:val="center"/>
                </w:tcPr>
                <w:p w14:paraId="38C571C7">
                  <w:pPr>
                    <w:spacing w:line="276" w:lineRule="auto"/>
                    <w:jc w:val="center"/>
                    <w:rPr>
                      <w:b/>
                      <w:color w:val="000000"/>
                      <w:szCs w:val="21"/>
                    </w:rPr>
                  </w:pPr>
                  <w:r>
                    <w:rPr>
                      <w:b/>
                      <w:color w:val="000000"/>
                      <w:szCs w:val="21"/>
                    </w:rPr>
                    <w:t>无组织排放监控位置</w:t>
                  </w:r>
                </w:p>
              </w:tc>
            </w:tr>
            <w:tr w14:paraId="1181B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77" w:type="dxa"/>
                  <w:vMerge w:val="restart"/>
                  <w:noWrap w:val="0"/>
                  <w:vAlign w:val="center"/>
                </w:tcPr>
                <w:p w14:paraId="4F77CCCD">
                  <w:pPr>
                    <w:spacing w:line="276" w:lineRule="auto"/>
                    <w:jc w:val="center"/>
                    <w:rPr>
                      <w:color w:val="000000"/>
                      <w:szCs w:val="21"/>
                    </w:rPr>
                  </w:pPr>
                  <w:r>
                    <w:rPr>
                      <w:color w:val="000000"/>
                      <w:szCs w:val="21"/>
                    </w:rPr>
                    <w:t>NMHC</w:t>
                  </w:r>
                </w:p>
              </w:tc>
              <w:tc>
                <w:tcPr>
                  <w:tcW w:w="840" w:type="dxa"/>
                  <w:noWrap w:val="0"/>
                  <w:vAlign w:val="center"/>
                </w:tcPr>
                <w:p w14:paraId="0DCB6BE1">
                  <w:pPr>
                    <w:spacing w:line="276" w:lineRule="auto"/>
                    <w:jc w:val="center"/>
                    <w:rPr>
                      <w:color w:val="000000"/>
                      <w:szCs w:val="21"/>
                    </w:rPr>
                  </w:pPr>
                  <w:r>
                    <w:rPr>
                      <w:color w:val="000000"/>
                      <w:szCs w:val="21"/>
                    </w:rPr>
                    <w:t>10</w:t>
                  </w:r>
                </w:p>
              </w:tc>
              <w:tc>
                <w:tcPr>
                  <w:tcW w:w="1899" w:type="dxa"/>
                  <w:noWrap w:val="0"/>
                  <w:vAlign w:val="center"/>
                </w:tcPr>
                <w:p w14:paraId="6B987A9E">
                  <w:pPr>
                    <w:spacing w:line="276" w:lineRule="auto"/>
                    <w:jc w:val="center"/>
                    <w:rPr>
                      <w:color w:val="000000"/>
                      <w:szCs w:val="21"/>
                    </w:rPr>
                  </w:pPr>
                  <w:r>
                    <w:rPr>
                      <w:color w:val="000000"/>
                      <w:szCs w:val="21"/>
                    </w:rPr>
                    <w:t>监控点处1h平均浓度值</w:t>
                  </w:r>
                </w:p>
              </w:tc>
              <w:tc>
                <w:tcPr>
                  <w:tcW w:w="1382" w:type="dxa"/>
                  <w:vMerge w:val="restart"/>
                  <w:noWrap w:val="0"/>
                  <w:vAlign w:val="center"/>
                </w:tcPr>
                <w:p w14:paraId="5B4A3E27">
                  <w:pPr>
                    <w:spacing w:line="276" w:lineRule="auto"/>
                    <w:jc w:val="center"/>
                    <w:rPr>
                      <w:color w:val="000000"/>
                      <w:szCs w:val="21"/>
                    </w:rPr>
                  </w:pPr>
                  <w:r>
                    <w:rPr>
                      <w:color w:val="000000"/>
                      <w:szCs w:val="21"/>
                    </w:rPr>
                    <w:t>在厂房外设置监控点</w:t>
                  </w:r>
                </w:p>
              </w:tc>
            </w:tr>
            <w:tr w14:paraId="267B0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77" w:type="dxa"/>
                  <w:vMerge w:val="continue"/>
                  <w:noWrap w:val="0"/>
                  <w:vAlign w:val="center"/>
                </w:tcPr>
                <w:p w14:paraId="5942799F">
                  <w:pPr>
                    <w:spacing w:line="276" w:lineRule="auto"/>
                    <w:jc w:val="center"/>
                    <w:rPr>
                      <w:color w:val="000000"/>
                      <w:szCs w:val="21"/>
                    </w:rPr>
                  </w:pPr>
                </w:p>
              </w:tc>
              <w:tc>
                <w:tcPr>
                  <w:tcW w:w="840" w:type="dxa"/>
                  <w:noWrap w:val="0"/>
                  <w:vAlign w:val="center"/>
                </w:tcPr>
                <w:p w14:paraId="5FD35B0C">
                  <w:pPr>
                    <w:spacing w:line="276" w:lineRule="auto"/>
                    <w:jc w:val="center"/>
                    <w:rPr>
                      <w:color w:val="000000"/>
                      <w:szCs w:val="21"/>
                    </w:rPr>
                  </w:pPr>
                  <w:r>
                    <w:rPr>
                      <w:color w:val="000000"/>
                      <w:szCs w:val="21"/>
                    </w:rPr>
                    <w:t>30</w:t>
                  </w:r>
                </w:p>
              </w:tc>
              <w:tc>
                <w:tcPr>
                  <w:tcW w:w="1899" w:type="dxa"/>
                  <w:noWrap w:val="0"/>
                  <w:vAlign w:val="center"/>
                </w:tcPr>
                <w:p w14:paraId="75777D6C">
                  <w:pPr>
                    <w:spacing w:line="276" w:lineRule="auto"/>
                    <w:jc w:val="center"/>
                    <w:rPr>
                      <w:color w:val="000000"/>
                      <w:szCs w:val="21"/>
                    </w:rPr>
                  </w:pPr>
                  <w:r>
                    <w:rPr>
                      <w:color w:val="000000"/>
                      <w:szCs w:val="21"/>
                    </w:rPr>
                    <w:t>监控点处任意一次浓度值</w:t>
                  </w:r>
                </w:p>
              </w:tc>
              <w:tc>
                <w:tcPr>
                  <w:tcW w:w="1382" w:type="dxa"/>
                  <w:vMerge w:val="continue"/>
                  <w:noWrap w:val="0"/>
                  <w:vAlign w:val="center"/>
                </w:tcPr>
                <w:p w14:paraId="1F8994F3">
                  <w:pPr>
                    <w:spacing w:line="276" w:lineRule="auto"/>
                    <w:jc w:val="center"/>
                    <w:rPr>
                      <w:color w:val="000000"/>
                      <w:szCs w:val="21"/>
                    </w:rPr>
                  </w:pPr>
                </w:p>
              </w:tc>
            </w:tr>
          </w:tbl>
          <w:p w14:paraId="22EEAC29">
            <w:pPr>
              <w:keepNext w:val="0"/>
              <w:keepLines w:val="0"/>
              <w:pageBreakBefore w:val="0"/>
              <w:widowControl w:val="0"/>
              <w:spacing w:before="157" w:line="360" w:lineRule="auto"/>
              <w:ind w:firstLine="482"/>
              <w:jc w:val="both"/>
              <w:rPr>
                <w:rFonts w:ascii="Times New Roman" w:hAnsi="Times New Roman" w:eastAsia="宋体" w:cs="Times New Roman"/>
                <w:b/>
                <w:color w:val="000000"/>
                <w:sz w:val="24"/>
              </w:rPr>
            </w:pPr>
            <w:r>
              <w:rPr>
                <w:rFonts w:hint="eastAsia" w:ascii="Times New Roman" w:hAnsi="Times New Roman" w:eastAsia="宋体" w:cs="Times New Roman"/>
                <w:b/>
                <w:bCs/>
                <w:color w:val="000000"/>
                <w:sz w:val="24"/>
                <w:lang w:val="en-US" w:eastAsia="zh-CN"/>
              </w:rPr>
              <w:t>③颗粒物：</w:t>
            </w:r>
            <w:r>
              <w:rPr>
                <w:rFonts w:hint="eastAsia" w:ascii="Times New Roman" w:hAnsi="Times New Roman" w:eastAsia="宋体" w:cs="Times New Roman"/>
                <w:b w:val="0"/>
                <w:bCs w:val="0"/>
                <w:color w:val="000000"/>
                <w:sz w:val="24"/>
                <w:lang w:val="en-US" w:eastAsia="zh-CN"/>
              </w:rPr>
              <w:t>断料、破片、清边、裁边</w:t>
            </w:r>
            <w:r>
              <w:rPr>
                <w:rFonts w:hint="eastAsia" w:ascii="Times New Roman" w:hAnsi="Times New Roman" w:eastAsia="宋体" w:cs="Times New Roman"/>
                <w:color w:val="000000"/>
                <w:sz w:val="24"/>
                <w:lang w:val="en-US" w:eastAsia="zh-CN"/>
              </w:rPr>
              <w:t>过程中产生的粉尘执行《大气污染物综合排放标准》（GB16297-1996）表2中相应标准。</w:t>
            </w:r>
          </w:p>
          <w:p w14:paraId="3170AA7A">
            <w:pPr>
              <w:keepNext w:val="0"/>
              <w:keepLines w:val="0"/>
              <w:pageBreakBefore w:val="0"/>
              <w:widowControl w:val="0"/>
              <w:spacing w:line="240" w:lineRule="auto"/>
              <w:ind w:firstLine="0"/>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表</w:t>
            </w:r>
            <w:r>
              <w:rPr>
                <w:rFonts w:ascii="Times New Roman" w:hAnsi="Times New Roman" w:eastAsia="宋体" w:cs="Times New Roman"/>
                <w:b/>
                <w:color w:val="000000"/>
                <w:sz w:val="24"/>
                <w:lang w:val="en-US" w:eastAsia="zh-CN"/>
              </w:rPr>
              <w:t>3-1</w:t>
            </w:r>
            <w:r>
              <w:rPr>
                <w:rFonts w:hint="eastAsia" w:ascii="Times New Roman" w:hAnsi="Times New Roman" w:eastAsia="宋体" w:cs="Times New Roman"/>
                <w:b/>
                <w:color w:val="000000"/>
                <w:sz w:val="24"/>
                <w:lang w:val="en-US" w:eastAsia="zh-CN"/>
              </w:rPr>
              <w:t>4</w:t>
            </w:r>
            <w:r>
              <w:rPr>
                <w:rFonts w:ascii="Times New Roman" w:hAnsi="Times New Roman" w:eastAsia="宋体" w:cs="Times New Roman"/>
                <w:b/>
                <w:color w:val="000000"/>
                <w:sz w:val="24"/>
              </w:rPr>
              <w:t xml:space="preserve">  大气污染物综合排放标准  单位：mg/m</w:t>
            </w:r>
            <w:r>
              <w:rPr>
                <w:rFonts w:ascii="Times New Roman" w:hAnsi="Times New Roman" w:eastAsia="宋体" w:cs="Times New Roman"/>
                <w:b/>
                <w:color w:val="000000"/>
                <w:sz w:val="24"/>
                <w:vertAlign w:val="superscript"/>
              </w:rPr>
              <w:t>3</w:t>
            </w:r>
          </w:p>
          <w:tbl>
            <w:tblPr>
              <w:tblStyle w:val="217"/>
              <w:tblW w:w="885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tblGrid>
            <w:tr w14:paraId="2F41C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Pr>
              <w:tc>
                <w:tcPr>
                  <w:tcW w:w="1475" w:type="dxa"/>
                  <w:vMerge w:val="restart"/>
                  <w:noWrap w:val="0"/>
                  <w:vAlign w:val="center"/>
                </w:tcPr>
                <w:p w14:paraId="556BEEE7">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bCs/>
                      <w:color w:val="000000"/>
                      <w:sz w:val="21"/>
                      <w:szCs w:val="21"/>
                      <w:vertAlign w:val="baseline"/>
                      <w:lang w:val="en-US" w:eastAsia="zh-CN"/>
                    </w:rPr>
                    <w:t>污染物</w:t>
                  </w:r>
                </w:p>
              </w:tc>
              <w:tc>
                <w:tcPr>
                  <w:tcW w:w="1475" w:type="dxa"/>
                  <w:vMerge w:val="restart"/>
                  <w:noWrap w:val="0"/>
                  <w:vAlign w:val="center"/>
                </w:tcPr>
                <w:p w14:paraId="62B74E6E">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ascii="Times New Roman" w:hAnsi="Times New Roman" w:cs="Times New Roman"/>
                      <w:b/>
                      <w:color w:val="000000"/>
                      <w:szCs w:val="21"/>
                    </w:rPr>
                    <w:t>最高允许排放浓度mg/m</w:t>
                  </w:r>
                  <w:r>
                    <w:rPr>
                      <w:rFonts w:ascii="Times New Roman" w:hAnsi="Times New Roman" w:cs="Times New Roman"/>
                      <w:b/>
                      <w:color w:val="000000"/>
                      <w:szCs w:val="21"/>
                      <w:vertAlign w:val="superscript"/>
                    </w:rPr>
                    <w:t>3</w:t>
                  </w:r>
                </w:p>
              </w:tc>
              <w:tc>
                <w:tcPr>
                  <w:tcW w:w="2950" w:type="dxa"/>
                  <w:noWrap w:val="0"/>
                  <w:vAlign w:val="center"/>
                </w:tcPr>
                <w:p w14:paraId="6328F4DD">
                  <w:pPr>
                    <w:keepNext w:val="0"/>
                    <w:keepLines w:val="0"/>
                    <w:pageBreakBefore w:val="0"/>
                    <w:widowControl w:val="0"/>
                    <w:spacing w:line="240" w:lineRule="auto"/>
                    <w:jc w:val="center"/>
                    <w:rPr>
                      <w:rFonts w:hint="eastAsia" w:ascii="Times New Roman" w:hAnsi="Times New Roman" w:eastAsia="宋体" w:cs="Times New Roman"/>
                      <w:b w:val="0"/>
                      <w:bCs w:val="0"/>
                      <w:color w:val="000000"/>
                      <w:sz w:val="21"/>
                      <w:szCs w:val="21"/>
                      <w:vertAlign w:val="baseline"/>
                      <w:lang w:val="en-US" w:eastAsia="zh-CN"/>
                    </w:rPr>
                  </w:pPr>
                  <w:r>
                    <w:rPr>
                      <w:rFonts w:ascii="Times New Roman" w:hAnsi="Times New Roman" w:cs="Times New Roman"/>
                      <w:b/>
                      <w:color w:val="000000"/>
                      <w:szCs w:val="21"/>
                    </w:rPr>
                    <w:t>最高允许排放</w:t>
                  </w:r>
                  <w:r>
                    <w:rPr>
                      <w:rFonts w:hint="eastAsia" w:ascii="Times New Roman" w:hAnsi="Times New Roman" w:cs="Times New Roman"/>
                      <w:b/>
                      <w:color w:val="000000"/>
                      <w:szCs w:val="21"/>
                      <w:lang w:val="en-US" w:eastAsia="zh-CN"/>
                    </w:rPr>
                    <w:t>速率kg/h</w:t>
                  </w:r>
                </w:p>
              </w:tc>
              <w:tc>
                <w:tcPr>
                  <w:tcW w:w="2951" w:type="dxa"/>
                  <w:noWrap w:val="0"/>
                  <w:vAlign w:val="center"/>
                </w:tcPr>
                <w:p w14:paraId="24F84E62">
                  <w:pPr>
                    <w:keepNext w:val="0"/>
                    <w:keepLines w:val="0"/>
                    <w:pageBreakBefore w:val="0"/>
                    <w:widowControl w:val="0"/>
                    <w:spacing w:line="240" w:lineRule="auto"/>
                    <w:jc w:val="center"/>
                    <w:rPr>
                      <w:rFonts w:hint="eastAsia"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bCs/>
                      <w:color w:val="000000"/>
                      <w:sz w:val="21"/>
                      <w:szCs w:val="21"/>
                      <w:vertAlign w:val="baseline"/>
                      <w:lang w:val="en-US" w:eastAsia="zh-CN"/>
                    </w:rPr>
                    <w:t>无组织排放监控浓度</w:t>
                  </w:r>
                </w:p>
              </w:tc>
            </w:tr>
            <w:tr w14:paraId="365C2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75" w:type="dxa"/>
                  <w:vMerge w:val="continue"/>
                  <w:noWrap w:val="0"/>
                  <w:vAlign w:val="center"/>
                </w:tcPr>
                <w:p w14:paraId="20C7FFA0">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p>
              </w:tc>
              <w:tc>
                <w:tcPr>
                  <w:tcW w:w="1475" w:type="dxa"/>
                  <w:vMerge w:val="continue"/>
                  <w:noWrap w:val="0"/>
                  <w:vAlign w:val="center"/>
                </w:tcPr>
                <w:p w14:paraId="165FB212">
                  <w:pPr>
                    <w:keepNext w:val="0"/>
                    <w:keepLines w:val="0"/>
                    <w:pageBreakBefore w:val="0"/>
                    <w:widowControl w:val="0"/>
                    <w:spacing w:line="240" w:lineRule="auto"/>
                    <w:jc w:val="center"/>
                    <w:rPr>
                      <w:rFonts w:hint="eastAsia" w:ascii="Times New Roman" w:hAnsi="Times New Roman" w:eastAsia="宋体" w:cs="Times New Roman"/>
                      <w:b w:val="0"/>
                      <w:bCs w:val="0"/>
                      <w:color w:val="000000"/>
                      <w:sz w:val="21"/>
                      <w:szCs w:val="21"/>
                      <w:vertAlign w:val="baseline"/>
                      <w:lang w:val="en-US" w:eastAsia="zh-CN"/>
                    </w:rPr>
                  </w:pPr>
                </w:p>
              </w:tc>
              <w:tc>
                <w:tcPr>
                  <w:tcW w:w="1475" w:type="dxa"/>
                  <w:noWrap w:val="0"/>
                  <w:vAlign w:val="center"/>
                </w:tcPr>
                <w:p w14:paraId="3349A58E">
                  <w:pPr>
                    <w:keepNext w:val="0"/>
                    <w:keepLines w:val="0"/>
                    <w:pageBreakBefore w:val="0"/>
                    <w:widowControl w:val="0"/>
                    <w:spacing w:line="240" w:lineRule="auto"/>
                    <w:jc w:val="center"/>
                    <w:rPr>
                      <w:rFonts w:ascii="Times New Roman" w:hAnsi="Times New Roman" w:eastAsia="宋体" w:cs="Times New Roman"/>
                      <w:b/>
                      <w:bCs/>
                      <w:color w:val="000000"/>
                      <w:sz w:val="21"/>
                      <w:szCs w:val="21"/>
                      <w:vertAlign w:val="baseline"/>
                      <w:lang w:val="en-US" w:eastAsia="zh-CN"/>
                    </w:rPr>
                  </w:pPr>
                  <w:r>
                    <w:rPr>
                      <w:rFonts w:hint="eastAsia" w:ascii="Times New Roman" w:hAnsi="Times New Roman" w:eastAsia="宋体" w:cs="Times New Roman"/>
                      <w:b/>
                      <w:bCs/>
                      <w:color w:val="000000"/>
                      <w:sz w:val="21"/>
                      <w:szCs w:val="21"/>
                      <w:vertAlign w:val="baseline"/>
                      <w:lang w:val="en-US" w:eastAsia="zh-CN"/>
                    </w:rPr>
                    <w:t>排气筒高度</w:t>
                  </w:r>
                </w:p>
              </w:tc>
              <w:tc>
                <w:tcPr>
                  <w:tcW w:w="1475" w:type="dxa"/>
                  <w:noWrap w:val="0"/>
                  <w:vAlign w:val="center"/>
                </w:tcPr>
                <w:p w14:paraId="74B67E8F">
                  <w:pPr>
                    <w:keepNext w:val="0"/>
                    <w:keepLines w:val="0"/>
                    <w:pageBreakBefore w:val="0"/>
                    <w:widowControl w:val="0"/>
                    <w:spacing w:line="240" w:lineRule="auto"/>
                    <w:jc w:val="center"/>
                    <w:rPr>
                      <w:rFonts w:ascii="Times New Roman" w:hAnsi="Times New Roman" w:eastAsia="宋体" w:cs="Times New Roman"/>
                      <w:b/>
                      <w:bCs/>
                      <w:color w:val="000000"/>
                      <w:sz w:val="21"/>
                      <w:szCs w:val="21"/>
                      <w:vertAlign w:val="baseline"/>
                      <w:lang w:val="en-US" w:eastAsia="zh-CN"/>
                    </w:rPr>
                  </w:pPr>
                  <w:r>
                    <w:rPr>
                      <w:rFonts w:hint="eastAsia" w:ascii="Times New Roman" w:hAnsi="Times New Roman" w:eastAsia="宋体" w:cs="Times New Roman"/>
                      <w:b/>
                      <w:bCs/>
                      <w:color w:val="000000"/>
                      <w:sz w:val="21"/>
                      <w:szCs w:val="21"/>
                      <w:vertAlign w:val="baseline"/>
                      <w:lang w:val="en-US" w:eastAsia="zh-CN"/>
                    </w:rPr>
                    <w:t>二级</w:t>
                  </w:r>
                </w:p>
              </w:tc>
              <w:tc>
                <w:tcPr>
                  <w:tcW w:w="1475" w:type="dxa"/>
                  <w:noWrap w:val="0"/>
                  <w:vAlign w:val="center"/>
                </w:tcPr>
                <w:p w14:paraId="5CA28D8D">
                  <w:pPr>
                    <w:keepNext w:val="0"/>
                    <w:keepLines w:val="0"/>
                    <w:pageBreakBefore w:val="0"/>
                    <w:widowControl w:val="0"/>
                    <w:spacing w:line="240" w:lineRule="auto"/>
                    <w:jc w:val="center"/>
                    <w:rPr>
                      <w:rFonts w:ascii="Times New Roman" w:hAnsi="Times New Roman" w:eastAsia="宋体" w:cs="Times New Roman"/>
                      <w:b/>
                      <w:bCs/>
                      <w:color w:val="000000"/>
                      <w:sz w:val="21"/>
                      <w:szCs w:val="21"/>
                      <w:vertAlign w:val="baseline"/>
                      <w:lang w:val="en-US" w:eastAsia="zh-CN"/>
                    </w:rPr>
                  </w:pPr>
                  <w:r>
                    <w:rPr>
                      <w:rFonts w:hint="eastAsia" w:ascii="Times New Roman" w:hAnsi="Times New Roman" w:eastAsia="宋体" w:cs="Times New Roman"/>
                      <w:b/>
                      <w:bCs/>
                      <w:color w:val="000000"/>
                      <w:sz w:val="21"/>
                      <w:szCs w:val="21"/>
                      <w:vertAlign w:val="baseline"/>
                      <w:lang w:val="en-US" w:eastAsia="zh-CN"/>
                    </w:rPr>
                    <w:t>监测点</w:t>
                  </w:r>
                </w:p>
              </w:tc>
              <w:tc>
                <w:tcPr>
                  <w:tcW w:w="1476" w:type="dxa"/>
                  <w:noWrap w:val="0"/>
                  <w:vAlign w:val="center"/>
                </w:tcPr>
                <w:p w14:paraId="75561B84">
                  <w:pPr>
                    <w:keepNext w:val="0"/>
                    <w:keepLines w:val="0"/>
                    <w:pageBreakBefore w:val="0"/>
                    <w:widowControl w:val="0"/>
                    <w:spacing w:line="240" w:lineRule="auto"/>
                    <w:jc w:val="center"/>
                    <w:rPr>
                      <w:rFonts w:ascii="Times New Roman" w:hAnsi="Times New Roman" w:eastAsia="宋体" w:cs="Times New Roman"/>
                      <w:b/>
                      <w:bCs/>
                      <w:color w:val="000000"/>
                      <w:sz w:val="21"/>
                      <w:szCs w:val="21"/>
                      <w:vertAlign w:val="baseline"/>
                      <w:lang w:val="en-US" w:eastAsia="zh-CN"/>
                    </w:rPr>
                  </w:pPr>
                  <w:r>
                    <w:rPr>
                      <w:rFonts w:hint="eastAsia" w:ascii="Times New Roman" w:hAnsi="Times New Roman" w:eastAsia="宋体" w:cs="Times New Roman"/>
                      <w:b/>
                      <w:bCs/>
                      <w:color w:val="000000"/>
                      <w:sz w:val="21"/>
                      <w:szCs w:val="21"/>
                      <w:vertAlign w:val="baseline"/>
                      <w:lang w:val="en-US" w:eastAsia="zh-CN"/>
                    </w:rPr>
                    <w:t>浓度（</w:t>
                  </w:r>
                  <w:r>
                    <w:rPr>
                      <w:rFonts w:ascii="Times New Roman" w:hAnsi="Times New Roman" w:cs="Times New Roman"/>
                      <w:b/>
                      <w:bCs/>
                      <w:color w:val="000000"/>
                      <w:szCs w:val="21"/>
                    </w:rPr>
                    <w:t>mg/m</w:t>
                  </w:r>
                  <w:r>
                    <w:rPr>
                      <w:rFonts w:ascii="Times New Roman" w:hAnsi="Times New Roman" w:cs="Times New Roman"/>
                      <w:b/>
                      <w:bCs/>
                      <w:color w:val="000000"/>
                      <w:szCs w:val="21"/>
                      <w:vertAlign w:val="superscript"/>
                    </w:rPr>
                    <w:t>3</w:t>
                  </w:r>
                  <w:r>
                    <w:rPr>
                      <w:rFonts w:hint="eastAsia" w:ascii="Times New Roman" w:hAnsi="Times New Roman" w:eastAsia="宋体" w:cs="Times New Roman"/>
                      <w:b/>
                      <w:bCs/>
                      <w:color w:val="000000"/>
                      <w:sz w:val="21"/>
                      <w:szCs w:val="21"/>
                      <w:vertAlign w:val="baseline"/>
                      <w:lang w:val="en-US" w:eastAsia="zh-CN"/>
                    </w:rPr>
                    <w:t>）</w:t>
                  </w:r>
                </w:p>
              </w:tc>
            </w:tr>
            <w:tr w14:paraId="672C1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75" w:type="dxa"/>
                  <w:noWrap w:val="0"/>
                  <w:vAlign w:val="center"/>
                </w:tcPr>
                <w:p w14:paraId="01AB7A10">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颗粒物</w:t>
                  </w:r>
                </w:p>
              </w:tc>
              <w:tc>
                <w:tcPr>
                  <w:tcW w:w="1475" w:type="dxa"/>
                  <w:noWrap w:val="0"/>
                  <w:vAlign w:val="center"/>
                </w:tcPr>
                <w:p w14:paraId="2DD4A2E3">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120</w:t>
                  </w:r>
                </w:p>
              </w:tc>
              <w:tc>
                <w:tcPr>
                  <w:tcW w:w="1475" w:type="dxa"/>
                  <w:noWrap w:val="0"/>
                  <w:vAlign w:val="center"/>
                </w:tcPr>
                <w:p w14:paraId="1CB87DFA">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15</w:t>
                  </w:r>
                </w:p>
              </w:tc>
              <w:tc>
                <w:tcPr>
                  <w:tcW w:w="1475" w:type="dxa"/>
                  <w:noWrap w:val="0"/>
                  <w:vAlign w:val="center"/>
                </w:tcPr>
                <w:p w14:paraId="52CD2DAD">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3.5</w:t>
                  </w:r>
                </w:p>
              </w:tc>
              <w:tc>
                <w:tcPr>
                  <w:tcW w:w="1475" w:type="dxa"/>
                  <w:noWrap w:val="0"/>
                  <w:vAlign w:val="center"/>
                </w:tcPr>
                <w:p w14:paraId="3CEBD164">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周界外浓度最高点</w:t>
                  </w:r>
                </w:p>
              </w:tc>
              <w:tc>
                <w:tcPr>
                  <w:tcW w:w="1476" w:type="dxa"/>
                  <w:noWrap w:val="0"/>
                  <w:vAlign w:val="center"/>
                </w:tcPr>
                <w:p w14:paraId="1B6462AA">
                  <w:pPr>
                    <w:keepNext w:val="0"/>
                    <w:keepLines w:val="0"/>
                    <w:pageBreakBefore w:val="0"/>
                    <w:widowControl w:val="0"/>
                    <w:spacing w:line="240" w:lineRule="auto"/>
                    <w:jc w:val="center"/>
                    <w:rPr>
                      <w:rFonts w:ascii="Times New Roman" w:hAnsi="Times New Roman" w:eastAsia="宋体"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1.0</w:t>
                  </w:r>
                </w:p>
              </w:tc>
            </w:tr>
          </w:tbl>
          <w:p w14:paraId="6FC043A3">
            <w:pPr>
              <w:spacing w:before="120" w:line="360" w:lineRule="auto"/>
              <w:ind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3、噪声排放标准</w:t>
            </w:r>
          </w:p>
          <w:p w14:paraId="4293A0FB">
            <w:pPr>
              <w:keepNext w:val="0"/>
              <w:keepLines w:val="0"/>
              <w:pageBreakBefore w:val="0"/>
              <w:widowControl w:val="0"/>
              <w:spacing w:line="360" w:lineRule="auto"/>
              <w:ind w:left="0" w:firstLine="482"/>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（1）施工期噪声排放标准</w:t>
            </w:r>
          </w:p>
          <w:p w14:paraId="7E8792CD">
            <w:pPr>
              <w:keepNext w:val="0"/>
              <w:keepLines w:val="0"/>
              <w:pageBreakBefore w:val="0"/>
              <w:widowControl w:val="0"/>
              <w:spacing w:line="360" w:lineRule="auto"/>
              <w:ind w:left="0"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本项目施工期噪声排放执行《建筑施工场界环境噪声排放标准》</w:t>
            </w:r>
            <w:r>
              <w:rPr>
                <w:rFonts w:ascii="Times New Roman" w:hAnsi="Times New Roman" w:eastAsia="宋体" w:cs="Times New Roman"/>
                <w:color w:val="000000"/>
                <w:sz w:val="24"/>
                <w:highlight w:val="none"/>
                <w:lang w:eastAsia="zh-CN"/>
              </w:rPr>
              <w:t>（</w:t>
            </w:r>
            <w:r>
              <w:rPr>
                <w:rFonts w:ascii="Times New Roman" w:hAnsi="Times New Roman" w:eastAsia="宋体" w:cs="Times New Roman"/>
                <w:color w:val="000000"/>
                <w:sz w:val="24"/>
                <w:highlight w:val="none"/>
              </w:rPr>
              <w:t>GB12523-2011</w:t>
            </w:r>
            <w:r>
              <w:rPr>
                <w:rFonts w:ascii="Times New Roman" w:hAnsi="Times New Roman" w:eastAsia="宋体" w:cs="Times New Roman"/>
                <w:color w:val="000000"/>
                <w:sz w:val="24"/>
                <w:highlight w:val="none"/>
                <w:lang w:eastAsia="zh-CN"/>
              </w:rPr>
              <w:t>）</w:t>
            </w:r>
            <w:r>
              <w:rPr>
                <w:rFonts w:ascii="Times New Roman" w:hAnsi="Times New Roman" w:eastAsia="宋体" w:cs="Times New Roman"/>
                <w:color w:val="000000"/>
                <w:sz w:val="24"/>
                <w:highlight w:val="none"/>
              </w:rPr>
              <w:t>，具体指标详见</w:t>
            </w:r>
            <w:r>
              <w:rPr>
                <w:rFonts w:ascii="Times New Roman" w:hAnsi="Times New Roman" w:eastAsia="宋体" w:cs="Times New Roman"/>
                <w:color w:val="000000"/>
                <w:sz w:val="24"/>
                <w:highlight w:val="none"/>
                <w:lang w:val="en-US" w:eastAsia="zh-CN"/>
              </w:rPr>
              <w:t>下表</w:t>
            </w:r>
            <w:r>
              <w:rPr>
                <w:rFonts w:ascii="Times New Roman" w:hAnsi="Times New Roman" w:eastAsia="宋体" w:cs="Times New Roman"/>
                <w:color w:val="000000"/>
                <w:sz w:val="24"/>
                <w:highlight w:val="none"/>
              </w:rPr>
              <w:t>。</w:t>
            </w:r>
          </w:p>
          <w:p w14:paraId="72CC1FBA">
            <w:pPr>
              <w:ind w:firstLine="480"/>
              <w:jc w:val="center"/>
              <w:rPr>
                <w:rFonts w:ascii="Times New Roman" w:hAnsi="Times New Roman" w:eastAsia="宋体" w:cs="Times New Roman"/>
                <w:color w:val="000000"/>
                <w:sz w:val="24"/>
                <w:highlight w:val="none"/>
              </w:rPr>
            </w:pPr>
            <w:r>
              <w:rPr>
                <w:rFonts w:ascii="Times New Roman" w:hAnsi="Times New Roman" w:eastAsia="宋体" w:cs="Times New Roman"/>
                <w:b/>
                <w:bCs/>
                <w:color w:val="000000"/>
                <w:sz w:val="24"/>
                <w:highlight w:val="none"/>
              </w:rPr>
              <w:t>表</w:t>
            </w:r>
            <w:r>
              <w:rPr>
                <w:rFonts w:ascii="Times New Roman" w:hAnsi="Times New Roman" w:eastAsia="宋体" w:cs="Times New Roman"/>
                <w:b/>
                <w:bCs/>
                <w:color w:val="000000"/>
                <w:sz w:val="24"/>
                <w:highlight w:val="none"/>
                <w:lang w:val="en-US" w:eastAsia="zh-CN"/>
              </w:rPr>
              <w:t>3-1</w:t>
            </w:r>
            <w:r>
              <w:rPr>
                <w:rFonts w:hint="eastAsia" w:ascii="Times New Roman" w:hAnsi="Times New Roman" w:eastAsia="宋体" w:cs="Times New Roman"/>
                <w:b/>
                <w:bCs/>
                <w:color w:val="000000"/>
                <w:sz w:val="24"/>
                <w:highlight w:val="none"/>
                <w:lang w:val="en-US" w:eastAsia="zh-CN"/>
              </w:rPr>
              <w:t>5</w:t>
            </w:r>
            <w:r>
              <w:rPr>
                <w:rFonts w:ascii="Times New Roman" w:hAnsi="Times New Roman" w:eastAsia="宋体" w:cs="Times New Roman"/>
                <w:b/>
                <w:bCs/>
                <w:color w:val="000000"/>
                <w:sz w:val="24"/>
                <w:highlight w:val="none"/>
              </w:rPr>
              <w:t xml:space="preserve">  建筑施工场界环境噪声排放标准</w:t>
            </w:r>
            <w:r>
              <w:rPr>
                <w:rFonts w:ascii="Times New Roman" w:hAnsi="Times New Roman" w:eastAsia="宋体" w:cs="Times New Roman"/>
                <w:color w:val="000000"/>
                <w:sz w:val="24"/>
                <w:highlight w:val="none"/>
              </w:rPr>
              <w:t xml:space="preserve"> </w:t>
            </w:r>
            <w:r>
              <w:rPr>
                <w:rFonts w:ascii="Times New Roman" w:hAnsi="Times New Roman" w:eastAsia="宋体" w:cs="Times New Roman"/>
                <w:color w:val="000000"/>
                <w:sz w:val="24"/>
                <w:highlight w:val="none"/>
                <w:lang w:val="en-US" w:eastAsia="zh-CN"/>
              </w:rPr>
              <w:t xml:space="preserve"> </w:t>
            </w:r>
            <w:r>
              <w:rPr>
                <w:rFonts w:ascii="Times New Roman" w:hAnsi="Times New Roman" w:eastAsia="宋体" w:cs="Times New Roman"/>
                <w:b/>
                <w:bCs/>
                <w:color w:val="000000"/>
                <w:sz w:val="24"/>
                <w:highlight w:val="none"/>
              </w:rPr>
              <w:t>单位：dB(A)</w:t>
            </w:r>
          </w:p>
          <w:tbl>
            <w:tblPr>
              <w:tblStyle w:val="2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20"/>
              <w:gridCol w:w="4419"/>
            </w:tblGrid>
            <w:tr w14:paraId="0BA95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00" w:type="dxa"/>
                  <w:noWrap w:val="0"/>
                  <w:vAlign w:val="center"/>
                </w:tcPr>
                <w:p w14:paraId="1A15376B">
                  <w:pPr>
                    <w:jc w:val="center"/>
                    <w:rPr>
                      <w:rFonts w:ascii="Times New Roman" w:hAnsi="Times New Roman" w:eastAsia="宋体" w:cs="Times New Roman"/>
                      <w:b/>
                      <w:color w:val="000000"/>
                      <w:highlight w:val="none"/>
                    </w:rPr>
                  </w:pPr>
                  <w:r>
                    <w:rPr>
                      <w:rFonts w:ascii="Times New Roman" w:hAnsi="Times New Roman" w:eastAsia="宋体" w:cs="Times New Roman"/>
                      <w:b/>
                      <w:color w:val="000000"/>
                      <w:highlight w:val="none"/>
                    </w:rPr>
                    <w:t>昼间</w:t>
                  </w:r>
                </w:p>
              </w:tc>
              <w:tc>
                <w:tcPr>
                  <w:tcW w:w="2499" w:type="dxa"/>
                  <w:noWrap w:val="0"/>
                  <w:vAlign w:val="center"/>
                </w:tcPr>
                <w:p w14:paraId="0B36E1C1">
                  <w:pPr>
                    <w:jc w:val="center"/>
                    <w:rPr>
                      <w:rFonts w:ascii="Times New Roman" w:hAnsi="Times New Roman" w:eastAsia="宋体" w:cs="Times New Roman"/>
                      <w:b/>
                      <w:color w:val="000000"/>
                      <w:highlight w:val="none"/>
                    </w:rPr>
                  </w:pPr>
                  <w:r>
                    <w:rPr>
                      <w:rFonts w:ascii="Times New Roman" w:hAnsi="Times New Roman" w:eastAsia="宋体" w:cs="Times New Roman"/>
                      <w:b/>
                      <w:color w:val="000000"/>
                      <w:highlight w:val="none"/>
                    </w:rPr>
                    <w:t>夜间</w:t>
                  </w:r>
                </w:p>
              </w:tc>
            </w:tr>
            <w:tr w14:paraId="2B38D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00" w:type="dxa"/>
                  <w:noWrap w:val="0"/>
                  <w:vAlign w:val="center"/>
                </w:tcPr>
                <w:p w14:paraId="571ADBF2">
                  <w:pPr>
                    <w:jc w:val="center"/>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t>70</w:t>
                  </w:r>
                </w:p>
              </w:tc>
              <w:tc>
                <w:tcPr>
                  <w:tcW w:w="2499" w:type="dxa"/>
                  <w:noWrap w:val="0"/>
                  <w:vAlign w:val="center"/>
                </w:tcPr>
                <w:p w14:paraId="5CFD8116">
                  <w:pPr>
                    <w:jc w:val="center"/>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t>55</w:t>
                  </w:r>
                </w:p>
              </w:tc>
            </w:tr>
          </w:tbl>
          <w:p w14:paraId="0895B88A">
            <w:pPr>
              <w:keepNext w:val="0"/>
              <w:keepLines w:val="0"/>
              <w:pageBreakBefore w:val="0"/>
              <w:widowControl w:val="0"/>
              <w:tabs>
                <w:tab w:val="center" w:pos="4153"/>
                <w:tab w:val="right" w:pos="8306"/>
              </w:tabs>
              <w:spacing w:before="157" w:line="360" w:lineRule="auto"/>
              <w:ind w:firstLine="482"/>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（2）运营期噪声排放标准</w:t>
            </w:r>
          </w:p>
          <w:p w14:paraId="2C7F2778">
            <w:pPr>
              <w:keepNext w:val="0"/>
              <w:keepLines w:val="0"/>
              <w:pageBreakBefore w:val="0"/>
              <w:widowControl w:val="0"/>
              <w:spacing w:line="360" w:lineRule="auto"/>
              <w:ind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lang w:val="en-US" w:eastAsia="zh-CN"/>
              </w:rPr>
              <w:t>本项目运营期噪声</w:t>
            </w:r>
            <w:r>
              <w:rPr>
                <w:rFonts w:hint="eastAsia" w:ascii="Times New Roman" w:hAnsi="Times New Roman" w:eastAsia="宋体" w:cs="Times New Roman"/>
                <w:color w:val="000000"/>
                <w:sz w:val="24"/>
                <w:highlight w:val="none"/>
                <w:lang w:val="en-US" w:eastAsia="zh-CN"/>
              </w:rPr>
              <w:t>厂界</w:t>
            </w:r>
            <w:r>
              <w:rPr>
                <w:rFonts w:ascii="Times New Roman" w:hAnsi="Times New Roman" w:eastAsia="宋体" w:cs="Times New Roman"/>
                <w:color w:val="000000"/>
                <w:sz w:val="24"/>
                <w:highlight w:val="none"/>
                <w:lang w:val="en-US" w:eastAsia="zh-CN"/>
              </w:rPr>
              <w:t>执行《工业企业厂界环境噪声排放标准》（GB12348-2008）</w:t>
            </w:r>
            <w:r>
              <w:rPr>
                <w:rFonts w:hint="eastAsia" w:ascii="Times New Roman" w:hAnsi="Times New Roman" w:eastAsia="宋体" w:cs="Times New Roman"/>
                <w:color w:val="000000"/>
                <w:sz w:val="24"/>
                <w:highlight w:val="none"/>
                <w:lang w:val="en-US" w:eastAsia="zh-CN"/>
              </w:rPr>
              <w:t>，2</w:t>
            </w:r>
            <w:r>
              <w:rPr>
                <w:rFonts w:ascii="Times New Roman" w:hAnsi="Times New Roman" w:eastAsia="宋体" w:cs="Times New Roman"/>
                <w:color w:val="000000"/>
                <w:sz w:val="24"/>
                <w:highlight w:val="none"/>
                <w:lang w:val="en-US" w:eastAsia="zh-CN"/>
              </w:rPr>
              <w:t>类标准，</w:t>
            </w:r>
            <w:r>
              <w:rPr>
                <w:rFonts w:ascii="Times New Roman" w:hAnsi="Times New Roman" w:eastAsia="宋体" w:cs="Times New Roman"/>
                <w:color w:val="000000"/>
                <w:sz w:val="24"/>
                <w:highlight w:val="none"/>
              </w:rPr>
              <w:t>具体指标详见</w:t>
            </w:r>
            <w:r>
              <w:rPr>
                <w:rFonts w:ascii="Times New Roman" w:hAnsi="Times New Roman" w:eastAsia="宋体" w:cs="Times New Roman"/>
                <w:color w:val="000000"/>
                <w:sz w:val="24"/>
                <w:highlight w:val="none"/>
                <w:lang w:val="en-US" w:eastAsia="zh-CN"/>
              </w:rPr>
              <w:t>下表</w:t>
            </w:r>
            <w:r>
              <w:rPr>
                <w:rFonts w:ascii="Times New Roman" w:hAnsi="Times New Roman" w:eastAsia="宋体" w:cs="Times New Roman"/>
                <w:color w:val="000000"/>
                <w:sz w:val="24"/>
                <w:highlight w:val="none"/>
              </w:rPr>
              <w:t>。</w:t>
            </w:r>
          </w:p>
          <w:p w14:paraId="335A89EC">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表</w:t>
            </w:r>
            <w:r>
              <w:rPr>
                <w:rFonts w:ascii="Times New Roman" w:hAnsi="Times New Roman" w:eastAsia="宋体" w:cs="Times New Roman"/>
                <w:b/>
                <w:bCs/>
                <w:color w:val="000000"/>
                <w:sz w:val="24"/>
                <w:szCs w:val="24"/>
                <w:highlight w:val="none"/>
                <w:lang w:val="en-US" w:eastAsia="zh-CN"/>
              </w:rPr>
              <w:t>3-1</w:t>
            </w:r>
            <w:r>
              <w:rPr>
                <w:rFonts w:hint="eastAsia" w:ascii="Times New Roman" w:hAnsi="Times New Roman" w:eastAsia="宋体" w:cs="Times New Roman"/>
                <w:b/>
                <w:bCs/>
                <w:color w:val="000000"/>
                <w:sz w:val="24"/>
                <w:szCs w:val="24"/>
                <w:highlight w:val="none"/>
                <w:lang w:val="en-US" w:eastAsia="zh-CN"/>
              </w:rPr>
              <w:t>6</w:t>
            </w:r>
            <w:r>
              <w:rPr>
                <w:rFonts w:ascii="Times New Roman" w:hAnsi="Times New Roman" w:eastAsia="宋体" w:cs="Times New Roman"/>
                <w:b/>
                <w:bCs/>
                <w:color w:val="000000"/>
                <w:sz w:val="24"/>
                <w:szCs w:val="24"/>
                <w:highlight w:val="none"/>
              </w:rPr>
              <w:t xml:space="preserve">  工业企业厂界环境噪声排放标准</w:t>
            </w:r>
            <w:r>
              <w:rPr>
                <w:rFonts w:ascii="Times New Roman" w:hAnsi="Times New Roman" w:eastAsia="宋体" w:cs="Times New Roman"/>
                <w:b/>
                <w:bCs/>
                <w:color w:val="000000"/>
                <w:sz w:val="24"/>
                <w:szCs w:val="24"/>
                <w:highlight w:val="none"/>
                <w:lang w:val="en-US" w:eastAsia="zh-CN"/>
              </w:rPr>
              <w:t xml:space="preserve"> </w:t>
            </w:r>
            <w:r>
              <w:rPr>
                <w:rFonts w:ascii="Times New Roman" w:hAnsi="Times New Roman" w:eastAsia="宋体" w:cs="Times New Roman"/>
                <w:b/>
                <w:bCs/>
                <w:color w:val="000000"/>
                <w:sz w:val="24"/>
                <w:szCs w:val="24"/>
                <w:highlight w:val="none"/>
              </w:rPr>
              <w:t xml:space="preserve"> 单位：dB(A)</w:t>
            </w:r>
          </w:p>
          <w:tbl>
            <w:tblPr>
              <w:tblStyle w:val="2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7"/>
              <w:gridCol w:w="2947"/>
              <w:gridCol w:w="2947"/>
            </w:tblGrid>
            <w:tr w14:paraId="42BA0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131" w:hRule="atLeast"/>
                <w:jc w:val="center"/>
              </w:trPr>
              <w:tc>
                <w:tcPr>
                  <w:tcW w:w="1666" w:type="dxa"/>
                  <w:vMerge w:val="restart"/>
                  <w:noWrap w:val="0"/>
                  <w:vAlign w:val="center"/>
                </w:tcPr>
                <w:p w14:paraId="43A9BB90">
                  <w:pPr>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类别</w:t>
                  </w:r>
                </w:p>
              </w:tc>
              <w:tc>
                <w:tcPr>
                  <w:tcW w:w="3333" w:type="dxa"/>
                  <w:noWrap w:val="0"/>
                  <w:vAlign w:val="center"/>
                </w:tcPr>
                <w:p w14:paraId="137D3D20">
                  <w:pPr>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等效声级</w:t>
                  </w:r>
                </w:p>
              </w:tc>
            </w:tr>
            <w:tr w14:paraId="62E89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1666" w:type="dxa"/>
                  <w:vMerge w:val="continue"/>
                  <w:noWrap w:val="0"/>
                  <w:vAlign w:val="center"/>
                </w:tcPr>
                <w:p w14:paraId="440645BD">
                  <w:pPr>
                    <w:jc w:val="center"/>
                    <w:rPr>
                      <w:rFonts w:ascii="Times New Roman" w:hAnsi="Times New Roman" w:eastAsia="宋体" w:cs="Times New Roman"/>
                      <w:color w:val="000000"/>
                      <w:highlight w:val="none"/>
                    </w:rPr>
                  </w:pPr>
                </w:p>
              </w:tc>
              <w:tc>
                <w:tcPr>
                  <w:tcW w:w="1666" w:type="dxa"/>
                  <w:noWrap w:val="0"/>
                  <w:vAlign w:val="center"/>
                </w:tcPr>
                <w:p w14:paraId="744FA40A">
                  <w:pPr>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Cs w:val="21"/>
                      <w:highlight w:val="none"/>
                    </w:rPr>
                    <w:t>昼间</w:t>
                  </w:r>
                </w:p>
              </w:tc>
              <w:tc>
                <w:tcPr>
                  <w:tcW w:w="1667" w:type="dxa"/>
                  <w:noWrap w:val="0"/>
                  <w:vAlign w:val="center"/>
                </w:tcPr>
                <w:p w14:paraId="6A41393C">
                  <w:pPr>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Cs w:val="21"/>
                      <w:highlight w:val="none"/>
                    </w:rPr>
                    <w:t>夜间</w:t>
                  </w:r>
                </w:p>
              </w:tc>
            </w:tr>
            <w:tr w14:paraId="386C0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 w:hRule="atLeast"/>
                <w:jc w:val="center"/>
              </w:trPr>
              <w:tc>
                <w:tcPr>
                  <w:tcW w:w="1666" w:type="dxa"/>
                  <w:noWrap w:val="0"/>
                  <w:vAlign w:val="center"/>
                </w:tcPr>
                <w:p w14:paraId="15CB3CEB">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lang w:val="en-US" w:eastAsia="zh-CN"/>
                    </w:rPr>
                    <w:t>2</w:t>
                  </w:r>
                  <w:r>
                    <w:rPr>
                      <w:rFonts w:ascii="Times New Roman" w:hAnsi="Times New Roman" w:eastAsia="宋体" w:cs="Times New Roman"/>
                      <w:color w:val="000000"/>
                      <w:szCs w:val="21"/>
                      <w:highlight w:val="none"/>
                    </w:rPr>
                    <w:t>类</w:t>
                  </w:r>
                </w:p>
              </w:tc>
              <w:tc>
                <w:tcPr>
                  <w:tcW w:w="1666" w:type="dxa"/>
                  <w:noWrap w:val="0"/>
                  <w:vAlign w:val="center"/>
                </w:tcPr>
                <w:p w14:paraId="31BA22BA">
                  <w:pPr>
                    <w:jc w:val="center"/>
                    <w:rPr>
                      <w:rFonts w:ascii="Times New Roman" w:hAnsi="Times New Roman" w:eastAsia="宋体" w:cs="Times New Roman"/>
                      <w:color w:val="000000"/>
                      <w:szCs w:val="21"/>
                      <w:highlight w:val="none"/>
                      <w:lang w:val="en-US" w:eastAsia="zh-CN"/>
                    </w:rPr>
                  </w:pPr>
                  <w:r>
                    <w:rPr>
                      <w:rFonts w:ascii="Times New Roman" w:hAnsi="Times New Roman" w:eastAsia="宋体" w:cs="Times New Roman"/>
                      <w:color w:val="000000"/>
                      <w:szCs w:val="21"/>
                      <w:highlight w:val="none"/>
                      <w:lang w:val="en-US" w:eastAsia="zh-CN"/>
                    </w:rPr>
                    <w:t>60</w:t>
                  </w:r>
                </w:p>
              </w:tc>
              <w:tc>
                <w:tcPr>
                  <w:tcW w:w="1667" w:type="dxa"/>
                  <w:noWrap w:val="0"/>
                  <w:vAlign w:val="center"/>
                </w:tcPr>
                <w:p w14:paraId="3BA5C038">
                  <w:pPr>
                    <w:jc w:val="center"/>
                    <w:rPr>
                      <w:rFonts w:ascii="Times New Roman" w:hAnsi="Times New Roman" w:eastAsia="宋体" w:cs="Times New Roman"/>
                      <w:color w:val="000000"/>
                      <w:szCs w:val="21"/>
                      <w:highlight w:val="none"/>
                      <w:lang w:val="en-US" w:eastAsia="zh-CN"/>
                    </w:rPr>
                  </w:pPr>
                  <w:r>
                    <w:rPr>
                      <w:rFonts w:ascii="Times New Roman" w:hAnsi="Times New Roman" w:eastAsia="宋体" w:cs="Times New Roman"/>
                      <w:color w:val="000000"/>
                      <w:szCs w:val="21"/>
                      <w:highlight w:val="none"/>
                      <w:lang w:val="en-US" w:eastAsia="zh-CN"/>
                    </w:rPr>
                    <w:t>50</w:t>
                  </w:r>
                </w:p>
              </w:tc>
            </w:tr>
          </w:tbl>
          <w:p w14:paraId="67DDE604">
            <w:pPr>
              <w:keepNext w:val="0"/>
              <w:keepLines w:val="0"/>
              <w:pageBreakBefore w:val="0"/>
              <w:widowControl w:val="0"/>
              <w:tabs>
                <w:tab w:val="center" w:pos="4153"/>
                <w:tab w:val="right" w:pos="8306"/>
              </w:tabs>
              <w:spacing w:before="157" w:line="360" w:lineRule="auto"/>
              <w:ind w:firstLine="482"/>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4、固体废物控制标准</w:t>
            </w:r>
          </w:p>
          <w:p w14:paraId="05778FEB">
            <w:pPr>
              <w:keepNext w:val="0"/>
              <w:keepLines w:val="0"/>
              <w:pageBreakBefore w:val="0"/>
              <w:widowControl/>
              <w:suppressLineNumbers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b w:val="0"/>
                <w:bCs w:val="0"/>
                <w:color w:val="000000"/>
                <w:sz w:val="24"/>
                <w:highlight w:val="none"/>
              </w:rPr>
              <w:t>项目运营过程中所产生的</w:t>
            </w:r>
            <w:r>
              <w:rPr>
                <w:rFonts w:ascii="Times New Roman" w:hAnsi="Times New Roman" w:eastAsia="宋体" w:cs="Times New Roman"/>
                <w:b/>
                <w:bCs/>
                <w:color w:val="000000"/>
                <w:sz w:val="24"/>
                <w:szCs w:val="24"/>
                <w:highlight w:val="none"/>
                <w:lang w:eastAsia="zh-CN"/>
              </w:rPr>
              <w:t>一般固体废物</w:t>
            </w:r>
            <w:r>
              <w:rPr>
                <w:rFonts w:ascii="Times New Roman" w:hAnsi="Times New Roman" w:eastAsia="宋体" w:cs="Times New Roman"/>
                <w:b w:val="0"/>
                <w:bCs w:val="0"/>
                <w:color w:val="000000"/>
                <w:sz w:val="24"/>
                <w:szCs w:val="24"/>
                <w:highlight w:val="none"/>
                <w:lang w:eastAsia="zh-CN"/>
              </w:rPr>
              <w:t>执行《一般工业固体废物贮存和填埋污染控制标准》（GB18599-2020）。</w:t>
            </w:r>
            <w:r>
              <w:rPr>
                <w:rFonts w:hint="eastAsia" w:ascii="宋体" w:hAnsi="宋体" w:eastAsia="宋体" w:cs="宋体"/>
                <w:b/>
                <w:bCs/>
                <w:color w:val="000000"/>
                <w:sz w:val="24"/>
                <w:szCs w:val="24"/>
                <w:lang w:val="en-US" w:eastAsia="zh-CN" w:bidi="ar"/>
              </w:rPr>
              <w:t>危险废物</w:t>
            </w:r>
            <w:r>
              <w:rPr>
                <w:rFonts w:hint="eastAsia" w:ascii="宋体" w:hAnsi="宋体" w:eastAsia="宋体" w:cs="宋体"/>
                <w:color w:val="000000"/>
                <w:sz w:val="24"/>
                <w:szCs w:val="24"/>
                <w:lang w:val="en-US" w:eastAsia="zh-CN" w:bidi="ar"/>
              </w:rPr>
              <w:t>执行《危险废物贮存污染控制标准》（</w:t>
            </w:r>
            <w:r>
              <w:rPr>
                <w:rFonts w:ascii="Times New Roman" w:hAnsi="Times New Roman" w:eastAsia="宋体" w:cs="Times New Roman"/>
                <w:color w:val="000000"/>
                <w:sz w:val="24"/>
                <w:szCs w:val="24"/>
                <w:lang w:val="en-US" w:eastAsia="zh-CN" w:bidi="ar"/>
              </w:rPr>
              <w:t>GB18597-2001</w:t>
            </w:r>
            <w:r>
              <w:rPr>
                <w:rFonts w:hint="eastAsia" w:ascii="宋体" w:hAnsi="宋体" w:eastAsia="宋体" w:cs="宋体"/>
                <w:color w:val="000000"/>
                <w:sz w:val="24"/>
                <w:szCs w:val="24"/>
                <w:lang w:val="en-US" w:eastAsia="zh-CN" w:bidi="ar"/>
              </w:rPr>
              <w:t>）及其</w:t>
            </w:r>
            <w:r>
              <w:rPr>
                <w:rFonts w:ascii="Times New Roman" w:hAnsi="Times New Roman" w:eastAsia="宋体" w:cs="Times New Roman"/>
                <w:color w:val="000000"/>
                <w:sz w:val="24"/>
                <w:szCs w:val="24"/>
                <w:lang w:val="en-US" w:eastAsia="zh-CN" w:bidi="ar"/>
              </w:rPr>
              <w:t>2013</w:t>
            </w:r>
            <w:r>
              <w:rPr>
                <w:rFonts w:hint="eastAsia" w:ascii="宋体" w:hAnsi="宋体" w:eastAsia="宋体" w:cs="宋体"/>
                <w:color w:val="000000"/>
                <w:sz w:val="24"/>
                <w:szCs w:val="24"/>
                <w:lang w:val="en-US" w:eastAsia="zh-CN" w:bidi="ar"/>
              </w:rPr>
              <w:t>年修改单中的要求。</w:t>
            </w:r>
          </w:p>
        </w:tc>
      </w:tr>
      <w:tr w14:paraId="555023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54" w:hRule="atLeast"/>
          <w:jc w:val="center"/>
        </w:trPr>
        <w:tc>
          <w:tcPr>
            <w:tcW w:w="716" w:type="dxa"/>
            <w:noWrap w:val="0"/>
            <w:vAlign w:val="center"/>
          </w:tcPr>
          <w:p w14:paraId="7E45E09D">
            <w:pPr>
              <w:keepNext w:val="0"/>
              <w:keepLines w:val="0"/>
              <w:pageBreakBefore w:val="0"/>
              <w:widowControl w:val="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总量控制指标</w:t>
            </w:r>
          </w:p>
        </w:tc>
        <w:tc>
          <w:tcPr>
            <w:tcW w:w="9067" w:type="dxa"/>
            <w:noWrap w:val="0"/>
            <w:vAlign w:val="center"/>
          </w:tcPr>
          <w:p w14:paraId="43F717CF">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根据本</w:t>
            </w:r>
            <w:r>
              <w:rPr>
                <w:rFonts w:ascii="Times New Roman" w:hAnsi="Times New Roman" w:eastAsia="宋体" w:cs="Times New Roman"/>
                <w:color w:val="000000"/>
                <w:sz w:val="24"/>
                <w:szCs w:val="24"/>
                <w:highlight w:val="none"/>
                <w:lang w:val="en-US" w:eastAsia="zh-CN"/>
              </w:rPr>
              <w:t>项目</w:t>
            </w:r>
            <w:r>
              <w:rPr>
                <w:rFonts w:ascii="Times New Roman" w:hAnsi="Times New Roman" w:eastAsia="宋体" w:cs="Times New Roman"/>
                <w:color w:val="000000"/>
                <w:sz w:val="24"/>
                <w:szCs w:val="24"/>
                <w:highlight w:val="none"/>
              </w:rPr>
              <w:t>的具体情况，结合国家污染物排放总量控制原则，提出本项目建议的污染物排放总量控制指标。</w:t>
            </w:r>
          </w:p>
          <w:p w14:paraId="1CBBAE13">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1、废水</w:t>
            </w:r>
          </w:p>
          <w:p w14:paraId="409D6BB2">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项目运营期废水不外排</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rPr>
              <w:t>不设总量控制指标。</w:t>
            </w:r>
          </w:p>
          <w:p w14:paraId="39045C15">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2、废气</w:t>
            </w:r>
          </w:p>
          <w:p w14:paraId="61A83396">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废气总量：5491.047万m</w:t>
            </w:r>
            <w:r>
              <w:rPr>
                <w:rFonts w:hint="eastAsia" w:ascii="Times New Roman" w:hAnsi="Times New Roman" w:eastAsia="宋体" w:cs="Times New Roman"/>
                <w:color w:val="000000"/>
                <w:sz w:val="24"/>
                <w:szCs w:val="24"/>
                <w:highlight w:val="none"/>
                <w:vertAlign w:val="superscript"/>
                <w:lang w:val="en-US" w:eastAsia="zh-CN"/>
              </w:rPr>
              <w:t>3</w:t>
            </w:r>
            <w:r>
              <w:rPr>
                <w:rFonts w:hint="eastAsia" w:ascii="Times New Roman" w:hAnsi="Times New Roman" w:eastAsia="宋体" w:cs="Times New Roman"/>
                <w:color w:val="000000"/>
                <w:sz w:val="24"/>
                <w:szCs w:val="24"/>
                <w:highlight w:val="none"/>
                <w:lang w:val="en-US" w:eastAsia="zh-CN"/>
              </w:rPr>
              <w:t>/a</w:t>
            </w:r>
          </w:p>
          <w:p w14:paraId="054210F0">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本项目废气污染物及排放量为主要为颗粒物：0.1726t/a；SO2：0.3315t/a；NOx：0.51</w:t>
            </w:r>
            <w:r>
              <w:rPr>
                <w:rFonts w:ascii="Times New Roman" w:hAnsi="Times New Roman" w:eastAsia="宋体" w:cs="Times New Roman"/>
                <w:color w:val="000000"/>
                <w:sz w:val="24"/>
                <w:szCs w:val="24"/>
                <w:highlight w:val="none"/>
                <w:lang w:val="en-US" w:eastAsia="zh-CN"/>
              </w:rPr>
              <w:t>t/a</w:t>
            </w:r>
            <w:r>
              <w:rPr>
                <w:rFonts w:hint="eastAsia" w:ascii="Times New Roman" w:hAnsi="Times New Roman" w:eastAsia="宋体" w:cs="Times New Roman"/>
                <w:color w:val="000000"/>
                <w:sz w:val="24"/>
                <w:szCs w:val="24"/>
                <w:highlight w:val="none"/>
                <w:lang w:val="en-US" w:eastAsia="zh-CN"/>
              </w:rPr>
              <w:t>；非甲烷总烃</w:t>
            </w:r>
            <w:r>
              <w:rPr>
                <w:rFonts w:ascii="Times New Roman" w:hAnsi="Times New Roman" w:eastAsia="宋体" w:cs="Times New Roman"/>
                <w:color w:val="000000"/>
                <w:sz w:val="24"/>
                <w:szCs w:val="24"/>
                <w:highlight w:val="none"/>
                <w:lang w:val="en-US" w:eastAsia="zh-CN"/>
              </w:rPr>
              <w:t>：</w:t>
            </w:r>
            <w:r>
              <w:rPr>
                <w:rFonts w:hint="eastAsia" w:ascii="Times New Roman" w:hAnsi="Times New Roman" w:eastAsia="宋体" w:cs="Times New Roman"/>
                <w:color w:val="000000"/>
                <w:sz w:val="24"/>
                <w:szCs w:val="24"/>
                <w:highlight w:val="none"/>
                <w:lang w:val="en-US" w:eastAsia="zh-CN"/>
              </w:rPr>
              <w:t>0.0325</w:t>
            </w:r>
            <w:r>
              <w:rPr>
                <w:rFonts w:ascii="Times New Roman" w:hAnsi="Times New Roman" w:eastAsia="宋体" w:cs="Times New Roman"/>
                <w:color w:val="000000"/>
                <w:sz w:val="24"/>
                <w:szCs w:val="24"/>
                <w:highlight w:val="none"/>
                <w:lang w:val="en-US" w:eastAsia="zh-CN"/>
              </w:rPr>
              <w:t>t/a</w:t>
            </w:r>
            <w:r>
              <w:rPr>
                <w:rFonts w:hint="eastAsia" w:ascii="Times New Roman" w:hAnsi="Times New Roman" w:eastAsia="宋体" w:cs="Times New Roman"/>
                <w:color w:val="000000"/>
                <w:sz w:val="24"/>
                <w:szCs w:val="24"/>
                <w:highlight w:val="none"/>
                <w:lang w:val="en-US" w:eastAsia="zh-CN"/>
              </w:rPr>
              <w:t>；甲醛：0.000869t/a。其中有组织排放量为颗粒物（0.1422t/a）、SO</w:t>
            </w:r>
            <w:r>
              <w:rPr>
                <w:rFonts w:hint="eastAsia" w:ascii="Times New Roman" w:hAnsi="Times New Roman" w:eastAsia="宋体" w:cs="Times New Roman"/>
                <w:color w:val="000000"/>
                <w:sz w:val="24"/>
                <w:szCs w:val="24"/>
                <w:highlight w:val="none"/>
                <w:vertAlign w:val="subscript"/>
                <w:lang w:val="en-US" w:eastAsia="zh-CN"/>
              </w:rPr>
              <w:t>2</w:t>
            </w:r>
            <w:r>
              <w:rPr>
                <w:rFonts w:hint="eastAsia" w:ascii="Times New Roman" w:hAnsi="Times New Roman" w:eastAsia="宋体" w:cs="Times New Roman"/>
                <w:color w:val="000000"/>
                <w:sz w:val="24"/>
                <w:szCs w:val="24"/>
                <w:highlight w:val="none"/>
                <w:lang w:val="en-US" w:eastAsia="zh-CN"/>
              </w:rPr>
              <w:t>（0.3315t/a）、NOx（0.51t/a）、非甲烷总烃（0.003t/a）、甲醛（0.00084t/a）</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无组织排放量为颗粒物（0.0304t/a）、非甲烷总烃（0.0025t/a）、甲醛（0.000029t/a）。</w:t>
            </w:r>
          </w:p>
          <w:p w14:paraId="57E0A252">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3、固体废物</w:t>
            </w:r>
          </w:p>
          <w:p w14:paraId="3F581179">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rPr>
              <w:t>项目固体废物处置率达100%。不设总量控制指标。</w:t>
            </w:r>
          </w:p>
          <w:p w14:paraId="57DD990C">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p>
          <w:p w14:paraId="775F8695">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 </w:t>
            </w:r>
          </w:p>
        </w:tc>
      </w:tr>
    </w:tbl>
    <w:p w14:paraId="4B67B11C">
      <w:pPr>
        <w:pStyle w:val="210"/>
        <w:keepNext w:val="0"/>
        <w:keepLines w:val="0"/>
        <w:pageBreakBefore w:val="0"/>
        <w:widowControl/>
        <w:spacing w:before="0" w:beforeAutospacing="0" w:after="0" w:afterAutospacing="0"/>
        <w:jc w:val="center"/>
        <w:outlineLvl w:val="0"/>
        <w:rPr>
          <w:rFonts w:ascii="Times New Roman" w:hAnsi="Times New Roman" w:eastAsia="宋体" w:cs="Times New Roman"/>
          <w:color w:val="000000"/>
          <w:sz w:val="30"/>
          <w:szCs w:val="30"/>
          <w:highlight w:val="none"/>
        </w:rPr>
      </w:pPr>
      <w:r>
        <w:rPr>
          <w:rFonts w:ascii="Times New Roman" w:hAnsi="Times New Roman" w:eastAsia="宋体" w:cs="Times New Roman"/>
          <w:color w:val="000000"/>
          <w:sz w:val="36"/>
          <w:szCs w:val="36"/>
          <w:highlight w:val="none"/>
        </w:rPr>
        <w:br w:type="page" w:clear="all"/>
      </w:r>
      <w:bookmarkStart w:id="6" w:name="_Toc15376"/>
      <w:r>
        <w:rPr>
          <w:rFonts w:ascii="Times New Roman" w:hAnsi="Times New Roman" w:eastAsia="宋体" w:cs="Times New Roman"/>
          <w:b/>
          <w:bCs/>
          <w:color w:val="000000"/>
          <w:sz w:val="32"/>
          <w:szCs w:val="32"/>
          <w:highlight w:val="none"/>
        </w:rPr>
        <w:t>四、主要环境影响和保护措施</w:t>
      </w:r>
      <w:bookmarkEnd w:id="6"/>
    </w:p>
    <w:tbl>
      <w:tblPr>
        <w:tblStyle w:val="29"/>
        <w:tblW w:w="978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28" w:type="dxa"/>
          <w:bottom w:w="0" w:type="dxa"/>
          <w:right w:w="28" w:type="dxa"/>
        </w:tblCellMar>
      </w:tblPr>
      <w:tblGrid>
        <w:gridCol w:w="534"/>
        <w:gridCol w:w="9255"/>
      </w:tblGrid>
      <w:tr w14:paraId="118DDF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23" w:hRule="atLeast"/>
          <w:jc w:val="center"/>
        </w:trPr>
        <w:tc>
          <w:tcPr>
            <w:tcW w:w="534" w:type="dxa"/>
            <w:noWrap w:val="0"/>
            <w:tcMar>
              <w:left w:w="28" w:type="dxa"/>
              <w:right w:w="28" w:type="dxa"/>
            </w:tcMar>
            <w:vAlign w:val="center"/>
          </w:tcPr>
          <w:p w14:paraId="6161044C">
            <w:pPr>
              <w:pStyle w:val="210"/>
              <w:spacing w:before="0" w:beforeAutospacing="0" w:after="0" w:afterAutospacing="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施工期环境保护措施</w:t>
            </w:r>
          </w:p>
        </w:tc>
        <w:tc>
          <w:tcPr>
            <w:tcW w:w="9255" w:type="dxa"/>
            <w:noWrap w:val="0"/>
            <w:vAlign w:val="center"/>
          </w:tcPr>
          <w:p w14:paraId="4093A251">
            <w:pPr>
              <w:pStyle w:val="261"/>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b/>
                <w:bCs/>
                <w:color w:val="000000"/>
                <w:sz w:val="24"/>
                <w:szCs w:val="24"/>
                <w:highlight w:val="none"/>
                <w:lang w:val="en-US" w:eastAsia="zh-CN" w:bidi="ar-SA"/>
              </w:rPr>
            </w:pPr>
            <w:r>
              <w:rPr>
                <w:rFonts w:ascii="Times New Roman" w:hAnsi="Times New Roman" w:eastAsia="宋体" w:cs="Times New Roman"/>
                <w:color w:val="000000"/>
                <w:sz w:val="24"/>
                <w:szCs w:val="24"/>
                <w:highlight w:val="none"/>
              </w:rPr>
              <w:t>本项目</w:t>
            </w:r>
            <w:r>
              <w:rPr>
                <w:rFonts w:hint="eastAsia" w:ascii="Times New Roman" w:hAnsi="Times New Roman" w:eastAsia="宋体" w:cs="Times New Roman"/>
                <w:color w:val="000000"/>
                <w:sz w:val="24"/>
                <w:szCs w:val="24"/>
                <w:highlight w:val="none"/>
                <w:lang w:val="en-US" w:eastAsia="zh-CN"/>
              </w:rPr>
              <w:t>租用闲置用地进行厂房的建设</w:t>
            </w:r>
            <w:r>
              <w:rPr>
                <w:rFonts w:ascii="Times New Roman" w:hAnsi="Times New Roman" w:eastAsia="宋体" w:cs="Times New Roman"/>
                <w:color w:val="000000"/>
                <w:sz w:val="24"/>
                <w:szCs w:val="24"/>
                <w:highlight w:val="none"/>
              </w:rPr>
              <w:t>，</w:t>
            </w:r>
            <w:r>
              <w:rPr>
                <w:rFonts w:hint="eastAsia" w:ascii="Times New Roman" w:hAnsi="Times New Roman" w:eastAsia="宋体" w:cs="Times New Roman"/>
                <w:color w:val="000000"/>
                <w:sz w:val="24"/>
                <w:szCs w:val="24"/>
                <w:highlight w:val="none"/>
                <w:lang w:val="en-US" w:eastAsia="zh-CN"/>
              </w:rPr>
              <w:t>厂房建设完成</w:t>
            </w:r>
            <w:r>
              <w:rPr>
                <w:rFonts w:ascii="Times New Roman" w:hAnsi="Times New Roman" w:eastAsia="宋体" w:cs="Times New Roman"/>
                <w:color w:val="000000"/>
                <w:sz w:val="24"/>
                <w:szCs w:val="24"/>
                <w:highlight w:val="none"/>
              </w:rPr>
              <w:t>后进行设备的安装和调试，</w:t>
            </w:r>
            <w:r>
              <w:rPr>
                <w:rFonts w:hint="eastAsia" w:ascii="Times New Roman" w:hAnsi="Times New Roman" w:eastAsia="宋体" w:cs="Times New Roman"/>
                <w:color w:val="000000"/>
                <w:sz w:val="24"/>
                <w:szCs w:val="24"/>
                <w:highlight w:val="none"/>
                <w:lang w:val="en-US" w:eastAsia="zh-CN"/>
              </w:rPr>
              <w:t>厂房为钢架棚结构</w:t>
            </w:r>
            <w:r>
              <w:rPr>
                <w:rFonts w:hint="eastAsia"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rPr>
              <w:t>无土建施工。施工期的主要污染源及</w:t>
            </w:r>
            <w:r>
              <w:rPr>
                <w:rFonts w:ascii="Times New Roman" w:hAnsi="Times New Roman" w:eastAsia="宋体" w:cs="Times New Roman"/>
                <w:color w:val="000000"/>
                <w:sz w:val="24"/>
                <w:highlight w:val="none"/>
              </w:rPr>
              <w:t>采取的环境保护措施</w:t>
            </w:r>
            <w:r>
              <w:rPr>
                <w:rFonts w:ascii="Times New Roman" w:hAnsi="Times New Roman" w:eastAsia="宋体" w:cs="Times New Roman"/>
                <w:color w:val="000000"/>
                <w:sz w:val="24"/>
                <w:highlight w:val="none"/>
                <w:lang w:val="en-US" w:eastAsia="zh-CN"/>
              </w:rPr>
              <w:t>如下</w:t>
            </w:r>
            <w:r>
              <w:rPr>
                <w:rFonts w:ascii="Times New Roman" w:hAnsi="Times New Roman" w:eastAsia="宋体" w:cs="Times New Roman"/>
                <w:color w:val="000000"/>
                <w:sz w:val="24"/>
                <w:highlight w:val="none"/>
              </w:rPr>
              <w:t>：</w:t>
            </w:r>
          </w:p>
          <w:p w14:paraId="32583488">
            <w:pPr>
              <w:pStyle w:val="261"/>
              <w:keepNext w:val="0"/>
              <w:keepLines w:val="0"/>
              <w:pageBreakBefore w:val="0"/>
              <w:widowControl w:val="0"/>
              <w:numPr>
                <w:ilvl w:val="0"/>
                <w:numId w:val="0"/>
              </w:numPr>
              <w:suppressLineNumbers w:val="0"/>
              <w:spacing w:beforeAutospacing="0" w:afterAutospacing="0" w:line="360" w:lineRule="auto"/>
              <w:ind w:right="0" w:firstLine="482"/>
              <w:jc w:val="both"/>
              <w:rPr>
                <w:rFonts w:ascii="Times New Roman" w:hAnsi="Times New Roman" w:eastAsia="宋体" w:cs="Times New Roman"/>
                <w:b/>
                <w:bCs/>
                <w:color w:val="000000"/>
                <w:sz w:val="24"/>
                <w:szCs w:val="24"/>
                <w:highlight w:val="none"/>
                <w:lang w:val="en-US" w:eastAsia="zh-CN" w:bidi="ar-SA"/>
              </w:rPr>
            </w:pPr>
            <w:r>
              <w:rPr>
                <w:rFonts w:ascii="Times New Roman" w:hAnsi="Times New Roman" w:eastAsia="宋体" w:cs="Times New Roman"/>
                <w:b/>
                <w:bCs/>
                <w:color w:val="000000"/>
                <w:sz w:val="24"/>
                <w:szCs w:val="24"/>
                <w:highlight w:val="none"/>
                <w:lang w:val="en-US" w:eastAsia="zh-CN" w:bidi="ar-SA"/>
              </w:rPr>
              <w:t>（一）</w:t>
            </w:r>
            <w:r>
              <w:rPr>
                <w:rFonts w:ascii="Times New Roman" w:hAnsi="Times New Roman" w:eastAsia="宋体" w:cs="Times New Roman"/>
                <w:b/>
                <w:bCs/>
                <w:color w:val="000000"/>
                <w:sz w:val="24"/>
                <w:highlight w:val="none"/>
              </w:rPr>
              <w:t>施工期废气污染防治措施</w:t>
            </w:r>
          </w:p>
          <w:p w14:paraId="2A508C3D">
            <w:pPr>
              <w:pStyle w:val="261"/>
              <w:keepNext w:val="0"/>
              <w:keepLines w:val="0"/>
              <w:pageBreakBefore w:val="0"/>
              <w:widowControl w:val="0"/>
              <w:numPr>
                <w:ilvl w:val="0"/>
                <w:numId w:val="0"/>
              </w:numPr>
              <w:suppressLineNumbers w:val="0"/>
              <w:spacing w:beforeAutospacing="0" w:afterAutospacing="0" w:line="360" w:lineRule="auto"/>
              <w:ind w:right="0" w:firstLine="482"/>
              <w:jc w:val="both"/>
              <w:rPr>
                <w:rFonts w:ascii="Times New Roman" w:hAnsi="Times New Roman" w:eastAsia="宋体" w:cs="Times New Roman"/>
                <w:b/>
                <w:bCs/>
                <w:color w:val="000000"/>
                <w:sz w:val="24"/>
                <w:szCs w:val="24"/>
                <w:highlight w:val="none"/>
                <w:lang w:val="en-US" w:eastAsia="zh-CN" w:bidi="ar-SA"/>
              </w:rPr>
            </w:pPr>
            <w:r>
              <w:rPr>
                <w:rFonts w:ascii="Times New Roman" w:hAnsi="Times New Roman" w:eastAsia="宋体" w:cs="Times New Roman"/>
                <w:b/>
                <w:bCs/>
                <w:color w:val="000000"/>
                <w:sz w:val="24"/>
                <w:szCs w:val="24"/>
                <w:highlight w:val="none"/>
                <w:lang w:val="en-US" w:eastAsia="zh-CN" w:bidi="ar-SA"/>
              </w:rPr>
              <w:t>1、施工过程中扬尘</w:t>
            </w:r>
          </w:p>
          <w:p w14:paraId="12200C07">
            <w:pPr>
              <w:pStyle w:val="261"/>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szCs w:val="24"/>
                <w:highlight w:val="none"/>
                <w:lang w:val="en-US" w:eastAsia="zh-CN" w:bidi="ar-SA"/>
              </w:rPr>
              <w:t>项目施工扬尘主要来源于厂房</w:t>
            </w:r>
            <w:r>
              <w:rPr>
                <w:rFonts w:hint="eastAsia" w:ascii="Times New Roman" w:hAnsi="Times New Roman" w:eastAsia="宋体" w:cs="Times New Roman"/>
                <w:color w:val="000000"/>
                <w:sz w:val="24"/>
                <w:szCs w:val="24"/>
                <w:highlight w:val="none"/>
                <w:lang w:val="en-US" w:eastAsia="zh-CN" w:bidi="ar-SA"/>
              </w:rPr>
              <w:t>建设</w:t>
            </w:r>
            <w:r>
              <w:rPr>
                <w:rFonts w:ascii="Times New Roman" w:hAnsi="Times New Roman" w:eastAsia="宋体" w:cs="Times New Roman"/>
                <w:color w:val="000000"/>
                <w:sz w:val="24"/>
                <w:szCs w:val="24"/>
                <w:highlight w:val="none"/>
                <w:lang w:val="en-US" w:eastAsia="zh-CN" w:bidi="ar-SA"/>
              </w:rPr>
              <w:t>、材料装卸、堆放和运输、建筑垃圾堆放和运出、施工车辆和施工机械行驶等，属无组织排放。</w:t>
            </w:r>
          </w:p>
          <w:p w14:paraId="64D41756">
            <w:pPr>
              <w:pStyle w:val="261"/>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szCs w:val="24"/>
                <w:highlight w:val="none"/>
                <w:lang w:val="en-US" w:eastAsia="zh-CN" w:bidi="ar-SA"/>
              </w:rPr>
              <w:t>建设单位在施工场地周围用彩钢板围挡；在施工频繁的道路上可适时进行现场洒水降尘，在干燥季节和夏季的中午时段应增加洒水的频率；禁止在大风天进行土地平整作业，风速过大时应停止施工，对裸露地面覆盖处理；在施工场地对施工车辆必须实施限速行驶；选择对周围环境影响较小的固定运输路线，定时对运输路线进行清扫。</w:t>
            </w:r>
          </w:p>
          <w:p w14:paraId="07B516E0">
            <w:pPr>
              <w:pStyle w:val="261"/>
              <w:keepNext w:val="0"/>
              <w:keepLines w:val="0"/>
              <w:pageBreakBefore w:val="0"/>
              <w:widowControl w:val="0"/>
              <w:numPr>
                <w:ilvl w:val="0"/>
                <w:numId w:val="0"/>
              </w:numPr>
              <w:suppressLineNumbers w:val="0"/>
              <w:spacing w:beforeAutospacing="0" w:afterAutospacing="0" w:line="360" w:lineRule="auto"/>
              <w:ind w:right="0" w:firstLine="482"/>
              <w:jc w:val="both"/>
              <w:rPr>
                <w:rFonts w:ascii="Times New Roman" w:hAnsi="Times New Roman" w:eastAsia="宋体" w:cs="Times New Roman"/>
                <w:b/>
                <w:bCs/>
                <w:color w:val="000000"/>
                <w:sz w:val="24"/>
                <w:szCs w:val="24"/>
                <w:highlight w:val="none"/>
                <w:lang w:val="en-US" w:eastAsia="zh-CN" w:bidi="ar-SA"/>
              </w:rPr>
            </w:pPr>
            <w:r>
              <w:rPr>
                <w:rFonts w:ascii="Times New Roman" w:hAnsi="Times New Roman" w:eastAsia="宋体" w:cs="Times New Roman"/>
                <w:b/>
                <w:bCs/>
                <w:color w:val="000000"/>
                <w:sz w:val="24"/>
                <w:szCs w:val="24"/>
                <w:highlight w:val="none"/>
                <w:lang w:val="en-US" w:eastAsia="zh-CN" w:bidi="ar-SA"/>
              </w:rPr>
              <w:t>2、施工机械和运输车辆尾气</w:t>
            </w:r>
          </w:p>
          <w:p w14:paraId="3194302E">
            <w:pPr>
              <w:pStyle w:val="261"/>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szCs w:val="24"/>
                <w:highlight w:val="none"/>
                <w:lang w:val="en-US" w:eastAsia="zh-CN" w:bidi="ar-SA"/>
              </w:rPr>
              <w:t>施工机械一般燃用柴油作动力，开动时会产生一些燃油废气；施工运输车辆一般是大型柴油车，产生机动车尾气。排放污染物主要为CO、NOx、HC，无组织排放。建设单位在施工期多加注意施工设备的维护，使其能够正常的运行，从而可以避免施工机械因病态而使产生的废气超标的现象发生。加之项目施工场地较为开阔，尾气经大气稀释扩散后，对周围环境影响不大。</w:t>
            </w:r>
          </w:p>
          <w:p w14:paraId="26C05509">
            <w:pPr>
              <w:pStyle w:val="261"/>
              <w:keepNext w:val="0"/>
              <w:keepLines w:val="0"/>
              <w:pageBreakBefore w:val="0"/>
              <w:widowControl w:val="0"/>
              <w:numPr>
                <w:ilvl w:val="0"/>
                <w:numId w:val="0"/>
              </w:numPr>
              <w:suppressLineNumbers w:val="0"/>
              <w:spacing w:beforeAutospacing="0" w:afterAutospacing="0" w:line="360" w:lineRule="auto"/>
              <w:ind w:right="0" w:firstLine="482"/>
              <w:jc w:val="both"/>
              <w:rPr>
                <w:rFonts w:ascii="Times New Roman" w:hAnsi="Times New Roman" w:eastAsia="宋体" w:cs="Times New Roman"/>
                <w:b/>
                <w:bCs/>
                <w:color w:val="000000"/>
                <w:sz w:val="24"/>
                <w:szCs w:val="24"/>
                <w:highlight w:val="none"/>
                <w:lang w:val="en-US" w:eastAsia="zh-CN" w:bidi="ar-SA"/>
              </w:rPr>
            </w:pPr>
            <w:r>
              <w:rPr>
                <w:rFonts w:ascii="Times New Roman" w:hAnsi="Times New Roman" w:eastAsia="宋体" w:cs="Times New Roman"/>
                <w:b/>
                <w:bCs/>
                <w:color w:val="000000"/>
                <w:sz w:val="24"/>
                <w:szCs w:val="24"/>
                <w:highlight w:val="none"/>
                <w:lang w:val="en-US" w:eastAsia="zh-CN" w:bidi="ar-SA"/>
              </w:rPr>
              <w:t>（二）</w:t>
            </w:r>
            <w:r>
              <w:rPr>
                <w:rFonts w:ascii="Times New Roman" w:hAnsi="Times New Roman" w:eastAsia="宋体" w:cs="Times New Roman"/>
                <w:b/>
                <w:bCs/>
                <w:color w:val="000000"/>
                <w:sz w:val="24"/>
                <w:highlight w:val="none"/>
              </w:rPr>
              <w:t>施工期废水污染防治措施</w:t>
            </w:r>
          </w:p>
          <w:p w14:paraId="277B603D">
            <w:pPr>
              <w:pStyle w:val="261"/>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rPr>
              <w:t>施工过程中</w:t>
            </w:r>
            <w:r>
              <w:rPr>
                <w:rFonts w:hint="eastAsia" w:ascii="Times New Roman" w:hAnsi="Times New Roman" w:eastAsia="宋体" w:cs="Times New Roman"/>
                <w:color w:val="000000"/>
                <w:sz w:val="24"/>
                <w:lang w:val="en-US" w:eastAsia="zh-CN"/>
              </w:rPr>
              <w:t>产生的施工废水</w:t>
            </w:r>
            <w:r>
              <w:rPr>
                <w:rFonts w:ascii="Times New Roman" w:hAnsi="Times New Roman" w:eastAsia="宋体" w:cs="Times New Roman"/>
                <w:color w:val="000000"/>
                <w:sz w:val="24"/>
              </w:rPr>
              <w:t>设置1个2m</w:t>
            </w:r>
            <w:r>
              <w:rPr>
                <w:rFonts w:ascii="Times New Roman" w:hAnsi="Times New Roman" w:eastAsia="宋体" w:cs="Times New Roman"/>
                <w:color w:val="000000"/>
                <w:sz w:val="24"/>
                <w:vertAlign w:val="superscript"/>
              </w:rPr>
              <w:t>3</w:t>
            </w:r>
            <w:r>
              <w:rPr>
                <w:rFonts w:ascii="Times New Roman" w:hAnsi="Times New Roman" w:eastAsia="宋体" w:cs="Times New Roman"/>
                <w:color w:val="000000"/>
                <w:sz w:val="24"/>
              </w:rPr>
              <w:t>的</w:t>
            </w:r>
            <w:r>
              <w:rPr>
                <w:rFonts w:ascii="Times New Roman" w:hAnsi="Times New Roman" w:eastAsia="宋体" w:cs="Times New Roman"/>
                <w:color w:val="000000"/>
                <w:sz w:val="24"/>
                <w:lang w:val="en-US" w:eastAsia="zh-CN"/>
              </w:rPr>
              <w:t>临时沉淀池</w:t>
            </w:r>
            <w:r>
              <w:rPr>
                <w:rFonts w:ascii="Times New Roman" w:hAnsi="Times New Roman" w:eastAsia="宋体" w:cs="Times New Roman"/>
                <w:color w:val="000000"/>
                <w:sz w:val="24"/>
              </w:rPr>
              <w:t>，对废水进行沉淀处理后，</w:t>
            </w:r>
            <w:r>
              <w:rPr>
                <w:rFonts w:ascii="Times New Roman" w:hAnsi="Times New Roman" w:eastAsia="宋体" w:cs="Times New Roman"/>
                <w:color w:val="000000"/>
                <w:sz w:val="24"/>
                <w:szCs w:val="24"/>
                <w:highlight w:val="none"/>
                <w:lang w:val="en-US" w:eastAsia="zh-CN"/>
              </w:rPr>
              <w:t>回用施工过程或于施工场地洒水降尘</w:t>
            </w:r>
            <w:r>
              <w:rPr>
                <w:rFonts w:hint="eastAsia" w:ascii="Times New Roman" w:hAnsi="Times New Roman" w:eastAsia="宋体" w:cs="Times New Roman"/>
                <w:color w:val="000000"/>
                <w:sz w:val="24"/>
                <w:szCs w:val="24"/>
                <w:highlight w:val="none"/>
                <w:lang w:val="en-US" w:eastAsia="zh-CN"/>
              </w:rPr>
              <w:t>等</w:t>
            </w:r>
            <w:r>
              <w:rPr>
                <w:rFonts w:hint="eastAsia" w:ascii="Times New Roman" w:hAnsi="Times New Roman" w:eastAsia="宋体" w:cs="Times New Roman"/>
                <w:color w:val="000000"/>
                <w:sz w:val="24"/>
                <w:lang w:eastAsia="zh-CN"/>
              </w:rPr>
              <w:t>；</w:t>
            </w:r>
            <w:r>
              <w:rPr>
                <w:rFonts w:ascii="Times New Roman" w:hAnsi="Times New Roman" w:eastAsia="宋体" w:cs="Times New Roman"/>
                <w:color w:val="000000"/>
                <w:sz w:val="24"/>
                <w:szCs w:val="24"/>
                <w:highlight w:val="none"/>
                <w:lang w:val="en-US" w:eastAsia="zh-CN" w:bidi="ar-SA"/>
              </w:rPr>
              <w:t>施工人员不在施工现场食宿，施工人员洗手等生活废水依托现有化粪池收集处理后委托周边村民清运作为农家肥使用</w:t>
            </w:r>
            <w:r>
              <w:rPr>
                <w:rFonts w:hint="eastAsia" w:ascii="Times New Roman" w:hAnsi="Times New Roman" w:eastAsia="宋体" w:cs="Times New Roman"/>
                <w:color w:val="000000"/>
                <w:sz w:val="24"/>
                <w:szCs w:val="24"/>
                <w:highlight w:val="none"/>
                <w:lang w:val="en-US" w:eastAsia="zh-CN" w:bidi="ar-SA"/>
              </w:rPr>
              <w:t>。废水</w:t>
            </w:r>
            <w:r>
              <w:rPr>
                <w:rFonts w:ascii="Times New Roman" w:hAnsi="Times New Roman" w:eastAsia="宋体" w:cs="Times New Roman"/>
                <w:color w:val="000000"/>
                <w:sz w:val="24"/>
                <w:szCs w:val="24"/>
                <w:highlight w:val="none"/>
                <w:lang w:val="en-US" w:eastAsia="zh-CN" w:bidi="ar-SA"/>
              </w:rPr>
              <w:t>不直接排入周边地表水环境</w:t>
            </w:r>
            <w:r>
              <w:rPr>
                <w:rFonts w:ascii="Times New Roman" w:hAnsi="Times New Roman" w:eastAsia="宋体" w:cs="Times New Roman"/>
                <w:bCs/>
                <w:color w:val="000000"/>
                <w:sz w:val="24"/>
                <w:highlight w:val="none"/>
                <w:lang w:eastAsia="zh-CN"/>
              </w:rPr>
              <w:t>。</w:t>
            </w:r>
            <w:r>
              <w:rPr>
                <w:rFonts w:ascii="Times New Roman" w:hAnsi="Times New Roman" w:eastAsia="宋体" w:cs="Times New Roman"/>
                <w:color w:val="000000"/>
                <w:sz w:val="24"/>
                <w:szCs w:val="24"/>
                <w:highlight w:val="none"/>
                <w:lang w:val="en-US" w:eastAsia="zh-CN" w:bidi="ar-SA"/>
              </w:rPr>
              <w:t>对周围环境的影响很小。</w:t>
            </w:r>
          </w:p>
          <w:p w14:paraId="7364D2FC">
            <w:pPr>
              <w:pStyle w:val="261"/>
              <w:keepNext w:val="0"/>
              <w:keepLines w:val="0"/>
              <w:pageBreakBefore w:val="0"/>
              <w:widowControl w:val="0"/>
              <w:numPr>
                <w:ilvl w:val="0"/>
                <w:numId w:val="0"/>
              </w:numPr>
              <w:suppressLineNumbers w:val="0"/>
              <w:spacing w:beforeAutospacing="0" w:afterAutospacing="0" w:line="360" w:lineRule="auto"/>
              <w:ind w:right="0" w:firstLine="482"/>
              <w:jc w:val="both"/>
              <w:rPr>
                <w:rFonts w:ascii="Times New Roman" w:hAnsi="Times New Roman" w:eastAsia="宋体" w:cs="Times New Roman"/>
                <w:b/>
                <w:bCs/>
                <w:color w:val="000000"/>
                <w:sz w:val="24"/>
                <w:szCs w:val="24"/>
                <w:highlight w:val="none"/>
                <w:lang w:val="en-US" w:eastAsia="zh-CN" w:bidi="ar-SA"/>
              </w:rPr>
            </w:pPr>
            <w:r>
              <w:rPr>
                <w:rFonts w:ascii="Times New Roman" w:hAnsi="Times New Roman" w:eastAsia="宋体" w:cs="Times New Roman"/>
                <w:b/>
                <w:bCs/>
                <w:color w:val="000000"/>
                <w:sz w:val="24"/>
                <w:szCs w:val="24"/>
                <w:highlight w:val="none"/>
                <w:lang w:val="en-US" w:eastAsia="zh-CN" w:bidi="ar-SA"/>
              </w:rPr>
              <w:t>（三）</w:t>
            </w:r>
            <w:r>
              <w:rPr>
                <w:rFonts w:ascii="Times New Roman" w:hAnsi="Times New Roman" w:eastAsia="宋体" w:cs="Times New Roman"/>
                <w:b/>
                <w:bCs/>
                <w:color w:val="000000"/>
                <w:sz w:val="24"/>
                <w:highlight w:val="none"/>
              </w:rPr>
              <w:t>施工期固废污染防治措施</w:t>
            </w:r>
          </w:p>
          <w:p w14:paraId="6AE24548">
            <w:pPr>
              <w:pStyle w:val="261"/>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szCs w:val="24"/>
                <w:highlight w:val="none"/>
                <w:lang w:val="en-US" w:eastAsia="zh-CN" w:bidi="ar-SA"/>
              </w:rPr>
              <w:t>项目施工期固体废弃物主要为</w:t>
            </w:r>
            <w:r>
              <w:rPr>
                <w:rFonts w:ascii="Times New Roman" w:hAnsi="Times New Roman" w:eastAsia="宋体" w:cs="Times New Roman"/>
                <w:color w:val="000000"/>
                <w:sz w:val="24"/>
                <w:highlight w:val="none"/>
                <w:lang w:val="en-US" w:eastAsia="zh-CN"/>
              </w:rPr>
              <w:t>废包装材料</w:t>
            </w:r>
            <w:r>
              <w:rPr>
                <w:rFonts w:hint="eastAsia" w:ascii="Times New Roman" w:hAnsi="Times New Roman" w:eastAsia="宋体" w:cs="Times New Roman"/>
                <w:color w:val="000000"/>
                <w:sz w:val="24"/>
                <w:highlight w:val="none"/>
                <w:lang w:val="en-US" w:eastAsia="zh-CN"/>
              </w:rPr>
              <w:t>、建筑垃圾</w:t>
            </w:r>
            <w:r>
              <w:rPr>
                <w:rFonts w:ascii="Times New Roman" w:hAnsi="Times New Roman" w:eastAsia="宋体" w:cs="Times New Roman"/>
                <w:color w:val="000000"/>
                <w:sz w:val="24"/>
                <w:szCs w:val="24"/>
                <w:highlight w:val="none"/>
                <w:lang w:val="en-US" w:eastAsia="zh-CN" w:bidi="ar-SA"/>
              </w:rPr>
              <w:t>和生活垃圾。</w:t>
            </w:r>
          </w:p>
          <w:p w14:paraId="3085174B">
            <w:pPr>
              <w:pStyle w:val="261"/>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hint="eastAsia" w:ascii="Times New Roman" w:hAnsi="Times New Roman" w:eastAsia="宋体" w:cs="Times New Roman"/>
                <w:color w:val="000000"/>
                <w:sz w:val="24"/>
                <w:highlight w:val="none"/>
                <w:lang w:val="en-US" w:eastAsia="zh-CN"/>
              </w:rPr>
              <w:t>（1）</w:t>
            </w:r>
            <w:r>
              <w:rPr>
                <w:rFonts w:ascii="Times New Roman" w:hAnsi="Times New Roman" w:eastAsia="宋体" w:cs="Times New Roman"/>
                <w:color w:val="000000"/>
                <w:sz w:val="24"/>
                <w:highlight w:val="none"/>
                <w:lang w:val="en-US" w:eastAsia="zh-CN"/>
              </w:rPr>
              <w:t>废包装材料</w:t>
            </w:r>
            <w:r>
              <w:rPr>
                <w:rFonts w:ascii="Times New Roman" w:hAnsi="Times New Roman" w:eastAsia="宋体" w:cs="Times New Roman"/>
                <w:color w:val="000000"/>
                <w:sz w:val="24"/>
                <w:szCs w:val="24"/>
                <w:highlight w:val="none"/>
                <w:lang w:val="en-US" w:eastAsia="zh-CN" w:bidi="ar-SA"/>
              </w:rPr>
              <w:t>能够回收利用的进行回收利用，不能回收利用的运至指定地点妥善处置，对周围环境影响很小。</w:t>
            </w:r>
          </w:p>
          <w:p w14:paraId="241E0631">
            <w:pPr>
              <w:pStyle w:val="261"/>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hint="eastAsia" w:ascii="Times New Roman" w:hAnsi="Times New Roman" w:eastAsia="宋体" w:cs="Times New Roman"/>
                <w:color w:val="000000"/>
                <w:sz w:val="24"/>
                <w:szCs w:val="24"/>
                <w:highlight w:val="none"/>
                <w:lang w:val="en-US" w:eastAsia="zh-CN" w:bidi="ar-SA"/>
              </w:rPr>
              <w:t>（2）</w:t>
            </w:r>
            <w:r>
              <w:rPr>
                <w:rFonts w:ascii="Times New Roman" w:hAnsi="Times New Roman" w:eastAsia="宋体" w:cs="Times New Roman"/>
                <w:color w:val="000000"/>
                <w:sz w:val="24"/>
                <w:szCs w:val="24"/>
                <w:highlight w:val="none"/>
                <w:lang w:val="en-US" w:eastAsia="zh-CN" w:bidi="ar-SA"/>
              </w:rPr>
              <w:t>建筑垃圾不得乱堆乱放，固体废物产生后须及时收集清运至指定的建筑垃圾堆放场所进行处置。</w:t>
            </w:r>
          </w:p>
          <w:p w14:paraId="45855249">
            <w:pPr>
              <w:pStyle w:val="261"/>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hint="eastAsia" w:ascii="Times New Roman" w:hAnsi="Times New Roman" w:eastAsia="宋体" w:cs="Times New Roman"/>
                <w:color w:val="000000"/>
                <w:sz w:val="24"/>
                <w:szCs w:val="24"/>
                <w:highlight w:val="none"/>
                <w:lang w:val="en-US" w:eastAsia="zh-CN" w:bidi="ar-SA"/>
              </w:rPr>
              <w:t>（3）</w:t>
            </w:r>
            <w:r>
              <w:rPr>
                <w:rFonts w:ascii="Times New Roman" w:hAnsi="Times New Roman" w:eastAsia="宋体" w:cs="Times New Roman"/>
                <w:color w:val="000000"/>
                <w:sz w:val="24"/>
                <w:szCs w:val="24"/>
                <w:highlight w:val="none"/>
                <w:lang w:val="en-US" w:eastAsia="zh-CN" w:bidi="ar-SA"/>
              </w:rPr>
              <w:t>施工期施工人员不在现场食宿，项目施工期短，生活垃圾的产生量</w:t>
            </w:r>
            <w:r>
              <w:rPr>
                <w:rFonts w:hint="eastAsia" w:ascii="Times New Roman" w:hAnsi="Times New Roman" w:eastAsia="宋体" w:cs="Times New Roman"/>
                <w:color w:val="000000"/>
                <w:sz w:val="24"/>
                <w:szCs w:val="24"/>
                <w:highlight w:val="none"/>
                <w:lang w:val="en-US" w:eastAsia="zh-CN" w:bidi="ar-SA"/>
              </w:rPr>
              <w:t>较</w:t>
            </w:r>
            <w:r>
              <w:rPr>
                <w:rFonts w:ascii="Times New Roman" w:hAnsi="Times New Roman" w:eastAsia="宋体" w:cs="Times New Roman"/>
                <w:color w:val="000000"/>
                <w:sz w:val="24"/>
                <w:szCs w:val="24"/>
                <w:highlight w:val="none"/>
                <w:lang w:val="en-US" w:eastAsia="zh-CN" w:bidi="ar-SA"/>
              </w:rPr>
              <w:t>少。施工期生活垃圾集中收集后，由环</w:t>
            </w:r>
            <w:r>
              <w:rPr>
                <w:rFonts w:hint="eastAsia" w:ascii="Times New Roman" w:hAnsi="Times New Roman" w:eastAsia="宋体" w:cs="Times New Roman"/>
                <w:color w:val="000000"/>
                <w:sz w:val="24"/>
                <w:szCs w:val="24"/>
                <w:highlight w:val="none"/>
                <w:lang w:val="en-US" w:eastAsia="zh-CN" w:bidi="ar-SA"/>
              </w:rPr>
              <w:t>周边村民清掏，用作农肥</w:t>
            </w:r>
            <w:r>
              <w:rPr>
                <w:rFonts w:ascii="Times New Roman" w:hAnsi="Times New Roman" w:eastAsia="宋体" w:cs="Times New Roman"/>
                <w:color w:val="000000"/>
                <w:sz w:val="24"/>
                <w:szCs w:val="24"/>
                <w:highlight w:val="none"/>
                <w:lang w:val="en-US" w:eastAsia="zh-CN" w:bidi="ar-SA"/>
              </w:rPr>
              <w:t>处置，对周围环境影响很小。</w:t>
            </w:r>
          </w:p>
          <w:p w14:paraId="23698EE8">
            <w:pPr>
              <w:pStyle w:val="261"/>
              <w:keepNext w:val="0"/>
              <w:keepLines w:val="0"/>
              <w:pageBreakBefore w:val="0"/>
              <w:widowControl w:val="0"/>
              <w:numPr>
                <w:ilvl w:val="0"/>
                <w:numId w:val="0"/>
              </w:numPr>
              <w:suppressLineNumbers w:val="0"/>
              <w:spacing w:beforeAutospacing="0" w:afterAutospacing="0" w:line="360" w:lineRule="auto"/>
              <w:ind w:right="0" w:firstLine="482"/>
              <w:jc w:val="both"/>
              <w:rPr>
                <w:rFonts w:ascii="Times New Roman" w:hAnsi="Times New Roman" w:eastAsia="宋体" w:cs="Times New Roman"/>
                <w:b/>
                <w:bCs/>
                <w:color w:val="000000"/>
                <w:sz w:val="24"/>
                <w:szCs w:val="24"/>
                <w:highlight w:val="none"/>
                <w:lang w:val="en-US" w:eastAsia="zh-CN" w:bidi="ar-SA"/>
              </w:rPr>
            </w:pPr>
            <w:r>
              <w:rPr>
                <w:rFonts w:ascii="Times New Roman" w:hAnsi="Times New Roman" w:eastAsia="宋体" w:cs="Times New Roman"/>
                <w:b/>
                <w:bCs/>
                <w:color w:val="000000"/>
                <w:sz w:val="24"/>
                <w:szCs w:val="24"/>
                <w:highlight w:val="none"/>
                <w:lang w:val="en-US" w:eastAsia="zh-CN" w:bidi="ar-SA"/>
              </w:rPr>
              <w:t>（四）</w:t>
            </w:r>
            <w:r>
              <w:rPr>
                <w:rFonts w:ascii="Times New Roman" w:hAnsi="Times New Roman" w:eastAsia="宋体" w:cs="Times New Roman"/>
                <w:b/>
                <w:bCs/>
                <w:color w:val="000000"/>
                <w:sz w:val="24"/>
                <w:highlight w:val="none"/>
              </w:rPr>
              <w:t>施工期噪声污染防治措施</w:t>
            </w:r>
          </w:p>
          <w:p w14:paraId="7EA97EDB">
            <w:pPr>
              <w:pStyle w:val="261"/>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szCs w:val="24"/>
                <w:highlight w:val="none"/>
                <w:lang w:val="en-US" w:eastAsia="zh-CN" w:bidi="ar-SA"/>
              </w:rPr>
              <w:t>项目施工主要为人力施工，施工机械使用较少，噪声为间歇性噪声。施工期间噪声多来源于自卸运输车辆等设备的发动机噪声以及设备安装产生的噪声。</w:t>
            </w:r>
          </w:p>
          <w:p w14:paraId="293C9163">
            <w:pPr>
              <w:pStyle w:val="261"/>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szCs w:val="24"/>
                <w:highlight w:val="none"/>
                <w:lang w:val="en-US" w:eastAsia="zh-CN" w:bidi="ar-SA"/>
              </w:rPr>
              <w:t>为减小施工期间噪声对周围环境的影响，防止声污染事故的发生，环评要求工程施工时应采取以下措施：</w:t>
            </w:r>
          </w:p>
          <w:p w14:paraId="70060555">
            <w:pPr>
              <w:pStyle w:val="261"/>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szCs w:val="24"/>
                <w:highlight w:val="none"/>
                <w:lang w:val="en-US" w:eastAsia="zh-CN" w:bidi="ar-SA"/>
              </w:rPr>
              <w:t>（1）施工单位应合理安排好施工时间，严禁在12:00~14:00、22:00~6:00期间施工；</w:t>
            </w:r>
          </w:p>
          <w:p w14:paraId="06022E9C">
            <w:pPr>
              <w:pStyle w:val="261"/>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szCs w:val="24"/>
                <w:highlight w:val="none"/>
                <w:lang w:val="en-US" w:eastAsia="zh-CN" w:bidi="ar-SA"/>
              </w:rPr>
              <w:t>（2）材料采用定尺定料，减少现场切割；</w:t>
            </w:r>
          </w:p>
          <w:p w14:paraId="4DC0826A">
            <w:pPr>
              <w:pStyle w:val="261"/>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szCs w:val="24"/>
                <w:highlight w:val="none"/>
                <w:lang w:val="en-US" w:eastAsia="zh-CN" w:bidi="ar-SA"/>
              </w:rPr>
              <w:t>（3）加强机械设备的维护管理，保证其处于正常的工作状态；</w:t>
            </w:r>
          </w:p>
          <w:p w14:paraId="58CD2F53">
            <w:pPr>
              <w:pStyle w:val="261"/>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szCs w:val="24"/>
                <w:highlight w:val="none"/>
                <w:lang w:val="en-US" w:eastAsia="zh-CN" w:bidi="ar-SA"/>
              </w:rPr>
              <w:t>（4）加强对施工人员的管理，避免人为噪声的产生，做到文明施工；</w:t>
            </w:r>
          </w:p>
          <w:p w14:paraId="4C860E45">
            <w:pPr>
              <w:pStyle w:val="261"/>
              <w:keepNext w:val="0"/>
              <w:keepLines w:val="0"/>
              <w:pageBreakBefore w:val="0"/>
              <w:widowControl w:val="0"/>
              <w:numPr>
                <w:ilvl w:val="0"/>
                <w:numId w:val="0"/>
              </w:numPr>
              <w:suppressLineNumbers w:val="0"/>
              <w:spacing w:beforeAutospacing="0" w:afterAutospacing="0" w:line="360" w:lineRule="auto"/>
              <w:ind w:right="0"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szCs w:val="24"/>
                <w:highlight w:val="none"/>
                <w:lang w:val="en-US" w:eastAsia="zh-CN" w:bidi="ar-SA"/>
              </w:rPr>
              <w:t>（5）合理布设施工场地，尽量使高噪声设备远离厂界。</w:t>
            </w:r>
          </w:p>
          <w:p w14:paraId="7699205E">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bidi="ar-SA"/>
              </w:rPr>
            </w:pPr>
            <w:r>
              <w:rPr>
                <w:rFonts w:ascii="Times New Roman" w:hAnsi="Times New Roman" w:eastAsia="宋体" w:cs="Times New Roman"/>
                <w:color w:val="000000"/>
                <w:sz w:val="24"/>
                <w:szCs w:val="24"/>
                <w:highlight w:val="none"/>
                <w:lang w:val="en-US" w:eastAsia="zh-CN" w:bidi="ar-SA"/>
              </w:rPr>
              <w:t>只要施工单位在施工中加强管理、合理操作，同时合理安排作业时间，则施工噪声影响将得以减小；施工噪声对于区域噪声环境质量的影响是短暂的，其噪声影响随着施工期的结束而结束，影响较小。</w:t>
            </w:r>
          </w:p>
          <w:p w14:paraId="5894BB06">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b w:val="0"/>
                <w:bCs/>
                <w:color w:val="000000"/>
                <w:sz w:val="24"/>
                <w:szCs w:val="24"/>
                <w:lang w:val="en-US" w:eastAsia="zh-CN"/>
              </w:rPr>
              <w:t>综上，</w:t>
            </w:r>
            <w:r>
              <w:rPr>
                <w:rFonts w:ascii="Times New Roman" w:hAnsi="Times New Roman" w:eastAsia="宋体" w:cs="Times New Roman"/>
                <w:b w:val="0"/>
                <w:bCs/>
                <w:color w:val="000000"/>
                <w:sz w:val="24"/>
                <w:szCs w:val="24"/>
              </w:rPr>
              <w:t>项目施工期产生的</w:t>
            </w:r>
            <w:r>
              <w:rPr>
                <w:rFonts w:ascii="Times New Roman" w:hAnsi="Times New Roman" w:eastAsia="宋体" w:cs="Times New Roman"/>
                <w:b w:val="0"/>
                <w:bCs/>
                <w:color w:val="000000"/>
                <w:sz w:val="24"/>
                <w:szCs w:val="24"/>
                <w:lang w:val="en-US" w:eastAsia="zh-CN"/>
              </w:rPr>
              <w:t>污染物都采取了合理可行的防治措施</w:t>
            </w:r>
            <w:r>
              <w:rPr>
                <w:rFonts w:ascii="Times New Roman" w:hAnsi="Times New Roman" w:eastAsia="宋体" w:cs="Times New Roman"/>
                <w:b w:val="0"/>
                <w:bCs/>
                <w:color w:val="000000"/>
                <w:sz w:val="24"/>
                <w:szCs w:val="24"/>
              </w:rPr>
              <w:t>，对周围环境影响</w:t>
            </w:r>
            <w:r>
              <w:rPr>
                <w:rFonts w:ascii="Times New Roman" w:hAnsi="Times New Roman" w:eastAsia="宋体" w:cs="Times New Roman"/>
                <w:b w:val="0"/>
                <w:bCs/>
                <w:color w:val="000000"/>
                <w:sz w:val="24"/>
                <w:szCs w:val="24"/>
                <w:lang w:val="en-US" w:eastAsia="zh-CN"/>
              </w:rPr>
              <w:t>较</w:t>
            </w:r>
            <w:r>
              <w:rPr>
                <w:rFonts w:ascii="Times New Roman" w:hAnsi="Times New Roman" w:eastAsia="宋体" w:cs="Times New Roman"/>
                <w:b w:val="0"/>
                <w:bCs/>
                <w:color w:val="000000"/>
                <w:sz w:val="24"/>
                <w:szCs w:val="24"/>
              </w:rPr>
              <w:t>小</w:t>
            </w:r>
            <w:r>
              <w:rPr>
                <w:rFonts w:ascii="Times New Roman" w:hAnsi="Times New Roman" w:eastAsia="宋体" w:cs="Times New Roman"/>
                <w:color w:val="000000"/>
                <w:sz w:val="24"/>
                <w:highlight w:val="none"/>
              </w:rPr>
              <w:t>，措施可行</w:t>
            </w:r>
            <w:r>
              <w:rPr>
                <w:rFonts w:ascii="Times New Roman" w:hAnsi="Times New Roman" w:eastAsia="宋体" w:cs="Times New Roman"/>
                <w:b w:val="0"/>
                <w:bCs/>
                <w:color w:val="000000"/>
                <w:sz w:val="24"/>
                <w:szCs w:val="24"/>
              </w:rPr>
              <w:t>。</w:t>
            </w:r>
            <w:r>
              <w:rPr>
                <w:rFonts w:ascii="Times New Roman" w:hAnsi="Times New Roman" w:eastAsia="宋体" w:cs="Times New Roman"/>
                <w:color w:val="000000"/>
                <w:sz w:val="24"/>
                <w:highlight w:val="none"/>
                <w:lang w:val="en-US" w:eastAsia="zh-CN"/>
              </w:rPr>
              <w:t xml:space="preserve"> </w:t>
            </w:r>
          </w:p>
        </w:tc>
      </w:tr>
      <w:tr w14:paraId="2ED7E5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534" w:type="dxa"/>
            <w:noWrap w:val="0"/>
            <w:tcMar>
              <w:left w:w="28" w:type="dxa"/>
              <w:right w:w="28" w:type="dxa"/>
            </w:tcMar>
            <w:vAlign w:val="center"/>
          </w:tcPr>
          <w:p w14:paraId="28E4592C">
            <w:pPr>
              <w:pStyle w:val="210"/>
              <w:spacing w:before="0" w:beforeAutospacing="0" w:after="0" w:afterAutospacing="0"/>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运营期环境影响和保护措施</w:t>
            </w:r>
          </w:p>
        </w:tc>
        <w:tc>
          <w:tcPr>
            <w:tcW w:w="9255" w:type="dxa"/>
            <w:noWrap w:val="0"/>
            <w:vAlign w:val="center"/>
          </w:tcPr>
          <w:p w14:paraId="19AC2906">
            <w:pPr>
              <w:pStyle w:val="2"/>
              <w:numPr>
                <w:ilvl w:val="0"/>
                <w:numId w:val="3"/>
              </w:numPr>
              <w:rPr>
                <w:rFonts w:hint="eastAsia" w:ascii="Times New Roman" w:hAnsi="Times New Roman" w:eastAsia="宋体" w:cs="Times New Roman"/>
                <w:b/>
                <w:bCs/>
                <w:color w:val="000000"/>
                <w:sz w:val="24"/>
                <w:szCs w:val="24"/>
                <w:highlight w:val="none"/>
                <w:lang w:val="en-US" w:eastAsia="zh-CN" w:bidi="ar-SA"/>
              </w:rPr>
            </w:pPr>
            <w:r>
              <w:rPr>
                <w:rFonts w:hint="eastAsia" w:ascii="Times New Roman" w:hAnsi="Times New Roman" w:eastAsia="宋体" w:cs="Times New Roman"/>
                <w:b/>
                <w:bCs/>
                <w:color w:val="000000"/>
                <w:sz w:val="24"/>
                <w:szCs w:val="24"/>
                <w:highlight w:val="none"/>
                <w:lang w:val="en-US" w:eastAsia="zh-CN" w:bidi="ar-SA"/>
              </w:rPr>
              <w:t>废气影响和保护措施</w:t>
            </w:r>
          </w:p>
          <w:p w14:paraId="282DA976">
            <w:pPr>
              <w:keepNext w:val="0"/>
              <w:keepLines w:val="0"/>
              <w:pageBreakBefore w:val="0"/>
              <w:widowControl w:val="0"/>
              <w:spacing w:before="157" w:line="360" w:lineRule="auto"/>
              <w:ind w:firstLine="480"/>
              <w:rPr>
                <w:rFonts w:ascii="Times New Roman" w:hAnsi="Times New Roman" w:eastAsia="宋体" w:cs="Times New Roman"/>
                <w:color w:val="000000"/>
                <w:sz w:val="24"/>
              </w:rPr>
            </w:pPr>
            <w:r>
              <w:rPr>
                <w:rFonts w:ascii="Times New Roman" w:hAnsi="Times New Roman" w:eastAsia="宋体" w:cs="Times New Roman"/>
                <w:b w:val="0"/>
                <w:bCs w:val="0"/>
                <w:sz w:val="24"/>
                <w:szCs w:val="24"/>
                <w:lang w:val="en-US" w:eastAsia="zh-CN"/>
              </w:rPr>
              <w:t>项目运行期产生的大气污染物主要为断料、破片、</w:t>
            </w:r>
            <w:r>
              <w:rPr>
                <w:rFonts w:hint="eastAsia" w:ascii="Times New Roman" w:hAnsi="Times New Roman" w:eastAsia="宋体" w:cs="Times New Roman"/>
                <w:b w:val="0"/>
                <w:bCs w:val="0"/>
                <w:sz w:val="24"/>
                <w:szCs w:val="24"/>
                <w:lang w:val="en-US" w:eastAsia="zh-CN"/>
              </w:rPr>
              <w:t>清边、</w:t>
            </w:r>
            <w:r>
              <w:rPr>
                <w:rFonts w:ascii="Times New Roman" w:hAnsi="Times New Roman" w:eastAsia="宋体" w:cs="Times New Roman"/>
                <w:b w:val="0"/>
                <w:bCs w:val="0"/>
                <w:sz w:val="24"/>
                <w:szCs w:val="24"/>
                <w:lang w:val="en-US" w:eastAsia="zh-CN"/>
              </w:rPr>
              <w:t>裁边过程产生的</w:t>
            </w:r>
            <w:r>
              <w:rPr>
                <w:rFonts w:hint="eastAsia" w:ascii="Times New Roman" w:hAnsi="Times New Roman" w:eastAsia="宋体" w:cs="Times New Roman"/>
                <w:b w:val="0"/>
                <w:bCs w:val="0"/>
                <w:sz w:val="24"/>
                <w:szCs w:val="24"/>
                <w:lang w:val="en-US" w:eastAsia="zh-CN"/>
              </w:rPr>
              <w:t>颗粒物</w:t>
            </w:r>
            <w:r>
              <w:rPr>
                <w:rFonts w:ascii="Times New Roman" w:hAnsi="Times New Roman" w:eastAsia="宋体" w:cs="Times New Roman"/>
                <w:b w:val="0"/>
                <w:bCs w:val="0"/>
                <w:sz w:val="24"/>
                <w:szCs w:val="24"/>
                <w:lang w:val="en-US" w:eastAsia="zh-CN"/>
              </w:rPr>
              <w:t>；木料烘干过程产生的挥发性有机物（以非甲烷总烃计）；涂胶过程产生的挥发性有机物（以非甲烷总烃计）、甲醛；生物质锅炉燃烧废气（颗粒物、SO</w:t>
            </w:r>
            <w:r>
              <w:rPr>
                <w:rFonts w:ascii="Times New Roman" w:hAnsi="Times New Roman" w:eastAsia="宋体" w:cs="Times New Roman"/>
                <w:b w:val="0"/>
                <w:bCs w:val="0"/>
                <w:sz w:val="24"/>
                <w:szCs w:val="24"/>
                <w:vertAlign w:val="subscript"/>
                <w:lang w:val="en-US" w:eastAsia="zh-CN"/>
              </w:rPr>
              <w:t>2</w:t>
            </w:r>
            <w:r>
              <w:rPr>
                <w:rFonts w:ascii="Times New Roman" w:hAnsi="Times New Roman" w:eastAsia="宋体" w:cs="Times New Roman"/>
                <w:b w:val="0"/>
                <w:bCs w:val="0"/>
                <w:sz w:val="24"/>
                <w:szCs w:val="24"/>
                <w:lang w:val="en-US" w:eastAsia="zh-CN"/>
              </w:rPr>
              <w:t>、NO</w:t>
            </w:r>
            <w:r>
              <w:rPr>
                <w:rFonts w:ascii="Times New Roman" w:hAnsi="Times New Roman" w:eastAsia="宋体" w:cs="Times New Roman"/>
                <w:b w:val="0"/>
                <w:bCs w:val="0"/>
                <w:sz w:val="24"/>
                <w:szCs w:val="24"/>
                <w:vertAlign w:val="subscript"/>
                <w:lang w:val="en-US" w:eastAsia="zh-CN"/>
              </w:rPr>
              <w:t>X</w:t>
            </w:r>
            <w:r>
              <w:rPr>
                <w:rFonts w:ascii="Times New Roman" w:hAnsi="Times New Roman" w:eastAsia="宋体" w:cs="Times New Roman"/>
                <w:b w:val="0"/>
                <w:bCs w:val="0"/>
                <w:sz w:val="24"/>
                <w:szCs w:val="24"/>
                <w:lang w:val="en-US" w:eastAsia="zh-CN"/>
              </w:rPr>
              <w:t>）</w:t>
            </w:r>
            <w:r>
              <w:rPr>
                <w:rFonts w:ascii="Times New Roman" w:hAnsi="Times New Roman" w:eastAsia="宋体" w:cs="Times New Roman"/>
                <w:color w:val="000000"/>
                <w:sz w:val="24"/>
              </w:rPr>
              <w:t>。</w:t>
            </w:r>
          </w:p>
          <w:p w14:paraId="75837214">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b w:val="0"/>
                <w:bCs w:val="0"/>
                <w:sz w:val="24"/>
                <w:szCs w:val="24"/>
                <w:lang w:val="en-US" w:eastAsia="zh-CN"/>
              </w:rPr>
              <w:t>根据《建设项目环境影响报告表编制技术指南</w:t>
            </w:r>
            <w:r>
              <w:rPr>
                <w:rFonts w:hint="eastAsia" w:ascii="Times New Roman" w:hAnsi="Times New Roman" w:eastAsia="宋体" w:cs="Times New Roman"/>
                <w:b w:val="0"/>
                <w:bCs w:val="0"/>
                <w:sz w:val="24"/>
                <w:szCs w:val="24"/>
                <w:lang w:val="en-US" w:eastAsia="zh-CN"/>
              </w:rPr>
              <w:t>（</w:t>
            </w:r>
            <w:r>
              <w:rPr>
                <w:rFonts w:ascii="Times New Roman" w:hAnsi="Times New Roman" w:eastAsia="宋体" w:cs="Times New Roman"/>
                <w:b w:val="0"/>
                <w:bCs w:val="0"/>
                <w:sz w:val="24"/>
                <w:szCs w:val="24"/>
                <w:lang w:val="en-US" w:eastAsia="zh-CN"/>
              </w:rPr>
              <w:t>污染影响类</w:t>
            </w:r>
            <w:r>
              <w:rPr>
                <w:rFonts w:hint="eastAsia" w:ascii="Times New Roman" w:hAnsi="Times New Roman" w:eastAsia="宋体" w:cs="Times New Roman"/>
                <w:b w:val="0"/>
                <w:bCs w:val="0"/>
                <w:sz w:val="24"/>
                <w:szCs w:val="24"/>
                <w:lang w:val="en-US" w:eastAsia="zh-CN"/>
              </w:rPr>
              <w:t>）（</w:t>
            </w:r>
            <w:r>
              <w:rPr>
                <w:rFonts w:ascii="Times New Roman" w:hAnsi="Times New Roman" w:eastAsia="宋体" w:cs="Times New Roman"/>
                <w:b w:val="0"/>
                <w:bCs w:val="0"/>
                <w:sz w:val="24"/>
                <w:szCs w:val="24"/>
                <w:lang w:val="en-US" w:eastAsia="zh-CN"/>
              </w:rPr>
              <w:t>试行</w:t>
            </w:r>
            <w:r>
              <w:rPr>
                <w:rFonts w:hint="eastAsia" w:ascii="Times New Roman" w:hAnsi="Times New Roman" w:eastAsia="宋体" w:cs="Times New Roman"/>
                <w:b w:val="0"/>
                <w:bCs w:val="0"/>
                <w:sz w:val="24"/>
                <w:szCs w:val="24"/>
                <w:lang w:val="en-US" w:eastAsia="zh-CN"/>
              </w:rPr>
              <w:t>）</w:t>
            </w:r>
            <w:r>
              <w:rPr>
                <w:rFonts w:ascii="Times New Roman" w:hAnsi="Times New Roman" w:eastAsia="宋体" w:cs="Times New Roman"/>
                <w:b w:val="0"/>
                <w:bCs w:val="0"/>
                <w:sz w:val="24"/>
                <w:szCs w:val="24"/>
                <w:lang w:val="en-US" w:eastAsia="zh-CN"/>
              </w:rPr>
              <w:t>》表1专项评价设置原则表</w:t>
            </w:r>
            <w:r>
              <w:rPr>
                <w:rFonts w:hint="eastAsia" w:ascii="Times New Roman" w:hAnsi="Times New Roman" w:eastAsia="宋体" w:cs="Times New Roman"/>
                <w:b w:val="0"/>
                <w:bCs w:val="0"/>
                <w:sz w:val="24"/>
                <w:szCs w:val="24"/>
                <w:lang w:val="en-US" w:eastAsia="zh-CN"/>
              </w:rPr>
              <w:t>，</w:t>
            </w:r>
            <w:r>
              <w:rPr>
                <w:rFonts w:ascii="Times New Roman" w:hAnsi="Times New Roman" w:eastAsia="宋体" w:cs="Times New Roman"/>
                <w:b w:val="0"/>
                <w:bCs w:val="0"/>
                <w:sz w:val="24"/>
                <w:szCs w:val="24"/>
                <w:lang w:val="en-US" w:eastAsia="zh-CN"/>
              </w:rPr>
              <w:t>排放废气中含有有毒有害污染物</w:t>
            </w:r>
            <w:r>
              <w:rPr>
                <w:rFonts w:hint="eastAsia" w:ascii="Times New Roman" w:hAnsi="Times New Roman" w:eastAsia="宋体" w:cs="Times New Roman"/>
                <w:b w:val="0"/>
                <w:bCs w:val="0"/>
                <w:sz w:val="24"/>
                <w:szCs w:val="24"/>
                <w:lang w:val="en-US" w:eastAsia="zh-CN"/>
              </w:rPr>
              <w:t>（</w:t>
            </w:r>
            <w:r>
              <w:rPr>
                <w:rFonts w:ascii="Times New Roman" w:hAnsi="Times New Roman" w:eastAsia="宋体" w:cs="Times New Roman"/>
                <w:b w:val="0"/>
                <w:bCs w:val="0"/>
                <w:sz w:val="24"/>
                <w:szCs w:val="24"/>
                <w:lang w:val="en-US" w:eastAsia="zh-CN"/>
              </w:rPr>
              <w:t>废气中有毒有害污染物指纳入《有毒有害大气污染物名录》的污染物</w:t>
            </w:r>
            <w:r>
              <w:rPr>
                <w:rFonts w:hint="eastAsia" w:ascii="Times New Roman" w:hAnsi="Times New Roman" w:eastAsia="宋体" w:cs="Times New Roman"/>
                <w:b w:val="0"/>
                <w:bCs w:val="0"/>
                <w:sz w:val="24"/>
                <w:szCs w:val="24"/>
                <w:lang w:val="en-US" w:eastAsia="zh-CN"/>
              </w:rPr>
              <w:t>（</w:t>
            </w:r>
            <w:r>
              <w:rPr>
                <w:rFonts w:ascii="Times New Roman" w:hAnsi="Times New Roman" w:eastAsia="宋体" w:cs="Times New Roman"/>
                <w:b w:val="0"/>
                <w:bCs w:val="0"/>
                <w:sz w:val="24"/>
                <w:szCs w:val="24"/>
                <w:lang w:val="en-US" w:eastAsia="zh-CN"/>
              </w:rPr>
              <w:t>不包括无排放标准的污染物</w:t>
            </w:r>
            <w:r>
              <w:rPr>
                <w:rFonts w:hint="eastAsia" w:ascii="Times New Roman" w:hAnsi="Times New Roman" w:eastAsia="宋体" w:cs="Times New Roman"/>
                <w:b w:val="0"/>
                <w:bCs w:val="0"/>
                <w:sz w:val="24"/>
                <w:szCs w:val="24"/>
                <w:lang w:val="en-US" w:eastAsia="zh-CN"/>
              </w:rPr>
              <w:t>）</w:t>
            </w:r>
            <w:r>
              <w:rPr>
                <w:rFonts w:ascii="Times New Roman" w:hAnsi="Times New Roman" w:eastAsia="宋体" w:cs="Times New Roman"/>
                <w:b w:val="0"/>
                <w:bCs w:val="0"/>
                <w:sz w:val="24"/>
                <w:szCs w:val="24"/>
                <w:lang w:val="en-US" w:eastAsia="zh-CN"/>
              </w:rPr>
              <w:t>、二噁英、苯并[a]芘、氰化物、氯气且厂界外500米范围内有环境空气保护目标</w:t>
            </w:r>
            <w:r>
              <w:rPr>
                <w:rFonts w:hint="eastAsia" w:ascii="Times New Roman" w:hAnsi="Times New Roman" w:eastAsia="宋体" w:cs="Times New Roman"/>
                <w:b w:val="0"/>
                <w:bCs w:val="0"/>
                <w:sz w:val="24"/>
                <w:szCs w:val="24"/>
                <w:lang w:val="en-US" w:eastAsia="zh-CN"/>
              </w:rPr>
              <w:t>（</w:t>
            </w:r>
            <w:r>
              <w:rPr>
                <w:rFonts w:ascii="Times New Roman" w:hAnsi="Times New Roman" w:eastAsia="宋体" w:cs="Times New Roman"/>
                <w:b w:val="0"/>
                <w:bCs w:val="0"/>
                <w:sz w:val="24"/>
                <w:szCs w:val="24"/>
                <w:lang w:val="en-US" w:eastAsia="zh-CN"/>
              </w:rPr>
              <w:t>环境空气保护目标指自然保护区、风景名胜区、居住区、文化区和农村地区中人群较集中的区域</w:t>
            </w:r>
            <w:r>
              <w:rPr>
                <w:rFonts w:hint="eastAsia" w:ascii="Times New Roman" w:hAnsi="Times New Roman" w:eastAsia="宋体" w:cs="Times New Roman"/>
                <w:b w:val="0"/>
                <w:bCs w:val="0"/>
                <w:sz w:val="24"/>
                <w:szCs w:val="24"/>
                <w:lang w:val="en-US" w:eastAsia="zh-CN"/>
              </w:rPr>
              <w:t>））</w:t>
            </w:r>
            <w:r>
              <w:rPr>
                <w:rFonts w:ascii="Times New Roman" w:hAnsi="Times New Roman" w:eastAsia="宋体" w:cs="Times New Roman"/>
                <w:b w:val="0"/>
                <w:bCs w:val="0"/>
                <w:sz w:val="24"/>
                <w:szCs w:val="24"/>
                <w:lang w:val="en-US" w:eastAsia="zh-CN"/>
              </w:rPr>
              <w:t>的建设项目应设置大气专项评价</w:t>
            </w:r>
            <w:r>
              <w:rPr>
                <w:rFonts w:ascii="Times New Roman" w:hAnsi="Times New Roman" w:eastAsia="宋体" w:cs="Times New Roman"/>
                <w:color w:val="000000"/>
                <w:sz w:val="24"/>
              </w:rPr>
              <w:t>。</w:t>
            </w:r>
          </w:p>
          <w:p w14:paraId="37C5E77C">
            <w:pPr>
              <w:spacing w:line="360" w:lineRule="auto"/>
              <w:ind w:firstLine="482"/>
              <w:rPr>
                <w:rFonts w:ascii="Times New Roman" w:hAnsi="Times New Roman" w:eastAsia="宋体" w:cs="Times New Roman"/>
                <w:color w:val="000000"/>
                <w:sz w:val="24"/>
              </w:rPr>
            </w:pPr>
            <w:r>
              <w:rPr>
                <w:rFonts w:ascii="Times New Roman" w:hAnsi="Times New Roman" w:eastAsia="宋体" w:cs="Times New Roman"/>
                <w:b/>
                <w:bCs/>
                <w:color w:val="000000"/>
                <w:sz w:val="24"/>
              </w:rPr>
              <w:t>根据专项1</w:t>
            </w:r>
            <w:r>
              <w:rPr>
                <w:rFonts w:ascii="Times New Roman" w:hAnsi="Times New Roman" w:eastAsia="宋体" w:cs="Times New Roman"/>
                <w:b/>
                <w:bCs/>
                <w:color w:val="000000"/>
                <w:sz w:val="24"/>
                <w:lang w:eastAsia="zh-CN"/>
              </w:rPr>
              <w:t>，</w:t>
            </w:r>
            <w:r>
              <w:rPr>
                <w:rFonts w:ascii="Times New Roman" w:hAnsi="Times New Roman" w:eastAsia="宋体" w:cs="Times New Roman"/>
                <w:b/>
                <w:bCs/>
                <w:color w:val="000000"/>
                <w:sz w:val="24"/>
              </w:rPr>
              <w:t>项目</w:t>
            </w:r>
            <w:r>
              <w:rPr>
                <w:rFonts w:hint="eastAsia" w:ascii="Times New Roman" w:hAnsi="Times New Roman" w:eastAsia="宋体" w:cs="Times New Roman"/>
                <w:b/>
                <w:bCs/>
                <w:color w:val="000000"/>
                <w:sz w:val="24"/>
                <w:szCs w:val="32"/>
                <w:lang w:val="en-US" w:eastAsia="zh-CN"/>
              </w:rPr>
              <w:t>大气</w:t>
            </w:r>
            <w:r>
              <w:rPr>
                <w:rFonts w:ascii="Times New Roman" w:hAnsi="Times New Roman" w:eastAsia="宋体" w:cs="Times New Roman"/>
                <w:b/>
                <w:bCs/>
                <w:color w:val="000000"/>
                <w:sz w:val="24"/>
                <w:szCs w:val="32"/>
              </w:rPr>
              <w:t>环境影响评价结论</w:t>
            </w:r>
            <w:r>
              <w:rPr>
                <w:rFonts w:ascii="Times New Roman" w:hAnsi="Times New Roman" w:eastAsia="宋体" w:cs="Times New Roman"/>
                <w:b/>
                <w:bCs/>
                <w:color w:val="000000"/>
                <w:sz w:val="24"/>
                <w:szCs w:val="32"/>
                <w:lang w:val="en-US" w:eastAsia="zh-CN"/>
              </w:rPr>
              <w:t>如下</w:t>
            </w:r>
            <w:r>
              <w:rPr>
                <w:rFonts w:ascii="Times New Roman" w:hAnsi="Times New Roman" w:eastAsia="宋体" w:cs="Times New Roman"/>
                <w:b/>
                <w:bCs/>
                <w:color w:val="000000"/>
                <w:sz w:val="24"/>
                <w:lang w:eastAsia="zh-CN"/>
              </w:rPr>
              <w:t>：</w:t>
            </w:r>
          </w:p>
          <w:p w14:paraId="718B8149">
            <w:pPr>
              <w:keepNext w:val="0"/>
              <w:keepLines w:val="0"/>
              <w:pageBreakBefore w:val="0"/>
              <w:widowControl w:val="0"/>
              <w:numPr>
                <w:ilvl w:val="0"/>
                <w:numId w:val="0"/>
              </w:numPr>
              <w:spacing w:line="360" w:lineRule="auto"/>
              <w:ind w:firstLine="480"/>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项目在断料、破片、清边、裁边工段分别设置集气罩（集气罩尺寸大于工段尺寸，罩口距离废气源高度约0.4m），各废气源分别收集后统一汇集到一套布袋除尘器（处理效率90%）处理后通过一根15m高的排气筒（DA001）排放。</w:t>
            </w:r>
            <w:r>
              <w:rPr>
                <w:rFonts w:ascii="Times New Roman" w:hAnsi="Times New Roman" w:eastAsia="宋体" w:cs="Times New Roman"/>
                <w:b w:val="0"/>
                <w:bCs w:val="0"/>
                <w:sz w:val="24"/>
                <w:szCs w:val="24"/>
                <w:lang w:val="en-US" w:eastAsia="zh-CN"/>
              </w:rPr>
              <w:t>项目烘干房为全密闭式，设置集气管直接连接烘干房，并在涂胶工段分别设置集气罩（集气罩尺寸大于工段尺寸，罩口距离废气源高度约0.4m），木料烘干、涂胶过程产生的废气分别收集后统一汇集到一套活性炭吸附装置处理后通过一根15m高的排气筒（DA002）排放。生物质锅炉烟气通过一套布袋除尘器对锅炉烟气进行处理后经一根高度为30m的排气筒（DA003）排放。</w:t>
            </w:r>
            <w:r>
              <w:rPr>
                <w:rFonts w:hint="eastAsia" w:ascii="Times New Roman" w:hAnsi="Times New Roman" w:eastAsia="宋体" w:cs="Times New Roman"/>
                <w:b w:val="0"/>
                <w:bCs w:val="0"/>
                <w:sz w:val="24"/>
                <w:szCs w:val="24"/>
                <w:lang w:val="en-US" w:eastAsia="zh-CN"/>
              </w:rPr>
              <w:t>未被收集的粉尘颗粒物在生产车间内无组织排放，因颗粒物以大直径木屑为主，大部分在车间内自然沉降，少部分无组织排放。木料烘干、涂胶过程未被收集的废气通过加强通风，减小对环境的影响。</w:t>
            </w:r>
          </w:p>
          <w:p w14:paraId="32D57FE6">
            <w:pPr>
              <w:keepNext w:val="0"/>
              <w:keepLines w:val="0"/>
              <w:pageBreakBefore w:val="0"/>
              <w:widowControl w:val="0"/>
              <w:numPr>
                <w:ilvl w:val="0"/>
                <w:numId w:val="0"/>
              </w:numPr>
              <w:spacing w:line="360" w:lineRule="auto"/>
              <w:ind w:firstLine="480"/>
              <w:rPr>
                <w:rFonts w:hint="eastAsia" w:ascii="Times New Roman" w:hAnsi="Times New Roman" w:cs="Times New Roman"/>
                <w:b w:val="0"/>
                <w:bCs/>
                <w:color w:val="000000"/>
                <w:sz w:val="24"/>
                <w:szCs w:val="24"/>
                <w:lang w:val="en-US" w:eastAsia="zh-CN"/>
              </w:rPr>
            </w:pPr>
            <w:r>
              <w:rPr>
                <w:rFonts w:hint="eastAsia" w:ascii="Times New Roman" w:hAnsi="Times New Roman" w:eastAsia="宋体" w:cs="Times New Roman"/>
                <w:b w:val="0"/>
                <w:bCs w:val="0"/>
                <w:sz w:val="24"/>
                <w:szCs w:val="24"/>
                <w:lang w:val="en-US" w:eastAsia="zh-CN"/>
              </w:rPr>
              <w:t>经核算分析，断料、破片、清边、裁边粉尘有组织排放浓度为0.405mg/m</w:t>
            </w:r>
            <w:r>
              <w:rPr>
                <w:rFonts w:hint="eastAsia" w:ascii="Times New Roman" w:hAnsi="Times New Roman" w:eastAsia="宋体" w:cs="Times New Roman"/>
                <w:b w:val="0"/>
                <w:bCs w:val="0"/>
                <w:sz w:val="24"/>
                <w:szCs w:val="24"/>
                <w:vertAlign w:val="superscript"/>
                <w:lang w:val="en-US" w:eastAsia="zh-CN"/>
              </w:rPr>
              <w:t>3</w:t>
            </w:r>
            <w:r>
              <w:rPr>
                <w:rFonts w:hint="eastAsia" w:ascii="Times New Roman" w:hAnsi="Times New Roman" w:eastAsia="宋体" w:cs="Times New Roman"/>
                <w:b w:val="0"/>
                <w:bCs w:val="0"/>
                <w:sz w:val="24"/>
                <w:szCs w:val="24"/>
                <w:vertAlign w:val="baseline"/>
                <w:lang w:val="en-US" w:eastAsia="zh-CN"/>
              </w:rPr>
              <w:t>，排放速率为0.0405kg/h</w:t>
            </w:r>
            <w:r>
              <w:rPr>
                <w:rFonts w:hint="eastAsia" w:ascii="Times New Roman" w:hAnsi="Times New Roman" w:eastAsia="宋体" w:cs="Times New Roman"/>
                <w:b w:val="0"/>
                <w:bCs w:val="0"/>
                <w:sz w:val="24"/>
                <w:szCs w:val="24"/>
                <w:lang w:val="en-US" w:eastAsia="zh-CN"/>
              </w:rPr>
              <w:t>，满足《大气污染物综合排放标准》（GB16297-1996）表2中标准限值要求，即颗粒物排放浓度≤120mg/m</w:t>
            </w:r>
            <w:r>
              <w:rPr>
                <w:rFonts w:hint="eastAsia" w:ascii="Times New Roman" w:hAnsi="Times New Roman" w:eastAsia="宋体" w:cs="Times New Roman"/>
                <w:b w:val="0"/>
                <w:bCs w:val="0"/>
                <w:sz w:val="24"/>
                <w:szCs w:val="24"/>
                <w:vertAlign w:val="superscript"/>
                <w:lang w:val="en-US" w:eastAsia="zh-CN"/>
              </w:rPr>
              <w:t>3</w:t>
            </w:r>
            <w:r>
              <w:rPr>
                <w:rFonts w:hint="eastAsia" w:ascii="Times New Roman" w:hAnsi="Times New Roman" w:eastAsia="宋体" w:cs="Times New Roman"/>
                <w:b w:val="0"/>
                <w:bCs w:val="0"/>
                <w:sz w:val="24"/>
                <w:szCs w:val="24"/>
                <w:vertAlign w:val="baseline"/>
                <w:lang w:val="en-US" w:eastAsia="zh-CN"/>
              </w:rPr>
              <w:t>，排放速率≤3.5kg/h</w:t>
            </w:r>
            <w:r>
              <w:rPr>
                <w:rFonts w:hint="eastAsia" w:ascii="Times New Roman" w:hAnsi="Times New Roman" w:eastAsia="宋体" w:cs="Times New Roman"/>
                <w:b w:val="0"/>
                <w:bCs w:val="0"/>
                <w:sz w:val="24"/>
                <w:szCs w:val="24"/>
                <w:lang w:val="en-US" w:eastAsia="zh-CN"/>
              </w:rPr>
              <w:t>。项目断料、破片、清边、裁边粉尘能达标排放；</w:t>
            </w:r>
            <w:r>
              <w:rPr>
                <w:rFonts w:ascii="Times New Roman" w:hAnsi="Times New Roman" w:eastAsia="宋体" w:cs="Times New Roman"/>
                <w:b w:val="0"/>
                <w:bCs w:val="0"/>
                <w:color w:val="000000"/>
                <w:sz w:val="24"/>
              </w:rPr>
              <w:t>经</w:t>
            </w:r>
            <w:r>
              <w:rPr>
                <w:rFonts w:ascii="Times New Roman" w:hAnsi="Times New Roman" w:eastAsia="宋体" w:cs="Times New Roman"/>
                <w:b w:val="0"/>
                <w:bCs w:val="0"/>
                <w:color w:val="000000"/>
                <w:sz w:val="24"/>
                <w:lang w:val="en-US" w:eastAsia="zh-CN"/>
              </w:rPr>
              <w:t>核</w:t>
            </w:r>
            <w:r>
              <w:rPr>
                <w:rFonts w:ascii="Times New Roman" w:hAnsi="Times New Roman" w:eastAsia="宋体" w:cs="Times New Roman"/>
                <w:b w:val="0"/>
                <w:bCs w:val="0"/>
                <w:color w:val="000000"/>
                <w:sz w:val="24"/>
              </w:rPr>
              <w:t>算分析，</w:t>
            </w:r>
            <w:r>
              <w:rPr>
                <w:rFonts w:ascii="Times New Roman" w:hAnsi="Times New Roman" w:eastAsia="宋体" w:cs="Times New Roman"/>
                <w:b w:val="0"/>
                <w:bCs w:val="0"/>
                <w:color w:val="000000"/>
                <w:sz w:val="24"/>
                <w:lang w:val="en-US" w:eastAsia="zh-CN"/>
              </w:rPr>
              <w:t>木料烘干、涂胶过程</w:t>
            </w:r>
            <w:r>
              <w:rPr>
                <w:rFonts w:ascii="Times New Roman" w:hAnsi="Times New Roman" w:eastAsia="宋体" w:cs="Times New Roman"/>
                <w:b w:val="0"/>
                <w:bCs w:val="0"/>
                <w:color w:val="000000"/>
                <w:sz w:val="24"/>
              </w:rPr>
              <w:t>产生的非甲烷总烃有组织排放浓度</w:t>
            </w:r>
            <w:r>
              <w:rPr>
                <w:rFonts w:ascii="Times New Roman" w:hAnsi="Times New Roman" w:eastAsia="宋体" w:cs="Times New Roman"/>
                <w:b w:val="0"/>
                <w:bCs w:val="0"/>
                <w:color w:val="000000"/>
                <w:sz w:val="24"/>
                <w:highlight w:val="none"/>
              </w:rPr>
              <w:t>为</w:t>
            </w:r>
            <w:r>
              <w:rPr>
                <w:rFonts w:hint="eastAsia" w:ascii="Times New Roman" w:hAnsi="Times New Roman" w:eastAsia="宋体" w:cs="Times New Roman"/>
                <w:b w:val="0"/>
                <w:bCs w:val="0"/>
                <w:color w:val="000000"/>
                <w:sz w:val="24"/>
                <w:highlight w:val="none"/>
                <w:lang w:val="en-US" w:eastAsia="zh-CN"/>
              </w:rPr>
              <w:t>0.125</w:t>
            </w:r>
            <w:r>
              <w:rPr>
                <w:rFonts w:ascii="Times New Roman" w:hAnsi="Times New Roman" w:eastAsia="宋体" w:cs="Times New Roman"/>
                <w:b w:val="0"/>
                <w:bCs w:val="0"/>
                <w:color w:val="000000"/>
                <w:sz w:val="24"/>
                <w:highlight w:val="none"/>
              </w:rPr>
              <w:t>mg/m</w:t>
            </w:r>
            <w:r>
              <w:rPr>
                <w:rFonts w:ascii="Times New Roman" w:hAnsi="Times New Roman" w:eastAsia="宋体" w:cs="Times New Roman"/>
                <w:b w:val="0"/>
                <w:bCs w:val="0"/>
                <w:color w:val="000000"/>
                <w:sz w:val="24"/>
                <w:highlight w:val="none"/>
                <w:vertAlign w:val="superscript"/>
              </w:rPr>
              <w:t>3</w:t>
            </w:r>
            <w:r>
              <w:rPr>
                <w:rFonts w:ascii="Times New Roman" w:hAnsi="Times New Roman" w:eastAsia="宋体" w:cs="Times New Roman"/>
                <w:b w:val="0"/>
                <w:bCs w:val="0"/>
                <w:color w:val="000000"/>
                <w:sz w:val="24"/>
                <w:highlight w:val="none"/>
                <w:vertAlign w:val="baseline"/>
                <w:lang w:eastAsia="zh-CN"/>
              </w:rPr>
              <w:t>，</w:t>
            </w:r>
            <w:r>
              <w:rPr>
                <w:rFonts w:ascii="Times New Roman" w:hAnsi="Times New Roman" w:eastAsia="宋体" w:cs="Times New Roman"/>
                <w:b w:val="0"/>
                <w:bCs w:val="0"/>
                <w:sz w:val="24"/>
                <w:szCs w:val="24"/>
                <w:vertAlign w:val="baseline"/>
                <w:lang w:val="en-US" w:eastAsia="zh-CN"/>
              </w:rPr>
              <w:t>排放速率为</w:t>
            </w:r>
            <w:r>
              <w:rPr>
                <w:rFonts w:hint="eastAsia" w:ascii="Times New Roman" w:hAnsi="Times New Roman" w:eastAsia="宋体" w:cs="Times New Roman"/>
                <w:b w:val="0"/>
                <w:bCs w:val="0"/>
                <w:sz w:val="24"/>
                <w:szCs w:val="24"/>
                <w:vertAlign w:val="baseline"/>
                <w:lang w:val="en-US" w:eastAsia="zh-CN"/>
              </w:rPr>
              <w:t>0。00125</w:t>
            </w:r>
            <w:r>
              <w:rPr>
                <w:rFonts w:ascii="Times New Roman" w:hAnsi="Times New Roman" w:eastAsia="宋体" w:cs="Times New Roman"/>
                <w:b w:val="0"/>
                <w:bCs w:val="0"/>
                <w:sz w:val="24"/>
                <w:szCs w:val="24"/>
                <w:vertAlign w:val="baseline"/>
                <w:lang w:val="en-US" w:eastAsia="zh-CN"/>
              </w:rPr>
              <w:t>kg/h</w:t>
            </w:r>
            <w:r>
              <w:rPr>
                <w:rFonts w:ascii="Times New Roman" w:hAnsi="Times New Roman" w:eastAsia="宋体" w:cs="Times New Roman"/>
                <w:b w:val="0"/>
                <w:bCs w:val="0"/>
                <w:color w:val="000000"/>
                <w:sz w:val="24"/>
                <w:highlight w:val="none"/>
                <w:vertAlign w:val="baseline"/>
                <w:lang w:eastAsia="zh-CN"/>
              </w:rPr>
              <w:t>；</w:t>
            </w:r>
            <w:r>
              <w:rPr>
                <w:rFonts w:ascii="Times New Roman" w:hAnsi="Times New Roman" w:eastAsia="宋体" w:cs="Times New Roman"/>
                <w:b w:val="0"/>
                <w:bCs w:val="0"/>
                <w:color w:val="000000"/>
                <w:sz w:val="24"/>
                <w:highlight w:val="none"/>
                <w:vertAlign w:val="baseline"/>
                <w:lang w:val="en-US" w:eastAsia="zh-CN"/>
              </w:rPr>
              <w:t>甲醛有组织排放浓度为</w:t>
            </w:r>
            <w:r>
              <w:rPr>
                <w:rFonts w:hint="eastAsia" w:ascii="Times New Roman" w:hAnsi="Times New Roman" w:eastAsia="宋体" w:cs="Times New Roman"/>
                <w:b w:val="0"/>
                <w:bCs w:val="0"/>
                <w:color w:val="000000"/>
                <w:sz w:val="24"/>
                <w:highlight w:val="none"/>
                <w:vertAlign w:val="baseline"/>
                <w:lang w:val="en-US" w:eastAsia="zh-CN"/>
              </w:rPr>
              <w:t>0.035</w:t>
            </w:r>
            <w:r>
              <w:rPr>
                <w:rFonts w:ascii="Times New Roman" w:hAnsi="Times New Roman" w:eastAsia="宋体" w:cs="Times New Roman"/>
                <w:b w:val="0"/>
                <w:bCs w:val="0"/>
                <w:color w:val="000000"/>
                <w:sz w:val="24"/>
                <w:highlight w:val="none"/>
              </w:rPr>
              <w:t>mg/m</w:t>
            </w:r>
            <w:r>
              <w:rPr>
                <w:rFonts w:ascii="Times New Roman" w:hAnsi="Times New Roman" w:eastAsia="宋体" w:cs="Times New Roman"/>
                <w:b w:val="0"/>
                <w:bCs w:val="0"/>
                <w:color w:val="000000"/>
                <w:sz w:val="24"/>
                <w:highlight w:val="none"/>
                <w:vertAlign w:val="superscript"/>
              </w:rPr>
              <w:t>3</w:t>
            </w:r>
            <w:r>
              <w:rPr>
                <w:rFonts w:ascii="Times New Roman" w:hAnsi="Times New Roman" w:eastAsia="宋体" w:cs="Times New Roman"/>
                <w:b w:val="0"/>
                <w:bCs w:val="0"/>
                <w:color w:val="000000"/>
                <w:sz w:val="24"/>
                <w:highlight w:val="none"/>
                <w:vertAlign w:val="baseline"/>
                <w:lang w:eastAsia="zh-CN"/>
              </w:rPr>
              <w:t>，</w:t>
            </w:r>
            <w:r>
              <w:rPr>
                <w:rFonts w:ascii="Times New Roman" w:hAnsi="Times New Roman" w:eastAsia="宋体" w:cs="Times New Roman"/>
                <w:b w:val="0"/>
                <w:bCs w:val="0"/>
                <w:sz w:val="24"/>
                <w:szCs w:val="24"/>
                <w:vertAlign w:val="baseline"/>
                <w:lang w:val="en-US" w:eastAsia="zh-CN"/>
              </w:rPr>
              <w:t>排放速率为</w:t>
            </w:r>
            <w:r>
              <w:rPr>
                <w:rFonts w:hint="eastAsia" w:ascii="Times New Roman" w:hAnsi="Times New Roman" w:eastAsia="宋体" w:cs="Times New Roman"/>
                <w:b w:val="0"/>
                <w:bCs w:val="0"/>
                <w:sz w:val="24"/>
                <w:szCs w:val="24"/>
                <w:vertAlign w:val="baseline"/>
                <w:lang w:val="en-US" w:eastAsia="zh-CN"/>
              </w:rPr>
              <w:t>0.00035</w:t>
            </w:r>
            <w:r>
              <w:rPr>
                <w:rFonts w:ascii="Times New Roman" w:hAnsi="Times New Roman" w:eastAsia="宋体" w:cs="Times New Roman"/>
                <w:b w:val="0"/>
                <w:bCs w:val="0"/>
                <w:sz w:val="24"/>
                <w:szCs w:val="24"/>
                <w:vertAlign w:val="baseline"/>
                <w:lang w:val="en-US" w:eastAsia="zh-CN"/>
              </w:rPr>
              <w:t>kg/h</w:t>
            </w:r>
            <w:r>
              <w:rPr>
                <w:rFonts w:ascii="Times New Roman" w:hAnsi="Times New Roman" w:eastAsia="宋体" w:cs="Times New Roman"/>
                <w:b w:val="0"/>
                <w:bCs w:val="0"/>
                <w:color w:val="000000"/>
                <w:sz w:val="24"/>
                <w:highlight w:val="none"/>
                <w:vertAlign w:val="baseline"/>
                <w:lang w:eastAsia="zh-CN"/>
              </w:rPr>
              <w:t>。</w:t>
            </w:r>
            <w:r>
              <w:rPr>
                <w:rFonts w:ascii="Times New Roman" w:hAnsi="Times New Roman" w:eastAsia="宋体" w:cs="Times New Roman"/>
                <w:b w:val="0"/>
                <w:bCs w:val="0"/>
                <w:color w:val="000000"/>
                <w:sz w:val="24"/>
                <w:highlight w:val="none"/>
                <w:vertAlign w:val="baseline"/>
                <w:lang w:val="en-US" w:eastAsia="zh-CN"/>
              </w:rPr>
              <w:t>均能</w:t>
            </w:r>
            <w:r>
              <w:rPr>
                <w:rFonts w:ascii="Times New Roman" w:hAnsi="Times New Roman" w:eastAsia="宋体" w:cs="Times New Roman"/>
                <w:b w:val="0"/>
                <w:bCs w:val="0"/>
                <w:color w:val="000000"/>
                <w:sz w:val="24"/>
              </w:rPr>
              <w:t>满足《大气污染物综合排放标准》（GB16297-1996）表2中标准限值</w:t>
            </w:r>
            <w:r>
              <w:rPr>
                <w:rFonts w:ascii="Times New Roman" w:hAnsi="Times New Roman" w:eastAsia="宋体" w:cs="Times New Roman"/>
                <w:b w:val="0"/>
                <w:bCs w:val="0"/>
                <w:color w:val="000000"/>
                <w:sz w:val="24"/>
                <w:lang w:val="en-US" w:eastAsia="zh-CN"/>
              </w:rPr>
              <w:t>要求</w:t>
            </w:r>
            <w:r>
              <w:rPr>
                <w:rFonts w:ascii="Times New Roman" w:hAnsi="Times New Roman" w:eastAsia="宋体" w:cs="Times New Roman"/>
                <w:b w:val="0"/>
                <w:bCs w:val="0"/>
                <w:color w:val="000000"/>
                <w:sz w:val="24"/>
              </w:rPr>
              <w:t>，</w:t>
            </w:r>
            <w:r>
              <w:rPr>
                <w:rFonts w:ascii="Times New Roman" w:hAnsi="Times New Roman" w:eastAsia="宋体" w:cs="Times New Roman"/>
                <w:b w:val="0"/>
                <w:bCs w:val="0"/>
                <w:color w:val="000000"/>
                <w:sz w:val="24"/>
                <w:lang w:val="en-US" w:eastAsia="zh-CN"/>
              </w:rPr>
              <w:t>即</w:t>
            </w:r>
            <w:r>
              <w:rPr>
                <w:rFonts w:ascii="Times New Roman" w:hAnsi="Times New Roman" w:eastAsia="宋体" w:cs="Times New Roman"/>
                <w:b w:val="0"/>
                <w:bCs w:val="0"/>
                <w:color w:val="000000"/>
                <w:sz w:val="24"/>
              </w:rPr>
              <w:t>非甲烷总烃排放浓度≤1</w:t>
            </w:r>
            <w:r>
              <w:rPr>
                <w:rFonts w:ascii="Times New Roman" w:hAnsi="Times New Roman" w:eastAsia="宋体" w:cs="Times New Roman"/>
                <w:b w:val="0"/>
                <w:bCs w:val="0"/>
                <w:color w:val="000000"/>
                <w:sz w:val="24"/>
                <w:lang w:val="en-US" w:eastAsia="zh-CN"/>
              </w:rPr>
              <w:t>20</w:t>
            </w:r>
            <w:r>
              <w:rPr>
                <w:rFonts w:ascii="Times New Roman" w:hAnsi="Times New Roman" w:eastAsia="宋体" w:cs="Times New Roman"/>
                <w:b w:val="0"/>
                <w:bCs w:val="0"/>
                <w:color w:val="000000"/>
                <w:sz w:val="24"/>
              </w:rPr>
              <w:t>mg/m</w:t>
            </w:r>
            <w:r>
              <w:rPr>
                <w:rFonts w:ascii="Times New Roman" w:hAnsi="Times New Roman" w:eastAsia="宋体" w:cs="Times New Roman"/>
                <w:b w:val="0"/>
                <w:bCs w:val="0"/>
                <w:color w:val="000000"/>
                <w:sz w:val="24"/>
                <w:vertAlign w:val="superscript"/>
              </w:rPr>
              <w:t>3</w:t>
            </w:r>
            <w:r>
              <w:rPr>
                <w:rFonts w:ascii="Times New Roman" w:hAnsi="Times New Roman" w:eastAsia="宋体" w:cs="Times New Roman"/>
                <w:b w:val="0"/>
                <w:bCs w:val="0"/>
                <w:color w:val="000000"/>
                <w:sz w:val="24"/>
                <w:vertAlign w:val="baseline"/>
                <w:lang w:eastAsia="zh-CN"/>
              </w:rPr>
              <w:t>，</w:t>
            </w:r>
            <w:r>
              <w:rPr>
                <w:rFonts w:ascii="Times New Roman" w:hAnsi="Times New Roman" w:eastAsia="宋体" w:cs="Times New Roman"/>
                <w:b w:val="0"/>
                <w:bCs w:val="0"/>
                <w:sz w:val="24"/>
                <w:szCs w:val="24"/>
                <w:vertAlign w:val="baseline"/>
                <w:lang w:val="en-US" w:eastAsia="zh-CN"/>
              </w:rPr>
              <w:t>排放速率≤10kg/h</w:t>
            </w:r>
            <w:r>
              <w:rPr>
                <w:rFonts w:ascii="Times New Roman" w:hAnsi="Times New Roman" w:eastAsia="宋体" w:cs="Times New Roman"/>
                <w:b w:val="0"/>
                <w:bCs w:val="0"/>
                <w:color w:val="000000"/>
                <w:sz w:val="24"/>
                <w:vertAlign w:val="baseline"/>
                <w:lang w:eastAsia="zh-CN"/>
              </w:rPr>
              <w:t>；</w:t>
            </w:r>
            <w:r>
              <w:rPr>
                <w:rFonts w:ascii="Times New Roman" w:hAnsi="Times New Roman" w:eastAsia="宋体" w:cs="Times New Roman"/>
                <w:b w:val="0"/>
                <w:bCs w:val="0"/>
                <w:color w:val="000000"/>
                <w:sz w:val="24"/>
                <w:vertAlign w:val="baseline"/>
                <w:lang w:val="en-US" w:eastAsia="zh-CN"/>
              </w:rPr>
              <w:t>甲醛</w:t>
            </w:r>
            <w:r>
              <w:rPr>
                <w:rFonts w:ascii="Times New Roman" w:hAnsi="Times New Roman" w:eastAsia="宋体" w:cs="Times New Roman"/>
                <w:b w:val="0"/>
                <w:bCs w:val="0"/>
                <w:color w:val="000000"/>
                <w:sz w:val="24"/>
              </w:rPr>
              <w:t>排放浓度≤</w:t>
            </w:r>
            <w:r>
              <w:rPr>
                <w:rFonts w:ascii="Times New Roman" w:hAnsi="Times New Roman" w:eastAsia="宋体" w:cs="Times New Roman"/>
                <w:b w:val="0"/>
                <w:bCs w:val="0"/>
                <w:color w:val="000000"/>
                <w:sz w:val="24"/>
                <w:lang w:val="en-US" w:eastAsia="zh-CN"/>
              </w:rPr>
              <w:t>25</w:t>
            </w:r>
            <w:r>
              <w:rPr>
                <w:rFonts w:ascii="Times New Roman" w:hAnsi="Times New Roman" w:eastAsia="宋体" w:cs="Times New Roman"/>
                <w:b w:val="0"/>
                <w:bCs w:val="0"/>
                <w:color w:val="000000"/>
                <w:sz w:val="24"/>
              </w:rPr>
              <w:t>mg/m</w:t>
            </w:r>
            <w:r>
              <w:rPr>
                <w:rFonts w:ascii="Times New Roman" w:hAnsi="Times New Roman" w:eastAsia="宋体" w:cs="Times New Roman"/>
                <w:b w:val="0"/>
                <w:bCs w:val="0"/>
                <w:color w:val="000000"/>
                <w:sz w:val="24"/>
                <w:vertAlign w:val="superscript"/>
              </w:rPr>
              <w:t>3</w:t>
            </w:r>
            <w:r>
              <w:rPr>
                <w:rFonts w:ascii="Times New Roman" w:hAnsi="Times New Roman" w:eastAsia="宋体" w:cs="Times New Roman"/>
                <w:b w:val="0"/>
                <w:bCs w:val="0"/>
                <w:color w:val="000000"/>
                <w:sz w:val="24"/>
                <w:vertAlign w:val="baseline"/>
                <w:lang w:eastAsia="zh-CN"/>
              </w:rPr>
              <w:t>，</w:t>
            </w:r>
            <w:r>
              <w:rPr>
                <w:rFonts w:ascii="Times New Roman" w:hAnsi="Times New Roman" w:eastAsia="宋体" w:cs="Times New Roman"/>
                <w:b w:val="0"/>
                <w:bCs w:val="0"/>
                <w:sz w:val="24"/>
                <w:szCs w:val="24"/>
                <w:vertAlign w:val="baseline"/>
                <w:lang w:val="en-US" w:eastAsia="zh-CN"/>
              </w:rPr>
              <w:t>排放速率≤0.26kg/h。</w:t>
            </w:r>
            <w:r>
              <w:rPr>
                <w:rFonts w:ascii="Times New Roman" w:hAnsi="Times New Roman" w:eastAsia="宋体" w:cs="Times New Roman"/>
                <w:b w:val="0"/>
                <w:bCs w:val="0"/>
                <w:color w:val="000000"/>
                <w:sz w:val="24"/>
                <w:vertAlign w:val="baseline"/>
                <w:lang w:val="en-US" w:eastAsia="zh-CN"/>
              </w:rPr>
              <w:t>项目</w:t>
            </w:r>
            <w:r>
              <w:rPr>
                <w:rFonts w:ascii="Times New Roman" w:hAnsi="Times New Roman" w:eastAsia="宋体" w:cs="Times New Roman"/>
                <w:b w:val="0"/>
                <w:bCs w:val="0"/>
                <w:sz w:val="24"/>
                <w:szCs w:val="24"/>
                <w:lang w:val="en-US" w:eastAsia="zh-CN"/>
              </w:rPr>
              <w:t>木料烘干、涂胶废气能</w:t>
            </w:r>
            <w:r>
              <w:rPr>
                <w:rFonts w:ascii="Times New Roman" w:hAnsi="Times New Roman" w:eastAsia="宋体" w:cs="Times New Roman"/>
                <w:b w:val="0"/>
                <w:bCs w:val="0"/>
                <w:color w:val="000000"/>
                <w:sz w:val="24"/>
              </w:rPr>
              <w:t>达标排放</w:t>
            </w:r>
            <w:r>
              <w:rPr>
                <w:rFonts w:hint="eastAsia" w:ascii="Times New Roman" w:hAnsi="Times New Roman" w:eastAsia="宋体" w:cs="Times New Roman"/>
                <w:b w:val="0"/>
                <w:bCs w:val="0"/>
                <w:color w:val="000000"/>
                <w:sz w:val="24"/>
                <w:lang w:eastAsia="zh-CN"/>
              </w:rPr>
              <w:t>；</w:t>
            </w:r>
            <w:r>
              <w:rPr>
                <w:rFonts w:ascii="Times New Roman" w:hAnsi="Times New Roman" w:eastAsia="宋体" w:cs="Times New Roman"/>
                <w:b w:val="0"/>
                <w:bCs w:val="0"/>
                <w:color w:val="000000"/>
                <w:sz w:val="24"/>
              </w:rPr>
              <w:t>经</w:t>
            </w:r>
            <w:r>
              <w:rPr>
                <w:rFonts w:ascii="Times New Roman" w:hAnsi="Times New Roman" w:eastAsia="宋体" w:cs="Times New Roman"/>
                <w:b w:val="0"/>
                <w:bCs w:val="0"/>
                <w:color w:val="000000"/>
                <w:sz w:val="24"/>
                <w:lang w:val="en-US" w:eastAsia="zh-CN"/>
              </w:rPr>
              <w:t>核</w:t>
            </w:r>
            <w:r>
              <w:rPr>
                <w:rFonts w:ascii="Times New Roman" w:hAnsi="Times New Roman" w:eastAsia="宋体" w:cs="Times New Roman"/>
                <w:b w:val="0"/>
                <w:bCs w:val="0"/>
                <w:color w:val="000000"/>
                <w:sz w:val="24"/>
              </w:rPr>
              <w:t>算分析，</w:t>
            </w:r>
            <w:r>
              <w:rPr>
                <w:rFonts w:ascii="Times New Roman" w:hAnsi="Times New Roman" w:eastAsia="宋体" w:cs="Times New Roman"/>
                <w:b w:val="0"/>
                <w:bCs w:val="0"/>
                <w:sz w:val="24"/>
                <w:szCs w:val="24"/>
                <w:lang w:val="en-US" w:eastAsia="zh-CN"/>
              </w:rPr>
              <w:t>项目生物质锅炉烟气</w:t>
            </w:r>
            <w:r>
              <w:rPr>
                <w:rFonts w:ascii="Times New Roman" w:hAnsi="Times New Roman" w:eastAsia="宋体" w:cs="Times New Roman"/>
                <w:b w:val="0"/>
                <w:bCs w:val="0"/>
                <w:color w:val="000000"/>
                <w:sz w:val="24"/>
                <w:szCs w:val="24"/>
                <w:lang w:val="en-US" w:eastAsia="zh-CN"/>
              </w:rPr>
              <w:t>锅炉烟气污染物</w:t>
            </w:r>
            <w:r>
              <w:rPr>
                <w:rFonts w:ascii="Times New Roman" w:hAnsi="Times New Roman" w:eastAsia="宋体" w:cs="Times New Roman"/>
                <w:b w:val="0"/>
                <w:bCs w:val="0"/>
                <w:color w:val="000000"/>
                <w:sz w:val="24"/>
                <w:szCs w:val="24"/>
                <w:highlight w:val="none"/>
                <w:lang w:val="en-US" w:eastAsia="zh-CN"/>
              </w:rPr>
              <w:t>SO</w:t>
            </w:r>
            <w:r>
              <w:rPr>
                <w:rFonts w:ascii="Times New Roman" w:hAnsi="Times New Roman" w:eastAsia="宋体" w:cs="Times New Roman"/>
                <w:b w:val="0"/>
                <w:bCs w:val="0"/>
                <w:color w:val="000000"/>
                <w:sz w:val="24"/>
                <w:szCs w:val="24"/>
                <w:highlight w:val="none"/>
                <w:vertAlign w:val="subscript"/>
                <w:lang w:val="en-US" w:eastAsia="zh-CN"/>
              </w:rPr>
              <w:t>2</w:t>
            </w:r>
            <w:r>
              <w:rPr>
                <w:rFonts w:ascii="Times New Roman" w:hAnsi="Times New Roman" w:eastAsia="宋体" w:cs="Times New Roman"/>
                <w:b w:val="0"/>
                <w:bCs w:val="0"/>
                <w:color w:val="000000"/>
                <w:sz w:val="24"/>
              </w:rPr>
              <w:t>排放浓度</w:t>
            </w:r>
            <w:r>
              <w:rPr>
                <w:rFonts w:ascii="Times New Roman" w:hAnsi="Times New Roman" w:eastAsia="宋体" w:cs="Times New Roman"/>
                <w:b w:val="0"/>
                <w:bCs w:val="0"/>
                <w:color w:val="000000"/>
                <w:sz w:val="24"/>
                <w:highlight w:val="none"/>
              </w:rPr>
              <w:t>为</w:t>
            </w:r>
            <w:r>
              <w:rPr>
                <w:rFonts w:hint="eastAsia" w:ascii="Times New Roman" w:hAnsi="Times New Roman" w:eastAsia="宋体" w:cs="Times New Roman"/>
                <w:b w:val="0"/>
                <w:bCs w:val="0"/>
                <w:color w:val="000000"/>
                <w:sz w:val="24"/>
                <w:highlight w:val="none"/>
                <w:lang w:val="en-US" w:eastAsia="zh-CN"/>
              </w:rPr>
              <w:t>47.93</w:t>
            </w:r>
            <w:r>
              <w:rPr>
                <w:rFonts w:ascii="Times New Roman" w:hAnsi="Times New Roman" w:eastAsia="宋体" w:cs="Times New Roman"/>
                <w:b w:val="0"/>
                <w:bCs w:val="0"/>
                <w:color w:val="000000"/>
                <w:sz w:val="24"/>
                <w:highlight w:val="none"/>
              </w:rPr>
              <w:t>mg/m</w:t>
            </w:r>
            <w:r>
              <w:rPr>
                <w:rFonts w:ascii="Times New Roman" w:hAnsi="Times New Roman" w:eastAsia="宋体" w:cs="Times New Roman"/>
                <w:b w:val="0"/>
                <w:bCs w:val="0"/>
                <w:color w:val="000000"/>
                <w:sz w:val="24"/>
                <w:highlight w:val="none"/>
                <w:vertAlign w:val="superscript"/>
              </w:rPr>
              <w:t>3</w:t>
            </w:r>
            <w:r>
              <w:rPr>
                <w:rFonts w:ascii="Times New Roman" w:hAnsi="Times New Roman" w:eastAsia="宋体" w:cs="Times New Roman"/>
                <w:b w:val="0"/>
                <w:bCs w:val="0"/>
                <w:color w:val="000000"/>
                <w:sz w:val="24"/>
                <w:highlight w:val="none"/>
                <w:vertAlign w:val="baseline"/>
                <w:lang w:eastAsia="zh-CN"/>
              </w:rPr>
              <w:t>，</w:t>
            </w:r>
            <w:r>
              <w:rPr>
                <w:rFonts w:ascii="Times New Roman" w:hAnsi="Times New Roman" w:eastAsia="宋体" w:cs="Times New Roman"/>
                <w:b w:val="0"/>
                <w:bCs w:val="0"/>
                <w:color w:val="000000"/>
                <w:sz w:val="24"/>
                <w:szCs w:val="24"/>
                <w:lang w:val="en-US" w:eastAsia="zh-CN"/>
              </w:rPr>
              <w:t>NOx</w:t>
            </w:r>
            <w:r>
              <w:rPr>
                <w:rFonts w:ascii="Times New Roman" w:hAnsi="Times New Roman" w:eastAsia="宋体" w:cs="Times New Roman"/>
                <w:b w:val="0"/>
                <w:bCs w:val="0"/>
                <w:color w:val="000000"/>
                <w:sz w:val="24"/>
              </w:rPr>
              <w:t>排放浓度</w:t>
            </w:r>
            <w:r>
              <w:rPr>
                <w:rFonts w:ascii="Times New Roman" w:hAnsi="Times New Roman" w:eastAsia="宋体" w:cs="Times New Roman"/>
                <w:b w:val="0"/>
                <w:bCs w:val="0"/>
                <w:color w:val="000000"/>
                <w:sz w:val="24"/>
                <w:highlight w:val="none"/>
              </w:rPr>
              <w:t>为</w:t>
            </w:r>
            <w:r>
              <w:rPr>
                <w:rFonts w:hint="eastAsia" w:ascii="Times New Roman" w:hAnsi="Times New Roman" w:eastAsia="宋体" w:cs="Times New Roman"/>
                <w:b w:val="0"/>
                <w:bCs w:val="0"/>
                <w:color w:val="000000"/>
                <w:sz w:val="24"/>
                <w:highlight w:val="none"/>
                <w:lang w:val="en-US" w:eastAsia="zh-CN"/>
              </w:rPr>
              <w:t>73.8</w:t>
            </w:r>
            <w:r>
              <w:rPr>
                <w:rFonts w:ascii="Times New Roman" w:hAnsi="Times New Roman" w:eastAsia="宋体" w:cs="Times New Roman"/>
                <w:b w:val="0"/>
                <w:bCs w:val="0"/>
                <w:color w:val="000000"/>
                <w:sz w:val="24"/>
                <w:highlight w:val="none"/>
              </w:rPr>
              <w:t>mg/m</w:t>
            </w:r>
            <w:r>
              <w:rPr>
                <w:rFonts w:ascii="Times New Roman" w:hAnsi="Times New Roman" w:eastAsia="宋体" w:cs="Times New Roman"/>
                <w:b w:val="0"/>
                <w:bCs w:val="0"/>
                <w:color w:val="000000"/>
                <w:sz w:val="24"/>
                <w:highlight w:val="none"/>
                <w:vertAlign w:val="superscript"/>
              </w:rPr>
              <w:t>3</w:t>
            </w:r>
            <w:r>
              <w:rPr>
                <w:rFonts w:ascii="Times New Roman" w:hAnsi="Times New Roman" w:eastAsia="宋体" w:cs="Times New Roman"/>
                <w:b w:val="0"/>
                <w:bCs w:val="0"/>
                <w:color w:val="000000"/>
                <w:sz w:val="24"/>
                <w:highlight w:val="none"/>
                <w:vertAlign w:val="baseline"/>
                <w:lang w:eastAsia="zh-CN"/>
              </w:rPr>
              <w:t>，</w:t>
            </w:r>
            <w:r>
              <w:rPr>
                <w:rFonts w:ascii="Times New Roman" w:hAnsi="Times New Roman" w:eastAsia="宋体" w:cs="Times New Roman"/>
                <w:b w:val="0"/>
                <w:bCs w:val="0"/>
                <w:color w:val="000000"/>
                <w:sz w:val="24"/>
                <w:szCs w:val="24"/>
                <w:lang w:val="en-US" w:eastAsia="zh-CN"/>
              </w:rPr>
              <w:t>颗粒物</w:t>
            </w:r>
            <w:r>
              <w:rPr>
                <w:rFonts w:ascii="Times New Roman" w:hAnsi="Times New Roman" w:eastAsia="宋体" w:cs="Times New Roman"/>
                <w:b w:val="0"/>
                <w:bCs w:val="0"/>
                <w:color w:val="000000"/>
                <w:sz w:val="24"/>
              </w:rPr>
              <w:t>排放浓度</w:t>
            </w:r>
            <w:r>
              <w:rPr>
                <w:rFonts w:ascii="Times New Roman" w:hAnsi="Times New Roman" w:eastAsia="宋体" w:cs="Times New Roman"/>
                <w:b w:val="0"/>
                <w:bCs w:val="0"/>
                <w:color w:val="000000"/>
                <w:sz w:val="24"/>
                <w:highlight w:val="none"/>
              </w:rPr>
              <w:t>为</w:t>
            </w:r>
            <w:r>
              <w:rPr>
                <w:rFonts w:hint="eastAsia" w:ascii="Times New Roman" w:hAnsi="Times New Roman" w:eastAsia="宋体" w:cs="Times New Roman"/>
                <w:b w:val="0"/>
                <w:bCs w:val="0"/>
                <w:color w:val="000000"/>
                <w:sz w:val="24"/>
                <w:highlight w:val="none"/>
                <w:lang w:val="en-US" w:eastAsia="zh-CN"/>
              </w:rPr>
              <w:t>6.512</w:t>
            </w:r>
            <w:r>
              <w:rPr>
                <w:rFonts w:ascii="Times New Roman" w:hAnsi="Times New Roman" w:eastAsia="宋体" w:cs="Times New Roman"/>
                <w:b w:val="0"/>
                <w:bCs w:val="0"/>
                <w:color w:val="000000"/>
                <w:sz w:val="24"/>
                <w:highlight w:val="none"/>
              </w:rPr>
              <w:t>mg/m</w:t>
            </w:r>
            <w:r>
              <w:rPr>
                <w:rFonts w:ascii="Times New Roman" w:hAnsi="Times New Roman" w:eastAsia="宋体" w:cs="Times New Roman"/>
                <w:b w:val="0"/>
                <w:bCs w:val="0"/>
                <w:color w:val="000000"/>
                <w:sz w:val="24"/>
                <w:highlight w:val="none"/>
                <w:vertAlign w:val="superscript"/>
              </w:rPr>
              <w:t>3</w:t>
            </w:r>
            <w:r>
              <w:rPr>
                <w:rFonts w:ascii="Times New Roman" w:hAnsi="Times New Roman" w:eastAsia="宋体" w:cs="Times New Roman"/>
                <w:b w:val="0"/>
                <w:bCs w:val="0"/>
                <w:color w:val="000000"/>
                <w:sz w:val="24"/>
                <w:highlight w:val="none"/>
                <w:vertAlign w:val="baseline"/>
                <w:lang w:eastAsia="zh-CN"/>
              </w:rPr>
              <w:t>，</w:t>
            </w:r>
            <w:r>
              <w:rPr>
                <w:rFonts w:ascii="Times New Roman" w:hAnsi="Times New Roman" w:eastAsia="宋体" w:cs="Times New Roman"/>
                <w:b w:val="0"/>
                <w:bCs w:val="0"/>
                <w:color w:val="000000"/>
                <w:sz w:val="24"/>
                <w:szCs w:val="24"/>
                <w:highlight w:val="none"/>
                <w:lang w:val="en-US" w:eastAsia="zh-CN"/>
              </w:rPr>
              <w:t>SO</w:t>
            </w:r>
            <w:r>
              <w:rPr>
                <w:rFonts w:ascii="Times New Roman" w:hAnsi="Times New Roman" w:eastAsia="宋体" w:cs="Times New Roman"/>
                <w:b w:val="0"/>
                <w:bCs w:val="0"/>
                <w:color w:val="000000"/>
                <w:sz w:val="24"/>
                <w:szCs w:val="24"/>
                <w:highlight w:val="none"/>
                <w:vertAlign w:val="subscript"/>
                <w:lang w:val="en-US" w:eastAsia="zh-CN"/>
              </w:rPr>
              <w:t>2、</w:t>
            </w:r>
            <w:r>
              <w:rPr>
                <w:rFonts w:ascii="Times New Roman" w:hAnsi="Times New Roman" w:eastAsia="宋体" w:cs="Times New Roman"/>
                <w:b w:val="0"/>
                <w:bCs w:val="0"/>
                <w:color w:val="000000"/>
                <w:sz w:val="24"/>
                <w:szCs w:val="24"/>
                <w:lang w:val="en-US" w:eastAsia="zh-CN"/>
              </w:rPr>
              <w:t>NOx、颗粒物</w:t>
            </w:r>
            <w:r>
              <w:rPr>
                <w:rFonts w:ascii="Times New Roman" w:hAnsi="Times New Roman" w:eastAsia="宋体" w:cs="Times New Roman"/>
                <w:b w:val="0"/>
                <w:bCs w:val="0"/>
                <w:color w:val="000000"/>
                <w:sz w:val="24"/>
                <w:szCs w:val="24"/>
                <w:highlight w:val="none"/>
                <w:lang w:val="en-US" w:eastAsia="zh-CN"/>
              </w:rPr>
              <w:t>排放浓度均满足</w:t>
            </w:r>
            <w:r>
              <w:rPr>
                <w:rFonts w:ascii="Times New Roman" w:hAnsi="Times New Roman" w:eastAsia="宋体" w:cs="Times New Roman"/>
                <w:b w:val="0"/>
                <w:bCs w:val="0"/>
                <w:color w:val="000000"/>
                <w:sz w:val="24"/>
                <w:szCs w:val="24"/>
              </w:rPr>
              <w:t>《锅炉大气污染物排放标准》（GB13271-2014）</w:t>
            </w:r>
            <w:r>
              <w:rPr>
                <w:rFonts w:ascii="Times New Roman" w:hAnsi="Times New Roman" w:eastAsia="宋体" w:cs="Times New Roman"/>
                <w:b w:val="0"/>
                <w:bCs w:val="0"/>
                <w:color w:val="000000"/>
                <w:sz w:val="24"/>
                <w:szCs w:val="24"/>
                <w:lang w:val="en-US" w:eastAsia="zh-CN"/>
              </w:rPr>
              <w:t>中</w:t>
            </w:r>
            <w:r>
              <w:rPr>
                <w:rFonts w:ascii="Times New Roman" w:hAnsi="Times New Roman" w:eastAsia="宋体" w:cs="Times New Roman"/>
                <w:b w:val="0"/>
                <w:bCs w:val="0"/>
                <w:color w:val="000000"/>
                <w:sz w:val="24"/>
                <w:szCs w:val="24"/>
              </w:rPr>
              <w:t>表2</w:t>
            </w:r>
            <w:r>
              <w:rPr>
                <w:rFonts w:ascii="Times New Roman" w:hAnsi="Times New Roman" w:eastAsia="宋体" w:cs="Times New Roman"/>
                <w:b w:val="0"/>
                <w:bCs w:val="0"/>
                <w:color w:val="000000"/>
                <w:sz w:val="24"/>
                <w:szCs w:val="24"/>
                <w:lang w:val="en-US" w:eastAsia="zh-CN"/>
              </w:rPr>
              <w:t>燃煤</w:t>
            </w:r>
            <w:r>
              <w:rPr>
                <w:rFonts w:ascii="Times New Roman" w:hAnsi="Times New Roman" w:eastAsia="宋体" w:cs="Times New Roman"/>
                <w:b w:val="0"/>
                <w:bCs w:val="0"/>
                <w:color w:val="000000"/>
                <w:sz w:val="24"/>
                <w:szCs w:val="24"/>
              </w:rPr>
              <w:t>锅炉标准</w:t>
            </w:r>
            <w:r>
              <w:rPr>
                <w:rFonts w:ascii="Times New Roman" w:hAnsi="Times New Roman" w:eastAsia="宋体" w:cs="Times New Roman"/>
                <w:b w:val="0"/>
                <w:bCs w:val="0"/>
                <w:color w:val="000000"/>
                <w:sz w:val="24"/>
                <w:szCs w:val="24"/>
                <w:lang w:val="en-US" w:eastAsia="zh-CN"/>
              </w:rPr>
              <w:t>要求，即</w:t>
            </w:r>
            <w:r>
              <w:rPr>
                <w:rFonts w:ascii="Times New Roman" w:hAnsi="Times New Roman" w:eastAsia="宋体" w:cs="Times New Roman"/>
                <w:b w:val="0"/>
                <w:bCs w:val="0"/>
                <w:color w:val="000000"/>
                <w:sz w:val="24"/>
                <w:szCs w:val="24"/>
                <w:highlight w:val="none"/>
                <w:lang w:val="en-US" w:eastAsia="zh-CN"/>
              </w:rPr>
              <w:t>SO</w:t>
            </w:r>
            <w:r>
              <w:rPr>
                <w:rFonts w:ascii="Times New Roman" w:hAnsi="Times New Roman" w:eastAsia="宋体" w:cs="Times New Roman"/>
                <w:b w:val="0"/>
                <w:bCs w:val="0"/>
                <w:color w:val="000000"/>
                <w:sz w:val="24"/>
                <w:szCs w:val="24"/>
                <w:highlight w:val="none"/>
                <w:vertAlign w:val="subscript"/>
                <w:lang w:val="en-US" w:eastAsia="zh-CN"/>
              </w:rPr>
              <w:t>2</w:t>
            </w:r>
            <w:r>
              <w:rPr>
                <w:rFonts w:ascii="Times New Roman" w:hAnsi="Times New Roman" w:eastAsia="宋体" w:cs="Times New Roman"/>
                <w:b w:val="0"/>
                <w:bCs w:val="0"/>
                <w:color w:val="000000"/>
                <w:sz w:val="24"/>
              </w:rPr>
              <w:t>排放浓度</w:t>
            </w:r>
            <w:r>
              <w:rPr>
                <w:rFonts w:ascii="Times New Roman" w:hAnsi="Times New Roman" w:eastAsia="宋体" w:cs="Times New Roman"/>
                <w:b w:val="0"/>
                <w:bCs w:val="0"/>
                <w:color w:val="000000"/>
                <w:sz w:val="24"/>
                <w:highlight w:val="none"/>
                <w:lang w:val="en-US" w:eastAsia="zh-CN"/>
              </w:rPr>
              <w:t>≤300</w:t>
            </w:r>
            <w:r>
              <w:rPr>
                <w:rFonts w:ascii="Times New Roman" w:hAnsi="Times New Roman" w:eastAsia="宋体" w:cs="Times New Roman"/>
                <w:b w:val="0"/>
                <w:bCs w:val="0"/>
                <w:color w:val="000000"/>
                <w:sz w:val="24"/>
                <w:highlight w:val="none"/>
              </w:rPr>
              <w:t>mg/m</w:t>
            </w:r>
            <w:r>
              <w:rPr>
                <w:rFonts w:ascii="Times New Roman" w:hAnsi="Times New Roman" w:eastAsia="宋体" w:cs="Times New Roman"/>
                <w:b w:val="0"/>
                <w:bCs w:val="0"/>
                <w:color w:val="000000"/>
                <w:sz w:val="24"/>
                <w:highlight w:val="none"/>
                <w:vertAlign w:val="superscript"/>
              </w:rPr>
              <w:t>3</w:t>
            </w:r>
            <w:r>
              <w:rPr>
                <w:rFonts w:ascii="Times New Roman" w:hAnsi="Times New Roman" w:eastAsia="宋体" w:cs="Times New Roman"/>
                <w:b w:val="0"/>
                <w:bCs w:val="0"/>
                <w:color w:val="000000"/>
                <w:sz w:val="24"/>
                <w:highlight w:val="none"/>
                <w:vertAlign w:val="baseline"/>
                <w:lang w:eastAsia="zh-CN"/>
              </w:rPr>
              <w:t>，</w:t>
            </w:r>
            <w:r>
              <w:rPr>
                <w:rFonts w:ascii="Times New Roman" w:hAnsi="Times New Roman" w:eastAsia="宋体" w:cs="Times New Roman"/>
                <w:b w:val="0"/>
                <w:bCs w:val="0"/>
                <w:color w:val="000000"/>
                <w:sz w:val="24"/>
                <w:szCs w:val="24"/>
                <w:lang w:val="en-US" w:eastAsia="zh-CN"/>
              </w:rPr>
              <w:t>NOx</w:t>
            </w:r>
            <w:r>
              <w:rPr>
                <w:rFonts w:ascii="Times New Roman" w:hAnsi="Times New Roman" w:eastAsia="宋体" w:cs="Times New Roman"/>
                <w:b w:val="0"/>
                <w:bCs w:val="0"/>
                <w:color w:val="000000"/>
                <w:sz w:val="24"/>
              </w:rPr>
              <w:t>排放浓度</w:t>
            </w:r>
            <w:r>
              <w:rPr>
                <w:rFonts w:ascii="Times New Roman" w:hAnsi="Times New Roman" w:eastAsia="宋体" w:cs="Times New Roman"/>
                <w:b w:val="0"/>
                <w:bCs w:val="0"/>
                <w:color w:val="000000"/>
                <w:sz w:val="24"/>
                <w:highlight w:val="none"/>
                <w:lang w:val="en-US" w:eastAsia="zh-CN"/>
              </w:rPr>
              <w:t>≤300</w:t>
            </w:r>
            <w:r>
              <w:rPr>
                <w:rFonts w:ascii="Times New Roman" w:hAnsi="Times New Roman" w:eastAsia="宋体" w:cs="Times New Roman"/>
                <w:b w:val="0"/>
                <w:bCs w:val="0"/>
                <w:color w:val="000000"/>
                <w:sz w:val="24"/>
                <w:highlight w:val="none"/>
              </w:rPr>
              <w:t>mg/m</w:t>
            </w:r>
            <w:r>
              <w:rPr>
                <w:rFonts w:ascii="Times New Roman" w:hAnsi="Times New Roman" w:eastAsia="宋体" w:cs="Times New Roman"/>
                <w:b w:val="0"/>
                <w:bCs w:val="0"/>
                <w:color w:val="000000"/>
                <w:sz w:val="24"/>
                <w:highlight w:val="none"/>
                <w:vertAlign w:val="superscript"/>
              </w:rPr>
              <w:t>3</w:t>
            </w:r>
            <w:r>
              <w:rPr>
                <w:rFonts w:ascii="Times New Roman" w:hAnsi="Times New Roman" w:eastAsia="宋体" w:cs="Times New Roman"/>
                <w:b w:val="0"/>
                <w:bCs w:val="0"/>
                <w:color w:val="000000"/>
                <w:sz w:val="24"/>
                <w:highlight w:val="none"/>
                <w:vertAlign w:val="baseline"/>
                <w:lang w:eastAsia="zh-CN"/>
              </w:rPr>
              <w:t>，</w:t>
            </w:r>
            <w:r>
              <w:rPr>
                <w:rFonts w:ascii="Times New Roman" w:hAnsi="Times New Roman" w:eastAsia="宋体" w:cs="Times New Roman"/>
                <w:b w:val="0"/>
                <w:bCs w:val="0"/>
                <w:color w:val="000000"/>
                <w:sz w:val="24"/>
                <w:szCs w:val="24"/>
                <w:lang w:val="en-US" w:eastAsia="zh-CN"/>
              </w:rPr>
              <w:t>颗粒物</w:t>
            </w:r>
            <w:r>
              <w:rPr>
                <w:rFonts w:ascii="Times New Roman" w:hAnsi="Times New Roman" w:eastAsia="宋体" w:cs="Times New Roman"/>
                <w:b w:val="0"/>
                <w:bCs w:val="0"/>
                <w:color w:val="000000"/>
                <w:sz w:val="24"/>
              </w:rPr>
              <w:t>排放浓度</w:t>
            </w:r>
            <w:r>
              <w:rPr>
                <w:rFonts w:ascii="Times New Roman" w:hAnsi="Times New Roman" w:eastAsia="宋体" w:cs="Times New Roman"/>
                <w:b w:val="0"/>
                <w:bCs w:val="0"/>
                <w:color w:val="000000"/>
                <w:sz w:val="24"/>
                <w:highlight w:val="none"/>
                <w:lang w:val="en-US" w:eastAsia="zh-CN"/>
              </w:rPr>
              <w:t>≤50</w:t>
            </w:r>
            <w:r>
              <w:rPr>
                <w:rFonts w:ascii="Times New Roman" w:hAnsi="Times New Roman" w:eastAsia="宋体" w:cs="Times New Roman"/>
                <w:b w:val="0"/>
                <w:bCs w:val="0"/>
                <w:color w:val="000000"/>
                <w:sz w:val="24"/>
                <w:highlight w:val="none"/>
              </w:rPr>
              <w:t>mg/m</w:t>
            </w:r>
            <w:r>
              <w:rPr>
                <w:rFonts w:ascii="Times New Roman" w:hAnsi="Times New Roman" w:eastAsia="宋体" w:cs="Times New Roman"/>
                <w:b w:val="0"/>
                <w:bCs w:val="0"/>
                <w:color w:val="000000"/>
                <w:sz w:val="24"/>
                <w:highlight w:val="none"/>
                <w:vertAlign w:val="superscript"/>
              </w:rPr>
              <w:t>3</w:t>
            </w:r>
            <w:r>
              <w:rPr>
                <w:rFonts w:ascii="Times New Roman" w:hAnsi="Times New Roman" w:eastAsia="宋体" w:cs="Times New Roman"/>
                <w:b w:val="0"/>
                <w:bCs w:val="0"/>
                <w:color w:val="000000"/>
                <w:sz w:val="24"/>
                <w:szCs w:val="24"/>
                <w:lang w:eastAsia="zh-CN"/>
              </w:rPr>
              <w:t>，</w:t>
            </w:r>
            <w:r>
              <w:rPr>
                <w:rFonts w:ascii="Times New Roman" w:hAnsi="Times New Roman" w:eastAsia="宋体" w:cs="Times New Roman"/>
                <w:b w:val="0"/>
                <w:bCs w:val="0"/>
                <w:sz w:val="24"/>
                <w:szCs w:val="24"/>
                <w:lang w:val="en-US" w:eastAsia="zh-CN"/>
              </w:rPr>
              <w:t>项目生物质锅炉烟气</w:t>
            </w:r>
            <w:r>
              <w:rPr>
                <w:rFonts w:ascii="Times New Roman" w:hAnsi="Times New Roman" w:eastAsia="宋体" w:cs="Times New Roman"/>
                <w:b w:val="0"/>
                <w:bCs w:val="0"/>
                <w:color w:val="000000"/>
                <w:sz w:val="24"/>
                <w:szCs w:val="24"/>
                <w:lang w:val="en-US" w:eastAsia="zh-CN"/>
              </w:rPr>
              <w:t>能达标排放</w:t>
            </w:r>
            <w:r>
              <w:rPr>
                <w:rFonts w:hint="eastAsia" w:ascii="Times New Roman" w:hAnsi="Times New Roman" w:eastAsia="宋体" w:cs="Times New Roman"/>
                <w:b w:val="0"/>
                <w:bCs w:val="0"/>
                <w:color w:val="000000"/>
                <w:sz w:val="24"/>
                <w:szCs w:val="24"/>
                <w:lang w:val="en-US" w:eastAsia="zh-CN"/>
              </w:rPr>
              <w:t>。根据估算模式预测结果，</w:t>
            </w:r>
            <w:r>
              <w:rPr>
                <w:rFonts w:hint="eastAsia" w:ascii="Times New Roman" w:hAnsi="Times New Roman" w:cs="Times New Roman"/>
                <w:b w:val="0"/>
                <w:bCs/>
                <w:color w:val="000000"/>
                <w:sz w:val="24"/>
                <w:szCs w:val="24"/>
                <w:lang w:val="en-US" w:eastAsia="zh-CN"/>
              </w:rPr>
              <w:t>项目生产车间颗粒物、挥发性有机物（以非甲烷总烃计）、甲醛无组织排放在项目区下风向最大浓度分别为4.27ug/m</w:t>
            </w:r>
            <w:r>
              <w:rPr>
                <w:rFonts w:hint="eastAsia" w:ascii="Times New Roman" w:hAnsi="Times New Roman" w:cs="Times New Roman"/>
                <w:b w:val="0"/>
                <w:bCs/>
                <w:color w:val="000000"/>
                <w:sz w:val="24"/>
                <w:szCs w:val="24"/>
                <w:vertAlign w:val="superscript"/>
                <w:lang w:val="en-US" w:eastAsia="zh-CN"/>
              </w:rPr>
              <w:t>3</w:t>
            </w:r>
            <w:r>
              <w:rPr>
                <w:rFonts w:hint="eastAsia" w:ascii="Times New Roman" w:hAnsi="Times New Roman" w:cs="Times New Roman"/>
                <w:b w:val="0"/>
                <w:bCs/>
                <w:color w:val="000000"/>
                <w:sz w:val="24"/>
                <w:szCs w:val="24"/>
                <w:vertAlign w:val="baseline"/>
                <w:lang w:val="en-US" w:eastAsia="zh-CN"/>
              </w:rPr>
              <w:t>、</w:t>
            </w:r>
            <w:r>
              <w:rPr>
                <w:rFonts w:hint="eastAsia" w:ascii="Times New Roman" w:hAnsi="Times New Roman" w:cs="Times New Roman"/>
                <w:b w:val="0"/>
                <w:bCs/>
                <w:color w:val="000000"/>
                <w:sz w:val="24"/>
                <w:szCs w:val="24"/>
                <w:lang w:val="en-US" w:eastAsia="zh-CN"/>
              </w:rPr>
              <w:t>6.57ug/m</w:t>
            </w:r>
            <w:r>
              <w:rPr>
                <w:rFonts w:hint="eastAsia" w:ascii="Times New Roman" w:hAnsi="Times New Roman" w:cs="Times New Roman"/>
                <w:b w:val="0"/>
                <w:bCs/>
                <w:color w:val="000000"/>
                <w:sz w:val="24"/>
                <w:szCs w:val="24"/>
                <w:vertAlign w:val="superscript"/>
                <w:lang w:val="en-US" w:eastAsia="zh-CN"/>
              </w:rPr>
              <w:t>3</w:t>
            </w:r>
            <w:r>
              <w:rPr>
                <w:rFonts w:hint="eastAsia" w:ascii="Times New Roman" w:hAnsi="Times New Roman" w:cs="Times New Roman"/>
                <w:b w:val="0"/>
                <w:bCs/>
                <w:color w:val="000000"/>
                <w:sz w:val="24"/>
                <w:szCs w:val="24"/>
                <w:vertAlign w:val="baseline"/>
                <w:lang w:val="en-US" w:eastAsia="zh-CN"/>
              </w:rPr>
              <w:t>、</w:t>
            </w:r>
            <w:r>
              <w:rPr>
                <w:rFonts w:hint="eastAsia" w:ascii="Times New Roman" w:hAnsi="Times New Roman" w:cs="Times New Roman"/>
                <w:b w:val="0"/>
                <w:bCs/>
                <w:color w:val="000000"/>
                <w:sz w:val="24"/>
                <w:szCs w:val="24"/>
                <w:lang w:val="en-US" w:eastAsia="zh-CN"/>
              </w:rPr>
              <w:t>0.58ug/m</w:t>
            </w:r>
            <w:r>
              <w:rPr>
                <w:rFonts w:hint="eastAsia" w:ascii="Times New Roman" w:hAnsi="Times New Roman" w:cs="Times New Roman"/>
                <w:b w:val="0"/>
                <w:bCs/>
                <w:color w:val="000000"/>
                <w:sz w:val="24"/>
                <w:szCs w:val="24"/>
                <w:vertAlign w:val="superscript"/>
                <w:lang w:val="en-US" w:eastAsia="zh-CN"/>
              </w:rPr>
              <w:t>3</w:t>
            </w:r>
            <w:r>
              <w:rPr>
                <w:rFonts w:hint="eastAsia" w:ascii="Times New Roman" w:hAnsi="Times New Roman" w:cs="Times New Roman"/>
                <w:b w:val="0"/>
                <w:bCs/>
                <w:color w:val="000000"/>
                <w:sz w:val="24"/>
                <w:szCs w:val="24"/>
                <w:lang w:val="en-US" w:eastAsia="zh-CN"/>
              </w:rPr>
              <w:t>，甲醛、挥发性有机物（以非甲烷总烃计）及颗粒物排放满足《大气污染物综合排放标准》（GB16297-1996）表2中无组织排放监控浓度限值及《挥发性有机物无组织排放控制标准》（GB37822-2019）厂区无组织排放限值要求。</w:t>
            </w:r>
          </w:p>
          <w:p w14:paraId="3BE2925A">
            <w:pPr>
              <w:keepNext w:val="0"/>
              <w:keepLines w:val="0"/>
              <w:pageBreakBefore w:val="0"/>
              <w:widowControl/>
              <w:spacing w:line="360" w:lineRule="auto"/>
              <w:ind w:firstLine="480"/>
              <w:rPr>
                <w:rFonts w:ascii="Times New Roman" w:hAnsi="Times New Roman" w:eastAsia="宋体" w:cs="Times New Roman"/>
                <w:b/>
                <w:color w:val="000000"/>
                <w:sz w:val="24"/>
              </w:rPr>
            </w:pPr>
            <w:r>
              <w:rPr>
                <w:rFonts w:hint="eastAsia" w:ascii="Times New Roman" w:hAnsi="Times New Roman" w:cs="Times New Roman"/>
                <w:b w:val="0"/>
                <w:bCs/>
                <w:color w:val="000000"/>
                <w:sz w:val="24"/>
                <w:szCs w:val="24"/>
                <w:lang w:val="en-US" w:eastAsia="zh-CN"/>
              </w:rPr>
              <w:t>综上所述，项目废气排放会对环境有一定的影响，但影响较小，在项目下风向评价范围内无超标点，项目废气对大气环境的影响在可接受范围内。项目在采取本次评价措施后，废气对周围环境影响不大</w:t>
            </w:r>
            <w:r>
              <w:rPr>
                <w:rFonts w:ascii="Times New Roman" w:hAnsi="Times New Roman" w:eastAsia="宋体" w:cs="Times New Roman"/>
                <w:color w:val="000000"/>
                <w:sz w:val="24"/>
              </w:rPr>
              <w:t>。</w:t>
            </w:r>
          </w:p>
          <w:p w14:paraId="12A1E9C9">
            <w:pPr>
              <w:keepNext w:val="0"/>
              <w:keepLines w:val="0"/>
              <w:pageBreakBefore w:val="0"/>
              <w:widowControl w:val="0"/>
              <w:spacing w:line="360" w:lineRule="auto"/>
              <w:ind w:firstLine="480"/>
              <w:jc w:val="both"/>
              <w:rPr>
                <w:rFonts w:hint="eastAsia"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rPr>
              <w:t>具体分析见</w:t>
            </w:r>
            <w:r>
              <w:rPr>
                <w:rFonts w:hint="eastAsia" w:ascii="Times New Roman" w:hAnsi="Times New Roman" w:eastAsia="宋体" w:cs="Times New Roman"/>
                <w:color w:val="000000"/>
                <w:sz w:val="24"/>
                <w:lang w:val="en-US" w:eastAsia="zh-CN"/>
              </w:rPr>
              <w:t>大气</w:t>
            </w:r>
            <w:r>
              <w:rPr>
                <w:rFonts w:ascii="Times New Roman" w:hAnsi="Times New Roman" w:eastAsia="宋体" w:cs="Times New Roman"/>
                <w:color w:val="000000"/>
                <w:sz w:val="24"/>
              </w:rPr>
              <w:t>专项评价</w:t>
            </w:r>
            <w:r>
              <w:rPr>
                <w:rFonts w:hint="eastAsia" w:ascii="Times New Roman" w:hAnsi="Times New Roman" w:eastAsia="宋体" w:cs="Times New Roman"/>
                <w:color w:val="000000"/>
                <w:sz w:val="24"/>
                <w:lang w:eastAsia="zh-CN"/>
              </w:rPr>
              <w:t>。</w:t>
            </w:r>
          </w:p>
        </w:tc>
      </w:tr>
    </w:tbl>
    <w:p w14:paraId="209457FB">
      <w:pPr>
        <w:pStyle w:val="216"/>
        <w:rPr>
          <w:rFonts w:ascii="Times New Roman" w:hAnsi="Times New Roman" w:eastAsia="宋体" w:cs="Times New Roman"/>
          <w:color w:val="000000"/>
          <w:highlight w:val="none"/>
        </w:rPr>
        <w:sectPr>
          <w:pgSz w:w="11907" w:h="16840" w:orient="landscape"/>
          <w:pgMar w:top="1134" w:right="1134" w:bottom="1134" w:left="1134" w:header="851" w:footer="851" w:gutter="0"/>
          <w:pgNumType w:start="1"/>
          <w:cols w:space="1701" w:num="1"/>
        </w:sectPr>
      </w:pPr>
    </w:p>
    <w:tbl>
      <w:tblPr>
        <w:tblStyle w:val="29"/>
        <w:tblW w:w="978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28" w:type="dxa"/>
          <w:bottom w:w="0" w:type="dxa"/>
          <w:right w:w="28" w:type="dxa"/>
        </w:tblCellMar>
      </w:tblPr>
      <w:tblGrid>
        <w:gridCol w:w="534"/>
        <w:gridCol w:w="9255"/>
      </w:tblGrid>
      <w:tr w14:paraId="65C98B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534" w:type="dxa"/>
            <w:noWrap w:val="0"/>
            <w:tcMar>
              <w:left w:w="28" w:type="dxa"/>
              <w:right w:w="28" w:type="dxa"/>
            </w:tcMar>
            <w:vAlign w:val="center"/>
          </w:tcPr>
          <w:p w14:paraId="7AB1B8BF">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运营期环境影响和保护措施</w:t>
            </w:r>
          </w:p>
        </w:tc>
        <w:tc>
          <w:tcPr>
            <w:tcW w:w="9255" w:type="dxa"/>
            <w:noWrap w:val="0"/>
            <w:vAlign w:val="center"/>
          </w:tcPr>
          <w:p w14:paraId="6335B70C">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lang w:eastAsia="zh-CN"/>
              </w:rPr>
            </w:pPr>
            <w:r>
              <w:rPr>
                <w:rFonts w:ascii="Times New Roman" w:hAnsi="Times New Roman" w:eastAsia="宋体" w:cs="Times New Roman"/>
                <w:b/>
                <w:bCs/>
                <w:color w:val="000000"/>
                <w:sz w:val="24"/>
                <w:szCs w:val="24"/>
                <w:highlight w:val="none"/>
                <w:lang w:eastAsia="zh-CN"/>
              </w:rPr>
              <w:t>（</w:t>
            </w:r>
            <w:r>
              <w:rPr>
                <w:rFonts w:ascii="Times New Roman" w:hAnsi="Times New Roman" w:eastAsia="宋体" w:cs="Times New Roman"/>
                <w:b/>
                <w:bCs/>
                <w:color w:val="000000"/>
                <w:sz w:val="24"/>
                <w:szCs w:val="24"/>
                <w:highlight w:val="none"/>
                <w:lang w:val="en-US" w:eastAsia="zh-CN"/>
              </w:rPr>
              <w:t>二</w:t>
            </w:r>
            <w:r>
              <w:rPr>
                <w:rFonts w:ascii="Times New Roman" w:hAnsi="Times New Roman" w:eastAsia="宋体" w:cs="Times New Roman"/>
                <w:b/>
                <w:bCs/>
                <w:color w:val="000000"/>
                <w:sz w:val="24"/>
                <w:szCs w:val="24"/>
                <w:highlight w:val="none"/>
                <w:lang w:eastAsia="zh-CN"/>
              </w:rPr>
              <w:t>）废水影响和保护措施</w:t>
            </w:r>
          </w:p>
          <w:p w14:paraId="5A177B33">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1、废水产排核算</w:t>
            </w:r>
          </w:p>
          <w:p w14:paraId="110F2210">
            <w:pPr>
              <w:spacing w:line="360" w:lineRule="auto"/>
              <w:ind w:firstLine="480"/>
              <w:rPr>
                <w:rFonts w:ascii="Times New Roman" w:hAnsi="Times New Roman" w:eastAsia="宋体" w:cs="Times New Roman"/>
                <w:b/>
                <w:color w:val="000000"/>
                <w:sz w:val="24"/>
              </w:rPr>
            </w:pPr>
            <w:r>
              <w:rPr>
                <w:rFonts w:ascii="Times New Roman" w:hAnsi="Times New Roman" w:eastAsia="宋体" w:cs="Times New Roman"/>
                <w:bCs/>
                <w:color w:val="000000"/>
                <w:sz w:val="24"/>
              </w:rPr>
              <w:t>根据工艺分析，本项目运营期废水主要为生活废水</w:t>
            </w:r>
            <w:r>
              <w:rPr>
                <w:rFonts w:ascii="Times New Roman" w:hAnsi="Times New Roman" w:eastAsia="宋体" w:cs="Times New Roman"/>
                <w:bCs/>
                <w:color w:val="000000"/>
                <w:sz w:val="24"/>
                <w:lang w:eastAsia="zh-CN"/>
              </w:rPr>
              <w:t>，</w:t>
            </w:r>
            <w:r>
              <w:rPr>
                <w:rFonts w:ascii="Times New Roman" w:hAnsi="Times New Roman" w:eastAsia="宋体" w:cs="Times New Roman"/>
                <w:bCs/>
                <w:color w:val="000000"/>
                <w:sz w:val="24"/>
                <w:lang w:val="en-US" w:eastAsia="zh-CN"/>
              </w:rPr>
              <w:t>无</w:t>
            </w:r>
            <w:r>
              <w:rPr>
                <w:rFonts w:ascii="Times New Roman" w:hAnsi="Times New Roman" w:eastAsia="宋体" w:cs="Times New Roman"/>
                <w:bCs/>
                <w:color w:val="000000"/>
                <w:sz w:val="24"/>
              </w:rPr>
              <w:t>生产废水。</w:t>
            </w:r>
          </w:p>
          <w:p w14:paraId="1B245D92">
            <w:pPr>
              <w:spacing w:line="360" w:lineRule="auto"/>
              <w:ind w:firstLine="482"/>
              <w:rPr>
                <w:rFonts w:ascii="Times New Roman" w:hAnsi="Times New Roman" w:eastAsia="宋体" w:cs="Times New Roman"/>
                <w:b/>
                <w:color w:val="000000"/>
                <w:sz w:val="24"/>
                <w:lang w:eastAsia="zh-CN"/>
              </w:rPr>
            </w:pPr>
            <w:bookmarkStart w:id="7" w:name="_Toc48148627"/>
            <w:r>
              <w:rPr>
                <w:rFonts w:hint="eastAsia" w:ascii="Times New Roman" w:hAnsi="Times New Roman" w:eastAsia="宋体" w:cs="Times New Roman"/>
                <w:b/>
                <w:color w:val="000000"/>
                <w:sz w:val="24"/>
                <w:lang w:val="en-US" w:eastAsia="zh-CN"/>
              </w:rPr>
              <w:t>1.1、</w:t>
            </w:r>
            <w:r>
              <w:rPr>
                <w:rFonts w:ascii="Times New Roman" w:hAnsi="Times New Roman" w:eastAsia="宋体" w:cs="Times New Roman"/>
                <w:b/>
                <w:color w:val="000000"/>
                <w:sz w:val="24"/>
              </w:rPr>
              <w:t>生活废水产排</w:t>
            </w:r>
            <w:bookmarkEnd w:id="7"/>
            <w:r>
              <w:rPr>
                <w:rFonts w:ascii="Times New Roman" w:hAnsi="Times New Roman" w:eastAsia="宋体" w:cs="Times New Roman"/>
                <w:b/>
                <w:color w:val="000000"/>
                <w:sz w:val="24"/>
                <w:lang w:val="en-US" w:eastAsia="zh-CN"/>
              </w:rPr>
              <w:t>核算</w:t>
            </w:r>
          </w:p>
          <w:p w14:paraId="3BC13C36">
            <w:pPr>
              <w:keepNext w:val="0"/>
              <w:keepLines w:val="0"/>
              <w:pageBreakBefore w:val="0"/>
              <w:widowControl w:val="0"/>
              <w:spacing w:line="360" w:lineRule="auto"/>
              <w:ind w:left="0" w:right="0" w:firstLine="480"/>
              <w:outlineLvl w:val="9"/>
              <w:rPr>
                <w:rFonts w:ascii="Times New Roman" w:hAnsi="Times New Roman" w:eastAsia="宋体" w:cs="Times New Roman"/>
                <w:color w:val="000000"/>
                <w:sz w:val="24"/>
                <w:szCs w:val="24"/>
                <w:highlight w:val="none"/>
              </w:rPr>
            </w:pPr>
            <w:r>
              <w:rPr>
                <w:rFonts w:hint="eastAsia" w:ascii="Times New Roman" w:hAnsi="Times New Roman" w:eastAsia="宋体" w:cs="Times New Roman"/>
                <w:bCs/>
                <w:color w:val="000000"/>
                <w:sz w:val="24"/>
                <w:szCs w:val="24"/>
                <w:highlight w:val="none"/>
                <w:lang w:val="en-US" w:eastAsia="zh-CN"/>
              </w:rPr>
              <w:t>项目职工定员为50人，均不在项目区食宿。</w:t>
            </w:r>
            <w:r>
              <w:rPr>
                <w:rFonts w:ascii="Times New Roman" w:hAnsi="Times New Roman" w:eastAsia="宋体" w:cs="Times New Roman"/>
                <w:color w:val="000000"/>
                <w:sz w:val="24"/>
                <w:szCs w:val="24"/>
                <w:highlight w:val="none"/>
              </w:rPr>
              <w:t>用水参照《云南省地方标准</w:t>
            </w:r>
            <w:r>
              <w:rPr>
                <w:rFonts w:ascii="Times New Roman" w:hAnsi="Times New Roman" w:eastAsia="宋体" w:cs="Times New Roman"/>
                <w:color w:val="000000"/>
                <w:sz w:val="24"/>
                <w:szCs w:val="24"/>
                <w:highlight w:val="none"/>
                <w:lang w:val="en-US" w:eastAsia="zh-CN"/>
              </w:rPr>
              <w:t xml:space="preserve"> </w:t>
            </w:r>
            <w:r>
              <w:rPr>
                <w:rFonts w:ascii="Times New Roman" w:hAnsi="Times New Roman" w:eastAsia="宋体" w:cs="Times New Roman"/>
                <w:color w:val="000000"/>
                <w:sz w:val="24"/>
                <w:szCs w:val="24"/>
                <w:highlight w:val="none"/>
              </w:rPr>
              <w:t>用水定额》（DB53/T168-201</w:t>
            </w:r>
            <w:r>
              <w:rPr>
                <w:rFonts w:ascii="Times New Roman" w:hAnsi="Times New Roman" w:eastAsia="宋体" w:cs="Times New Roman"/>
                <w:color w:val="000000"/>
                <w:sz w:val="24"/>
                <w:szCs w:val="24"/>
                <w:highlight w:val="none"/>
                <w:lang w:val="en-US" w:eastAsia="zh-CN"/>
              </w:rPr>
              <w:t>9</w:t>
            </w:r>
            <w:r>
              <w:rPr>
                <w:rFonts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lang w:val="en-US" w:eastAsia="zh-CN"/>
              </w:rPr>
              <w:t>并</w:t>
            </w:r>
            <w:r>
              <w:rPr>
                <w:rFonts w:ascii="Times New Roman" w:hAnsi="Times New Roman" w:eastAsia="宋体" w:cs="Times New Roman"/>
                <w:color w:val="000000"/>
                <w:sz w:val="24"/>
                <w:szCs w:val="24"/>
                <w:highlight w:val="none"/>
              </w:rPr>
              <w:t>结合项目实际情况</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rPr>
              <w:t>按</w:t>
            </w:r>
            <w:r>
              <w:rPr>
                <w:rFonts w:hint="eastAsia" w:ascii="Times New Roman" w:hAnsi="Times New Roman" w:eastAsia="宋体" w:cs="Times New Roman"/>
                <w:color w:val="000000"/>
                <w:sz w:val="24"/>
                <w:szCs w:val="24"/>
                <w:highlight w:val="none"/>
                <w:lang w:val="en-US" w:eastAsia="zh-CN"/>
              </w:rPr>
              <w:t>5</w:t>
            </w:r>
            <w:r>
              <w:rPr>
                <w:rFonts w:ascii="Times New Roman" w:hAnsi="Times New Roman" w:eastAsia="宋体" w:cs="Times New Roman"/>
                <w:color w:val="000000"/>
                <w:sz w:val="24"/>
                <w:szCs w:val="24"/>
                <w:highlight w:val="none"/>
              </w:rPr>
              <w:t>0L/(人·d)核算，则</w:t>
            </w:r>
            <w:r>
              <w:rPr>
                <w:rFonts w:ascii="Times New Roman" w:hAnsi="Times New Roman" w:eastAsia="宋体" w:cs="Times New Roman"/>
                <w:bCs/>
                <w:color w:val="000000"/>
                <w:sz w:val="24"/>
                <w:szCs w:val="24"/>
                <w:highlight w:val="none"/>
                <w:lang w:eastAsia="zh-CN"/>
              </w:rPr>
              <w:t>员工</w:t>
            </w:r>
            <w:r>
              <w:rPr>
                <w:rFonts w:ascii="Times New Roman" w:hAnsi="Times New Roman" w:eastAsia="宋体" w:cs="Times New Roman"/>
                <w:bCs/>
                <w:color w:val="000000"/>
                <w:sz w:val="24"/>
                <w:szCs w:val="24"/>
                <w:highlight w:val="none"/>
              </w:rPr>
              <w:t>办公、生活</w:t>
            </w:r>
            <w:r>
              <w:rPr>
                <w:rFonts w:ascii="Times New Roman" w:hAnsi="Times New Roman" w:eastAsia="宋体" w:cs="Times New Roman"/>
                <w:color w:val="000000"/>
                <w:sz w:val="24"/>
                <w:szCs w:val="24"/>
                <w:highlight w:val="none"/>
              </w:rPr>
              <w:t>用水量为</w:t>
            </w:r>
            <w:r>
              <w:rPr>
                <w:rFonts w:hint="eastAsia" w:ascii="Times New Roman" w:hAnsi="Times New Roman" w:eastAsia="宋体" w:cs="Times New Roman"/>
                <w:color w:val="000000"/>
                <w:sz w:val="24"/>
                <w:szCs w:val="24"/>
                <w:highlight w:val="none"/>
                <w:lang w:val="en-US" w:eastAsia="zh-CN"/>
              </w:rPr>
              <w:t>2.5</w:t>
            </w:r>
            <w:r>
              <w:rPr>
                <w:rFonts w:ascii="Times New Roman" w:hAnsi="Times New Roman" w:eastAsia="宋体" w:cs="Times New Roman"/>
                <w:color w:val="000000"/>
                <w:sz w:val="24"/>
                <w:szCs w:val="24"/>
                <w:highlight w:val="none"/>
              </w:rPr>
              <w:t>m</w:t>
            </w:r>
            <w:r>
              <w:rPr>
                <w:rFonts w:ascii="Times New Roman" w:hAnsi="Times New Roman" w:eastAsia="宋体" w:cs="Times New Roman"/>
                <w:color w:val="000000"/>
                <w:sz w:val="24"/>
                <w:szCs w:val="24"/>
                <w:highlight w:val="none"/>
                <w:vertAlign w:val="superscript"/>
              </w:rPr>
              <w:t>3</w:t>
            </w:r>
            <w:r>
              <w:rPr>
                <w:rFonts w:ascii="Times New Roman" w:hAnsi="Times New Roman" w:eastAsia="宋体" w:cs="Times New Roman"/>
                <w:color w:val="000000"/>
                <w:sz w:val="24"/>
                <w:szCs w:val="24"/>
                <w:highlight w:val="none"/>
              </w:rPr>
              <w:t>/d</w:t>
            </w:r>
            <w:r>
              <w:rPr>
                <w:rFonts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750</w:t>
            </w:r>
            <w:r>
              <w:rPr>
                <w:rFonts w:ascii="Times New Roman" w:hAnsi="Times New Roman" w:eastAsia="宋体" w:cs="Times New Roman"/>
                <w:color w:val="000000"/>
                <w:sz w:val="24"/>
                <w:szCs w:val="24"/>
                <w:highlight w:val="none"/>
              </w:rPr>
              <w:t>m</w:t>
            </w:r>
            <w:r>
              <w:rPr>
                <w:rFonts w:ascii="Times New Roman" w:hAnsi="Times New Roman" w:eastAsia="宋体" w:cs="Times New Roman"/>
                <w:color w:val="000000"/>
                <w:sz w:val="24"/>
                <w:szCs w:val="24"/>
                <w:highlight w:val="none"/>
                <w:vertAlign w:val="superscript"/>
              </w:rPr>
              <w:t>3</w:t>
            </w:r>
            <w:r>
              <w:rPr>
                <w:rFonts w:ascii="Times New Roman" w:hAnsi="Times New Roman" w:eastAsia="宋体" w:cs="Times New Roman"/>
                <w:color w:val="000000"/>
                <w:sz w:val="24"/>
                <w:szCs w:val="24"/>
                <w:highlight w:val="none"/>
              </w:rPr>
              <w:t>/a</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rPr>
              <w:t>排</w:t>
            </w:r>
            <w:r>
              <w:rPr>
                <w:rFonts w:ascii="Times New Roman" w:hAnsi="Times New Roman" w:eastAsia="宋体" w:cs="Times New Roman"/>
                <w:color w:val="000000"/>
                <w:sz w:val="24"/>
                <w:szCs w:val="24"/>
                <w:highlight w:val="none"/>
                <w:lang w:val="en-US" w:eastAsia="zh-CN"/>
              </w:rPr>
              <w:t>污</w:t>
            </w:r>
            <w:r>
              <w:rPr>
                <w:rFonts w:ascii="Times New Roman" w:hAnsi="Times New Roman" w:eastAsia="宋体" w:cs="Times New Roman"/>
                <w:color w:val="000000"/>
                <w:sz w:val="24"/>
                <w:szCs w:val="24"/>
                <w:highlight w:val="none"/>
              </w:rPr>
              <w:t>系数取0.8，污水产生量为</w:t>
            </w:r>
            <w:r>
              <w:rPr>
                <w:rFonts w:hint="eastAsia" w:ascii="Times New Roman" w:hAnsi="Times New Roman" w:eastAsia="宋体" w:cs="Times New Roman"/>
                <w:color w:val="000000"/>
                <w:sz w:val="24"/>
                <w:szCs w:val="24"/>
                <w:highlight w:val="none"/>
                <w:lang w:val="en-US" w:eastAsia="zh-CN"/>
              </w:rPr>
              <w:t>2</w:t>
            </w:r>
            <w:r>
              <w:rPr>
                <w:rFonts w:ascii="Times New Roman" w:hAnsi="Times New Roman" w:eastAsia="宋体" w:cs="Times New Roman"/>
                <w:color w:val="000000"/>
                <w:sz w:val="24"/>
                <w:szCs w:val="24"/>
                <w:highlight w:val="none"/>
              </w:rPr>
              <w:t>m</w:t>
            </w:r>
            <w:r>
              <w:rPr>
                <w:rFonts w:ascii="Times New Roman" w:hAnsi="Times New Roman" w:eastAsia="宋体" w:cs="Times New Roman"/>
                <w:color w:val="000000"/>
                <w:sz w:val="24"/>
                <w:szCs w:val="24"/>
                <w:highlight w:val="none"/>
                <w:vertAlign w:val="superscript"/>
              </w:rPr>
              <w:t>3</w:t>
            </w:r>
            <w:r>
              <w:rPr>
                <w:rFonts w:ascii="Times New Roman" w:hAnsi="Times New Roman" w:eastAsia="宋体" w:cs="Times New Roman"/>
                <w:color w:val="000000"/>
                <w:sz w:val="24"/>
                <w:szCs w:val="24"/>
                <w:highlight w:val="none"/>
              </w:rPr>
              <w:t>/d</w:t>
            </w:r>
            <w:r>
              <w:rPr>
                <w:rFonts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600</w:t>
            </w:r>
            <w:r>
              <w:rPr>
                <w:rFonts w:ascii="Times New Roman" w:hAnsi="Times New Roman" w:eastAsia="宋体" w:cs="Times New Roman"/>
                <w:color w:val="000000"/>
                <w:sz w:val="24"/>
                <w:szCs w:val="24"/>
                <w:highlight w:val="none"/>
              </w:rPr>
              <w:t>m</w:t>
            </w:r>
            <w:r>
              <w:rPr>
                <w:rFonts w:ascii="Times New Roman" w:hAnsi="Times New Roman" w:eastAsia="宋体" w:cs="Times New Roman"/>
                <w:color w:val="000000"/>
                <w:sz w:val="24"/>
                <w:szCs w:val="24"/>
                <w:highlight w:val="none"/>
                <w:vertAlign w:val="superscript"/>
              </w:rPr>
              <w:t>3</w:t>
            </w:r>
            <w:r>
              <w:rPr>
                <w:rFonts w:ascii="Times New Roman" w:hAnsi="Times New Roman" w:eastAsia="宋体" w:cs="Times New Roman"/>
                <w:color w:val="000000"/>
                <w:sz w:val="24"/>
                <w:szCs w:val="24"/>
                <w:highlight w:val="none"/>
              </w:rPr>
              <w:t>/a。</w:t>
            </w:r>
          </w:p>
          <w:p w14:paraId="4FD7EAE2">
            <w:pPr>
              <w:keepNext w:val="0"/>
              <w:keepLines w:val="0"/>
              <w:pageBreakBefore w:val="0"/>
              <w:widowControl w:val="0"/>
              <w:spacing w:line="360" w:lineRule="auto"/>
              <w:ind w:right="0" w:firstLine="480"/>
              <w:rPr>
                <w:rFonts w:ascii="Times New Roman" w:hAnsi="Times New Roman" w:eastAsia="宋体" w:cs="Times New Roman"/>
                <w:bCs/>
                <w:color w:val="000000"/>
                <w:sz w:val="24"/>
                <w:szCs w:val="24"/>
                <w:highlight w:val="none"/>
              </w:rPr>
            </w:pPr>
            <w:r>
              <w:rPr>
                <w:rFonts w:ascii="Times New Roman" w:hAnsi="Times New Roman" w:eastAsia="宋体" w:cs="Times New Roman"/>
                <w:color w:val="000000"/>
                <w:sz w:val="24"/>
                <w:highlight w:val="none"/>
              </w:rPr>
              <w:t>员工生活、办公用水为自来水，员工生活、办公废水经</w:t>
            </w:r>
            <w:r>
              <w:rPr>
                <w:rFonts w:hint="eastAsia" w:ascii="Times New Roman" w:hAnsi="Times New Roman" w:eastAsia="宋体" w:cs="Times New Roman"/>
                <w:color w:val="000000"/>
                <w:sz w:val="24"/>
                <w:highlight w:val="none"/>
                <w:lang w:val="en-US" w:eastAsia="zh-CN"/>
              </w:rPr>
              <w:t>30</w:t>
            </w:r>
            <w:r>
              <w:rPr>
                <w:rFonts w:ascii="Times New Roman" w:hAnsi="Times New Roman" w:eastAsia="宋体" w:cs="Times New Roman"/>
                <w:color w:val="000000"/>
                <w:sz w:val="24"/>
                <w:highlight w:val="none"/>
              </w:rPr>
              <w:t>m</w:t>
            </w:r>
            <w:r>
              <w:rPr>
                <w:rFonts w:ascii="Times New Roman" w:hAnsi="Times New Roman" w:eastAsia="宋体" w:cs="Times New Roman"/>
                <w:color w:val="000000"/>
                <w:sz w:val="24"/>
                <w:highlight w:val="none"/>
                <w:vertAlign w:val="superscript"/>
              </w:rPr>
              <w:t>3</w:t>
            </w:r>
            <w:r>
              <w:rPr>
                <w:rFonts w:ascii="Times New Roman" w:hAnsi="Times New Roman" w:eastAsia="宋体" w:cs="Times New Roman"/>
                <w:color w:val="000000"/>
                <w:sz w:val="24"/>
                <w:highlight w:val="none"/>
              </w:rPr>
              <w:t>化粪池处理</w:t>
            </w:r>
            <w:r>
              <w:rPr>
                <w:rFonts w:ascii="Times New Roman" w:hAnsi="Times New Roman" w:eastAsia="宋体" w:cs="Times New Roman"/>
                <w:color w:val="000000"/>
                <w:sz w:val="24"/>
                <w:highlight w:val="none"/>
                <w:lang w:val="en-US" w:eastAsia="zh-CN"/>
              </w:rPr>
              <w:t>后，</w:t>
            </w:r>
            <w:r>
              <w:rPr>
                <w:rFonts w:hint="eastAsia" w:ascii="Times New Roman" w:hAnsi="Times New Roman" w:eastAsia="宋体" w:cs="Times New Roman"/>
                <w:color w:val="000000"/>
                <w:sz w:val="24"/>
                <w:highlight w:val="none"/>
                <w:lang w:val="en-US" w:eastAsia="zh-CN"/>
              </w:rPr>
              <w:t>定期清掏用作农肥，不外排</w:t>
            </w:r>
            <w:r>
              <w:rPr>
                <w:rFonts w:ascii="Times New Roman" w:hAnsi="Times New Roman" w:eastAsia="宋体" w:cs="Times New Roman"/>
                <w:color w:val="000000"/>
                <w:sz w:val="24"/>
                <w:highlight w:val="none"/>
              </w:rPr>
              <w:t>。</w:t>
            </w:r>
          </w:p>
          <w:p w14:paraId="40B63893">
            <w:pPr>
              <w:spacing w:line="360" w:lineRule="auto"/>
              <w:ind w:firstLine="482"/>
              <w:jc w:val="left"/>
              <w:rPr>
                <w:rFonts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1.2、</w:t>
            </w:r>
            <w:r>
              <w:rPr>
                <w:rFonts w:ascii="Times New Roman" w:hAnsi="Times New Roman" w:eastAsia="宋体" w:cs="Times New Roman"/>
                <w:b/>
                <w:bCs/>
                <w:color w:val="000000"/>
                <w:sz w:val="24"/>
                <w:szCs w:val="24"/>
                <w:highlight w:val="none"/>
                <w:lang w:val="en-US" w:eastAsia="zh-CN"/>
              </w:rPr>
              <w:t>锅炉用水</w:t>
            </w:r>
          </w:p>
          <w:p w14:paraId="17C249AE">
            <w:pPr>
              <w:spacing w:line="360" w:lineRule="auto"/>
              <w:ind w:firstLine="480"/>
              <w:jc w:val="left"/>
              <w:rPr>
                <w:rFonts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木材</w:t>
            </w:r>
            <w:r>
              <w:rPr>
                <w:rFonts w:ascii="Times New Roman" w:hAnsi="Times New Roman" w:eastAsia="宋体" w:cs="Times New Roman"/>
                <w:b w:val="0"/>
                <w:bCs w:val="0"/>
                <w:color w:val="000000"/>
                <w:sz w:val="24"/>
                <w:szCs w:val="24"/>
                <w:highlight w:val="none"/>
                <w:lang w:val="en-US" w:eastAsia="zh-CN"/>
              </w:rPr>
              <w:t>生产过程中需要蒸汽</w:t>
            </w:r>
            <w:r>
              <w:rPr>
                <w:rFonts w:hint="eastAsia" w:ascii="Times New Roman" w:hAnsi="Times New Roman" w:eastAsia="宋体" w:cs="Times New Roman"/>
                <w:b w:val="0"/>
                <w:bCs w:val="0"/>
                <w:color w:val="000000"/>
                <w:sz w:val="24"/>
                <w:szCs w:val="24"/>
                <w:highlight w:val="none"/>
                <w:lang w:val="en-US" w:eastAsia="zh-CN"/>
              </w:rPr>
              <w:t>提供热量进行烘干</w:t>
            </w:r>
            <w:r>
              <w:rPr>
                <w:rFonts w:ascii="Times New Roman" w:hAnsi="Times New Roman" w:eastAsia="宋体" w:cs="Times New Roman"/>
                <w:b w:val="0"/>
                <w:bCs w:val="0"/>
                <w:color w:val="000000"/>
                <w:sz w:val="24"/>
                <w:szCs w:val="24"/>
                <w:highlight w:val="none"/>
                <w:lang w:val="en-US" w:eastAsia="zh-CN"/>
              </w:rPr>
              <w:t>，本项目使用</w:t>
            </w:r>
            <w:r>
              <w:rPr>
                <w:rFonts w:hint="eastAsia" w:ascii="Times New Roman" w:hAnsi="Times New Roman" w:eastAsia="宋体" w:cs="Times New Roman"/>
                <w:b w:val="0"/>
                <w:bCs w:val="0"/>
                <w:color w:val="000000"/>
                <w:sz w:val="24"/>
                <w:szCs w:val="24"/>
                <w:highlight w:val="none"/>
                <w:lang w:val="en-US" w:eastAsia="zh-CN"/>
              </w:rPr>
              <w:t>2t/h</w:t>
            </w:r>
            <w:r>
              <w:rPr>
                <w:rFonts w:ascii="Times New Roman" w:hAnsi="Times New Roman" w:eastAsia="宋体" w:cs="Times New Roman"/>
                <w:b w:val="0"/>
                <w:bCs w:val="0"/>
                <w:color w:val="000000"/>
                <w:sz w:val="24"/>
                <w:szCs w:val="24"/>
                <w:highlight w:val="none"/>
                <w:lang w:val="en-US" w:eastAsia="zh-CN"/>
              </w:rPr>
              <w:t>生物质锅炉为</w:t>
            </w:r>
            <w:r>
              <w:rPr>
                <w:rFonts w:hint="eastAsia" w:ascii="Times New Roman" w:hAnsi="Times New Roman" w:eastAsia="宋体" w:cs="Times New Roman"/>
                <w:b w:val="0"/>
                <w:bCs w:val="0"/>
                <w:color w:val="000000"/>
                <w:sz w:val="24"/>
                <w:szCs w:val="24"/>
                <w:highlight w:val="none"/>
                <w:lang w:val="en-US" w:eastAsia="zh-CN"/>
              </w:rPr>
              <w:t>烘干房提供热量（其中西南桦生产线原料为半成品，无需烘干）</w:t>
            </w:r>
            <w:r>
              <w:rPr>
                <w:rFonts w:ascii="Times New Roman" w:hAnsi="Times New Roman" w:eastAsia="宋体" w:cs="Times New Roman"/>
                <w:b w:val="0"/>
                <w:bCs w:val="0"/>
                <w:color w:val="000000"/>
                <w:sz w:val="24"/>
                <w:szCs w:val="24"/>
                <w:highlight w:val="none"/>
                <w:lang w:val="en-US" w:eastAsia="zh-CN"/>
              </w:rPr>
              <w:t>，每天工作8小时，年生产300天。</w:t>
            </w:r>
          </w:p>
          <w:p w14:paraId="5BF7804C">
            <w:pPr>
              <w:spacing w:line="360" w:lineRule="auto"/>
              <w:ind w:firstLine="482"/>
              <w:jc w:val="left"/>
              <w:rPr>
                <w:rFonts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（1）</w:t>
            </w:r>
            <w:r>
              <w:rPr>
                <w:rFonts w:ascii="Times New Roman" w:hAnsi="Times New Roman" w:eastAsia="宋体" w:cs="Times New Roman"/>
                <w:b/>
                <w:bCs/>
                <w:color w:val="000000"/>
                <w:sz w:val="24"/>
                <w:szCs w:val="24"/>
                <w:highlight w:val="none"/>
                <w:lang w:val="en-US" w:eastAsia="zh-CN"/>
              </w:rPr>
              <w:t>蒸汽用水</w:t>
            </w:r>
          </w:p>
          <w:p w14:paraId="390E74B3">
            <w:pPr>
              <w:spacing w:line="360" w:lineRule="auto"/>
              <w:ind w:firstLine="480"/>
              <w:jc w:val="left"/>
              <w:rPr>
                <w:rFonts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木材</w:t>
            </w:r>
            <w:r>
              <w:rPr>
                <w:rFonts w:ascii="Times New Roman" w:hAnsi="Times New Roman" w:eastAsia="宋体" w:cs="Times New Roman"/>
                <w:b w:val="0"/>
                <w:bCs w:val="0"/>
                <w:color w:val="000000"/>
                <w:sz w:val="24"/>
                <w:szCs w:val="24"/>
                <w:highlight w:val="none"/>
                <w:lang w:val="en-US" w:eastAsia="zh-CN"/>
              </w:rPr>
              <w:t>生产过程中需要蒸汽</w:t>
            </w:r>
            <w:r>
              <w:rPr>
                <w:rFonts w:hint="eastAsia" w:ascii="Times New Roman" w:hAnsi="Times New Roman" w:eastAsia="宋体" w:cs="Times New Roman"/>
                <w:b w:val="0"/>
                <w:bCs w:val="0"/>
                <w:color w:val="000000"/>
                <w:sz w:val="24"/>
                <w:szCs w:val="24"/>
                <w:highlight w:val="none"/>
                <w:lang w:val="en-US" w:eastAsia="zh-CN"/>
              </w:rPr>
              <w:t>提供热量进行烘干</w:t>
            </w:r>
            <w:r>
              <w:rPr>
                <w:rFonts w:ascii="Times New Roman" w:hAnsi="Times New Roman" w:eastAsia="宋体" w:cs="Times New Roman"/>
                <w:b w:val="0"/>
                <w:bCs w:val="0"/>
                <w:color w:val="000000"/>
                <w:sz w:val="24"/>
                <w:szCs w:val="24"/>
                <w:highlight w:val="none"/>
                <w:lang w:val="en-US" w:eastAsia="zh-CN"/>
              </w:rPr>
              <w:t>，本项目使用</w:t>
            </w:r>
            <w:r>
              <w:rPr>
                <w:rFonts w:hint="eastAsia" w:ascii="Times New Roman" w:hAnsi="Times New Roman" w:eastAsia="宋体" w:cs="Times New Roman"/>
                <w:b w:val="0"/>
                <w:bCs w:val="0"/>
                <w:color w:val="000000"/>
                <w:sz w:val="24"/>
                <w:szCs w:val="24"/>
                <w:highlight w:val="none"/>
                <w:lang w:val="en-US" w:eastAsia="zh-CN"/>
              </w:rPr>
              <w:t>2</w:t>
            </w:r>
            <w:r>
              <w:rPr>
                <w:rFonts w:ascii="Times New Roman" w:hAnsi="Times New Roman" w:eastAsia="宋体" w:cs="Times New Roman"/>
                <w:b w:val="0"/>
                <w:bCs w:val="0"/>
                <w:color w:val="000000"/>
                <w:sz w:val="24"/>
                <w:szCs w:val="24"/>
                <w:highlight w:val="none"/>
                <w:lang w:val="en-US" w:eastAsia="zh-CN"/>
              </w:rPr>
              <w:t>t/h生物质锅炉</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lang w:val="en-US" w:eastAsia="zh-CN"/>
              </w:rPr>
              <w:t>不考虑管道蒸发损耗和锅炉排水，</w:t>
            </w:r>
            <w:r>
              <w:rPr>
                <w:rFonts w:ascii="Times New Roman" w:hAnsi="Times New Roman" w:eastAsia="宋体" w:cs="Times New Roman"/>
                <w:color w:val="000000"/>
                <w:sz w:val="24"/>
                <w:szCs w:val="24"/>
              </w:rPr>
              <w:t>锅炉蒸汽用水量为</w:t>
            </w:r>
            <w:r>
              <w:rPr>
                <w:rFonts w:hint="eastAsia" w:ascii="Times New Roman" w:hAnsi="Times New Roman" w:eastAsia="宋体" w:cs="Times New Roman"/>
                <w:color w:val="000000"/>
                <w:sz w:val="24"/>
                <w:szCs w:val="24"/>
                <w:lang w:val="en-US" w:eastAsia="zh-CN"/>
              </w:rPr>
              <w:t>16</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ascii="Times New Roman" w:hAnsi="Times New Roman" w:eastAsia="宋体" w:cs="Times New Roman"/>
                <w:color w:val="000000"/>
                <w:sz w:val="24"/>
                <w:szCs w:val="24"/>
                <w:lang w:val="en-US" w:eastAsia="zh-CN"/>
              </w:rPr>
              <w:t>全部</w:t>
            </w:r>
            <w:r>
              <w:rPr>
                <w:rFonts w:hint="eastAsia" w:ascii="Times New Roman" w:hAnsi="Times New Roman" w:eastAsia="宋体" w:cs="Times New Roman"/>
                <w:color w:val="000000"/>
                <w:sz w:val="24"/>
                <w:szCs w:val="24"/>
                <w:lang w:val="en-US" w:eastAsia="zh-CN"/>
              </w:rPr>
              <w:t>蒸发</w:t>
            </w:r>
            <w:r>
              <w:rPr>
                <w:rFonts w:ascii="Times New Roman" w:hAnsi="Times New Roman" w:eastAsia="宋体" w:cs="Times New Roman"/>
                <w:color w:val="000000"/>
                <w:sz w:val="24"/>
                <w:szCs w:val="24"/>
              </w:rPr>
              <w:t>，无废水产生。</w:t>
            </w:r>
          </w:p>
          <w:p w14:paraId="4C485322">
            <w:pPr>
              <w:spacing w:line="360" w:lineRule="auto"/>
              <w:ind w:firstLine="432"/>
              <w:jc w:val="both"/>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lang w:val="en-US" w:eastAsia="zh-CN"/>
              </w:rPr>
              <w:t>（2）</w:t>
            </w:r>
            <w:r>
              <w:rPr>
                <w:rFonts w:ascii="Times New Roman" w:hAnsi="Times New Roman" w:eastAsia="宋体" w:cs="Times New Roman"/>
                <w:b/>
                <w:bCs/>
                <w:color w:val="000000"/>
                <w:sz w:val="24"/>
                <w:szCs w:val="24"/>
              </w:rPr>
              <w:t>管道蒸发损耗</w:t>
            </w:r>
          </w:p>
          <w:p w14:paraId="73B4CC76">
            <w:pPr>
              <w:spacing w:line="360" w:lineRule="auto"/>
              <w:ind w:firstLine="432"/>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锅炉产生蒸汽经管道输送至生产线</w:t>
            </w:r>
            <w:r>
              <w:rPr>
                <w:rFonts w:hint="eastAsia" w:ascii="Times New Roman" w:hAnsi="Times New Roman" w:eastAsia="宋体" w:cs="Times New Roman"/>
                <w:color w:val="000000"/>
                <w:sz w:val="24"/>
                <w:szCs w:val="24"/>
                <w:lang w:val="en-US" w:eastAsia="zh-CN"/>
              </w:rPr>
              <w:t>烘干房</w:t>
            </w:r>
            <w:r>
              <w:rPr>
                <w:rFonts w:ascii="Times New Roman" w:hAnsi="Times New Roman" w:eastAsia="宋体" w:cs="Times New Roman"/>
                <w:color w:val="000000"/>
                <w:sz w:val="24"/>
                <w:szCs w:val="24"/>
              </w:rPr>
              <w:t>使用，输送过程中会因冷凝</w:t>
            </w:r>
            <w:r>
              <w:rPr>
                <w:rFonts w:hint="eastAsia" w:ascii="Times New Roman" w:hAnsi="Times New Roman" w:eastAsia="宋体" w:cs="Times New Roman"/>
                <w:color w:val="000000"/>
                <w:sz w:val="24"/>
                <w:szCs w:val="24"/>
                <w:lang w:val="en-US" w:eastAsia="zh-CN"/>
              </w:rPr>
              <w:t>等</w:t>
            </w:r>
            <w:r>
              <w:rPr>
                <w:rFonts w:ascii="Times New Roman" w:hAnsi="Times New Roman" w:eastAsia="宋体" w:cs="Times New Roman"/>
                <w:color w:val="000000"/>
                <w:sz w:val="24"/>
                <w:szCs w:val="24"/>
              </w:rPr>
              <w:t>产生一定的损耗量，管道蒸发损耗量占锅炉蒸汽用水量的3%，经计算得，锅炉蒸发损耗水量为</w:t>
            </w:r>
            <w:r>
              <w:rPr>
                <w:rFonts w:hint="eastAsia" w:ascii="Times New Roman" w:hAnsi="Times New Roman" w:eastAsia="宋体" w:cs="Times New Roman"/>
                <w:color w:val="000000"/>
                <w:sz w:val="24"/>
                <w:szCs w:val="24"/>
                <w:lang w:val="en-US" w:eastAsia="zh-CN"/>
              </w:rPr>
              <w:t>16</w:t>
            </w:r>
            <w:r>
              <w:rPr>
                <w:rFonts w:ascii="Times New Roman" w:hAnsi="Times New Roman" w:eastAsia="宋体" w:cs="Times New Roman"/>
                <w:color w:val="000000"/>
                <w:sz w:val="24"/>
                <w:szCs w:val="24"/>
              </w:rPr>
              <w:t>×3%=0.</w:t>
            </w:r>
            <w:r>
              <w:rPr>
                <w:rFonts w:hint="eastAsia" w:ascii="Times New Roman" w:hAnsi="Times New Roman" w:eastAsia="宋体" w:cs="Times New Roman"/>
                <w:color w:val="000000"/>
                <w:sz w:val="24"/>
                <w:szCs w:val="24"/>
                <w:lang w:val="en-US" w:eastAsia="zh-CN"/>
              </w:rPr>
              <w:t>48</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hint="eastAsia" w:ascii="Times New Roman" w:hAnsi="Times New Roman" w:eastAsia="宋体" w:cs="Times New Roman"/>
                <w:color w:val="000000"/>
                <w:sz w:val="24"/>
                <w:szCs w:val="24"/>
                <w:lang w:val="en-US" w:eastAsia="zh-CN"/>
              </w:rPr>
              <w:t>144</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w:t>
            </w:r>
          </w:p>
          <w:p w14:paraId="7CD33FD5">
            <w:pPr>
              <w:spacing w:line="360" w:lineRule="auto"/>
              <w:ind w:firstLine="432"/>
              <w:jc w:val="left"/>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lang w:eastAsia="zh-CN"/>
              </w:rPr>
              <w:t>（</w:t>
            </w:r>
            <w:r>
              <w:rPr>
                <w:rFonts w:hint="eastAsia" w:ascii="Times New Roman" w:hAnsi="Times New Roman" w:eastAsia="宋体" w:cs="Times New Roman"/>
                <w:b/>
                <w:color w:val="000000"/>
                <w:sz w:val="24"/>
                <w:szCs w:val="24"/>
                <w:lang w:val="en-US" w:eastAsia="zh-CN"/>
              </w:rPr>
              <w:t>3</w:t>
            </w:r>
            <w:r>
              <w:rPr>
                <w:rFonts w:hint="eastAsia" w:ascii="Times New Roman" w:hAnsi="Times New Roman" w:eastAsia="宋体" w:cs="Times New Roman"/>
                <w:b/>
                <w:color w:val="000000"/>
                <w:sz w:val="24"/>
                <w:szCs w:val="24"/>
                <w:lang w:eastAsia="zh-CN"/>
              </w:rPr>
              <w:t>）</w:t>
            </w:r>
            <w:r>
              <w:rPr>
                <w:rFonts w:ascii="Times New Roman" w:hAnsi="Times New Roman" w:eastAsia="宋体" w:cs="Times New Roman"/>
                <w:b/>
                <w:color w:val="000000"/>
                <w:sz w:val="24"/>
                <w:szCs w:val="24"/>
              </w:rPr>
              <w:t>锅炉排水</w:t>
            </w:r>
          </w:p>
          <w:p w14:paraId="15341065">
            <w:pPr>
              <w:spacing w:line="360" w:lineRule="auto"/>
              <w:ind w:firstLine="432"/>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根据工艺设计参数</w:t>
            </w:r>
            <w:r>
              <w:rPr>
                <w:rFonts w:ascii="Times New Roman" w:hAnsi="Times New Roman" w:eastAsia="宋体" w:cs="Times New Roman"/>
                <w:color w:val="000000"/>
                <w:sz w:val="24"/>
                <w:szCs w:val="24"/>
                <w:lang w:val="en-US" w:eastAsia="zh-CN"/>
              </w:rPr>
              <w:t>及建设单位提供</w:t>
            </w:r>
            <w:r>
              <w:rPr>
                <w:rFonts w:ascii="Times New Roman" w:hAnsi="Times New Roman" w:eastAsia="宋体" w:cs="Times New Roman"/>
                <w:color w:val="000000"/>
                <w:sz w:val="24"/>
                <w:szCs w:val="24"/>
              </w:rPr>
              <w:t>的</w:t>
            </w:r>
            <w:r>
              <w:rPr>
                <w:rFonts w:ascii="Times New Roman" w:hAnsi="Times New Roman" w:eastAsia="宋体" w:cs="Times New Roman"/>
                <w:color w:val="000000"/>
                <w:sz w:val="24"/>
                <w:szCs w:val="24"/>
                <w:lang w:val="en-US" w:eastAsia="zh-CN"/>
              </w:rPr>
              <w:t>以往生产经验数据</w:t>
            </w:r>
            <w:r>
              <w:rPr>
                <w:rFonts w:ascii="Times New Roman" w:hAnsi="Times New Roman" w:eastAsia="宋体" w:cs="Times New Roman"/>
                <w:color w:val="000000"/>
                <w:sz w:val="24"/>
                <w:szCs w:val="24"/>
              </w:rPr>
              <w:t>，锅炉定期排水，每天排水1次，锅炉排水为清净下水，含少量细小颗粒物。根据锅炉参数，锅炉排水量为锅炉蒸汽用水量的2.5%，经计算的锅炉排水量约为</w:t>
            </w:r>
            <w:r>
              <w:rPr>
                <w:rFonts w:hint="eastAsia" w:ascii="Times New Roman" w:hAnsi="Times New Roman" w:eastAsia="宋体" w:cs="Times New Roman"/>
                <w:color w:val="000000"/>
                <w:sz w:val="24"/>
                <w:szCs w:val="24"/>
                <w:lang w:val="en-US" w:eastAsia="zh-CN"/>
              </w:rPr>
              <w:t>16</w:t>
            </w:r>
            <w:r>
              <w:rPr>
                <w:rFonts w:ascii="Times New Roman" w:hAnsi="Times New Roman" w:eastAsia="宋体" w:cs="Times New Roman"/>
                <w:color w:val="000000"/>
                <w:sz w:val="24"/>
                <w:szCs w:val="24"/>
                <w:vertAlign w:val="baseline"/>
                <w:lang w:val="en-US" w:eastAsia="zh-CN"/>
              </w:rPr>
              <w:t>×2.5%=</w:t>
            </w:r>
            <w:r>
              <w:rPr>
                <w:rFonts w:ascii="Times New Roman" w:hAnsi="Times New Roman" w:eastAsia="宋体" w:cs="Times New Roman"/>
                <w:color w:val="000000"/>
                <w:sz w:val="24"/>
                <w:szCs w:val="24"/>
              </w:rPr>
              <w:t>0.</w:t>
            </w:r>
            <w:r>
              <w:rPr>
                <w:rFonts w:hint="eastAsia" w:ascii="Times New Roman" w:hAnsi="Times New Roman" w:eastAsia="宋体" w:cs="Times New Roman"/>
                <w:color w:val="000000"/>
                <w:sz w:val="24"/>
                <w:szCs w:val="24"/>
                <w:lang w:val="en-US" w:eastAsia="zh-CN"/>
              </w:rPr>
              <w:t>4</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hint="eastAsia" w:ascii="Times New Roman" w:hAnsi="Times New Roman" w:eastAsia="宋体" w:cs="Times New Roman"/>
                <w:color w:val="000000"/>
                <w:sz w:val="24"/>
                <w:szCs w:val="24"/>
                <w:lang w:val="en-US" w:eastAsia="zh-CN"/>
              </w:rPr>
              <w:t>120</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w:t>
            </w:r>
          </w:p>
          <w:p w14:paraId="6D0BDD02">
            <w:pPr>
              <w:keepNext w:val="0"/>
              <w:keepLines w:val="0"/>
              <w:pageBreakBefore w:val="0"/>
              <w:widowControl w:val="0"/>
              <w:spacing w:line="360" w:lineRule="auto"/>
              <w:ind w:left="0" w:right="0" w:firstLine="480"/>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综上，考虑管道蒸发损耗及锅炉排水损耗，锅炉用水量为</w:t>
            </w:r>
            <w:r>
              <w:rPr>
                <w:rFonts w:hint="eastAsia" w:ascii="Times New Roman" w:hAnsi="Times New Roman" w:eastAsia="宋体" w:cs="Times New Roman"/>
                <w:color w:val="000000"/>
                <w:sz w:val="24"/>
                <w:szCs w:val="24"/>
                <w:lang w:val="en-US" w:eastAsia="zh-CN"/>
              </w:rPr>
              <w:t>16</w:t>
            </w:r>
            <w:r>
              <w:rPr>
                <w:rFonts w:ascii="Times New Roman" w:hAnsi="Times New Roman" w:eastAsia="宋体" w:cs="Times New Roman"/>
                <w:color w:val="000000"/>
                <w:sz w:val="24"/>
                <w:szCs w:val="24"/>
              </w:rPr>
              <w:t>×（1+3%+2.5%</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val="en-US" w:eastAsia="zh-CN"/>
              </w:rPr>
              <w:t>16.88</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hint="eastAsia" w:ascii="Times New Roman" w:hAnsi="Times New Roman" w:eastAsia="宋体" w:cs="Times New Roman"/>
                <w:color w:val="000000"/>
                <w:sz w:val="24"/>
                <w:szCs w:val="24"/>
                <w:lang w:val="en-US" w:eastAsia="zh-CN"/>
              </w:rPr>
              <w:t>5064</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/a，其中3%为管道蒸发损耗，2.5%为锅炉排水。</w:t>
            </w:r>
          </w:p>
          <w:p w14:paraId="2D76F4CE">
            <w:pPr>
              <w:keepNext w:val="0"/>
              <w:keepLines w:val="0"/>
              <w:pageBreakBefore w:val="0"/>
              <w:widowControl w:val="0"/>
              <w:spacing w:line="360" w:lineRule="auto"/>
              <w:ind w:left="0" w:right="0" w:firstLine="480"/>
              <w:outlineLvl w:val="9"/>
              <w:rPr>
                <w:rFonts w:hint="eastAsia" w:ascii="Times New Roman" w:hAnsi="Times New Roman" w:eastAsia="宋体" w:cs="Times New Roman"/>
                <w:b/>
                <w:color w:val="000000"/>
                <w:sz w:val="24"/>
                <w:szCs w:val="24"/>
                <w:lang w:val="en-US" w:eastAsia="zh-CN"/>
              </w:rPr>
            </w:pPr>
            <w:r>
              <w:rPr>
                <w:rFonts w:ascii="Times New Roman" w:hAnsi="Times New Roman" w:eastAsia="宋体" w:cs="Times New Roman"/>
                <w:color w:val="000000"/>
                <w:sz w:val="24"/>
                <w:szCs w:val="24"/>
              </w:rPr>
              <w:t>锅炉排水为清净下水，</w:t>
            </w:r>
            <w:r>
              <w:rPr>
                <w:rFonts w:hint="eastAsia" w:ascii="Times New Roman" w:hAnsi="Times New Roman" w:eastAsia="宋体" w:cs="Times New Roman"/>
                <w:color w:val="000000"/>
                <w:sz w:val="24"/>
                <w:szCs w:val="24"/>
                <w:lang w:val="en-US" w:eastAsia="zh-CN"/>
              </w:rPr>
              <w:t xml:space="preserve">回用于厂区洒水降尘，该部分废水自然蒸发，不外排。 </w:t>
            </w:r>
          </w:p>
          <w:p w14:paraId="384C2ED3">
            <w:pPr>
              <w:keepNext w:val="0"/>
              <w:keepLines w:val="0"/>
              <w:pageBreakBefore w:val="0"/>
              <w:widowControl w:val="0"/>
              <w:spacing w:line="360" w:lineRule="auto"/>
              <w:ind w:left="0" w:right="0" w:firstLine="482"/>
              <w:outlineLvl w:val="9"/>
              <w:rPr>
                <w:rFonts w:ascii="Times New Roman" w:hAnsi="Times New Roman" w:eastAsia="宋体" w:cs="Times New Roman"/>
                <w:b/>
                <w:color w:val="000000"/>
                <w:sz w:val="24"/>
                <w:szCs w:val="24"/>
                <w:lang w:val="en-US" w:eastAsia="zh-CN"/>
              </w:rPr>
            </w:pPr>
            <w:r>
              <w:rPr>
                <w:rFonts w:hint="eastAsia" w:ascii="Times New Roman" w:hAnsi="Times New Roman" w:eastAsia="宋体" w:cs="Times New Roman"/>
                <w:b/>
                <w:color w:val="000000"/>
                <w:sz w:val="24"/>
                <w:szCs w:val="24"/>
                <w:lang w:val="en-US" w:eastAsia="zh-CN"/>
              </w:rPr>
              <w:t>1.3、调胶用水</w:t>
            </w:r>
          </w:p>
          <w:p w14:paraId="6C7B5273">
            <w:pPr>
              <w:keepNext w:val="0"/>
              <w:keepLines w:val="0"/>
              <w:pageBreakBefore w:val="0"/>
              <w:widowControl w:val="0"/>
              <w:spacing w:line="360" w:lineRule="auto"/>
              <w:ind w:left="0" w:right="0" w:firstLine="480"/>
              <w:outlineLvl w:val="9"/>
              <w:rPr>
                <w:rFonts w:hint="eastAsia" w:ascii="Times New Roman" w:hAnsi="Times New Roman" w:eastAsia="宋体" w:cs="Times New Roman"/>
                <w:b/>
                <w:color w:val="000000"/>
                <w:sz w:val="24"/>
                <w:szCs w:val="24"/>
                <w:lang w:val="en-US" w:eastAsia="zh-CN"/>
              </w:rPr>
            </w:pPr>
            <w:r>
              <w:rPr>
                <w:rFonts w:hint="eastAsia" w:ascii="Times New Roman" w:hAnsi="Times New Roman" w:eastAsia="宋体" w:cs="Times New Roman"/>
                <w:b w:val="0"/>
                <w:bCs/>
                <w:color w:val="000000"/>
                <w:sz w:val="24"/>
                <w:szCs w:val="24"/>
                <w:lang w:val="en-US" w:eastAsia="zh-CN"/>
              </w:rPr>
              <w:t>根据建设单位提供资料，调胶用水约0.2</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hint="eastAsia" w:ascii="Times New Roman" w:hAnsi="Times New Roman" w:eastAsia="宋体" w:cs="Times New Roman"/>
                <w:color w:val="000000"/>
                <w:sz w:val="24"/>
                <w:szCs w:val="24"/>
                <w:lang w:val="en-US" w:eastAsia="zh-CN"/>
              </w:rPr>
              <w:t>60</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w:t>
            </w:r>
            <w:r>
              <w:rPr>
                <w:rFonts w:hint="eastAsia" w:ascii="Times New Roman" w:hAnsi="Times New Roman" w:eastAsia="宋体" w:cs="Times New Roman"/>
                <w:color w:val="000000"/>
                <w:sz w:val="24"/>
                <w:szCs w:val="24"/>
                <w:lang w:val="en-US" w:eastAsia="zh-CN"/>
              </w:rPr>
              <w:t>该部分用水全部随胶水进入产品，无废水产生。</w:t>
            </w:r>
          </w:p>
          <w:p w14:paraId="12081C22">
            <w:pPr>
              <w:keepNext w:val="0"/>
              <w:keepLines w:val="0"/>
              <w:pageBreakBefore w:val="0"/>
              <w:widowControl w:val="0"/>
              <w:spacing w:line="360" w:lineRule="auto"/>
              <w:ind w:left="0" w:right="0" w:firstLine="482"/>
              <w:outlineLvl w:val="9"/>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lang w:val="en-US" w:eastAsia="zh-CN"/>
              </w:rPr>
              <w:t>1.4、</w:t>
            </w:r>
            <w:r>
              <w:rPr>
                <w:rFonts w:ascii="Times New Roman" w:hAnsi="Times New Roman" w:eastAsia="宋体" w:cs="Times New Roman"/>
                <w:b/>
                <w:color w:val="000000"/>
                <w:sz w:val="24"/>
                <w:szCs w:val="24"/>
              </w:rPr>
              <w:t>初期雨水</w:t>
            </w:r>
          </w:p>
          <w:p w14:paraId="0660E7F0">
            <w:pPr>
              <w:keepNext w:val="0"/>
              <w:keepLines w:val="0"/>
              <w:pageBreakBefore w:val="0"/>
              <w:widowControl w:val="0"/>
              <w:spacing w:line="360" w:lineRule="auto"/>
              <w:ind w:left="0" w:right="0" w:firstLine="480"/>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厂区周围设置雨水沟，在降雨初期项目区内地面冲刷会带走地面及厂房顶部粉尘，初期雨水不得直接进入地表水体。</w:t>
            </w:r>
            <w:r>
              <w:rPr>
                <w:rFonts w:hint="eastAsia" w:ascii="Times New Roman" w:hAnsi="Times New Roman" w:eastAsia="宋体" w:cs="Times New Roman"/>
                <w:color w:val="000000"/>
                <w:sz w:val="24"/>
                <w:szCs w:val="24"/>
                <w:shd w:val="clear" w:color="auto" w:fill="auto"/>
                <w:lang w:val="en-US" w:eastAsia="zh-CN"/>
              </w:rPr>
              <w:t>本次汇水面积考虑项目原料堆场、生产</w:t>
            </w:r>
            <w:r>
              <w:rPr>
                <w:rFonts w:ascii="Times New Roman" w:hAnsi="Times New Roman" w:eastAsia="宋体" w:cs="Times New Roman"/>
                <w:color w:val="000000"/>
                <w:sz w:val="24"/>
                <w:szCs w:val="24"/>
                <w:shd w:val="clear" w:color="auto" w:fill="auto"/>
              </w:rPr>
              <w:t>厂房顶部</w:t>
            </w:r>
            <w:r>
              <w:rPr>
                <w:rFonts w:hint="eastAsia" w:ascii="Times New Roman" w:hAnsi="Times New Roman" w:eastAsia="宋体" w:cs="Times New Roman"/>
                <w:color w:val="000000"/>
                <w:sz w:val="24"/>
                <w:szCs w:val="24"/>
                <w:shd w:val="clear" w:color="auto" w:fill="auto"/>
                <w:lang w:val="en-US" w:eastAsia="zh-CN"/>
              </w:rPr>
              <w:t>及周边区域，项目生产厂房共计5000</w:t>
            </w:r>
            <w:r>
              <w:rPr>
                <w:rFonts w:ascii="Times New Roman" w:hAnsi="Times New Roman" w:eastAsia="宋体" w:cs="Times New Roman"/>
                <w:color w:val="000000"/>
                <w:sz w:val="24"/>
                <w:szCs w:val="24"/>
                <w:shd w:val="clear" w:color="auto" w:fill="auto"/>
              </w:rPr>
              <w:t>m</w:t>
            </w:r>
            <w:r>
              <w:rPr>
                <w:rFonts w:ascii="Times New Roman" w:hAnsi="Times New Roman" w:eastAsia="宋体" w:cs="Times New Roman"/>
                <w:color w:val="000000"/>
                <w:sz w:val="24"/>
                <w:szCs w:val="24"/>
                <w:shd w:val="clear" w:color="auto" w:fill="auto"/>
                <w:vertAlign w:val="superscript"/>
              </w:rPr>
              <w:t>2</w:t>
            </w:r>
            <w:r>
              <w:rPr>
                <w:rFonts w:hint="eastAsia" w:ascii="Times New Roman" w:hAnsi="Times New Roman" w:eastAsia="宋体" w:cs="Times New Roman"/>
                <w:color w:val="000000"/>
                <w:sz w:val="24"/>
                <w:szCs w:val="24"/>
                <w:shd w:val="clear" w:color="auto" w:fill="auto"/>
                <w:lang w:eastAsia="zh-CN"/>
              </w:rPr>
              <w:t>，</w:t>
            </w:r>
            <w:r>
              <w:rPr>
                <w:rFonts w:hint="eastAsia" w:ascii="Times New Roman" w:hAnsi="Times New Roman" w:eastAsia="宋体" w:cs="Times New Roman"/>
                <w:color w:val="000000"/>
                <w:sz w:val="24"/>
                <w:szCs w:val="24"/>
                <w:shd w:val="clear" w:color="auto" w:fill="auto"/>
                <w:lang w:val="en-US" w:eastAsia="zh-CN"/>
              </w:rPr>
              <w:t>原料堆场2000</w:t>
            </w:r>
            <w:r>
              <w:rPr>
                <w:rFonts w:ascii="Times New Roman" w:hAnsi="Times New Roman" w:eastAsia="宋体" w:cs="Times New Roman"/>
                <w:color w:val="000000"/>
                <w:sz w:val="24"/>
                <w:szCs w:val="24"/>
                <w:shd w:val="clear" w:color="auto" w:fill="auto"/>
              </w:rPr>
              <w:t>m</w:t>
            </w:r>
            <w:r>
              <w:rPr>
                <w:rFonts w:ascii="Times New Roman" w:hAnsi="Times New Roman" w:eastAsia="宋体" w:cs="Times New Roman"/>
                <w:color w:val="000000"/>
                <w:sz w:val="24"/>
                <w:szCs w:val="24"/>
                <w:shd w:val="clear" w:color="auto" w:fill="auto"/>
                <w:vertAlign w:val="superscript"/>
              </w:rPr>
              <w:t>2</w:t>
            </w:r>
            <w:r>
              <w:rPr>
                <w:rFonts w:hint="eastAsia" w:ascii="Times New Roman" w:hAnsi="Times New Roman" w:eastAsia="宋体" w:cs="Times New Roman"/>
                <w:color w:val="000000"/>
                <w:sz w:val="24"/>
                <w:szCs w:val="24"/>
                <w:shd w:val="clear" w:color="auto" w:fill="auto"/>
                <w:lang w:eastAsia="zh-CN"/>
              </w:rPr>
              <w:t>，</w:t>
            </w:r>
            <w:r>
              <w:rPr>
                <w:rFonts w:hint="eastAsia" w:ascii="Times New Roman" w:hAnsi="Times New Roman" w:eastAsia="宋体" w:cs="Times New Roman"/>
                <w:color w:val="000000"/>
                <w:sz w:val="24"/>
                <w:szCs w:val="24"/>
                <w:shd w:val="clear" w:color="auto" w:fill="auto"/>
                <w:lang w:val="en-US" w:eastAsia="zh-CN"/>
              </w:rPr>
              <w:t>再加上生产区及堆场周边部分空地，本次以10000</w:t>
            </w:r>
            <w:r>
              <w:rPr>
                <w:rFonts w:ascii="Times New Roman" w:hAnsi="Times New Roman" w:eastAsia="宋体" w:cs="Times New Roman"/>
                <w:color w:val="000000"/>
                <w:sz w:val="24"/>
                <w:szCs w:val="24"/>
                <w:shd w:val="clear" w:color="auto" w:fill="auto"/>
              </w:rPr>
              <w:t>m</w:t>
            </w:r>
            <w:r>
              <w:rPr>
                <w:rFonts w:ascii="Times New Roman" w:hAnsi="Times New Roman" w:eastAsia="宋体" w:cs="Times New Roman"/>
                <w:color w:val="000000"/>
                <w:sz w:val="24"/>
                <w:szCs w:val="24"/>
                <w:shd w:val="clear" w:color="auto" w:fill="auto"/>
                <w:vertAlign w:val="superscript"/>
              </w:rPr>
              <w:t>2</w:t>
            </w:r>
            <w:r>
              <w:rPr>
                <w:rFonts w:hint="eastAsia" w:ascii="Times New Roman" w:hAnsi="Times New Roman" w:eastAsia="宋体" w:cs="Times New Roman"/>
                <w:color w:val="000000"/>
                <w:sz w:val="24"/>
                <w:szCs w:val="24"/>
                <w:shd w:val="clear" w:color="auto" w:fill="auto"/>
                <w:vertAlign w:val="baseline"/>
                <w:lang w:val="en-US" w:eastAsia="zh-CN"/>
              </w:rPr>
              <w:t>计</w:t>
            </w:r>
            <w:r>
              <w:rPr>
                <w:rFonts w:hint="eastAsia" w:ascii="Times New Roman" w:hAnsi="Times New Roman" w:eastAsia="宋体" w:cs="Times New Roman"/>
                <w:color w:val="000000"/>
                <w:sz w:val="24"/>
                <w:szCs w:val="24"/>
                <w:shd w:val="clear" w:color="auto" w:fill="auto"/>
                <w:lang w:eastAsia="zh-CN"/>
              </w:rPr>
              <w:t>，</w:t>
            </w:r>
            <w:r>
              <w:rPr>
                <w:rFonts w:ascii="Times New Roman" w:hAnsi="Times New Roman" w:eastAsia="宋体" w:cs="Times New Roman"/>
                <w:color w:val="000000"/>
                <w:sz w:val="24"/>
                <w:szCs w:val="24"/>
              </w:rPr>
              <w:t>本次环评提出对</w:t>
            </w:r>
            <w:r>
              <w:rPr>
                <w:rFonts w:hint="eastAsia" w:ascii="Times New Roman" w:hAnsi="Times New Roman" w:eastAsia="宋体" w:cs="Times New Roman"/>
                <w:color w:val="000000"/>
                <w:sz w:val="24"/>
                <w:szCs w:val="24"/>
                <w:lang w:val="en-US" w:eastAsia="zh-CN"/>
              </w:rPr>
              <w:t>该区域</w:t>
            </w:r>
            <w:r>
              <w:rPr>
                <w:rFonts w:ascii="Times New Roman" w:hAnsi="Times New Roman" w:eastAsia="宋体" w:cs="Times New Roman"/>
                <w:color w:val="000000"/>
                <w:sz w:val="24"/>
                <w:szCs w:val="24"/>
              </w:rPr>
              <w:t>初期雨水（前15min）进行收集，初期雨水产生量采取下面公式计算：</w:t>
            </w:r>
          </w:p>
          <w:p w14:paraId="31C76D98">
            <w:pPr>
              <w:keepNext w:val="0"/>
              <w:keepLines w:val="0"/>
              <w:pageBreakBefore w:val="0"/>
              <w:widowControl w:val="0"/>
              <w:spacing w:line="360" w:lineRule="auto"/>
              <w:ind w:left="0" w:right="0" w:firstLine="0"/>
              <w:jc w:val="center"/>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Q=Ψ×q×F</w:t>
            </w:r>
          </w:p>
          <w:p w14:paraId="3A39A56E">
            <w:pPr>
              <w:keepNext w:val="0"/>
              <w:keepLines w:val="0"/>
              <w:pageBreakBefore w:val="0"/>
              <w:widowControl w:val="0"/>
              <w:spacing w:line="360" w:lineRule="auto"/>
              <w:ind w:left="420" w:right="0" w:firstLine="480"/>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式中：Q—雨水流量（L/s）；</w:t>
            </w:r>
          </w:p>
          <w:p w14:paraId="68B1BBAA">
            <w:pPr>
              <w:keepNext w:val="0"/>
              <w:keepLines w:val="0"/>
              <w:pageBreakBefore w:val="0"/>
              <w:widowControl w:val="0"/>
              <w:spacing w:line="360" w:lineRule="auto"/>
              <w:ind w:left="420" w:right="0" w:firstLine="1200"/>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Ψ—径流系数</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取0.</w:t>
            </w:r>
            <w:r>
              <w:rPr>
                <w:rFonts w:hint="eastAsia" w:ascii="Times New Roman" w:hAnsi="Times New Roman" w:eastAsia="宋体" w:cs="Times New Roman"/>
                <w:color w:val="000000"/>
                <w:sz w:val="24"/>
                <w:szCs w:val="24"/>
                <w:lang w:val="en-US" w:eastAsia="zh-CN"/>
              </w:rPr>
              <w:t>9</w:t>
            </w:r>
            <w:r>
              <w:rPr>
                <w:rFonts w:ascii="Times New Roman" w:hAnsi="Times New Roman" w:eastAsia="宋体" w:cs="Times New Roman"/>
                <w:color w:val="000000"/>
                <w:sz w:val="24"/>
                <w:szCs w:val="24"/>
              </w:rPr>
              <w:t>；</w:t>
            </w:r>
          </w:p>
          <w:p w14:paraId="4204061D">
            <w:pPr>
              <w:keepNext w:val="0"/>
              <w:keepLines w:val="0"/>
              <w:pageBreakBefore w:val="0"/>
              <w:widowControl w:val="0"/>
              <w:spacing w:line="360" w:lineRule="auto"/>
              <w:ind w:left="420" w:right="0" w:firstLine="1200"/>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q—设计暴雨强度（L/s·hm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color w:val="000000"/>
                <w:sz w:val="24"/>
                <w:szCs w:val="24"/>
              </w:rPr>
              <w:t>）</w:t>
            </w:r>
          </w:p>
          <w:p w14:paraId="214DD43F">
            <w:pPr>
              <w:keepNext w:val="0"/>
              <w:keepLines w:val="0"/>
              <w:pageBreakBefore w:val="0"/>
              <w:widowControl w:val="0"/>
              <w:spacing w:line="360" w:lineRule="auto"/>
              <w:ind w:left="420" w:right="0" w:firstLine="1200"/>
              <w:outlineLvl w:val="9"/>
              <w:rPr>
                <w:rFonts w:hint="eastAsia"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rPr>
              <w:t>F—汇水面积（hm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val="en-US" w:eastAsia="zh-CN"/>
              </w:rPr>
              <w:t>取</w:t>
            </w:r>
            <w:r>
              <w:rPr>
                <w:rFonts w:hint="eastAsia" w:ascii="Times New Roman" w:hAnsi="Times New Roman" w:eastAsia="宋体" w:cs="Times New Roman"/>
                <w:color w:val="000000"/>
                <w:sz w:val="24"/>
                <w:lang w:val="en-US" w:eastAsia="zh-CN"/>
              </w:rPr>
              <w:t>10000</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2</w:t>
            </w:r>
          </w:p>
          <w:p w14:paraId="0671C6D6">
            <w:pPr>
              <w:keepNext w:val="0"/>
              <w:keepLines w:val="0"/>
              <w:pageBreakBefore w:val="0"/>
              <w:widowControl w:val="0"/>
              <w:spacing w:line="360" w:lineRule="auto"/>
              <w:ind w:left="0" w:right="0" w:firstLine="480"/>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降雨强度</w:t>
            </w:r>
            <w:r>
              <w:rPr>
                <w:rFonts w:hint="eastAsia" w:ascii="Times New Roman" w:hAnsi="Times New Roman" w:eastAsia="宋体" w:cs="Times New Roman"/>
                <w:color w:val="000000"/>
                <w:sz w:val="24"/>
                <w:szCs w:val="24"/>
                <w:lang w:val="en-US" w:eastAsia="zh-CN"/>
              </w:rPr>
              <w:t>参照</w:t>
            </w:r>
            <w:r>
              <w:rPr>
                <w:rFonts w:ascii="Times New Roman" w:hAnsi="Times New Roman" w:eastAsia="宋体" w:cs="Times New Roman"/>
                <w:color w:val="000000"/>
                <w:sz w:val="24"/>
                <w:szCs w:val="24"/>
                <w:lang w:val="en-US" w:eastAsia="zh-CN"/>
              </w:rPr>
              <w:t>云南腾冲</w:t>
            </w:r>
            <w:r>
              <w:rPr>
                <w:rFonts w:ascii="Times New Roman" w:hAnsi="Times New Roman" w:eastAsia="宋体" w:cs="Times New Roman"/>
                <w:color w:val="000000"/>
                <w:sz w:val="24"/>
                <w:szCs w:val="24"/>
              </w:rPr>
              <w:t>暴雨强度公式计算：</w:t>
            </w:r>
          </w:p>
          <w:p w14:paraId="43806FAD">
            <w:pPr>
              <w:keepNext w:val="0"/>
              <w:keepLines w:val="0"/>
              <w:pageBreakBefore w:val="0"/>
              <w:widowControl w:val="0"/>
              <w:spacing w:line="360" w:lineRule="auto"/>
              <w:ind w:left="0" w:right="0" w:firstLine="0"/>
              <w:jc w:val="center"/>
              <w:outlineLvl w:val="9"/>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rPr>
              <w:t>q=</w:t>
            </w:r>
            <w:r>
              <w:rPr>
                <w:rFonts w:ascii="Times New Roman" w:hAnsi="Times New Roman" w:eastAsia="宋体" w:cs="Times New Roman"/>
                <w:color w:val="000000"/>
                <w:sz w:val="24"/>
                <w:szCs w:val="24"/>
                <w:lang w:val="en-US" w:eastAsia="zh-CN"/>
              </w:rPr>
              <w:t>4342</w:t>
            </w: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24"/>
                <w:lang w:val="en-US" w:eastAsia="zh-CN"/>
              </w:rPr>
              <w:t>0.96l</w:t>
            </w:r>
            <w:r>
              <w:rPr>
                <w:rFonts w:ascii="Times New Roman" w:hAnsi="Times New Roman" w:eastAsia="宋体" w:cs="Times New Roman"/>
                <w:color w:val="000000"/>
                <w:sz w:val="24"/>
                <w:szCs w:val="24"/>
              </w:rPr>
              <w:t>gP）/t</w:t>
            </w:r>
            <w:r>
              <w:rPr>
                <w:rFonts w:ascii="Times New Roman" w:hAnsi="Times New Roman" w:eastAsia="宋体" w:cs="Times New Roman"/>
                <w:color w:val="000000"/>
                <w:sz w:val="24"/>
                <w:szCs w:val="24"/>
                <w:lang w:val="en-US" w:eastAsia="zh-CN"/>
              </w:rPr>
              <w:t>+13P</w:t>
            </w:r>
            <w:r>
              <w:rPr>
                <w:rFonts w:ascii="Times New Roman" w:hAnsi="Times New Roman" w:eastAsia="宋体" w:cs="Times New Roman"/>
                <w:color w:val="000000"/>
                <w:sz w:val="24"/>
                <w:szCs w:val="24"/>
                <w:vertAlign w:val="superscript"/>
                <w:lang w:val="en-US" w:eastAsia="zh-CN"/>
              </w:rPr>
              <w:t>0.762</w:t>
            </w:r>
          </w:p>
          <w:p w14:paraId="667C9DBD">
            <w:pPr>
              <w:keepNext w:val="0"/>
              <w:keepLines w:val="0"/>
              <w:pageBreakBefore w:val="0"/>
              <w:widowControl w:val="0"/>
              <w:spacing w:line="360" w:lineRule="auto"/>
              <w:ind w:left="420" w:right="0" w:firstLine="480"/>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式中：P—设计降雨重现期1a；</w:t>
            </w:r>
          </w:p>
          <w:p w14:paraId="02717C4D">
            <w:pPr>
              <w:keepNext w:val="0"/>
              <w:keepLines w:val="0"/>
              <w:pageBreakBefore w:val="0"/>
              <w:widowControl w:val="0"/>
              <w:spacing w:line="360" w:lineRule="auto"/>
              <w:ind w:left="420" w:right="0" w:firstLine="1200"/>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t—降雨历时（min）；取</w:t>
            </w:r>
            <w:r>
              <w:rPr>
                <w:rFonts w:ascii="Times New Roman" w:hAnsi="Times New Roman" w:eastAsia="宋体" w:cs="Times New Roman"/>
                <w:color w:val="000000"/>
                <w:sz w:val="24"/>
                <w:szCs w:val="24"/>
                <w:lang w:val="en-US" w:eastAsia="zh-CN"/>
              </w:rPr>
              <w:t>12</w:t>
            </w:r>
            <w:r>
              <w:rPr>
                <w:rFonts w:ascii="Times New Roman" w:hAnsi="Times New Roman" w:eastAsia="宋体" w:cs="Times New Roman"/>
                <w:color w:val="000000"/>
                <w:sz w:val="24"/>
                <w:szCs w:val="24"/>
              </w:rPr>
              <w:t>0min；</w:t>
            </w:r>
          </w:p>
          <w:p w14:paraId="7CA9E852">
            <w:pPr>
              <w:keepNext w:val="0"/>
              <w:keepLines w:val="0"/>
              <w:pageBreakBefore w:val="0"/>
              <w:widowControl w:val="0"/>
              <w:spacing w:line="360" w:lineRule="auto"/>
              <w:ind w:left="0" w:right="0" w:firstLine="480"/>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按照上述公式进行计算，项目暴雨天气时设计暴雨强度</w:t>
            </w:r>
            <w:r>
              <w:rPr>
                <w:rFonts w:ascii="Times New Roman" w:hAnsi="Times New Roman" w:eastAsia="宋体" w:cs="Times New Roman"/>
                <w:color w:val="000000"/>
                <w:sz w:val="24"/>
                <w:szCs w:val="24"/>
                <w:lang w:val="en-US" w:eastAsia="zh-CN"/>
              </w:rPr>
              <w:t>32.65</w:t>
            </w:r>
            <w:r>
              <w:rPr>
                <w:rFonts w:ascii="Times New Roman" w:hAnsi="Times New Roman" w:eastAsia="宋体" w:cs="Times New Roman"/>
                <w:color w:val="000000"/>
                <w:sz w:val="24"/>
                <w:szCs w:val="24"/>
              </w:rPr>
              <w:t>L/s·hm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color w:val="000000"/>
                <w:sz w:val="24"/>
                <w:szCs w:val="24"/>
              </w:rPr>
              <w:t>，42.31m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/h。</w:t>
            </w:r>
          </w:p>
          <w:p w14:paraId="6B2F6F74">
            <w:pPr>
              <w:spacing w:line="360" w:lineRule="auto"/>
              <w:ind w:firstLine="480"/>
              <w:rPr>
                <w:rFonts w:ascii="Times New Roman" w:hAnsi="Times New Roman" w:eastAsia="宋体" w:cs="Times New Roman"/>
                <w:color w:val="000000"/>
                <w:sz w:val="24"/>
                <w:lang w:val="en-US" w:eastAsia="zh-CN"/>
              </w:rPr>
            </w:pPr>
            <w:r>
              <w:rPr>
                <w:rFonts w:ascii="Times New Roman" w:hAnsi="Times New Roman" w:eastAsia="宋体" w:cs="Times New Roman"/>
                <w:b w:val="0"/>
                <w:bCs w:val="0"/>
                <w:color w:val="000000"/>
                <w:sz w:val="24"/>
                <w:szCs w:val="24"/>
                <w:lang w:val="en-US" w:eastAsia="zh-CN"/>
              </w:rPr>
              <w:t>雨水中污染物主要成分为SS，前期含量较高，后期较少，本次考虑收集前15min的雨水，则项目区初期雨水产生量约为</w:t>
            </w:r>
            <w:r>
              <w:rPr>
                <w:rFonts w:hint="eastAsia" w:ascii="Times New Roman" w:hAnsi="Times New Roman" w:eastAsia="宋体" w:cs="Times New Roman"/>
                <w:b w:val="0"/>
                <w:bCs w:val="0"/>
                <w:color w:val="000000"/>
                <w:sz w:val="24"/>
                <w:szCs w:val="24"/>
                <w:lang w:val="en-US" w:eastAsia="zh-CN"/>
              </w:rPr>
              <w:t>26.446</w:t>
            </w:r>
            <w:r>
              <w:rPr>
                <w:rFonts w:ascii="Times New Roman" w:hAnsi="Times New Roman" w:eastAsia="宋体" w:cs="Times New Roman"/>
                <w:b w:val="0"/>
                <w:bCs w:val="0"/>
                <w:color w:val="000000"/>
                <w:sz w:val="24"/>
                <w:szCs w:val="24"/>
                <w:lang w:val="en-US" w:eastAsia="zh-CN"/>
              </w:rPr>
              <w:t>m</w:t>
            </w:r>
            <w:r>
              <w:rPr>
                <w:rFonts w:ascii="Times New Roman" w:hAnsi="Times New Roman" w:eastAsia="宋体" w:cs="Times New Roman"/>
                <w:b w:val="0"/>
                <w:bCs w:val="0"/>
                <w:color w:val="000000"/>
                <w:sz w:val="24"/>
                <w:szCs w:val="24"/>
                <w:vertAlign w:val="superscript"/>
                <w:lang w:val="en-US" w:eastAsia="zh-CN"/>
              </w:rPr>
              <w:t>3</w:t>
            </w:r>
            <w:r>
              <w:rPr>
                <w:rFonts w:ascii="Times New Roman" w:hAnsi="Times New Roman" w:eastAsia="宋体" w:cs="Times New Roman"/>
                <w:b w:val="0"/>
                <w:bCs w:val="0"/>
                <w:color w:val="000000"/>
                <w:sz w:val="24"/>
                <w:szCs w:val="24"/>
                <w:lang w:val="en-US" w:eastAsia="zh-CN"/>
              </w:rPr>
              <w:t>。</w:t>
            </w:r>
            <w:r>
              <w:rPr>
                <w:rFonts w:hint="eastAsia" w:ascii="Times New Roman" w:hAnsi="Times New Roman" w:eastAsia="宋体" w:cs="Times New Roman"/>
                <w:b w:val="0"/>
                <w:bCs w:val="0"/>
                <w:color w:val="000000"/>
                <w:sz w:val="24"/>
                <w:szCs w:val="24"/>
                <w:lang w:val="en-US" w:eastAsia="zh-CN"/>
              </w:rPr>
              <w:t>项目</w:t>
            </w:r>
            <w:r>
              <w:rPr>
                <w:rFonts w:hint="eastAsia" w:ascii="Times New Roman" w:hAnsi="Times New Roman" w:eastAsia="宋体" w:cs="Times New Roman"/>
                <w:b w:val="0"/>
                <w:bCs w:val="0"/>
                <w:color w:val="000000"/>
                <w:sz w:val="24"/>
                <w:szCs w:val="24"/>
                <w:highlight w:val="none"/>
                <w:vertAlign w:val="baseline"/>
                <w:lang w:val="en-US" w:eastAsia="zh-CN"/>
              </w:rPr>
              <w:t>场地内统一设置</w:t>
            </w:r>
            <w:r>
              <w:rPr>
                <w:rFonts w:ascii="Times New Roman" w:hAnsi="Times New Roman" w:eastAsia="宋体" w:cs="Times New Roman"/>
                <w:color w:val="000000"/>
                <w:sz w:val="24"/>
                <w:szCs w:val="24"/>
                <w:highlight w:val="none"/>
              </w:rPr>
              <w:t>排水沟</w:t>
            </w:r>
            <w:r>
              <w:rPr>
                <w:rFonts w:hint="eastAsia" w:ascii="Times New Roman" w:hAnsi="Times New Roman" w:eastAsia="宋体" w:cs="Times New Roman"/>
                <w:color w:val="000000"/>
                <w:sz w:val="24"/>
                <w:szCs w:val="24"/>
                <w:highlight w:val="none"/>
                <w:lang w:val="en-US" w:eastAsia="zh-CN"/>
              </w:rPr>
              <w:t>及初期</w:t>
            </w:r>
            <w:r>
              <w:rPr>
                <w:rFonts w:ascii="Times New Roman" w:hAnsi="Times New Roman" w:eastAsia="宋体" w:cs="Times New Roman"/>
                <w:color w:val="000000"/>
                <w:sz w:val="24"/>
                <w:szCs w:val="24"/>
                <w:highlight w:val="none"/>
                <w:lang w:val="en-US" w:eastAsia="zh-CN"/>
              </w:rPr>
              <w:t>雨水</w:t>
            </w:r>
            <w:r>
              <w:rPr>
                <w:rFonts w:hint="eastAsia" w:ascii="Times New Roman" w:hAnsi="Times New Roman" w:eastAsia="宋体" w:cs="Times New Roman"/>
                <w:color w:val="000000"/>
                <w:sz w:val="24"/>
                <w:szCs w:val="24"/>
                <w:highlight w:val="none"/>
                <w:lang w:val="en-US" w:eastAsia="zh-CN"/>
              </w:rPr>
              <w:t>池（50</w:t>
            </w:r>
            <w:r>
              <w:rPr>
                <w:sz w:val="24"/>
                <w:szCs w:val="24"/>
              </w:rPr>
              <w:t>m</w:t>
            </w:r>
            <w:r>
              <w:rPr>
                <w:rFonts w:hint="eastAsia"/>
                <w:sz w:val="24"/>
                <w:szCs w:val="24"/>
                <w:vertAlign w:val="superscript"/>
                <w:lang w:val="en-US" w:eastAsia="zh-CN"/>
              </w:rPr>
              <w:t>3</w:t>
            </w:r>
            <w:r>
              <w:rPr>
                <w:rFonts w:hint="eastAsia" w:ascii="Times New Roman" w:hAnsi="Times New Roman" w:eastAsia="宋体" w:cs="Times New Roman"/>
                <w:color w:val="000000"/>
                <w:sz w:val="24"/>
                <w:szCs w:val="24"/>
                <w:highlight w:val="none"/>
                <w:lang w:val="en-US" w:eastAsia="zh-CN"/>
              </w:rPr>
              <w:t>），初期雨水</w:t>
            </w:r>
            <w:r>
              <w:rPr>
                <w:rFonts w:ascii="Times New Roman" w:hAnsi="Times New Roman" w:eastAsia="宋体" w:cs="Times New Roman"/>
                <w:color w:val="000000"/>
                <w:sz w:val="24"/>
                <w:szCs w:val="24"/>
                <w:highlight w:val="none"/>
                <w:lang w:val="en-US" w:eastAsia="zh-CN"/>
              </w:rPr>
              <w:t>经排水沟</w:t>
            </w:r>
            <w:r>
              <w:rPr>
                <w:rFonts w:hint="eastAsia" w:ascii="Times New Roman" w:hAnsi="Times New Roman" w:eastAsia="宋体" w:cs="Times New Roman"/>
                <w:color w:val="000000"/>
                <w:sz w:val="24"/>
                <w:szCs w:val="24"/>
                <w:highlight w:val="none"/>
                <w:lang w:val="en-US" w:eastAsia="zh-CN"/>
              </w:rPr>
              <w:t>统一进行收集，然后由初期雨水收集池进行沉淀处理，处理后回用于</w:t>
            </w:r>
            <w:r>
              <w:rPr>
                <w:rFonts w:hint="eastAsia" w:ascii="Times New Roman" w:hAnsi="Times New Roman" w:eastAsia="宋体" w:cs="Times New Roman"/>
                <w:b w:val="0"/>
                <w:bCs w:val="0"/>
                <w:color w:val="000000"/>
                <w:sz w:val="24"/>
                <w:szCs w:val="24"/>
                <w:highlight w:val="none"/>
                <w:vertAlign w:val="baseline"/>
                <w:lang w:val="en-US" w:eastAsia="zh-CN"/>
              </w:rPr>
              <w:t>厂区</w:t>
            </w:r>
            <w:r>
              <w:rPr>
                <w:rFonts w:ascii="Times New Roman" w:hAnsi="Times New Roman" w:eastAsia="宋体" w:cs="Times New Roman"/>
                <w:bCs/>
                <w:color w:val="000000"/>
                <w:sz w:val="24"/>
                <w:szCs w:val="24"/>
                <w:highlight w:val="none"/>
              </w:rPr>
              <w:t>洒水降尘</w:t>
            </w:r>
            <w:r>
              <w:rPr>
                <w:rFonts w:ascii="Times New Roman" w:hAnsi="Times New Roman" w:eastAsia="宋体" w:cs="Times New Roman"/>
                <w:b w:val="0"/>
                <w:bCs w:val="0"/>
                <w:color w:val="000000"/>
                <w:sz w:val="24"/>
                <w:szCs w:val="24"/>
                <w:highlight w:val="none"/>
              </w:rPr>
              <w:t>，</w:t>
            </w:r>
            <w:r>
              <w:rPr>
                <w:rFonts w:hint="eastAsia" w:ascii="Times New Roman" w:hAnsi="Times New Roman" w:eastAsia="宋体" w:cs="Times New Roman"/>
                <w:b w:val="0"/>
                <w:bCs w:val="0"/>
                <w:color w:val="000000"/>
                <w:sz w:val="24"/>
                <w:szCs w:val="24"/>
                <w:highlight w:val="none"/>
                <w:lang w:val="en-US" w:eastAsia="zh-CN"/>
              </w:rPr>
              <w:t>雨水则</w:t>
            </w:r>
            <w:r>
              <w:rPr>
                <w:rFonts w:ascii="Times New Roman" w:hAnsi="Times New Roman" w:eastAsia="宋体" w:cs="Times New Roman"/>
                <w:b w:val="0"/>
                <w:bCs w:val="0"/>
                <w:color w:val="000000"/>
                <w:sz w:val="24"/>
                <w:szCs w:val="24"/>
                <w:highlight w:val="none"/>
              </w:rPr>
              <w:t>外排至周边雨水沟</w:t>
            </w:r>
            <w:r>
              <w:rPr>
                <w:rFonts w:ascii="Times New Roman" w:hAnsi="Times New Roman" w:eastAsia="宋体" w:cs="Times New Roman"/>
                <w:b w:val="0"/>
                <w:bCs w:val="0"/>
                <w:color w:val="000000"/>
                <w:sz w:val="24"/>
                <w:szCs w:val="24"/>
                <w:lang w:val="en-US" w:eastAsia="zh-CN"/>
              </w:rPr>
              <w:t>。</w:t>
            </w:r>
          </w:p>
          <w:p w14:paraId="215EA744">
            <w:pPr>
              <w:tabs>
                <w:tab w:val="left" w:pos="3795"/>
              </w:tabs>
              <w:spacing w:line="360" w:lineRule="auto"/>
              <w:ind w:firstLine="482"/>
              <w:rPr>
                <w:rFonts w:ascii="Times New Roman" w:hAnsi="Times New Roman" w:eastAsia="宋体" w:cs="Times New Roman"/>
                <w:b/>
                <w:bCs w:val="0"/>
                <w:color w:val="000000"/>
                <w:sz w:val="24"/>
                <w:szCs w:val="24"/>
                <w:highlight w:val="none"/>
              </w:rPr>
            </w:pPr>
            <w:r>
              <w:rPr>
                <w:rFonts w:ascii="Times New Roman" w:hAnsi="Times New Roman" w:eastAsia="宋体" w:cs="Times New Roman"/>
                <w:b/>
                <w:bCs w:val="0"/>
                <w:color w:val="000000"/>
                <w:sz w:val="24"/>
                <w:szCs w:val="24"/>
                <w:highlight w:val="none"/>
              </w:rPr>
              <w:t>（</w:t>
            </w:r>
            <w:r>
              <w:rPr>
                <w:rFonts w:ascii="Times New Roman" w:hAnsi="Times New Roman" w:eastAsia="宋体" w:cs="Times New Roman"/>
                <w:b/>
                <w:bCs w:val="0"/>
                <w:color w:val="000000"/>
                <w:sz w:val="24"/>
                <w:szCs w:val="24"/>
                <w:highlight w:val="none"/>
                <w:lang w:val="en-US" w:eastAsia="zh-CN"/>
              </w:rPr>
              <w:t>4</w:t>
            </w:r>
            <w:r>
              <w:rPr>
                <w:rFonts w:ascii="Times New Roman" w:hAnsi="Times New Roman" w:eastAsia="宋体" w:cs="Times New Roman"/>
                <w:b/>
                <w:bCs w:val="0"/>
                <w:color w:val="000000"/>
                <w:sz w:val="24"/>
                <w:szCs w:val="24"/>
                <w:highlight w:val="none"/>
              </w:rPr>
              <w:t>）水量平衡</w:t>
            </w:r>
          </w:p>
          <w:p w14:paraId="08463FFD">
            <w:pPr>
              <w:spacing w:line="360" w:lineRule="auto"/>
              <w:ind w:firstLine="480"/>
              <w:jc w:val="left"/>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本项目用排水情况表见下表：</w:t>
            </w:r>
          </w:p>
          <w:p w14:paraId="6C72B470">
            <w:pPr>
              <w:ind w:right="105"/>
              <w:jc w:val="center"/>
              <w:rPr>
                <w:rFonts w:hint="eastAsia" w:ascii="Times New Roman" w:hAnsi="Times New Roman" w:eastAsia="宋体" w:cs="Times New Roman"/>
                <w:b/>
                <w:color w:val="000000"/>
                <w:sz w:val="24"/>
                <w:lang w:val="en-US" w:eastAsia="zh-CN"/>
              </w:rPr>
            </w:pPr>
            <w:r>
              <w:rPr>
                <w:rFonts w:ascii="Times New Roman" w:hAnsi="Times New Roman" w:eastAsia="宋体" w:cs="Times New Roman"/>
                <w:b/>
                <w:bCs/>
                <w:color w:val="000000"/>
                <w:sz w:val="24"/>
              </w:rPr>
              <w:t>表4-</w:t>
            </w:r>
            <w:r>
              <w:rPr>
                <w:rFonts w:hint="eastAsia" w:ascii="Times New Roman" w:hAnsi="Times New Roman" w:eastAsia="宋体" w:cs="Times New Roman"/>
                <w:b/>
                <w:bCs/>
                <w:color w:val="000000"/>
                <w:sz w:val="24"/>
                <w:lang w:val="en-US" w:eastAsia="zh-CN"/>
              </w:rPr>
              <w:t>1</w:t>
            </w:r>
            <w:r>
              <w:rPr>
                <w:rFonts w:ascii="Times New Roman" w:hAnsi="Times New Roman" w:eastAsia="宋体" w:cs="Times New Roman"/>
                <w:b/>
                <w:bCs/>
                <w:color w:val="000000"/>
                <w:sz w:val="24"/>
              </w:rPr>
              <w:t xml:space="preserve">  项目给排水情况一览表  单位：</w:t>
            </w:r>
            <w:r>
              <w:rPr>
                <w:rFonts w:ascii="Times New Roman" w:hAnsi="Times New Roman" w:eastAsia="宋体" w:cs="Times New Roman"/>
                <w:b/>
                <w:color w:val="000000"/>
                <w:sz w:val="24"/>
              </w:rPr>
              <w:t>m</w:t>
            </w:r>
            <w:r>
              <w:rPr>
                <w:rFonts w:ascii="Times New Roman" w:hAnsi="Times New Roman" w:eastAsia="宋体" w:cs="Times New Roman"/>
                <w:b/>
                <w:color w:val="000000"/>
                <w:sz w:val="24"/>
                <w:vertAlign w:val="superscript"/>
              </w:rPr>
              <w:t>3</w:t>
            </w:r>
            <w:r>
              <w:rPr>
                <w:rFonts w:ascii="Times New Roman" w:hAnsi="Times New Roman" w:eastAsia="宋体" w:cs="Times New Roman"/>
                <w:b/>
                <w:color w:val="000000"/>
                <w:sz w:val="24"/>
              </w:rPr>
              <w:t>/d</w:t>
            </w:r>
          </w:p>
          <w:tbl>
            <w:tblPr>
              <w:tblStyle w:val="29"/>
              <w:tblW w:w="90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gridCol w:w="1134"/>
            </w:tblGrid>
            <w:tr w14:paraId="04147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3" w:hRule="atLeast"/>
                <w:tblHeader/>
                <w:jc w:val="center"/>
              </w:trPr>
              <w:tc>
                <w:tcPr>
                  <w:tcW w:w="1103" w:type="dxa"/>
                  <w:noWrap w:val="0"/>
                  <w:vAlign w:val="center"/>
                </w:tcPr>
                <w:p w14:paraId="4B7A18FF">
                  <w:pPr>
                    <w:pStyle w:val="260"/>
                    <w:spacing w:before="0" w:after="0"/>
                    <w:rPr>
                      <w:rFonts w:ascii="Times New Roman" w:hAnsi="Times New Roman" w:eastAsia="宋体" w:cs="Times New Roman"/>
                      <w:b/>
                      <w:color w:val="000000"/>
                      <w:sz w:val="21"/>
                      <w:szCs w:val="21"/>
                    </w:rPr>
                  </w:pPr>
                  <w:bookmarkStart w:id="8" w:name="_Toc48148645"/>
                  <w:r>
                    <w:rPr>
                      <w:rFonts w:ascii="Times New Roman" w:hAnsi="Times New Roman" w:eastAsia="宋体" w:cs="Times New Roman"/>
                      <w:b/>
                      <w:color w:val="000000"/>
                      <w:sz w:val="21"/>
                      <w:szCs w:val="21"/>
                    </w:rPr>
                    <w:t>用水对象</w:t>
                  </w:r>
                </w:p>
              </w:tc>
              <w:tc>
                <w:tcPr>
                  <w:tcW w:w="591" w:type="dxa"/>
                  <w:noWrap w:val="0"/>
                  <w:vAlign w:val="center"/>
                </w:tcPr>
                <w:p w14:paraId="1C497FA0">
                  <w:pPr>
                    <w:pStyle w:val="260"/>
                    <w:spacing w:before="0" w:after="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用水情况</w:t>
                  </w:r>
                </w:p>
              </w:tc>
              <w:tc>
                <w:tcPr>
                  <w:tcW w:w="618" w:type="dxa"/>
                  <w:noWrap w:val="0"/>
                  <w:vAlign w:val="center"/>
                </w:tcPr>
                <w:p w14:paraId="466B6B07">
                  <w:pPr>
                    <w:pStyle w:val="260"/>
                    <w:spacing w:before="0" w:after="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单位用水指标</w:t>
                  </w:r>
                </w:p>
              </w:tc>
              <w:tc>
                <w:tcPr>
                  <w:tcW w:w="671" w:type="dxa"/>
                  <w:noWrap w:val="0"/>
                  <w:vAlign w:val="center"/>
                </w:tcPr>
                <w:p w14:paraId="32744549">
                  <w:pPr>
                    <w:pStyle w:val="260"/>
                    <w:spacing w:before="0" w:after="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新鲜水用量(m</w:t>
                  </w:r>
                  <w:r>
                    <w:rPr>
                      <w:rFonts w:ascii="Times New Roman" w:hAnsi="Times New Roman" w:eastAsia="宋体" w:cs="Times New Roman"/>
                      <w:b/>
                      <w:color w:val="000000"/>
                      <w:sz w:val="21"/>
                      <w:szCs w:val="21"/>
                      <w:vertAlign w:val="superscript"/>
                    </w:rPr>
                    <w:t>3</w:t>
                  </w:r>
                  <w:r>
                    <w:rPr>
                      <w:rFonts w:ascii="Times New Roman" w:hAnsi="Times New Roman" w:eastAsia="宋体" w:cs="Times New Roman"/>
                      <w:b/>
                      <w:color w:val="000000"/>
                      <w:sz w:val="21"/>
                      <w:szCs w:val="21"/>
                    </w:rPr>
                    <w:t>/d)</w:t>
                  </w:r>
                </w:p>
              </w:tc>
              <w:tc>
                <w:tcPr>
                  <w:tcW w:w="747" w:type="dxa"/>
                  <w:noWrap w:val="0"/>
                  <w:vAlign w:val="center"/>
                </w:tcPr>
                <w:p w14:paraId="26EBCCF6">
                  <w:pPr>
                    <w:pStyle w:val="260"/>
                    <w:spacing w:before="0" w:after="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回用水量(m</w:t>
                  </w:r>
                  <w:r>
                    <w:rPr>
                      <w:rFonts w:ascii="Times New Roman" w:hAnsi="Times New Roman" w:eastAsia="宋体" w:cs="Times New Roman"/>
                      <w:b/>
                      <w:color w:val="000000"/>
                      <w:sz w:val="21"/>
                      <w:szCs w:val="21"/>
                      <w:vertAlign w:val="superscript"/>
                    </w:rPr>
                    <w:t>3</w:t>
                  </w:r>
                  <w:r>
                    <w:rPr>
                      <w:rFonts w:ascii="Times New Roman" w:hAnsi="Times New Roman" w:eastAsia="宋体" w:cs="Times New Roman"/>
                      <w:b/>
                      <w:color w:val="000000"/>
                      <w:sz w:val="21"/>
                      <w:szCs w:val="21"/>
                    </w:rPr>
                    <w:t>/d)</w:t>
                  </w:r>
                </w:p>
              </w:tc>
              <w:tc>
                <w:tcPr>
                  <w:tcW w:w="595" w:type="dxa"/>
                  <w:noWrap w:val="0"/>
                  <w:vAlign w:val="center"/>
                </w:tcPr>
                <w:p w14:paraId="466DB3A5">
                  <w:pPr>
                    <w:pStyle w:val="260"/>
                    <w:spacing w:before="0" w:after="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lang w:val="en-US" w:eastAsia="zh-CN"/>
                    </w:rPr>
                    <w:t>废水</w:t>
                  </w:r>
                  <w:r>
                    <w:rPr>
                      <w:rFonts w:ascii="Times New Roman" w:hAnsi="Times New Roman" w:eastAsia="宋体" w:cs="Times New Roman"/>
                      <w:b/>
                      <w:color w:val="000000"/>
                      <w:sz w:val="21"/>
                      <w:szCs w:val="21"/>
                    </w:rPr>
                    <w:t>量(m</w:t>
                  </w:r>
                  <w:r>
                    <w:rPr>
                      <w:rFonts w:ascii="Times New Roman" w:hAnsi="Times New Roman" w:eastAsia="宋体" w:cs="Times New Roman"/>
                      <w:b/>
                      <w:color w:val="000000"/>
                      <w:sz w:val="21"/>
                      <w:szCs w:val="21"/>
                      <w:vertAlign w:val="superscript"/>
                    </w:rPr>
                    <w:t>3</w:t>
                  </w:r>
                  <w:r>
                    <w:rPr>
                      <w:rFonts w:ascii="Times New Roman" w:hAnsi="Times New Roman" w:eastAsia="宋体" w:cs="Times New Roman"/>
                      <w:b/>
                      <w:color w:val="000000"/>
                      <w:sz w:val="21"/>
                      <w:szCs w:val="21"/>
                    </w:rPr>
                    <w:t>/d)</w:t>
                  </w:r>
                </w:p>
              </w:tc>
              <w:tc>
                <w:tcPr>
                  <w:tcW w:w="672" w:type="dxa"/>
                  <w:noWrap w:val="0"/>
                  <w:vAlign w:val="center"/>
                </w:tcPr>
                <w:p w14:paraId="0595B741">
                  <w:pPr>
                    <w:pStyle w:val="260"/>
                    <w:spacing w:before="0" w:after="0"/>
                    <w:rPr>
                      <w:rFonts w:ascii="Times New Roman" w:hAnsi="Times New Roman" w:eastAsia="宋体" w:cs="Times New Roman"/>
                      <w:b/>
                      <w:color w:val="000000"/>
                      <w:sz w:val="21"/>
                      <w:szCs w:val="21"/>
                      <w:lang w:val="en-US" w:eastAsia="zh-CN"/>
                    </w:rPr>
                  </w:pPr>
                  <w:r>
                    <w:rPr>
                      <w:rFonts w:ascii="Times New Roman" w:hAnsi="Times New Roman" w:eastAsia="宋体" w:cs="Times New Roman"/>
                      <w:b/>
                      <w:color w:val="000000"/>
                      <w:sz w:val="21"/>
                      <w:szCs w:val="21"/>
                      <w:lang w:val="en-US" w:eastAsia="zh-CN"/>
                    </w:rPr>
                    <w:t>排水</w:t>
                  </w:r>
                  <w:r>
                    <w:rPr>
                      <w:rFonts w:ascii="Times New Roman" w:hAnsi="Times New Roman" w:eastAsia="宋体" w:cs="Times New Roman"/>
                      <w:b/>
                      <w:color w:val="000000"/>
                      <w:sz w:val="21"/>
                      <w:szCs w:val="21"/>
                    </w:rPr>
                    <w:t>量(m</w:t>
                  </w:r>
                  <w:r>
                    <w:rPr>
                      <w:rFonts w:ascii="Times New Roman" w:hAnsi="Times New Roman" w:eastAsia="宋体" w:cs="Times New Roman"/>
                      <w:b/>
                      <w:color w:val="000000"/>
                      <w:sz w:val="21"/>
                      <w:szCs w:val="21"/>
                      <w:vertAlign w:val="superscript"/>
                    </w:rPr>
                    <w:t>3</w:t>
                  </w:r>
                  <w:r>
                    <w:rPr>
                      <w:rFonts w:ascii="Times New Roman" w:hAnsi="Times New Roman" w:eastAsia="宋体" w:cs="Times New Roman"/>
                      <w:b/>
                      <w:color w:val="000000"/>
                      <w:sz w:val="21"/>
                      <w:szCs w:val="21"/>
                    </w:rPr>
                    <w:t>/d)</w:t>
                  </w:r>
                </w:p>
              </w:tc>
            </w:tr>
            <w:tr w14:paraId="4A309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4" w:type="dxa"/>
                  <w:noWrap w:val="0"/>
                  <w:vAlign w:val="center"/>
                </w:tcPr>
                <w:p w14:paraId="0A63C041">
                  <w:pPr>
                    <w:pStyle w:val="260"/>
                    <w:spacing w:before="0" w:after="0"/>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生活</w:t>
                  </w:r>
                </w:p>
              </w:tc>
              <w:tc>
                <w:tcPr>
                  <w:tcW w:w="749" w:type="dxa"/>
                  <w:noWrap w:val="0"/>
                  <w:vAlign w:val="center"/>
                </w:tcPr>
                <w:p w14:paraId="695A7A9B">
                  <w:pPr>
                    <w:pStyle w:val="260"/>
                    <w:spacing w:before="0" w:after="0"/>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非住宿员工生活、办公</w:t>
                  </w:r>
                </w:p>
              </w:tc>
              <w:tc>
                <w:tcPr>
                  <w:tcW w:w="591" w:type="dxa"/>
                  <w:noWrap w:val="0"/>
                  <w:vAlign w:val="center"/>
                </w:tcPr>
                <w:p w14:paraId="42EF13EC">
                  <w:pPr>
                    <w:spacing w:before="0" w:after="0"/>
                    <w:jc w:val="center"/>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rPr>
                    <w:t>50</w:t>
                  </w:r>
                  <w:r>
                    <w:rPr>
                      <w:rFonts w:ascii="Times New Roman" w:hAnsi="Times New Roman" w:eastAsia="宋体" w:cs="Times New Roman"/>
                      <w:color w:val="000000"/>
                      <w:sz w:val="21"/>
                      <w:szCs w:val="21"/>
                      <w:lang w:val="en-US" w:eastAsia="zh-CN"/>
                    </w:rPr>
                    <w:t>人</w:t>
                  </w:r>
                </w:p>
              </w:tc>
              <w:tc>
                <w:tcPr>
                  <w:tcW w:w="618" w:type="dxa"/>
                  <w:noWrap w:val="0"/>
                  <w:vAlign w:val="center"/>
                </w:tcPr>
                <w:p w14:paraId="6C28119E">
                  <w:pPr>
                    <w:spacing w:before="0" w:after="0"/>
                    <w:jc w:val="center"/>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rPr>
                    <w:t>50</w:t>
                  </w:r>
                  <w:r>
                    <w:rPr>
                      <w:rFonts w:ascii="Times New Roman" w:hAnsi="Times New Roman" w:eastAsia="宋体" w:cs="Times New Roman"/>
                      <w:color w:val="000000"/>
                      <w:sz w:val="21"/>
                      <w:szCs w:val="21"/>
                      <w:lang w:val="en-US" w:eastAsia="zh-CN"/>
                    </w:rPr>
                    <w:t>L/人·d</w:t>
                  </w:r>
                </w:p>
              </w:tc>
              <w:tc>
                <w:tcPr>
                  <w:tcW w:w="671" w:type="dxa"/>
                  <w:noWrap w:val="0"/>
                  <w:vAlign w:val="center"/>
                </w:tcPr>
                <w:p w14:paraId="62B8F725">
                  <w:pPr>
                    <w:widowControl/>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2.5</w:t>
                  </w:r>
                </w:p>
              </w:tc>
              <w:tc>
                <w:tcPr>
                  <w:tcW w:w="747" w:type="dxa"/>
                  <w:noWrap w:val="0"/>
                  <w:vAlign w:val="center"/>
                </w:tcPr>
                <w:p w14:paraId="3ECAAEE5">
                  <w:pPr>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w:t>
                  </w:r>
                </w:p>
              </w:tc>
              <w:tc>
                <w:tcPr>
                  <w:tcW w:w="595" w:type="dxa"/>
                  <w:noWrap w:val="0"/>
                  <w:vAlign w:val="center"/>
                </w:tcPr>
                <w:p w14:paraId="01F110E3">
                  <w:pPr>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2</w:t>
                  </w:r>
                </w:p>
              </w:tc>
              <w:tc>
                <w:tcPr>
                  <w:tcW w:w="672" w:type="dxa"/>
                  <w:noWrap w:val="0"/>
                  <w:vAlign w:val="center"/>
                </w:tcPr>
                <w:p w14:paraId="551E859B">
                  <w:pPr>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w:t>
                  </w:r>
                </w:p>
              </w:tc>
            </w:tr>
            <w:tr w14:paraId="30092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4" w:type="dxa"/>
                  <w:vMerge w:val="restart"/>
                  <w:noWrap w:val="0"/>
                  <w:vAlign w:val="center"/>
                </w:tcPr>
                <w:p w14:paraId="7F86AA9C">
                  <w:pPr>
                    <w:pStyle w:val="260"/>
                    <w:spacing w:before="0" w:after="0"/>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生产</w:t>
                  </w:r>
                </w:p>
              </w:tc>
              <w:tc>
                <w:tcPr>
                  <w:tcW w:w="749" w:type="dxa"/>
                  <w:noWrap w:val="0"/>
                  <w:vAlign w:val="center"/>
                </w:tcPr>
                <w:p w14:paraId="5B120ABB">
                  <w:pPr>
                    <w:pStyle w:val="260"/>
                    <w:spacing w:before="0" w:after="0"/>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锅炉</w:t>
                  </w:r>
                </w:p>
              </w:tc>
              <w:tc>
                <w:tcPr>
                  <w:tcW w:w="591" w:type="dxa"/>
                  <w:noWrap w:val="0"/>
                  <w:vAlign w:val="center"/>
                </w:tcPr>
                <w:p w14:paraId="44601102">
                  <w:pPr>
                    <w:spacing w:before="0" w:after="0"/>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618" w:type="dxa"/>
                  <w:noWrap w:val="0"/>
                  <w:vAlign w:val="center"/>
                </w:tcPr>
                <w:p w14:paraId="0D6254B1">
                  <w:pPr>
                    <w:spacing w:before="0" w:after="0"/>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671" w:type="dxa"/>
                  <w:noWrap w:val="0"/>
                  <w:vAlign w:val="center"/>
                </w:tcPr>
                <w:p w14:paraId="3A00C305">
                  <w:pPr>
                    <w:widowControl/>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16.88</w:t>
                  </w:r>
                </w:p>
              </w:tc>
              <w:tc>
                <w:tcPr>
                  <w:tcW w:w="747" w:type="dxa"/>
                  <w:noWrap w:val="0"/>
                  <w:vAlign w:val="center"/>
                </w:tcPr>
                <w:p w14:paraId="08123C2D">
                  <w:pPr>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0.4</w:t>
                  </w:r>
                </w:p>
              </w:tc>
              <w:tc>
                <w:tcPr>
                  <w:tcW w:w="595" w:type="dxa"/>
                  <w:noWrap w:val="0"/>
                  <w:vAlign w:val="center"/>
                </w:tcPr>
                <w:p w14:paraId="27628C4B">
                  <w:pPr>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0.4</w:t>
                  </w:r>
                </w:p>
              </w:tc>
              <w:tc>
                <w:tcPr>
                  <w:tcW w:w="672" w:type="dxa"/>
                  <w:noWrap w:val="0"/>
                  <w:vAlign w:val="center"/>
                </w:tcPr>
                <w:p w14:paraId="7DFF3761">
                  <w:pPr>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w:t>
                  </w:r>
                </w:p>
              </w:tc>
            </w:tr>
            <w:tr w14:paraId="736D1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54" w:type="dxa"/>
                  <w:vMerge w:val="continue"/>
                  <w:noWrap w:val="0"/>
                  <w:vAlign w:val="center"/>
                </w:tcPr>
                <w:p w14:paraId="4DF1AD40">
                  <w:pPr>
                    <w:pStyle w:val="260"/>
                    <w:spacing w:before="0" w:after="0"/>
                    <w:rPr>
                      <w:rFonts w:hint="eastAsia" w:ascii="Times New Roman" w:hAnsi="Times New Roman" w:eastAsia="宋体" w:cs="Times New Roman"/>
                      <w:color w:val="000000"/>
                      <w:sz w:val="21"/>
                      <w:szCs w:val="21"/>
                      <w:lang w:val="en-US" w:eastAsia="zh-CN"/>
                    </w:rPr>
                  </w:pPr>
                </w:p>
              </w:tc>
              <w:tc>
                <w:tcPr>
                  <w:tcW w:w="749" w:type="dxa"/>
                  <w:noWrap w:val="0"/>
                  <w:vAlign w:val="center"/>
                </w:tcPr>
                <w:p w14:paraId="1D9C8C6F">
                  <w:pPr>
                    <w:pStyle w:val="260"/>
                    <w:spacing w:before="0" w:after="0"/>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调胶</w:t>
                  </w:r>
                </w:p>
              </w:tc>
              <w:tc>
                <w:tcPr>
                  <w:tcW w:w="591" w:type="dxa"/>
                  <w:noWrap w:val="0"/>
                  <w:vAlign w:val="center"/>
                </w:tcPr>
                <w:p w14:paraId="14269843">
                  <w:pPr>
                    <w:spacing w:before="0" w:after="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618" w:type="dxa"/>
                  <w:noWrap w:val="0"/>
                  <w:vAlign w:val="center"/>
                </w:tcPr>
                <w:p w14:paraId="6541E947">
                  <w:pPr>
                    <w:spacing w:before="0" w:after="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671" w:type="dxa"/>
                  <w:noWrap w:val="0"/>
                  <w:vAlign w:val="center"/>
                </w:tcPr>
                <w:p w14:paraId="5455E484">
                  <w:pPr>
                    <w:widowControl/>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0.2</w:t>
                  </w:r>
                </w:p>
              </w:tc>
              <w:tc>
                <w:tcPr>
                  <w:tcW w:w="747" w:type="dxa"/>
                  <w:noWrap w:val="0"/>
                  <w:vAlign w:val="center"/>
                </w:tcPr>
                <w:p w14:paraId="0B7559D6">
                  <w:pPr>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w:t>
                  </w:r>
                </w:p>
              </w:tc>
              <w:tc>
                <w:tcPr>
                  <w:tcW w:w="595" w:type="dxa"/>
                  <w:noWrap w:val="0"/>
                  <w:vAlign w:val="center"/>
                </w:tcPr>
                <w:p w14:paraId="1AFEC93A">
                  <w:pPr>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w:t>
                  </w:r>
                </w:p>
              </w:tc>
              <w:tc>
                <w:tcPr>
                  <w:tcW w:w="672" w:type="dxa"/>
                  <w:noWrap w:val="0"/>
                  <w:vAlign w:val="center"/>
                </w:tcPr>
                <w:p w14:paraId="090C803D">
                  <w:pPr>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w:t>
                  </w:r>
                </w:p>
              </w:tc>
            </w:tr>
            <w:tr w14:paraId="22250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3" w:hRule="atLeast"/>
                <w:jc w:val="center"/>
              </w:trPr>
              <w:tc>
                <w:tcPr>
                  <w:tcW w:w="1103" w:type="dxa"/>
                  <w:noWrap w:val="0"/>
                  <w:vAlign w:val="center"/>
                </w:tcPr>
                <w:p w14:paraId="278B5DCB">
                  <w:pPr>
                    <w:pStyle w:val="260"/>
                    <w:spacing w:before="0" w:after="0"/>
                    <w:rPr>
                      <w:rFonts w:ascii="Times New Roman" w:hAnsi="Times New Roman" w:eastAsia="宋体" w:cs="Times New Roman"/>
                      <w:b/>
                      <w:bCs/>
                      <w:color w:val="000000"/>
                      <w:sz w:val="21"/>
                      <w:szCs w:val="21"/>
                      <w:lang w:eastAsia="zh-CN"/>
                    </w:rPr>
                  </w:pPr>
                  <w:r>
                    <w:rPr>
                      <w:rFonts w:ascii="Times New Roman" w:hAnsi="Times New Roman" w:eastAsia="宋体" w:cs="Times New Roman"/>
                      <w:b/>
                      <w:bCs/>
                      <w:color w:val="000000"/>
                      <w:sz w:val="21"/>
                      <w:szCs w:val="21"/>
                      <w:lang w:val="en-US" w:eastAsia="zh-CN"/>
                    </w:rPr>
                    <w:t>合计</w:t>
                  </w:r>
                </w:p>
              </w:tc>
              <w:tc>
                <w:tcPr>
                  <w:tcW w:w="591" w:type="dxa"/>
                  <w:noWrap w:val="0"/>
                  <w:vAlign w:val="center"/>
                </w:tcPr>
                <w:p w14:paraId="60297534">
                  <w:pPr>
                    <w:pStyle w:val="260"/>
                    <w:spacing w:before="0" w:after="0"/>
                    <w:rPr>
                      <w:rFonts w:ascii="Times New Roman" w:hAnsi="Times New Roman" w:eastAsia="宋体" w:cs="Times New Roman"/>
                      <w:b/>
                      <w:bCs/>
                      <w:color w:val="000000"/>
                      <w:sz w:val="21"/>
                      <w:szCs w:val="21"/>
                      <w:highlight w:val="none"/>
                      <w:lang w:val="en-US" w:eastAsia="zh-CN"/>
                    </w:rPr>
                  </w:pPr>
                  <w:r>
                    <w:rPr>
                      <w:rFonts w:hint="eastAsia" w:ascii="Times New Roman" w:hAnsi="Times New Roman" w:eastAsia="宋体" w:cs="Times New Roman"/>
                      <w:b/>
                      <w:bCs/>
                      <w:color w:val="000000"/>
                      <w:sz w:val="21"/>
                      <w:szCs w:val="21"/>
                      <w:highlight w:val="none"/>
                      <w:lang w:val="en-US" w:eastAsia="zh-CN"/>
                    </w:rPr>
                    <w:t>/</w:t>
                  </w:r>
                </w:p>
              </w:tc>
              <w:tc>
                <w:tcPr>
                  <w:tcW w:w="618" w:type="dxa"/>
                  <w:noWrap w:val="0"/>
                  <w:vAlign w:val="center"/>
                </w:tcPr>
                <w:p w14:paraId="06309BC2">
                  <w:pPr>
                    <w:pStyle w:val="260"/>
                    <w:spacing w:before="0" w:after="0"/>
                    <w:rPr>
                      <w:rFonts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w:t>
                  </w:r>
                </w:p>
              </w:tc>
              <w:tc>
                <w:tcPr>
                  <w:tcW w:w="671" w:type="dxa"/>
                  <w:noWrap w:val="0"/>
                  <w:vAlign w:val="center"/>
                </w:tcPr>
                <w:p w14:paraId="19788B73">
                  <w:pPr>
                    <w:widowControl/>
                    <w:jc w:val="center"/>
                    <w:rPr>
                      <w:rFonts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19.58</w:t>
                  </w:r>
                </w:p>
              </w:tc>
              <w:tc>
                <w:tcPr>
                  <w:tcW w:w="747" w:type="dxa"/>
                  <w:noWrap w:val="0"/>
                  <w:vAlign w:val="center"/>
                </w:tcPr>
                <w:p w14:paraId="54451A3D">
                  <w:pPr>
                    <w:jc w:val="center"/>
                    <w:rPr>
                      <w:rFonts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0.4</w:t>
                  </w:r>
                </w:p>
              </w:tc>
              <w:tc>
                <w:tcPr>
                  <w:tcW w:w="595" w:type="dxa"/>
                  <w:noWrap w:val="0"/>
                  <w:vAlign w:val="center"/>
                </w:tcPr>
                <w:p w14:paraId="367BC5F7">
                  <w:pPr>
                    <w:jc w:val="center"/>
                    <w:rPr>
                      <w:rFonts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2.4</w:t>
                  </w:r>
                </w:p>
              </w:tc>
              <w:tc>
                <w:tcPr>
                  <w:tcW w:w="672" w:type="dxa"/>
                  <w:noWrap w:val="0"/>
                  <w:vAlign w:val="center"/>
                </w:tcPr>
                <w:p w14:paraId="6E168037">
                  <w:pPr>
                    <w:jc w:val="center"/>
                    <w:rPr>
                      <w:rFonts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0</w:t>
                  </w:r>
                </w:p>
              </w:tc>
            </w:tr>
            <w:tr w14:paraId="571FD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3" w:hRule="atLeast"/>
                <w:jc w:val="center"/>
              </w:trPr>
              <w:tc>
                <w:tcPr>
                  <w:tcW w:w="1103" w:type="dxa"/>
                  <w:noWrap w:val="0"/>
                  <w:vAlign w:val="center"/>
                </w:tcPr>
                <w:p w14:paraId="0BED93CB">
                  <w:pPr>
                    <w:pStyle w:val="260"/>
                    <w:spacing w:before="0" w:after="0"/>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厂区</w:t>
                  </w:r>
                  <w:r>
                    <w:rPr>
                      <w:rFonts w:ascii="Times New Roman" w:hAnsi="Times New Roman" w:eastAsia="宋体" w:cs="Times New Roman"/>
                      <w:color w:val="000000"/>
                      <w:sz w:val="21"/>
                      <w:szCs w:val="21"/>
                    </w:rPr>
                    <w:t>初期雨水</w:t>
                  </w:r>
                </w:p>
              </w:tc>
              <w:tc>
                <w:tcPr>
                  <w:tcW w:w="591" w:type="dxa"/>
                  <w:noWrap w:val="0"/>
                  <w:vAlign w:val="center"/>
                </w:tcPr>
                <w:p w14:paraId="2D2FBA1C">
                  <w:pPr>
                    <w:pStyle w:val="260"/>
                    <w:spacing w:before="0" w:after="0"/>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w:t>
                  </w:r>
                </w:p>
              </w:tc>
              <w:tc>
                <w:tcPr>
                  <w:tcW w:w="618" w:type="dxa"/>
                  <w:noWrap w:val="0"/>
                  <w:vAlign w:val="center"/>
                </w:tcPr>
                <w:p w14:paraId="79D73AC1">
                  <w:pPr>
                    <w:pStyle w:val="260"/>
                    <w:spacing w:before="0" w:after="0"/>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w:t>
                  </w:r>
                </w:p>
              </w:tc>
              <w:tc>
                <w:tcPr>
                  <w:tcW w:w="671" w:type="dxa"/>
                  <w:noWrap w:val="0"/>
                  <w:vAlign w:val="center"/>
                </w:tcPr>
                <w:p w14:paraId="658B9278">
                  <w:pPr>
                    <w:widowControl/>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w:t>
                  </w:r>
                </w:p>
              </w:tc>
              <w:tc>
                <w:tcPr>
                  <w:tcW w:w="747" w:type="dxa"/>
                  <w:noWrap w:val="0"/>
                  <w:vAlign w:val="center"/>
                </w:tcPr>
                <w:p w14:paraId="15CDF7DF">
                  <w:pPr>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26.446</w:t>
                  </w:r>
                  <w:r>
                    <w:rPr>
                      <w:rFonts w:ascii="Times New Roman" w:hAnsi="Times New Roman" w:eastAsia="宋体" w:cs="Times New Roman"/>
                      <w:b w:val="0"/>
                      <w:bCs w:val="0"/>
                      <w:color w:val="000000"/>
                      <w:sz w:val="21"/>
                      <w:szCs w:val="21"/>
                      <w:lang w:val="en-US" w:eastAsia="zh-CN"/>
                    </w:rPr>
                    <w:t>m</w:t>
                  </w:r>
                  <w:r>
                    <w:rPr>
                      <w:rFonts w:ascii="Times New Roman" w:hAnsi="Times New Roman" w:eastAsia="宋体" w:cs="Times New Roman"/>
                      <w:b w:val="0"/>
                      <w:bCs w:val="0"/>
                      <w:color w:val="000000"/>
                      <w:sz w:val="21"/>
                      <w:szCs w:val="21"/>
                      <w:vertAlign w:val="superscript"/>
                      <w:lang w:val="en-US" w:eastAsia="zh-CN"/>
                    </w:rPr>
                    <w:t>3</w:t>
                  </w:r>
                  <w:r>
                    <w:rPr>
                      <w:rFonts w:hint="eastAsia" w:ascii="Times New Roman" w:hAnsi="Times New Roman" w:eastAsia="宋体" w:cs="Times New Roman"/>
                      <w:color w:val="000000"/>
                      <w:sz w:val="21"/>
                      <w:szCs w:val="21"/>
                      <w:lang w:val="en-US" w:eastAsia="zh-CN"/>
                    </w:rPr>
                    <w:t>/次</w:t>
                  </w:r>
                </w:p>
              </w:tc>
              <w:tc>
                <w:tcPr>
                  <w:tcW w:w="595" w:type="dxa"/>
                  <w:noWrap w:val="0"/>
                  <w:vAlign w:val="center"/>
                </w:tcPr>
                <w:p w14:paraId="4D7B90EF">
                  <w:pPr>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26.446</w:t>
                  </w:r>
                  <w:r>
                    <w:rPr>
                      <w:rFonts w:ascii="Times New Roman" w:hAnsi="Times New Roman" w:eastAsia="宋体" w:cs="Times New Roman"/>
                      <w:b w:val="0"/>
                      <w:bCs w:val="0"/>
                      <w:color w:val="000000"/>
                      <w:sz w:val="21"/>
                      <w:szCs w:val="21"/>
                      <w:lang w:val="en-US" w:eastAsia="zh-CN"/>
                    </w:rPr>
                    <w:t>m</w:t>
                  </w:r>
                  <w:r>
                    <w:rPr>
                      <w:rFonts w:ascii="Times New Roman" w:hAnsi="Times New Roman" w:eastAsia="宋体" w:cs="Times New Roman"/>
                      <w:b w:val="0"/>
                      <w:bCs w:val="0"/>
                      <w:color w:val="000000"/>
                      <w:sz w:val="21"/>
                      <w:szCs w:val="21"/>
                      <w:vertAlign w:val="superscript"/>
                      <w:lang w:val="en-US" w:eastAsia="zh-CN"/>
                    </w:rPr>
                    <w:t>3</w:t>
                  </w:r>
                </w:p>
              </w:tc>
              <w:tc>
                <w:tcPr>
                  <w:tcW w:w="672" w:type="dxa"/>
                  <w:noWrap w:val="0"/>
                  <w:vAlign w:val="center"/>
                </w:tcPr>
                <w:p w14:paraId="0B657B08">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w:t>
                  </w:r>
                </w:p>
              </w:tc>
            </w:tr>
            <w:bookmarkEnd w:id="8"/>
          </w:tbl>
          <w:p w14:paraId="2ACAE55C">
            <w:pPr>
              <w:spacing w:before="120" w:line="360" w:lineRule="auto"/>
              <w:ind w:firstLine="480"/>
              <w:rPr>
                <w:rFonts w:ascii="Times New Roman" w:hAnsi="Times New Roman" w:eastAsia="宋体" w:cs="Times New Roman"/>
                <w:b/>
                <w:color w:val="000000"/>
                <w:sz w:val="24"/>
              </w:rPr>
            </w:pPr>
            <w:r>
              <w:rPr>
                <w:rFonts w:ascii="Times New Roman" w:hAnsi="Times New Roman" w:eastAsia="宋体" w:cs="Times New Roman"/>
                <w:color w:val="000000"/>
                <w:sz w:val="24"/>
              </w:rPr>
              <w:t>项目给排水水量平衡见下图。</w:t>
            </w:r>
          </w:p>
          <w:p w14:paraId="59503128">
            <w:pPr>
              <w:tabs>
                <w:tab w:val="left" w:pos="3795"/>
              </w:tabs>
              <w:spacing w:line="360" w:lineRule="auto"/>
              <w:jc w:val="center"/>
              <w:rPr>
                <w:rFonts w:ascii="Times New Roman" w:hAnsi="Times New Roman" w:eastAsia="宋体" w:cs="Times New Roman"/>
                <w:bCs/>
                <w:color w:val="000000"/>
              </w:rPr>
            </w:pPr>
            <w:r>
              <w:rPr>
                <w:rFonts w:ascii="Times New Roman" w:hAnsi="Times New Roman" w:eastAsia="宋体" w:cs="Times New Roman"/>
                <w:bCs/>
                <w:color w:val="000000"/>
              </w:rPr>
              <w:object>
                <v:shape id="_x0000_i1026" o:spt="75" type="#_x0000_t75" style="height:289.7pt;width:435.3pt;" o:ole="t" filled="f" o:preferrelative="t" stroked="f" coordsize="21600,21600">
                  <v:path/>
                  <v:fill on="f" focussize="0,0"/>
                  <v:stroke on="f" joinstyle="miter"/>
                  <v:imagedata r:id="rId12" o:title=""/>
                  <o:lock v:ext="edit" rotation="t" aspectratio="t"/>
                  <w10:wrap type="none"/>
                  <w10:anchorlock/>
                </v:shape>
                <o:OLEObject Type="Embed" ProgID="Word.Document" ShapeID="_x0000_i1026" DrawAspect="Content" ObjectID="_1468075726" r:id="rId11">
                  <o:LockedField>false</o:LockedField>
                </o:OLEObject>
              </w:object>
            </w:r>
          </w:p>
          <w:p w14:paraId="4339602D">
            <w:pPr>
              <w:tabs>
                <w:tab w:val="left" w:pos="3795"/>
              </w:tabs>
              <w:spacing w:line="360" w:lineRule="auto"/>
              <w:jc w:val="center"/>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b/>
                <w:color w:val="000000"/>
                <w:sz w:val="24"/>
              </w:rPr>
              <w:t xml:space="preserve">图4-1  本项目水量平衡图 </w:t>
            </w:r>
            <w:r>
              <w:rPr>
                <w:rFonts w:ascii="Times New Roman" w:hAnsi="Times New Roman" w:eastAsia="宋体" w:cs="Times New Roman"/>
                <w:b/>
                <w:color w:val="000000"/>
                <w:sz w:val="24"/>
                <w:lang w:val="en-US" w:eastAsia="zh-CN"/>
              </w:rPr>
              <w:t xml:space="preserve"> </w:t>
            </w:r>
            <w:r>
              <w:rPr>
                <w:rFonts w:ascii="Times New Roman" w:hAnsi="Times New Roman" w:eastAsia="宋体" w:cs="Times New Roman"/>
                <w:b/>
                <w:color w:val="000000"/>
                <w:sz w:val="24"/>
              </w:rPr>
              <w:t>单位：m</w:t>
            </w:r>
            <w:r>
              <w:rPr>
                <w:rFonts w:ascii="Times New Roman" w:hAnsi="Times New Roman" w:eastAsia="宋体" w:cs="Times New Roman"/>
                <w:b/>
                <w:color w:val="000000"/>
                <w:sz w:val="24"/>
                <w:vertAlign w:val="superscript"/>
              </w:rPr>
              <w:t>3</w:t>
            </w:r>
            <w:r>
              <w:rPr>
                <w:rFonts w:ascii="Times New Roman" w:hAnsi="Times New Roman" w:eastAsia="宋体" w:cs="Times New Roman"/>
                <w:b/>
                <w:color w:val="000000"/>
                <w:sz w:val="24"/>
              </w:rPr>
              <w:t>/d</w:t>
            </w:r>
            <w:r>
              <w:rPr>
                <w:rFonts w:ascii="Times New Roman" w:hAnsi="Times New Roman" w:eastAsia="宋体" w:cs="Times New Roman"/>
                <w:color w:val="000000"/>
                <w:sz w:val="24"/>
                <w:szCs w:val="24"/>
                <w:highlight w:val="none"/>
                <w:lang w:val="en-US" w:eastAsia="zh-CN"/>
              </w:rPr>
              <w:t xml:space="preserve"> </w:t>
            </w:r>
          </w:p>
        </w:tc>
      </w:tr>
    </w:tbl>
    <w:p w14:paraId="561677C5">
      <w:pPr>
        <w:jc w:val="center"/>
        <w:rPr>
          <w:rFonts w:ascii="Times New Roman" w:hAnsi="Times New Roman" w:eastAsia="宋体" w:cs="Times New Roman"/>
          <w:b/>
          <w:bCs/>
          <w:color w:val="000000"/>
          <w:sz w:val="24"/>
          <w:szCs w:val="24"/>
          <w:highlight w:val="none"/>
        </w:rPr>
        <w:sectPr>
          <w:pgSz w:w="11907" w:h="16840" w:orient="landscape"/>
          <w:pgMar w:top="1134" w:right="1134" w:bottom="1134" w:left="1134" w:header="851" w:footer="851" w:gutter="0"/>
          <w:pgNumType w:start="1"/>
          <w:cols w:space="1701" w:num="1"/>
        </w:sectPr>
      </w:pPr>
    </w:p>
    <w:tbl>
      <w:tblPr>
        <w:tblStyle w:val="29"/>
        <w:tblW w:w="5026"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28" w:type="dxa"/>
          <w:bottom w:w="0" w:type="dxa"/>
          <w:right w:w="28" w:type="dxa"/>
        </w:tblCellMar>
      </w:tblPr>
      <w:tblGrid>
        <w:gridCol w:w="501"/>
        <w:gridCol w:w="14203"/>
      </w:tblGrid>
      <w:tr w14:paraId="3F83D9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150" w:type="dxa"/>
            <w:noWrap w:val="0"/>
            <w:tcMar>
              <w:left w:w="28" w:type="dxa"/>
              <w:right w:w="28" w:type="dxa"/>
            </w:tcMar>
            <w:vAlign w:val="center"/>
          </w:tcPr>
          <w:p w14:paraId="4157DA0D">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运营期环境影响和保护措施</w:t>
            </w:r>
          </w:p>
        </w:tc>
        <w:tc>
          <w:tcPr>
            <w:tcW w:w="4849" w:type="dxa"/>
            <w:noWrap w:val="0"/>
            <w:vAlign w:val="center"/>
          </w:tcPr>
          <w:p w14:paraId="5C42D66B">
            <w:pPr>
              <w:keepNext w:val="0"/>
              <w:keepLines w:val="0"/>
              <w:pageBreakBefore w:val="0"/>
              <w:widowControl w:val="0"/>
              <w:spacing w:line="360" w:lineRule="auto"/>
              <w:ind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2、废水产排核算汇总</w:t>
            </w:r>
          </w:p>
          <w:p w14:paraId="784B5A11">
            <w:pPr>
              <w:keepNext w:val="0"/>
              <w:keepLines w:val="0"/>
              <w:pageBreakBefore w:val="0"/>
              <w:widowControl w:val="0"/>
              <w:spacing w:line="360" w:lineRule="auto"/>
              <w:ind w:firstLine="482"/>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color w:val="000000"/>
                <w:sz w:val="24"/>
              </w:rPr>
              <w:t>生活废水源强：</w:t>
            </w:r>
            <w:r>
              <w:rPr>
                <w:rFonts w:ascii="Times New Roman" w:hAnsi="Times New Roman" w:eastAsia="宋体" w:cs="Times New Roman"/>
                <w:bCs/>
                <w:color w:val="000000"/>
                <w:sz w:val="24"/>
              </w:rPr>
              <w:t>参照《城市生活污水中的污染物分类及处理性评价》（给水排水：Vol.30 NO.9 2004；王晓昌，金鹏康，赵红梅，孟令八），污染物浓度为：COD：250mg/L、BOD</w:t>
            </w:r>
            <w:r>
              <w:rPr>
                <w:rFonts w:ascii="Times New Roman" w:hAnsi="Times New Roman" w:eastAsia="宋体" w:cs="Times New Roman"/>
                <w:bCs/>
                <w:color w:val="000000"/>
                <w:sz w:val="24"/>
                <w:vertAlign w:val="subscript"/>
              </w:rPr>
              <w:t>5</w:t>
            </w:r>
            <w:r>
              <w:rPr>
                <w:rFonts w:ascii="Times New Roman" w:hAnsi="Times New Roman" w:eastAsia="宋体" w:cs="Times New Roman"/>
                <w:bCs/>
                <w:color w:val="000000"/>
                <w:sz w:val="24"/>
              </w:rPr>
              <w:t>：130mg/L、SS：150mg/L、氨氮：35mg/L、总磷：8mg/L、总氮：40mg/L。</w:t>
            </w:r>
            <w:r>
              <w:rPr>
                <w:rFonts w:ascii="Times New Roman" w:hAnsi="Times New Roman" w:eastAsia="宋体" w:cs="Times New Roman"/>
                <w:b w:val="0"/>
                <w:bCs w:val="0"/>
                <w:color w:val="000000"/>
                <w:sz w:val="24"/>
                <w:szCs w:val="24"/>
                <w:highlight w:val="none"/>
                <w:lang w:val="en-US" w:eastAsia="zh-CN"/>
              </w:rPr>
              <w:t>本项目废水污染物源强见下表</w:t>
            </w:r>
            <w:r>
              <w:rPr>
                <w:rFonts w:hint="eastAsia" w:ascii="Times New Roman" w:hAnsi="Times New Roman" w:eastAsia="宋体" w:cs="Times New Roman"/>
                <w:b w:val="0"/>
                <w:bCs w:val="0"/>
                <w:color w:val="000000"/>
                <w:sz w:val="24"/>
                <w:szCs w:val="24"/>
                <w:highlight w:val="none"/>
                <w:lang w:val="en-US" w:eastAsia="zh-CN"/>
              </w:rPr>
              <w:t>：</w:t>
            </w:r>
          </w:p>
          <w:p w14:paraId="7030EF7F">
            <w:pPr>
              <w:spacing w:line="240" w:lineRule="auto"/>
              <w:ind w:firstLine="0"/>
              <w:jc w:val="center"/>
              <w:rPr>
                <w:rFonts w:ascii="Times New Roman" w:hAnsi="Times New Roman" w:eastAsia="宋体" w:cs="Times New Roman"/>
                <w:b/>
                <w:color w:val="000000"/>
                <w:sz w:val="24"/>
                <w:szCs w:val="24"/>
                <w:highlight w:val="none"/>
                <w:lang w:val="en-US" w:eastAsia="zh-CN"/>
              </w:rPr>
            </w:pPr>
            <w:r>
              <w:rPr>
                <w:rFonts w:ascii="Times New Roman" w:hAnsi="Times New Roman" w:eastAsia="宋体" w:cs="Times New Roman"/>
                <w:b/>
                <w:color w:val="000000"/>
                <w:sz w:val="24"/>
                <w:szCs w:val="24"/>
                <w:highlight w:val="none"/>
              </w:rPr>
              <w:t>表4</w:t>
            </w:r>
            <w:r>
              <w:rPr>
                <w:rFonts w:ascii="Times New Roman" w:hAnsi="Times New Roman" w:eastAsia="宋体" w:cs="Times New Roman"/>
                <w:b/>
                <w:color w:val="000000"/>
                <w:sz w:val="24"/>
                <w:szCs w:val="24"/>
                <w:highlight w:val="none"/>
                <w:lang w:val="en-US" w:eastAsia="zh-CN"/>
              </w:rPr>
              <w:t xml:space="preserve">-2 </w:t>
            </w:r>
            <w:r>
              <w:rPr>
                <w:rFonts w:ascii="Times New Roman" w:hAnsi="Times New Roman" w:eastAsia="宋体" w:cs="Times New Roman"/>
                <w:b/>
                <w:color w:val="000000"/>
                <w:sz w:val="24"/>
                <w:szCs w:val="24"/>
                <w:highlight w:val="none"/>
              </w:rPr>
              <w:t xml:space="preserve"> 本项目废水污染源源强核算结果汇总表</w:t>
            </w:r>
          </w:p>
          <w:tbl>
            <w:tblPr>
              <w:tblStyle w:val="2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427"/>
              <w:gridCol w:w="823"/>
              <w:gridCol w:w="427"/>
              <w:gridCol w:w="974"/>
              <w:gridCol w:w="1250"/>
              <w:gridCol w:w="1153"/>
              <w:gridCol w:w="431"/>
              <w:gridCol w:w="658"/>
              <w:gridCol w:w="427"/>
              <w:gridCol w:w="427"/>
              <w:gridCol w:w="623"/>
              <w:gridCol w:w="695"/>
              <w:gridCol w:w="450"/>
              <w:gridCol w:w="4937"/>
            </w:tblGrid>
            <w:tr w14:paraId="29055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8"/>
                <w:wAfter w:w="9072" w:type="dxa"/>
                <w:trHeight w:val="23" w:hRule="atLeast"/>
                <w:jc w:val="center"/>
              </w:trPr>
              <w:tc>
                <w:tcPr>
                  <w:tcW w:w="236" w:type="dxa"/>
                  <w:vMerge w:val="restart"/>
                  <w:noWrap w:val="0"/>
                  <w:vAlign w:val="center"/>
                </w:tcPr>
                <w:p w14:paraId="0F654669">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bidi="ar-SA"/>
                    </w:rPr>
                    <w:t>类别</w:t>
                  </w:r>
                </w:p>
              </w:tc>
              <w:tc>
                <w:tcPr>
                  <w:tcW w:w="243" w:type="dxa"/>
                  <w:vMerge w:val="restart"/>
                  <w:noWrap w:val="0"/>
                  <w:vAlign w:val="center"/>
                </w:tcPr>
                <w:p w14:paraId="011B3A89">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污染源</w:t>
                  </w:r>
                </w:p>
              </w:tc>
              <w:tc>
                <w:tcPr>
                  <w:tcW w:w="401" w:type="dxa"/>
                  <w:vMerge w:val="restart"/>
                  <w:noWrap w:val="0"/>
                  <w:vAlign w:val="center"/>
                </w:tcPr>
                <w:p w14:paraId="60100125">
                  <w:pPr>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bidi="ar-SA"/>
                    </w:rPr>
                    <w:t>污染物</w:t>
                  </w:r>
                </w:p>
              </w:tc>
              <w:tc>
                <w:tcPr>
                  <w:tcW w:w="260" w:type="dxa"/>
                  <w:vMerge w:val="restart"/>
                  <w:noWrap w:val="0"/>
                  <w:vAlign w:val="center"/>
                </w:tcPr>
                <w:p w14:paraId="01434C02">
                  <w:pPr>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bidi="ar-SA"/>
                    </w:rPr>
                    <w:t>核算方法</w:t>
                  </w:r>
                </w:p>
              </w:tc>
              <w:tc>
                <w:tcPr>
                  <w:tcW w:w="1108" w:type="dxa"/>
                  <w:noWrap w:val="0"/>
                  <w:vAlign w:val="center"/>
                </w:tcPr>
                <w:p w14:paraId="6D4C39C2">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污染物产生情况</w:t>
                  </w:r>
                </w:p>
              </w:tc>
              <w:tc>
                <w:tcPr>
                  <w:tcW w:w="1460" w:type="dxa"/>
                  <w:noWrap w:val="0"/>
                  <w:vAlign w:val="center"/>
                </w:tcPr>
                <w:p w14:paraId="171C86E4">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治理措施</w:t>
                  </w:r>
                </w:p>
              </w:tc>
              <w:tc>
                <w:tcPr>
                  <w:tcW w:w="1289" w:type="dxa"/>
                  <w:noWrap w:val="0"/>
                  <w:vAlign w:val="center"/>
                </w:tcPr>
                <w:p w14:paraId="1C7C560A">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污染物排放情况</w:t>
                  </w:r>
                </w:p>
              </w:tc>
            </w:tr>
            <w:tr w14:paraId="56A7E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8" w:hRule="atLeast"/>
                <w:jc w:val="center"/>
              </w:trPr>
              <w:tc>
                <w:tcPr>
                  <w:tcW w:w="236" w:type="dxa"/>
                  <w:vMerge w:val="continue"/>
                  <w:noWrap w:val="0"/>
                  <w:vAlign w:val="center"/>
                </w:tcPr>
                <w:p w14:paraId="693BBE19">
                  <w:pPr>
                    <w:widowControl/>
                    <w:spacing w:line="240" w:lineRule="auto"/>
                    <w:ind w:firstLine="0"/>
                    <w:jc w:val="center"/>
                    <w:rPr>
                      <w:rFonts w:ascii="Times New Roman" w:hAnsi="Times New Roman" w:eastAsia="宋体" w:cs="Times New Roman"/>
                      <w:color w:val="000000"/>
                      <w:sz w:val="21"/>
                      <w:szCs w:val="21"/>
                      <w:highlight w:val="none"/>
                    </w:rPr>
                  </w:pPr>
                </w:p>
              </w:tc>
              <w:tc>
                <w:tcPr>
                  <w:tcW w:w="243" w:type="dxa"/>
                  <w:vMerge w:val="continue"/>
                  <w:noWrap w:val="0"/>
                  <w:vAlign w:val="center"/>
                </w:tcPr>
                <w:p w14:paraId="0CFCDC83">
                  <w:pPr>
                    <w:widowControl/>
                    <w:spacing w:line="240" w:lineRule="auto"/>
                    <w:ind w:firstLine="0"/>
                    <w:jc w:val="center"/>
                    <w:rPr>
                      <w:rFonts w:ascii="Times New Roman" w:hAnsi="Times New Roman" w:eastAsia="宋体" w:cs="Times New Roman"/>
                      <w:color w:val="000000"/>
                      <w:sz w:val="21"/>
                      <w:szCs w:val="21"/>
                      <w:highlight w:val="none"/>
                    </w:rPr>
                  </w:pPr>
                </w:p>
              </w:tc>
              <w:tc>
                <w:tcPr>
                  <w:tcW w:w="401" w:type="dxa"/>
                  <w:vMerge w:val="continue"/>
                  <w:noWrap w:val="0"/>
                  <w:vAlign w:val="center"/>
                </w:tcPr>
                <w:p w14:paraId="7E020A63">
                  <w:pPr>
                    <w:widowControl/>
                    <w:spacing w:line="240" w:lineRule="auto"/>
                    <w:ind w:firstLine="0"/>
                    <w:jc w:val="center"/>
                    <w:rPr>
                      <w:rFonts w:ascii="Times New Roman" w:hAnsi="Times New Roman" w:eastAsia="宋体" w:cs="Times New Roman"/>
                      <w:color w:val="000000"/>
                      <w:sz w:val="21"/>
                      <w:szCs w:val="21"/>
                      <w:highlight w:val="none"/>
                    </w:rPr>
                  </w:pPr>
                </w:p>
              </w:tc>
              <w:tc>
                <w:tcPr>
                  <w:tcW w:w="260" w:type="dxa"/>
                  <w:vMerge w:val="continue"/>
                  <w:noWrap w:val="0"/>
                  <w:vAlign w:val="center"/>
                </w:tcPr>
                <w:p w14:paraId="610C720A">
                  <w:pPr>
                    <w:widowControl/>
                    <w:spacing w:line="240" w:lineRule="auto"/>
                    <w:ind w:firstLine="0"/>
                    <w:jc w:val="center"/>
                    <w:rPr>
                      <w:rFonts w:ascii="Times New Roman" w:hAnsi="Times New Roman" w:eastAsia="宋体" w:cs="Times New Roman"/>
                      <w:color w:val="000000"/>
                      <w:sz w:val="21"/>
                      <w:szCs w:val="21"/>
                      <w:highlight w:val="none"/>
                    </w:rPr>
                  </w:pPr>
                </w:p>
              </w:tc>
              <w:tc>
                <w:tcPr>
                  <w:tcW w:w="346" w:type="dxa"/>
                  <w:noWrap w:val="0"/>
                  <w:vAlign w:val="center"/>
                </w:tcPr>
                <w:p w14:paraId="44CE5983">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废水产生量</w:t>
                  </w:r>
                </w:p>
                <w:p w14:paraId="098B1A22">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m</w:t>
                  </w:r>
                  <w:r>
                    <w:rPr>
                      <w:rFonts w:ascii="Times New Roman" w:hAnsi="Times New Roman" w:eastAsia="宋体" w:cs="Times New Roman"/>
                      <w:b/>
                      <w:color w:val="000000"/>
                      <w:sz w:val="21"/>
                      <w:szCs w:val="21"/>
                      <w:highlight w:val="none"/>
                      <w:vertAlign w:val="superscript"/>
                      <w:lang w:val="en-US" w:eastAsia="zh-CN"/>
                    </w:rPr>
                    <w:t>3</w:t>
                  </w:r>
                  <w:r>
                    <w:rPr>
                      <w:rFonts w:ascii="Times New Roman" w:hAnsi="Times New Roman" w:eastAsia="宋体" w:cs="Times New Roman"/>
                      <w:b/>
                      <w:color w:val="000000"/>
                      <w:sz w:val="21"/>
                      <w:szCs w:val="21"/>
                      <w:highlight w:val="none"/>
                      <w:lang w:val="en-US" w:eastAsia="zh-CN"/>
                    </w:rPr>
                    <w:t>/a</w:t>
                  </w:r>
                </w:p>
              </w:tc>
              <w:tc>
                <w:tcPr>
                  <w:tcW w:w="387" w:type="dxa"/>
                  <w:noWrap w:val="0"/>
                  <w:vAlign w:val="center"/>
                </w:tcPr>
                <w:p w14:paraId="1FFE1C38">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产生浓度</w:t>
                  </w:r>
                </w:p>
                <w:p w14:paraId="11A698D9">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mg/L</w:t>
                  </w:r>
                </w:p>
              </w:tc>
              <w:tc>
                <w:tcPr>
                  <w:tcW w:w="375" w:type="dxa"/>
                  <w:noWrap w:val="0"/>
                  <w:vAlign w:val="center"/>
                </w:tcPr>
                <w:p w14:paraId="1434F09A">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产生量</w:t>
                  </w:r>
                </w:p>
                <w:p w14:paraId="2AD13AC9">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t/a</w:t>
                  </w:r>
                </w:p>
              </w:tc>
              <w:tc>
                <w:tcPr>
                  <w:tcW w:w="433" w:type="dxa"/>
                  <w:noWrap w:val="0"/>
                  <w:vAlign w:val="center"/>
                </w:tcPr>
                <w:p w14:paraId="2AF02393">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治理工艺</w:t>
                  </w:r>
                </w:p>
              </w:tc>
              <w:tc>
                <w:tcPr>
                  <w:tcW w:w="405" w:type="dxa"/>
                  <w:noWrap w:val="0"/>
                  <w:vAlign w:val="center"/>
                </w:tcPr>
                <w:p w14:paraId="2B96CCB4">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治理能力</w:t>
                  </w:r>
                </w:p>
                <w:p w14:paraId="457DEF28">
                  <w:pPr>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m</w:t>
                  </w:r>
                  <w:r>
                    <w:rPr>
                      <w:rFonts w:ascii="Times New Roman" w:hAnsi="Times New Roman" w:eastAsia="宋体" w:cs="Times New Roman"/>
                      <w:b/>
                      <w:color w:val="000000"/>
                      <w:sz w:val="21"/>
                      <w:szCs w:val="21"/>
                      <w:highlight w:val="none"/>
                      <w:vertAlign w:val="superscript"/>
                      <w:lang w:val="en-US" w:eastAsia="zh-CN"/>
                    </w:rPr>
                    <w:t>3</w:t>
                  </w:r>
                  <w:r>
                    <w:rPr>
                      <w:rFonts w:ascii="Times New Roman" w:hAnsi="Times New Roman" w:eastAsia="宋体" w:cs="Times New Roman"/>
                      <w:b/>
                      <w:color w:val="000000"/>
                      <w:sz w:val="21"/>
                      <w:szCs w:val="21"/>
                      <w:highlight w:val="none"/>
                      <w:lang w:val="en-US" w:eastAsia="zh-CN"/>
                    </w:rPr>
                    <w:t>/d</w:t>
                  </w:r>
                </w:p>
              </w:tc>
              <w:tc>
                <w:tcPr>
                  <w:tcW w:w="260" w:type="dxa"/>
                  <w:noWrap w:val="0"/>
                  <w:vAlign w:val="center"/>
                </w:tcPr>
                <w:p w14:paraId="1614A06E">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治理效率</w:t>
                  </w:r>
                </w:p>
                <w:p w14:paraId="17E6C959">
                  <w:pPr>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w:t>
                  </w:r>
                </w:p>
              </w:tc>
              <w:tc>
                <w:tcPr>
                  <w:tcW w:w="362" w:type="dxa"/>
                  <w:noWrap w:val="0"/>
                  <w:vAlign w:val="center"/>
                </w:tcPr>
                <w:p w14:paraId="4E2B82B4">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是否为可行技术</w:t>
                  </w:r>
                </w:p>
              </w:tc>
              <w:tc>
                <w:tcPr>
                  <w:tcW w:w="357" w:type="dxa"/>
                  <w:noWrap w:val="0"/>
                  <w:vAlign w:val="center"/>
                </w:tcPr>
                <w:p w14:paraId="5062783E">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废水排放量</w:t>
                  </w:r>
                </w:p>
                <w:p w14:paraId="67B66A39">
                  <w:pPr>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m</w:t>
                  </w:r>
                  <w:r>
                    <w:rPr>
                      <w:rFonts w:ascii="Times New Roman" w:hAnsi="Times New Roman" w:eastAsia="宋体" w:cs="Times New Roman"/>
                      <w:b/>
                      <w:color w:val="000000"/>
                      <w:sz w:val="21"/>
                      <w:szCs w:val="21"/>
                      <w:highlight w:val="none"/>
                      <w:vertAlign w:val="superscript"/>
                      <w:lang w:val="en-US" w:eastAsia="zh-CN"/>
                    </w:rPr>
                    <w:t>3</w:t>
                  </w:r>
                  <w:r>
                    <w:rPr>
                      <w:rFonts w:ascii="Times New Roman" w:hAnsi="Times New Roman" w:eastAsia="宋体" w:cs="Times New Roman"/>
                      <w:b/>
                      <w:color w:val="000000"/>
                      <w:sz w:val="21"/>
                      <w:szCs w:val="21"/>
                      <w:highlight w:val="none"/>
                      <w:lang w:val="en-US" w:eastAsia="zh-CN"/>
                    </w:rPr>
                    <w:t>/a</w:t>
                  </w:r>
                </w:p>
              </w:tc>
              <w:tc>
                <w:tcPr>
                  <w:tcW w:w="364" w:type="dxa"/>
                  <w:noWrap w:val="0"/>
                  <w:vAlign w:val="center"/>
                </w:tcPr>
                <w:p w14:paraId="7F727B42">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排放浓度</w:t>
                  </w:r>
                </w:p>
                <w:p w14:paraId="031F73EC">
                  <w:pPr>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mg/L</w:t>
                  </w:r>
                </w:p>
              </w:tc>
              <w:tc>
                <w:tcPr>
                  <w:tcW w:w="244" w:type="dxa"/>
                  <w:noWrap w:val="0"/>
                  <w:vAlign w:val="center"/>
                </w:tcPr>
                <w:p w14:paraId="3A80D895">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排放量</w:t>
                  </w:r>
                </w:p>
                <w:p w14:paraId="3764E4D9">
                  <w:pPr>
                    <w:widowControl/>
                    <w:spacing w:line="240" w:lineRule="auto"/>
                    <w:ind w:firstLine="0"/>
                    <w:jc w:val="center"/>
                    <w:rPr>
                      <w:rFonts w:ascii="Times New Roman" w:hAnsi="Times New Roman" w:eastAsia="宋体" w:cs="Times New Roman"/>
                      <w:b/>
                      <w:color w:val="000000"/>
                      <w:sz w:val="21"/>
                      <w:szCs w:val="21"/>
                      <w:highlight w:val="none"/>
                      <w:lang w:val="en-US" w:eastAsia="zh-CN" w:bidi="ar-SA"/>
                    </w:rPr>
                  </w:pPr>
                  <w:r>
                    <w:rPr>
                      <w:rFonts w:ascii="Times New Roman" w:hAnsi="Times New Roman" w:eastAsia="宋体" w:cs="Times New Roman"/>
                      <w:b/>
                      <w:color w:val="000000"/>
                      <w:sz w:val="21"/>
                      <w:szCs w:val="21"/>
                      <w:highlight w:val="none"/>
                      <w:lang w:val="en-US" w:eastAsia="zh-CN"/>
                    </w:rPr>
                    <w:t>t/a</w:t>
                  </w:r>
                </w:p>
              </w:tc>
              <w:tc>
                <w:tcPr>
                  <w:tcW w:w="324" w:type="dxa"/>
                  <w:noWrap w:val="0"/>
                  <w:vAlign w:val="center"/>
                </w:tcPr>
                <w:p w14:paraId="1269226F">
                  <w:pPr>
                    <w:widowControl/>
                    <w:spacing w:line="240" w:lineRule="auto"/>
                    <w:ind w:firstLine="0"/>
                    <w:jc w:val="center"/>
                    <w:rPr>
                      <w:rFonts w:ascii="Times New Roman" w:hAnsi="Times New Roman" w:eastAsia="宋体" w:cs="Times New Roman"/>
                      <w:b/>
                      <w:color w:val="000000"/>
                      <w:sz w:val="21"/>
                      <w:szCs w:val="21"/>
                      <w:highlight w:val="none"/>
                      <w:lang w:val="en-US" w:eastAsia="zh-CN"/>
                    </w:rPr>
                  </w:pPr>
                  <w:r>
                    <w:rPr>
                      <w:rFonts w:ascii="Times New Roman" w:hAnsi="Times New Roman" w:eastAsia="宋体" w:cs="Times New Roman"/>
                      <w:b/>
                      <w:color w:val="000000"/>
                      <w:sz w:val="21"/>
                      <w:szCs w:val="21"/>
                      <w:highlight w:val="none"/>
                      <w:lang w:val="en-US" w:eastAsia="zh-CN"/>
                    </w:rPr>
                    <w:t>年排放时间/d</w:t>
                  </w:r>
                </w:p>
              </w:tc>
            </w:tr>
            <w:tr w14:paraId="4DAA9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6" w:type="dxa"/>
                  <w:vMerge w:val="restart"/>
                  <w:noWrap w:val="0"/>
                  <w:vAlign w:val="center"/>
                </w:tcPr>
                <w:p w14:paraId="1E9FE35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生活</w:t>
                  </w:r>
                  <w:r>
                    <w:rPr>
                      <w:rFonts w:ascii="Times New Roman" w:hAnsi="Times New Roman" w:eastAsia="宋体" w:cs="Times New Roman"/>
                      <w:b w:val="0"/>
                      <w:bCs/>
                      <w:color w:val="000000"/>
                      <w:sz w:val="21"/>
                      <w:szCs w:val="21"/>
                      <w:highlight w:val="none"/>
                      <w:lang w:val="en-US" w:eastAsia="zh-CN"/>
                    </w:rPr>
                    <w:t>废水</w:t>
                  </w:r>
                </w:p>
              </w:tc>
              <w:tc>
                <w:tcPr>
                  <w:tcW w:w="243" w:type="dxa"/>
                  <w:vMerge w:val="restart"/>
                  <w:noWrap w:val="0"/>
                  <w:vAlign w:val="center"/>
                </w:tcPr>
                <w:p w14:paraId="304C6FFC">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员工生活办公</w:t>
                  </w:r>
                </w:p>
              </w:tc>
              <w:tc>
                <w:tcPr>
                  <w:tcW w:w="401" w:type="dxa"/>
                  <w:noWrap w:val="0"/>
                  <w:vAlign w:val="center"/>
                </w:tcPr>
                <w:p w14:paraId="40D92F53">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CODcr</w:t>
                  </w:r>
                </w:p>
              </w:tc>
              <w:tc>
                <w:tcPr>
                  <w:tcW w:w="260" w:type="dxa"/>
                  <w:vMerge w:val="restart"/>
                  <w:noWrap w:val="0"/>
                  <w:vAlign w:val="center"/>
                </w:tcPr>
                <w:p w14:paraId="2B58B4DB">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产污系数法</w:t>
                  </w:r>
                </w:p>
              </w:tc>
              <w:tc>
                <w:tcPr>
                  <w:tcW w:w="346" w:type="dxa"/>
                  <w:vMerge w:val="restart"/>
                  <w:noWrap w:val="0"/>
                  <w:vAlign w:val="center"/>
                </w:tcPr>
                <w:p w14:paraId="62BC863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600</w:t>
                  </w:r>
                </w:p>
              </w:tc>
              <w:tc>
                <w:tcPr>
                  <w:tcW w:w="387" w:type="dxa"/>
                  <w:noWrap w:val="0"/>
                  <w:vAlign w:val="center"/>
                </w:tcPr>
                <w:p w14:paraId="79D43AAD">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250</w:t>
                  </w:r>
                </w:p>
              </w:tc>
              <w:tc>
                <w:tcPr>
                  <w:tcW w:w="375" w:type="dxa"/>
                  <w:noWrap w:val="0"/>
                  <w:vAlign w:val="center"/>
                </w:tcPr>
                <w:p w14:paraId="2FABCB3D">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0.15</w:t>
                  </w:r>
                </w:p>
              </w:tc>
              <w:tc>
                <w:tcPr>
                  <w:tcW w:w="433" w:type="dxa"/>
                  <w:vMerge w:val="restart"/>
                  <w:noWrap w:val="0"/>
                  <w:vAlign w:val="center"/>
                </w:tcPr>
                <w:p w14:paraId="33218B59">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化粪池</w:t>
                  </w:r>
                </w:p>
              </w:tc>
              <w:tc>
                <w:tcPr>
                  <w:tcW w:w="405" w:type="dxa"/>
                  <w:vMerge w:val="restart"/>
                  <w:noWrap w:val="0"/>
                  <w:vAlign w:val="center"/>
                </w:tcPr>
                <w:p w14:paraId="6B7DB131">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1个化粪池容积为30m</w:t>
                  </w:r>
                  <w:r>
                    <w:rPr>
                      <w:rFonts w:hint="eastAsia" w:ascii="Times New Roman" w:hAnsi="Times New Roman" w:eastAsia="宋体" w:cs="Times New Roman"/>
                      <w:b w:val="0"/>
                      <w:bCs/>
                      <w:color w:val="000000"/>
                      <w:sz w:val="21"/>
                      <w:szCs w:val="21"/>
                      <w:highlight w:val="none"/>
                      <w:vertAlign w:val="superscript"/>
                      <w:lang w:val="en-US" w:eastAsia="zh-CN"/>
                    </w:rPr>
                    <w:t>3</w:t>
                  </w:r>
                </w:p>
              </w:tc>
              <w:tc>
                <w:tcPr>
                  <w:tcW w:w="260" w:type="dxa"/>
                  <w:noWrap w:val="0"/>
                  <w:vAlign w:val="center"/>
                </w:tcPr>
                <w:p w14:paraId="13B23F92">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362" w:type="dxa"/>
                  <w:vMerge w:val="restart"/>
                  <w:noWrap w:val="0"/>
                  <w:vAlign w:val="center"/>
                </w:tcPr>
                <w:p w14:paraId="3FC91659">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357" w:type="dxa"/>
                  <w:vMerge w:val="restart"/>
                  <w:noWrap w:val="0"/>
                  <w:vAlign w:val="center"/>
                </w:tcPr>
                <w:p w14:paraId="7837B50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w:t>
                  </w:r>
                </w:p>
              </w:tc>
              <w:tc>
                <w:tcPr>
                  <w:tcW w:w="364" w:type="dxa"/>
                  <w:noWrap w:val="0"/>
                  <w:vAlign w:val="center"/>
                </w:tcPr>
                <w:p w14:paraId="297F72BA">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244" w:type="dxa"/>
                  <w:noWrap w:val="0"/>
                  <w:vAlign w:val="center"/>
                </w:tcPr>
                <w:p w14:paraId="107D6B0A">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w:t>
                  </w:r>
                </w:p>
              </w:tc>
              <w:tc>
                <w:tcPr>
                  <w:tcW w:w="324" w:type="dxa"/>
                  <w:vMerge w:val="restart"/>
                  <w:noWrap w:val="0"/>
                  <w:vAlign w:val="center"/>
                </w:tcPr>
                <w:p w14:paraId="27C5A0C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不外排</w:t>
                  </w:r>
                </w:p>
              </w:tc>
            </w:tr>
            <w:tr w14:paraId="222AC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6" w:type="dxa"/>
                  <w:vMerge w:val="continue"/>
                  <w:noWrap w:val="0"/>
                  <w:vAlign w:val="center"/>
                </w:tcPr>
                <w:p w14:paraId="2BF71AB5">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243" w:type="dxa"/>
                  <w:vMerge w:val="continue"/>
                  <w:noWrap w:val="0"/>
                  <w:vAlign w:val="center"/>
                </w:tcPr>
                <w:p w14:paraId="099116B6">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401" w:type="dxa"/>
                  <w:noWrap w:val="0"/>
                  <w:vAlign w:val="center"/>
                </w:tcPr>
                <w:p w14:paraId="16EE56F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BOD</w:t>
                  </w:r>
                  <w:r>
                    <w:rPr>
                      <w:rFonts w:ascii="Times New Roman" w:hAnsi="Times New Roman" w:eastAsia="宋体" w:cs="Times New Roman"/>
                      <w:b w:val="0"/>
                      <w:bCs/>
                      <w:color w:val="000000"/>
                      <w:sz w:val="21"/>
                      <w:szCs w:val="21"/>
                      <w:highlight w:val="none"/>
                      <w:vertAlign w:val="subscript"/>
                      <w:lang w:val="en-US" w:eastAsia="zh-CN"/>
                    </w:rPr>
                    <w:t>5</w:t>
                  </w:r>
                </w:p>
              </w:tc>
              <w:tc>
                <w:tcPr>
                  <w:tcW w:w="260" w:type="dxa"/>
                  <w:vMerge w:val="continue"/>
                  <w:noWrap w:val="0"/>
                  <w:vAlign w:val="center"/>
                </w:tcPr>
                <w:p w14:paraId="6A562943">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46" w:type="dxa"/>
                  <w:vMerge w:val="continue"/>
                  <w:noWrap w:val="0"/>
                  <w:vAlign w:val="center"/>
                </w:tcPr>
                <w:p w14:paraId="4D5E65FA">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87" w:type="dxa"/>
                  <w:noWrap w:val="0"/>
                  <w:vAlign w:val="center"/>
                </w:tcPr>
                <w:p w14:paraId="2160DBB3">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130</w:t>
                  </w:r>
                </w:p>
              </w:tc>
              <w:tc>
                <w:tcPr>
                  <w:tcW w:w="375" w:type="dxa"/>
                  <w:noWrap w:val="0"/>
                  <w:vAlign w:val="center"/>
                </w:tcPr>
                <w:p w14:paraId="64132789">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0.078</w:t>
                  </w:r>
                </w:p>
              </w:tc>
              <w:tc>
                <w:tcPr>
                  <w:tcW w:w="433" w:type="dxa"/>
                  <w:vMerge w:val="continue"/>
                  <w:noWrap w:val="0"/>
                  <w:vAlign w:val="center"/>
                </w:tcPr>
                <w:p w14:paraId="080DD9E1">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405" w:type="dxa"/>
                  <w:vMerge w:val="continue"/>
                  <w:noWrap w:val="0"/>
                  <w:vAlign w:val="center"/>
                </w:tcPr>
                <w:p w14:paraId="2827613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260" w:type="dxa"/>
                  <w:noWrap w:val="0"/>
                  <w:vAlign w:val="center"/>
                </w:tcPr>
                <w:p w14:paraId="1C0720D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362" w:type="dxa"/>
                  <w:vMerge w:val="continue"/>
                  <w:noWrap w:val="0"/>
                  <w:vAlign w:val="center"/>
                </w:tcPr>
                <w:p w14:paraId="15F561F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57" w:type="dxa"/>
                  <w:vMerge w:val="continue"/>
                  <w:noWrap w:val="0"/>
                  <w:vAlign w:val="center"/>
                </w:tcPr>
                <w:p w14:paraId="56DB7797">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64" w:type="dxa"/>
                  <w:noWrap w:val="0"/>
                  <w:vAlign w:val="center"/>
                </w:tcPr>
                <w:p w14:paraId="5BB8220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244" w:type="dxa"/>
                  <w:noWrap w:val="0"/>
                  <w:vAlign w:val="center"/>
                </w:tcPr>
                <w:p w14:paraId="3241467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w:t>
                  </w:r>
                </w:p>
              </w:tc>
              <w:tc>
                <w:tcPr>
                  <w:tcW w:w="324" w:type="dxa"/>
                  <w:vMerge w:val="continue"/>
                  <w:noWrap w:val="0"/>
                  <w:vAlign w:val="center"/>
                </w:tcPr>
                <w:p w14:paraId="269BC99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r>
            <w:tr w14:paraId="7B4F8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6" w:type="dxa"/>
                  <w:vMerge w:val="continue"/>
                  <w:noWrap w:val="0"/>
                  <w:vAlign w:val="center"/>
                </w:tcPr>
                <w:p w14:paraId="4BD336F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243" w:type="dxa"/>
                  <w:vMerge w:val="continue"/>
                  <w:noWrap w:val="0"/>
                  <w:vAlign w:val="center"/>
                </w:tcPr>
                <w:p w14:paraId="40D1ECFB">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401" w:type="dxa"/>
                  <w:noWrap w:val="0"/>
                  <w:vAlign w:val="center"/>
                </w:tcPr>
                <w:p w14:paraId="49D9B24C">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SS</w:t>
                  </w:r>
                </w:p>
              </w:tc>
              <w:tc>
                <w:tcPr>
                  <w:tcW w:w="260" w:type="dxa"/>
                  <w:vMerge w:val="continue"/>
                  <w:noWrap w:val="0"/>
                  <w:vAlign w:val="center"/>
                </w:tcPr>
                <w:p w14:paraId="149FBF55">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46" w:type="dxa"/>
                  <w:vMerge w:val="continue"/>
                  <w:noWrap w:val="0"/>
                  <w:vAlign w:val="center"/>
                </w:tcPr>
                <w:p w14:paraId="302396CA">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87" w:type="dxa"/>
                  <w:noWrap w:val="0"/>
                  <w:vAlign w:val="center"/>
                </w:tcPr>
                <w:p w14:paraId="7C426479">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150</w:t>
                  </w:r>
                </w:p>
              </w:tc>
              <w:tc>
                <w:tcPr>
                  <w:tcW w:w="375" w:type="dxa"/>
                  <w:noWrap w:val="0"/>
                  <w:vAlign w:val="center"/>
                </w:tcPr>
                <w:p w14:paraId="412B337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0.09</w:t>
                  </w:r>
                </w:p>
              </w:tc>
              <w:tc>
                <w:tcPr>
                  <w:tcW w:w="433" w:type="dxa"/>
                  <w:vMerge w:val="continue"/>
                  <w:noWrap w:val="0"/>
                  <w:vAlign w:val="center"/>
                </w:tcPr>
                <w:p w14:paraId="25C4AE37">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405" w:type="dxa"/>
                  <w:vMerge w:val="continue"/>
                  <w:noWrap w:val="0"/>
                  <w:vAlign w:val="center"/>
                </w:tcPr>
                <w:p w14:paraId="52B52C3C">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260" w:type="dxa"/>
                  <w:noWrap w:val="0"/>
                  <w:vAlign w:val="center"/>
                </w:tcPr>
                <w:p w14:paraId="0B70D20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362" w:type="dxa"/>
                  <w:vMerge w:val="continue"/>
                  <w:noWrap w:val="0"/>
                  <w:vAlign w:val="center"/>
                </w:tcPr>
                <w:p w14:paraId="61285052">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57" w:type="dxa"/>
                  <w:vMerge w:val="continue"/>
                  <w:noWrap w:val="0"/>
                  <w:vAlign w:val="center"/>
                </w:tcPr>
                <w:p w14:paraId="6BC91F46">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64" w:type="dxa"/>
                  <w:noWrap w:val="0"/>
                  <w:vAlign w:val="center"/>
                </w:tcPr>
                <w:p w14:paraId="1745FE63">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244" w:type="dxa"/>
                  <w:noWrap w:val="0"/>
                  <w:vAlign w:val="center"/>
                </w:tcPr>
                <w:p w14:paraId="2B88EA05">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w:t>
                  </w:r>
                </w:p>
              </w:tc>
              <w:tc>
                <w:tcPr>
                  <w:tcW w:w="324" w:type="dxa"/>
                  <w:vMerge w:val="continue"/>
                  <w:noWrap w:val="0"/>
                  <w:vAlign w:val="center"/>
                </w:tcPr>
                <w:p w14:paraId="53CAD733">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r>
            <w:tr w14:paraId="15CCD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6" w:type="dxa"/>
                  <w:vMerge w:val="continue"/>
                  <w:noWrap w:val="0"/>
                  <w:vAlign w:val="center"/>
                </w:tcPr>
                <w:p w14:paraId="10472F4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243" w:type="dxa"/>
                  <w:vMerge w:val="continue"/>
                  <w:noWrap w:val="0"/>
                  <w:vAlign w:val="center"/>
                </w:tcPr>
                <w:p w14:paraId="51E87C4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401" w:type="dxa"/>
                  <w:noWrap w:val="0"/>
                  <w:vAlign w:val="center"/>
                </w:tcPr>
                <w:p w14:paraId="6390F452">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氨氮</w:t>
                  </w:r>
                </w:p>
              </w:tc>
              <w:tc>
                <w:tcPr>
                  <w:tcW w:w="260" w:type="dxa"/>
                  <w:vMerge w:val="continue"/>
                  <w:noWrap w:val="0"/>
                  <w:vAlign w:val="center"/>
                </w:tcPr>
                <w:p w14:paraId="463895F5">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46" w:type="dxa"/>
                  <w:vMerge w:val="continue"/>
                  <w:noWrap w:val="0"/>
                  <w:vAlign w:val="center"/>
                </w:tcPr>
                <w:p w14:paraId="5D16DEDA">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87" w:type="dxa"/>
                  <w:noWrap w:val="0"/>
                  <w:vAlign w:val="center"/>
                </w:tcPr>
                <w:p w14:paraId="05632411">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35</w:t>
                  </w:r>
                </w:p>
              </w:tc>
              <w:tc>
                <w:tcPr>
                  <w:tcW w:w="375" w:type="dxa"/>
                  <w:noWrap w:val="0"/>
                  <w:vAlign w:val="center"/>
                </w:tcPr>
                <w:p w14:paraId="547B5B35">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0.021</w:t>
                  </w:r>
                </w:p>
              </w:tc>
              <w:tc>
                <w:tcPr>
                  <w:tcW w:w="433" w:type="dxa"/>
                  <w:vMerge w:val="continue"/>
                  <w:noWrap w:val="0"/>
                  <w:vAlign w:val="center"/>
                </w:tcPr>
                <w:p w14:paraId="5AFA56FD">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405" w:type="dxa"/>
                  <w:vMerge w:val="continue"/>
                  <w:noWrap w:val="0"/>
                  <w:vAlign w:val="center"/>
                </w:tcPr>
                <w:p w14:paraId="1DC3DC9E">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260" w:type="dxa"/>
                  <w:noWrap w:val="0"/>
                  <w:vAlign w:val="center"/>
                </w:tcPr>
                <w:p w14:paraId="108297C5">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362" w:type="dxa"/>
                  <w:vMerge w:val="continue"/>
                  <w:noWrap w:val="0"/>
                  <w:vAlign w:val="center"/>
                </w:tcPr>
                <w:p w14:paraId="082BE00C">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57" w:type="dxa"/>
                  <w:vMerge w:val="continue"/>
                  <w:noWrap w:val="0"/>
                  <w:vAlign w:val="center"/>
                </w:tcPr>
                <w:p w14:paraId="74FCAD3F">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64" w:type="dxa"/>
                  <w:noWrap w:val="0"/>
                  <w:vAlign w:val="center"/>
                </w:tcPr>
                <w:p w14:paraId="5F7328F4">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244" w:type="dxa"/>
                  <w:noWrap w:val="0"/>
                  <w:vAlign w:val="center"/>
                </w:tcPr>
                <w:p w14:paraId="3B9A62F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w:t>
                  </w:r>
                </w:p>
              </w:tc>
              <w:tc>
                <w:tcPr>
                  <w:tcW w:w="324" w:type="dxa"/>
                  <w:vMerge w:val="continue"/>
                  <w:noWrap w:val="0"/>
                  <w:vAlign w:val="center"/>
                </w:tcPr>
                <w:p w14:paraId="03657862">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r>
            <w:tr w14:paraId="00B80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6" w:type="dxa"/>
                  <w:vMerge w:val="continue"/>
                  <w:noWrap w:val="0"/>
                  <w:vAlign w:val="center"/>
                </w:tcPr>
                <w:p w14:paraId="4FB82407">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243" w:type="dxa"/>
                  <w:vMerge w:val="continue"/>
                  <w:noWrap w:val="0"/>
                  <w:vAlign w:val="center"/>
                </w:tcPr>
                <w:p w14:paraId="62428A93">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401" w:type="dxa"/>
                  <w:noWrap w:val="0"/>
                  <w:vAlign w:val="center"/>
                </w:tcPr>
                <w:p w14:paraId="5BF1B18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总磷</w:t>
                  </w:r>
                </w:p>
              </w:tc>
              <w:tc>
                <w:tcPr>
                  <w:tcW w:w="260" w:type="dxa"/>
                  <w:vMerge w:val="continue"/>
                  <w:noWrap w:val="0"/>
                  <w:vAlign w:val="center"/>
                </w:tcPr>
                <w:p w14:paraId="0AE7C91C">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46" w:type="dxa"/>
                  <w:vMerge w:val="continue"/>
                  <w:noWrap w:val="0"/>
                  <w:vAlign w:val="center"/>
                </w:tcPr>
                <w:p w14:paraId="1612171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87" w:type="dxa"/>
                  <w:noWrap w:val="0"/>
                  <w:vAlign w:val="center"/>
                </w:tcPr>
                <w:p w14:paraId="57560E21">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8</w:t>
                  </w:r>
                </w:p>
              </w:tc>
              <w:tc>
                <w:tcPr>
                  <w:tcW w:w="375" w:type="dxa"/>
                  <w:noWrap w:val="0"/>
                  <w:vAlign w:val="center"/>
                </w:tcPr>
                <w:p w14:paraId="18FF071B">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0.0048</w:t>
                  </w:r>
                </w:p>
              </w:tc>
              <w:tc>
                <w:tcPr>
                  <w:tcW w:w="433" w:type="dxa"/>
                  <w:vMerge w:val="continue"/>
                  <w:noWrap w:val="0"/>
                  <w:vAlign w:val="center"/>
                </w:tcPr>
                <w:p w14:paraId="0350D21F">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405" w:type="dxa"/>
                  <w:vMerge w:val="continue"/>
                  <w:noWrap w:val="0"/>
                  <w:vAlign w:val="center"/>
                </w:tcPr>
                <w:p w14:paraId="76482117">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260" w:type="dxa"/>
                  <w:noWrap w:val="0"/>
                  <w:vAlign w:val="center"/>
                </w:tcPr>
                <w:p w14:paraId="0568E74F">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362" w:type="dxa"/>
                  <w:vMerge w:val="continue"/>
                  <w:noWrap w:val="0"/>
                  <w:vAlign w:val="center"/>
                </w:tcPr>
                <w:p w14:paraId="6C550CCA">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57" w:type="dxa"/>
                  <w:vMerge w:val="continue"/>
                  <w:noWrap w:val="0"/>
                  <w:vAlign w:val="center"/>
                </w:tcPr>
                <w:p w14:paraId="355DD699">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64" w:type="dxa"/>
                  <w:noWrap w:val="0"/>
                  <w:vAlign w:val="center"/>
                </w:tcPr>
                <w:p w14:paraId="041591E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244" w:type="dxa"/>
                  <w:noWrap w:val="0"/>
                  <w:vAlign w:val="center"/>
                </w:tcPr>
                <w:p w14:paraId="0A113034">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0</w:t>
                  </w:r>
                </w:p>
              </w:tc>
              <w:tc>
                <w:tcPr>
                  <w:tcW w:w="324" w:type="dxa"/>
                  <w:vMerge w:val="continue"/>
                  <w:noWrap w:val="0"/>
                  <w:vAlign w:val="center"/>
                </w:tcPr>
                <w:p w14:paraId="1605A8E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r>
            <w:tr w14:paraId="6F52C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6" w:type="dxa"/>
                  <w:vMerge w:val="continue"/>
                  <w:noWrap w:val="0"/>
                  <w:vAlign w:val="center"/>
                </w:tcPr>
                <w:p w14:paraId="6CBDE6CA">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243" w:type="dxa"/>
                  <w:vMerge w:val="continue"/>
                  <w:noWrap w:val="0"/>
                  <w:vAlign w:val="center"/>
                </w:tcPr>
                <w:p w14:paraId="2D696B97">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401" w:type="dxa"/>
                  <w:noWrap w:val="0"/>
                  <w:vAlign w:val="center"/>
                </w:tcPr>
                <w:p w14:paraId="05E89831">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总氮</w:t>
                  </w:r>
                </w:p>
              </w:tc>
              <w:tc>
                <w:tcPr>
                  <w:tcW w:w="260" w:type="dxa"/>
                  <w:vMerge w:val="continue"/>
                  <w:noWrap w:val="0"/>
                  <w:vAlign w:val="center"/>
                </w:tcPr>
                <w:p w14:paraId="41076C51">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46" w:type="dxa"/>
                  <w:vMerge w:val="continue"/>
                  <w:noWrap w:val="0"/>
                  <w:vAlign w:val="center"/>
                </w:tcPr>
                <w:p w14:paraId="1BCA7062">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87" w:type="dxa"/>
                  <w:noWrap w:val="0"/>
                  <w:vAlign w:val="center"/>
                </w:tcPr>
                <w:p w14:paraId="7B1C9CF5">
                  <w:pPr>
                    <w:widowControl/>
                    <w:spacing w:line="240" w:lineRule="auto"/>
                    <w:ind w:firstLine="0"/>
                    <w:jc w:val="center"/>
                    <w:rPr>
                      <w:rFonts w:hint="eastAsia"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40</w:t>
                  </w:r>
                </w:p>
              </w:tc>
              <w:tc>
                <w:tcPr>
                  <w:tcW w:w="375" w:type="dxa"/>
                  <w:noWrap w:val="0"/>
                  <w:vAlign w:val="center"/>
                </w:tcPr>
                <w:p w14:paraId="755DCDA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0.024</w:t>
                  </w:r>
                </w:p>
              </w:tc>
              <w:tc>
                <w:tcPr>
                  <w:tcW w:w="433" w:type="dxa"/>
                  <w:vMerge w:val="continue"/>
                  <w:noWrap w:val="0"/>
                  <w:vAlign w:val="center"/>
                </w:tcPr>
                <w:p w14:paraId="55583DFD">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405" w:type="dxa"/>
                  <w:vMerge w:val="continue"/>
                  <w:noWrap w:val="0"/>
                  <w:vAlign w:val="center"/>
                </w:tcPr>
                <w:p w14:paraId="4D4AA899">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260" w:type="dxa"/>
                  <w:noWrap w:val="0"/>
                  <w:vAlign w:val="center"/>
                </w:tcPr>
                <w:p w14:paraId="3C575694">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362" w:type="dxa"/>
                  <w:vMerge w:val="continue"/>
                  <w:noWrap w:val="0"/>
                  <w:vAlign w:val="center"/>
                </w:tcPr>
                <w:p w14:paraId="76FE3F30">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57" w:type="dxa"/>
                  <w:vMerge w:val="continue"/>
                  <w:noWrap w:val="0"/>
                  <w:vAlign w:val="center"/>
                </w:tcPr>
                <w:p w14:paraId="4482E395">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c>
                <w:tcPr>
                  <w:tcW w:w="364" w:type="dxa"/>
                  <w:noWrap w:val="0"/>
                  <w:vAlign w:val="center"/>
                </w:tcPr>
                <w:p w14:paraId="3B5778E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ascii="Times New Roman" w:hAnsi="Times New Roman" w:eastAsia="宋体" w:cs="Times New Roman"/>
                      <w:b w:val="0"/>
                      <w:bCs/>
                      <w:color w:val="000000"/>
                      <w:sz w:val="21"/>
                      <w:szCs w:val="21"/>
                      <w:highlight w:val="none"/>
                      <w:lang w:val="en-US" w:eastAsia="zh-CN"/>
                    </w:rPr>
                    <w:t>/</w:t>
                  </w:r>
                </w:p>
              </w:tc>
              <w:tc>
                <w:tcPr>
                  <w:tcW w:w="244" w:type="dxa"/>
                  <w:noWrap w:val="0"/>
                  <w:vAlign w:val="center"/>
                </w:tcPr>
                <w:p w14:paraId="75965E7B">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rPr>
                    <w:t>0</w:t>
                  </w:r>
                </w:p>
              </w:tc>
              <w:tc>
                <w:tcPr>
                  <w:tcW w:w="324" w:type="dxa"/>
                  <w:vMerge w:val="continue"/>
                  <w:noWrap w:val="0"/>
                  <w:vAlign w:val="center"/>
                </w:tcPr>
                <w:p w14:paraId="6655297A">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rPr>
                  </w:pPr>
                </w:p>
              </w:tc>
            </w:tr>
          </w:tbl>
          <w:p w14:paraId="50C384A8">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p>
        </w:tc>
      </w:tr>
    </w:tbl>
    <w:p w14:paraId="69E28537">
      <w:pPr>
        <w:spacing w:line="240" w:lineRule="auto"/>
        <w:ind w:firstLine="0"/>
        <w:jc w:val="center"/>
        <w:rPr>
          <w:rFonts w:ascii="Times New Roman" w:hAnsi="Times New Roman" w:eastAsia="宋体" w:cs="Times New Roman"/>
          <w:b/>
          <w:color w:val="000000"/>
          <w:sz w:val="24"/>
          <w:szCs w:val="24"/>
          <w:highlight w:val="none"/>
          <w:lang w:val="en-US" w:eastAsia="zh-CN"/>
        </w:rPr>
      </w:pPr>
    </w:p>
    <w:p w14:paraId="2324A491">
      <w:pPr>
        <w:jc w:val="center"/>
        <w:rPr>
          <w:rFonts w:ascii="Times New Roman" w:hAnsi="Times New Roman" w:eastAsia="宋体" w:cs="Times New Roman"/>
          <w:b/>
          <w:bCs/>
          <w:color w:val="000000"/>
          <w:sz w:val="24"/>
          <w:szCs w:val="24"/>
          <w:highlight w:val="none"/>
        </w:rPr>
        <w:sectPr>
          <w:pgSz w:w="16840" w:h="11907"/>
          <w:pgMar w:top="1134" w:right="1134" w:bottom="1134" w:left="1134" w:header="851" w:footer="851" w:gutter="0"/>
          <w:pgNumType w:start="1"/>
          <w:cols w:space="1701" w:num="1"/>
        </w:sectPr>
      </w:pPr>
    </w:p>
    <w:tbl>
      <w:tblPr>
        <w:tblStyle w:val="29"/>
        <w:tblW w:w="978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28" w:type="dxa"/>
          <w:bottom w:w="0" w:type="dxa"/>
          <w:right w:w="28" w:type="dxa"/>
        </w:tblCellMar>
      </w:tblPr>
      <w:tblGrid>
        <w:gridCol w:w="534"/>
        <w:gridCol w:w="9255"/>
      </w:tblGrid>
      <w:tr w14:paraId="2D2A3C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2415" w:hRule="atLeast"/>
          <w:jc w:val="center"/>
        </w:trPr>
        <w:tc>
          <w:tcPr>
            <w:tcW w:w="534" w:type="dxa"/>
            <w:noWrap w:val="0"/>
            <w:tcMar>
              <w:left w:w="28" w:type="dxa"/>
              <w:right w:w="28" w:type="dxa"/>
            </w:tcMar>
            <w:vAlign w:val="center"/>
          </w:tcPr>
          <w:p w14:paraId="58ADA1E5">
            <w:pPr>
              <w:pStyle w:val="234"/>
              <w:rPr>
                <w:rFonts w:ascii="Times New Roman" w:hAnsi="Times New Roman" w:eastAsia="宋体" w:cs="Times New Roman"/>
                <w:color w:val="000000"/>
                <w:highlight w:val="none"/>
              </w:rPr>
            </w:pPr>
          </w:p>
        </w:tc>
        <w:tc>
          <w:tcPr>
            <w:tcW w:w="9255" w:type="dxa"/>
            <w:noWrap w:val="0"/>
            <w:vAlign w:val="center"/>
          </w:tcPr>
          <w:p w14:paraId="088B711D">
            <w:pPr>
              <w:spacing w:line="360" w:lineRule="auto"/>
              <w:ind w:firstLine="482"/>
              <w:rPr>
                <w:rFonts w:ascii="Times New Roman" w:hAnsi="Times New Roman" w:eastAsia="宋体" w:cs="Times New Roman"/>
                <w:b/>
                <w:bCs/>
                <w:color w:val="000000"/>
                <w:sz w:val="24"/>
                <w:lang w:eastAsia="zh-CN"/>
              </w:rPr>
            </w:pPr>
            <w:r>
              <w:rPr>
                <w:rFonts w:ascii="Times New Roman" w:hAnsi="Times New Roman" w:eastAsia="宋体" w:cs="Times New Roman"/>
                <w:b/>
                <w:bCs/>
                <w:color w:val="000000"/>
                <w:sz w:val="24"/>
              </w:rPr>
              <w:t>3、项目废水</w:t>
            </w:r>
            <w:r>
              <w:rPr>
                <w:rFonts w:ascii="Times New Roman" w:hAnsi="Times New Roman" w:eastAsia="宋体" w:cs="Times New Roman"/>
                <w:b/>
                <w:bCs/>
                <w:color w:val="000000"/>
                <w:sz w:val="24"/>
                <w:lang w:val="en-US" w:eastAsia="zh-CN"/>
              </w:rPr>
              <w:t>处置</w:t>
            </w:r>
            <w:r>
              <w:rPr>
                <w:rFonts w:ascii="Times New Roman" w:hAnsi="Times New Roman" w:eastAsia="宋体" w:cs="Times New Roman"/>
                <w:b/>
                <w:bCs/>
                <w:color w:val="000000"/>
                <w:sz w:val="24"/>
                <w:lang w:eastAsia="zh-CN"/>
              </w:rPr>
              <w:t>措施</w:t>
            </w:r>
            <w:r>
              <w:rPr>
                <w:rFonts w:ascii="Times New Roman" w:hAnsi="Times New Roman" w:eastAsia="宋体" w:cs="Times New Roman"/>
                <w:b/>
                <w:bCs/>
                <w:color w:val="000000"/>
                <w:sz w:val="24"/>
              </w:rPr>
              <w:t>及其可行性分析</w:t>
            </w:r>
          </w:p>
          <w:p w14:paraId="29473182">
            <w:pPr>
              <w:spacing w:line="360" w:lineRule="auto"/>
              <w:ind w:firstLine="482"/>
              <w:rPr>
                <w:rFonts w:ascii="Times New Roman" w:hAnsi="Times New Roman" w:eastAsia="宋体" w:cs="Times New Roman"/>
                <w:b/>
                <w:bCs/>
                <w:color w:val="000000"/>
                <w:sz w:val="24"/>
                <w:lang w:val="en-US" w:eastAsia="zh-CN"/>
              </w:rPr>
            </w:pPr>
            <w:r>
              <w:rPr>
                <w:rFonts w:ascii="Times New Roman" w:hAnsi="Times New Roman" w:eastAsia="宋体" w:cs="Times New Roman"/>
                <w:b/>
                <w:bCs/>
                <w:color w:val="000000"/>
                <w:sz w:val="24"/>
                <w:lang w:eastAsia="zh-CN"/>
              </w:rPr>
              <w:t>（</w:t>
            </w:r>
            <w:r>
              <w:rPr>
                <w:rFonts w:ascii="Times New Roman" w:hAnsi="Times New Roman" w:eastAsia="宋体" w:cs="Times New Roman"/>
                <w:b/>
                <w:bCs/>
                <w:color w:val="000000"/>
                <w:sz w:val="24"/>
                <w:lang w:val="en-US" w:eastAsia="zh-CN"/>
              </w:rPr>
              <w:t>1</w:t>
            </w:r>
            <w:r>
              <w:rPr>
                <w:rFonts w:ascii="Times New Roman" w:hAnsi="Times New Roman" w:eastAsia="宋体" w:cs="Times New Roman"/>
                <w:b/>
                <w:bCs/>
                <w:color w:val="000000"/>
                <w:sz w:val="24"/>
                <w:lang w:eastAsia="zh-CN"/>
              </w:rPr>
              <w:t>）</w:t>
            </w:r>
            <w:r>
              <w:rPr>
                <w:rFonts w:ascii="Times New Roman" w:hAnsi="Times New Roman" w:eastAsia="宋体" w:cs="Times New Roman"/>
                <w:b/>
                <w:bCs/>
                <w:color w:val="000000"/>
                <w:sz w:val="24"/>
                <w:lang w:val="en-US" w:eastAsia="zh-CN"/>
              </w:rPr>
              <w:t>废水处置措施</w:t>
            </w:r>
          </w:p>
          <w:p w14:paraId="6313919C">
            <w:pPr>
              <w:spacing w:line="360" w:lineRule="auto"/>
              <w:ind w:firstLine="480"/>
              <w:rPr>
                <w:rFonts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项目区实施雨污分流：</w:t>
            </w:r>
          </w:p>
          <w:p w14:paraId="6421D0D2">
            <w:pPr>
              <w:spacing w:line="360" w:lineRule="auto"/>
              <w:ind w:firstLine="482"/>
              <w:rPr>
                <w:rFonts w:ascii="Times New Roman" w:hAnsi="Times New Roman" w:eastAsia="宋体" w:cs="Times New Roman"/>
                <w:color w:val="000000"/>
                <w:sz w:val="24"/>
                <w:szCs w:val="24"/>
                <w:lang w:val="en-US" w:eastAsia="zh-CN"/>
              </w:rPr>
            </w:pPr>
            <w:r>
              <w:rPr>
                <w:rFonts w:hint="eastAsia" w:ascii="Times New Roman" w:hAnsi="Times New Roman" w:eastAsia="宋体" w:cs="Times New Roman"/>
                <w:b/>
                <w:bCs/>
                <w:color w:val="000000"/>
                <w:sz w:val="24"/>
                <w:szCs w:val="24"/>
                <w:lang w:val="en-US" w:eastAsia="zh-CN"/>
              </w:rPr>
              <w:t>雨水：</w:t>
            </w:r>
            <w:r>
              <w:rPr>
                <w:rFonts w:ascii="Times New Roman" w:hAnsi="Times New Roman" w:eastAsia="宋体" w:cs="Times New Roman"/>
                <w:color w:val="000000"/>
                <w:sz w:val="24"/>
                <w:szCs w:val="24"/>
              </w:rPr>
              <w:t>厂区周围设置</w:t>
            </w:r>
            <w:r>
              <w:rPr>
                <w:rFonts w:hint="eastAsia" w:ascii="Times New Roman" w:hAnsi="Times New Roman" w:eastAsia="宋体" w:cs="Times New Roman"/>
                <w:color w:val="000000"/>
                <w:sz w:val="24"/>
                <w:szCs w:val="24"/>
                <w:lang w:val="en-US" w:eastAsia="zh-CN"/>
              </w:rPr>
              <w:t>雨水排</w:t>
            </w:r>
            <w:r>
              <w:rPr>
                <w:rFonts w:ascii="Times New Roman" w:hAnsi="Times New Roman" w:eastAsia="宋体" w:cs="Times New Roman"/>
                <w:color w:val="000000"/>
                <w:sz w:val="24"/>
                <w:szCs w:val="24"/>
              </w:rPr>
              <w:t>水沟，</w:t>
            </w:r>
            <w:r>
              <w:rPr>
                <w:rFonts w:hint="eastAsia" w:ascii="Times New Roman" w:hAnsi="Times New Roman" w:eastAsia="宋体" w:cs="Times New Roman"/>
                <w:color w:val="000000"/>
                <w:sz w:val="24"/>
                <w:szCs w:val="24"/>
                <w:lang w:val="en-US" w:eastAsia="zh-CN"/>
              </w:rPr>
              <w:t>前15min雨水经</w:t>
            </w:r>
            <w:r>
              <w:rPr>
                <w:rFonts w:hint="eastAsia" w:ascii="Times New Roman" w:hAnsi="Times New Roman" w:eastAsia="宋体" w:cs="Times New Roman"/>
                <w:bCs/>
                <w:color w:val="000000"/>
                <w:sz w:val="24"/>
                <w:szCs w:val="24"/>
                <w:highlight w:val="none"/>
                <w:lang w:val="en-US" w:eastAsia="zh-CN"/>
              </w:rPr>
              <w:t>1个50</w:t>
            </w:r>
            <w:r>
              <w:rPr>
                <w:rFonts w:ascii="Times New Roman" w:hAnsi="Times New Roman" w:eastAsia="宋体" w:cs="Times New Roman"/>
                <w:i w:val="0"/>
                <w:iCs/>
                <w:color w:val="000000"/>
                <w:sz w:val="24"/>
                <w:szCs w:val="24"/>
                <w:highlight w:val="none"/>
              </w:rPr>
              <w:t>m</w:t>
            </w:r>
            <w:r>
              <w:rPr>
                <w:rFonts w:ascii="Times New Roman" w:hAnsi="Times New Roman" w:eastAsia="宋体" w:cs="Times New Roman"/>
                <w:i w:val="0"/>
                <w:iCs/>
                <w:color w:val="000000"/>
                <w:sz w:val="24"/>
                <w:szCs w:val="24"/>
                <w:highlight w:val="none"/>
                <w:vertAlign w:val="superscript"/>
              </w:rPr>
              <w:t>3</w:t>
            </w:r>
            <w:r>
              <w:rPr>
                <w:rFonts w:hint="eastAsia" w:ascii="Times New Roman" w:hAnsi="Times New Roman" w:eastAsia="宋体" w:cs="Times New Roman"/>
                <w:color w:val="000000"/>
                <w:sz w:val="24"/>
                <w:szCs w:val="24"/>
                <w:lang w:val="en-US" w:eastAsia="zh-CN"/>
              </w:rPr>
              <w:t>初期雨水收集池收集沉淀后，回</w:t>
            </w:r>
            <w:r>
              <w:rPr>
                <w:rFonts w:ascii="Times New Roman" w:hAnsi="Times New Roman" w:eastAsia="宋体" w:cs="Times New Roman"/>
                <w:color w:val="000000"/>
                <w:sz w:val="24"/>
                <w:szCs w:val="24"/>
              </w:rPr>
              <w:t>用于</w:t>
            </w:r>
            <w:r>
              <w:rPr>
                <w:rFonts w:hint="eastAsia" w:ascii="Times New Roman" w:hAnsi="Times New Roman" w:eastAsia="宋体" w:cs="Times New Roman"/>
                <w:color w:val="000000"/>
                <w:sz w:val="24"/>
                <w:szCs w:val="24"/>
                <w:lang w:val="en-US" w:eastAsia="zh-CN"/>
              </w:rPr>
              <w:t>非雨天</w:t>
            </w:r>
            <w:r>
              <w:rPr>
                <w:rFonts w:ascii="Times New Roman" w:hAnsi="Times New Roman" w:eastAsia="宋体" w:cs="Times New Roman"/>
                <w:color w:val="000000"/>
                <w:sz w:val="24"/>
                <w:szCs w:val="24"/>
                <w:lang w:val="en-US" w:eastAsia="zh-CN"/>
              </w:rPr>
              <w:t>厂</w:t>
            </w:r>
            <w:r>
              <w:rPr>
                <w:rFonts w:ascii="Times New Roman" w:hAnsi="Times New Roman" w:eastAsia="宋体" w:cs="Times New Roman"/>
                <w:color w:val="000000"/>
                <w:sz w:val="24"/>
                <w:szCs w:val="24"/>
              </w:rPr>
              <w:t>区洒水降尘</w:t>
            </w:r>
            <w:r>
              <w:rPr>
                <w:rFonts w:hint="eastAsia" w:ascii="Times New Roman" w:hAnsi="Times New Roman" w:eastAsia="宋体" w:cs="Times New Roman"/>
                <w:color w:val="000000"/>
                <w:sz w:val="24"/>
                <w:szCs w:val="24"/>
                <w:lang w:eastAsia="zh-CN"/>
              </w:rPr>
              <w:t>，其余外排至周边雨水沟。</w:t>
            </w:r>
          </w:p>
          <w:p w14:paraId="5AF46F21">
            <w:pPr>
              <w:spacing w:line="360" w:lineRule="auto"/>
              <w:ind w:firstLine="482"/>
              <w:rPr>
                <w:rFonts w:ascii="Times New Roman" w:hAnsi="Times New Roman" w:eastAsia="宋体" w:cs="Times New Roman"/>
                <w:color w:val="000000"/>
                <w:sz w:val="24"/>
                <w:szCs w:val="24"/>
                <w:lang w:val="en-US" w:eastAsia="zh-CN"/>
              </w:rPr>
            </w:pPr>
            <w:r>
              <w:rPr>
                <w:rFonts w:hint="eastAsia" w:ascii="Times New Roman" w:hAnsi="Times New Roman" w:eastAsia="宋体" w:cs="Times New Roman"/>
                <w:b/>
                <w:bCs/>
                <w:color w:val="000000"/>
                <w:sz w:val="24"/>
                <w:szCs w:val="24"/>
                <w:lang w:val="en-US" w:eastAsia="zh-CN"/>
              </w:rPr>
              <w:t>生活废水：</w:t>
            </w:r>
            <w:r>
              <w:rPr>
                <w:rFonts w:hint="eastAsia" w:ascii="Times New Roman" w:hAnsi="Times New Roman" w:eastAsia="宋体" w:cs="Times New Roman"/>
                <w:color w:val="000000"/>
                <w:sz w:val="24"/>
                <w:szCs w:val="24"/>
                <w:lang w:val="en-US" w:eastAsia="zh-CN"/>
              </w:rPr>
              <w:t>经化粪池（</w:t>
            </w:r>
            <w:r>
              <w:rPr>
                <w:rFonts w:hint="eastAsia" w:ascii="Times New Roman" w:hAnsi="Times New Roman" w:eastAsia="宋体" w:cs="Times New Roman"/>
                <w:bCs/>
                <w:color w:val="000000"/>
                <w:sz w:val="24"/>
                <w:szCs w:val="24"/>
                <w:highlight w:val="none"/>
                <w:lang w:val="en-US" w:eastAsia="zh-CN"/>
              </w:rPr>
              <w:t>1个30</w:t>
            </w:r>
            <w:r>
              <w:rPr>
                <w:rFonts w:ascii="Times New Roman" w:hAnsi="Times New Roman" w:eastAsia="宋体" w:cs="Times New Roman"/>
                <w:i w:val="0"/>
                <w:iCs/>
                <w:color w:val="000000"/>
                <w:sz w:val="24"/>
                <w:szCs w:val="24"/>
                <w:highlight w:val="none"/>
              </w:rPr>
              <w:t>m</w:t>
            </w:r>
            <w:r>
              <w:rPr>
                <w:rFonts w:ascii="Times New Roman" w:hAnsi="Times New Roman" w:eastAsia="宋体" w:cs="Times New Roman"/>
                <w:i w:val="0"/>
                <w:iCs/>
                <w:color w:val="000000"/>
                <w:sz w:val="24"/>
                <w:szCs w:val="24"/>
                <w:highlight w:val="none"/>
                <w:vertAlign w:val="superscript"/>
              </w:rPr>
              <w:t>3</w:t>
            </w:r>
            <w:r>
              <w:rPr>
                <w:rFonts w:ascii="Times New Roman" w:hAnsi="Times New Roman" w:eastAsia="宋体" w:cs="Times New Roman"/>
                <w:color w:val="000000"/>
                <w:sz w:val="24"/>
                <w:szCs w:val="24"/>
              </w:rPr>
              <w:t>化粪池</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val="en-US" w:eastAsia="zh-CN"/>
              </w:rPr>
              <w:t>处理</w:t>
            </w:r>
            <w:r>
              <w:rPr>
                <w:rFonts w:hint="eastAsia" w:ascii="Times New Roman" w:hAnsi="Times New Roman" w:eastAsia="宋体" w:cs="Times New Roman"/>
                <w:color w:val="000000"/>
                <w:sz w:val="24"/>
                <w:szCs w:val="24"/>
                <w:lang w:val="en-US" w:eastAsia="zh-CN"/>
              </w:rPr>
              <w:t>后定期清掏，用作农肥</w:t>
            </w:r>
            <w:r>
              <w:rPr>
                <w:rFonts w:ascii="Times New Roman" w:hAnsi="Times New Roman" w:eastAsia="宋体" w:cs="Times New Roman"/>
                <w:b w:val="0"/>
                <w:bCs/>
                <w:color w:val="000000"/>
                <w:sz w:val="24"/>
                <w:szCs w:val="24"/>
                <w:highlight w:val="none"/>
                <w:lang w:val="en-US" w:eastAsia="zh-CN"/>
              </w:rPr>
              <w:t>，不外排</w:t>
            </w:r>
            <w:r>
              <w:rPr>
                <w:rFonts w:ascii="Times New Roman" w:hAnsi="Times New Roman" w:eastAsia="宋体" w:cs="Times New Roman"/>
                <w:bCs/>
                <w:color w:val="000000"/>
                <w:sz w:val="24"/>
                <w:szCs w:val="24"/>
                <w:highlight w:val="none"/>
              </w:rPr>
              <w:t>。</w:t>
            </w:r>
          </w:p>
          <w:p w14:paraId="6320B1F7">
            <w:pPr>
              <w:spacing w:line="360" w:lineRule="auto"/>
              <w:ind w:firstLine="482"/>
              <w:rPr>
                <w:rFonts w:ascii="Times New Roman" w:hAnsi="Times New Roman" w:eastAsia="宋体" w:cs="Times New Roman"/>
                <w:b/>
                <w:color w:val="000000"/>
                <w:sz w:val="24"/>
                <w:lang w:eastAsia="zh-CN"/>
              </w:rPr>
            </w:pPr>
            <w:r>
              <w:rPr>
                <w:rFonts w:ascii="Times New Roman" w:hAnsi="Times New Roman" w:eastAsia="宋体" w:cs="Times New Roman"/>
                <w:b/>
                <w:color w:val="000000"/>
                <w:sz w:val="24"/>
                <w:lang w:eastAsia="zh-CN"/>
              </w:rPr>
              <w:t>（</w:t>
            </w:r>
            <w:r>
              <w:rPr>
                <w:rFonts w:ascii="Times New Roman" w:hAnsi="Times New Roman" w:eastAsia="宋体" w:cs="Times New Roman"/>
                <w:b/>
                <w:color w:val="000000"/>
                <w:sz w:val="24"/>
                <w:lang w:val="en-US" w:eastAsia="zh-CN"/>
              </w:rPr>
              <w:t>2</w:t>
            </w:r>
            <w:r>
              <w:rPr>
                <w:rFonts w:ascii="Times New Roman" w:hAnsi="Times New Roman" w:eastAsia="宋体" w:cs="Times New Roman"/>
                <w:b/>
                <w:color w:val="000000"/>
                <w:sz w:val="24"/>
                <w:lang w:eastAsia="zh-CN"/>
              </w:rPr>
              <w:t>）</w:t>
            </w:r>
            <w:r>
              <w:rPr>
                <w:rFonts w:ascii="Times New Roman" w:hAnsi="Times New Roman" w:eastAsia="宋体" w:cs="Times New Roman"/>
                <w:b/>
                <w:bCs/>
                <w:color w:val="000000"/>
                <w:sz w:val="24"/>
                <w:lang w:val="en-US" w:eastAsia="zh-CN"/>
              </w:rPr>
              <w:t>处置措施</w:t>
            </w:r>
            <w:r>
              <w:rPr>
                <w:rFonts w:ascii="Times New Roman" w:hAnsi="Times New Roman" w:eastAsia="宋体" w:cs="Times New Roman"/>
                <w:b/>
                <w:bCs/>
                <w:color w:val="000000"/>
                <w:sz w:val="24"/>
              </w:rPr>
              <w:t>可行性分析</w:t>
            </w:r>
          </w:p>
          <w:p w14:paraId="72B799E8">
            <w:pPr>
              <w:keepNext w:val="0"/>
              <w:keepLines w:val="0"/>
              <w:pageBreakBefore w:val="0"/>
              <w:widowControl w:val="0"/>
              <w:spacing w:line="360" w:lineRule="auto"/>
              <w:ind w:firstLine="482"/>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lang w:val="en-US" w:eastAsia="zh-CN"/>
              </w:rPr>
              <w:t>①</w:t>
            </w:r>
            <w:r>
              <w:rPr>
                <w:rFonts w:ascii="Times New Roman" w:hAnsi="Times New Roman" w:eastAsia="宋体" w:cs="Times New Roman"/>
                <w:b/>
                <w:bCs/>
                <w:color w:val="000000"/>
                <w:sz w:val="24"/>
              </w:rPr>
              <w:t>化粪池容积合理性</w:t>
            </w:r>
            <w:r>
              <w:rPr>
                <w:rFonts w:hint="eastAsia" w:ascii="Times New Roman" w:hAnsi="Times New Roman" w:eastAsia="宋体" w:cs="Times New Roman"/>
                <w:b/>
                <w:bCs/>
                <w:color w:val="000000"/>
                <w:sz w:val="24"/>
                <w:lang w:val="en-US" w:eastAsia="zh-CN"/>
              </w:rPr>
              <w:t>及处置可行性</w:t>
            </w:r>
            <w:r>
              <w:rPr>
                <w:rFonts w:ascii="Times New Roman" w:hAnsi="Times New Roman" w:eastAsia="宋体" w:cs="Times New Roman"/>
                <w:b/>
                <w:bCs/>
                <w:color w:val="000000"/>
                <w:sz w:val="24"/>
              </w:rPr>
              <w:t>分析</w:t>
            </w:r>
          </w:p>
          <w:p w14:paraId="22188009">
            <w:pPr>
              <w:keepNext w:val="0"/>
              <w:keepLines w:val="0"/>
              <w:pageBreakBefore w:val="0"/>
              <w:widowControl w:val="0"/>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lang w:val="zh-CN"/>
              </w:rPr>
              <w:t>本项目</w:t>
            </w:r>
            <w:r>
              <w:rPr>
                <w:rFonts w:hint="eastAsia" w:ascii="Times New Roman" w:hAnsi="Times New Roman" w:eastAsia="宋体" w:cs="Times New Roman"/>
                <w:color w:val="000000"/>
                <w:sz w:val="24"/>
                <w:lang w:val="en-US" w:eastAsia="zh-CN"/>
              </w:rPr>
              <w:t>生活</w:t>
            </w:r>
            <w:r>
              <w:rPr>
                <w:rFonts w:ascii="Times New Roman" w:hAnsi="Times New Roman" w:eastAsia="宋体" w:cs="Times New Roman"/>
                <w:color w:val="000000"/>
                <w:sz w:val="24"/>
                <w:lang w:val="zh-CN"/>
              </w:rPr>
              <w:t>废水量为</w:t>
            </w:r>
            <w:r>
              <w:rPr>
                <w:rFonts w:hint="eastAsia" w:ascii="Times New Roman" w:hAnsi="Times New Roman" w:eastAsia="宋体" w:cs="Times New Roman"/>
                <w:color w:val="000000"/>
                <w:sz w:val="24"/>
                <w:lang w:val="en-US" w:eastAsia="zh-CN"/>
              </w:rPr>
              <w:t>2</w:t>
            </w:r>
            <w:r>
              <w:rPr>
                <w:rFonts w:ascii="Times New Roman" w:hAnsi="Times New Roman" w:eastAsia="宋体" w:cs="Times New Roman"/>
                <w:color w:val="000000"/>
                <w:sz w:val="24"/>
                <w:lang w:val="zh-CN"/>
              </w:rPr>
              <w:t>m</w:t>
            </w:r>
            <w:r>
              <w:rPr>
                <w:rFonts w:ascii="Times New Roman" w:hAnsi="Times New Roman" w:eastAsia="宋体" w:cs="Times New Roman"/>
                <w:color w:val="000000"/>
                <w:sz w:val="24"/>
                <w:vertAlign w:val="superscript"/>
                <w:lang w:val="zh-CN"/>
              </w:rPr>
              <w:t>3</w:t>
            </w:r>
            <w:r>
              <w:rPr>
                <w:rFonts w:ascii="Times New Roman" w:hAnsi="Times New Roman" w:eastAsia="宋体" w:cs="Times New Roman"/>
                <w:color w:val="000000"/>
                <w:sz w:val="24"/>
                <w:lang w:val="zh-CN"/>
              </w:rPr>
              <w:t>/d，为满足生活废水24h的熟化时间</w:t>
            </w:r>
            <w:r>
              <w:rPr>
                <w:rFonts w:hint="eastAsia" w:ascii="Times New Roman" w:hAnsi="Times New Roman" w:eastAsia="宋体" w:cs="Times New Roman"/>
                <w:color w:val="000000"/>
                <w:sz w:val="24"/>
                <w:lang w:val="zh-CN"/>
              </w:rPr>
              <w:t>，</w:t>
            </w:r>
            <w:r>
              <w:rPr>
                <w:rFonts w:ascii="Times New Roman" w:hAnsi="Times New Roman" w:eastAsia="宋体" w:cs="Times New Roman"/>
                <w:color w:val="000000"/>
                <w:sz w:val="24"/>
              </w:rPr>
              <w:t>且</w:t>
            </w:r>
            <w:r>
              <w:rPr>
                <w:rFonts w:ascii="Times New Roman" w:hAnsi="Times New Roman" w:eastAsia="宋体" w:cs="Times New Roman"/>
                <w:bCs/>
                <w:color w:val="000000"/>
                <w:sz w:val="24"/>
              </w:rPr>
              <w:t>保证</w:t>
            </w:r>
            <w:r>
              <w:rPr>
                <w:rFonts w:hint="eastAsia" w:ascii="Times New Roman" w:hAnsi="Times New Roman" w:eastAsia="宋体" w:cs="Times New Roman"/>
                <w:color w:val="000000"/>
                <w:sz w:val="24"/>
                <w:lang w:val="en-US" w:eastAsia="zh-CN"/>
              </w:rPr>
              <w:t>能够收集10天</w:t>
            </w:r>
            <w:r>
              <w:rPr>
                <w:rFonts w:ascii="Times New Roman" w:hAnsi="Times New Roman" w:eastAsia="宋体" w:cs="Times New Roman"/>
                <w:color w:val="000000"/>
                <w:sz w:val="24"/>
              </w:rPr>
              <w:t>废水不外溢，安全系数取1.2</w:t>
            </w:r>
            <w:r>
              <w:rPr>
                <w:rFonts w:ascii="Times New Roman" w:hAnsi="Times New Roman" w:eastAsia="宋体" w:cs="Times New Roman"/>
                <w:color w:val="000000"/>
                <w:sz w:val="24"/>
                <w:lang w:val="zh-CN"/>
              </w:rPr>
              <w:t>，</w:t>
            </w:r>
            <w:r>
              <w:rPr>
                <w:rFonts w:ascii="Times New Roman" w:hAnsi="Times New Roman" w:eastAsia="宋体" w:cs="Times New Roman"/>
                <w:color w:val="000000"/>
                <w:sz w:val="24"/>
              </w:rPr>
              <w:t>应</w:t>
            </w:r>
            <w:r>
              <w:rPr>
                <w:rFonts w:ascii="Times New Roman" w:hAnsi="Times New Roman" w:eastAsia="宋体" w:cs="Times New Roman"/>
                <w:color w:val="000000"/>
                <w:sz w:val="24"/>
                <w:lang w:val="zh-CN"/>
              </w:rPr>
              <w:t>设置容积不小</w:t>
            </w:r>
            <w:r>
              <w:rPr>
                <w:rFonts w:ascii="Times New Roman" w:hAnsi="Times New Roman" w:eastAsia="宋体" w:cs="Times New Roman"/>
                <w:color w:val="000000"/>
                <w:sz w:val="24"/>
              </w:rPr>
              <w:t>于</w:t>
            </w:r>
            <w:r>
              <w:rPr>
                <w:rFonts w:hint="eastAsia" w:ascii="Times New Roman" w:hAnsi="Times New Roman" w:eastAsia="宋体" w:cs="Times New Roman"/>
                <w:color w:val="000000"/>
                <w:sz w:val="24"/>
                <w:lang w:val="en-US" w:eastAsia="zh-CN"/>
              </w:rPr>
              <w:t>24</w:t>
            </w:r>
            <w:r>
              <w:rPr>
                <w:rFonts w:ascii="Times New Roman" w:hAnsi="Times New Roman" w:eastAsia="宋体" w:cs="Times New Roman"/>
                <w:color w:val="000000"/>
                <w:sz w:val="24"/>
                <w:lang w:val="zh-CN"/>
              </w:rPr>
              <w:t>m</w:t>
            </w:r>
            <w:r>
              <w:rPr>
                <w:rFonts w:ascii="Times New Roman" w:hAnsi="Times New Roman" w:eastAsia="宋体" w:cs="Times New Roman"/>
                <w:color w:val="000000"/>
                <w:sz w:val="24"/>
                <w:vertAlign w:val="superscript"/>
                <w:lang w:val="zh-CN"/>
              </w:rPr>
              <w:t>3</w:t>
            </w:r>
            <w:r>
              <w:rPr>
                <w:rFonts w:ascii="Times New Roman" w:hAnsi="Times New Roman" w:eastAsia="宋体" w:cs="Times New Roman"/>
                <w:color w:val="000000"/>
                <w:sz w:val="24"/>
                <w:lang w:val="zh-CN"/>
              </w:rPr>
              <w:t>的化粪池，</w:t>
            </w:r>
            <w:r>
              <w:rPr>
                <w:rFonts w:hint="eastAsia" w:ascii="Times New Roman" w:hAnsi="Times New Roman" w:eastAsia="宋体" w:cs="Times New Roman"/>
                <w:color w:val="000000"/>
                <w:sz w:val="24"/>
                <w:lang w:val="en-US" w:eastAsia="zh-CN"/>
              </w:rPr>
              <w:t>本项目化粪池拟设</w:t>
            </w:r>
            <w:r>
              <w:rPr>
                <w:rFonts w:hint="eastAsia" w:ascii="Times New Roman" w:hAnsi="Times New Roman" w:eastAsia="宋体" w:cs="Times New Roman"/>
                <w:bCs/>
                <w:color w:val="000000"/>
                <w:sz w:val="24"/>
                <w:lang w:val="en-US" w:eastAsia="zh-CN"/>
              </w:rPr>
              <w:t>容积为30</w:t>
            </w:r>
            <w:r>
              <w:rPr>
                <w:rFonts w:ascii="Times New Roman" w:hAnsi="Times New Roman" w:eastAsia="宋体" w:cs="Times New Roman"/>
                <w:bCs/>
                <w:color w:val="000000"/>
                <w:sz w:val="24"/>
              </w:rPr>
              <w:t>m</w:t>
            </w:r>
            <w:r>
              <w:rPr>
                <w:rFonts w:ascii="Times New Roman" w:hAnsi="Times New Roman" w:eastAsia="宋体" w:cs="Times New Roman"/>
                <w:bCs/>
                <w:color w:val="000000"/>
                <w:sz w:val="24"/>
                <w:vertAlign w:val="superscript"/>
                <w:lang w:val="en-US" w:eastAsia="zh-CN"/>
              </w:rPr>
              <w:t>3</w:t>
            </w:r>
            <w:r>
              <w:rPr>
                <w:rFonts w:hint="eastAsia" w:ascii="Times New Roman" w:hAnsi="Times New Roman" w:eastAsia="宋体" w:cs="Times New Roman"/>
                <w:bCs/>
                <w:color w:val="000000"/>
                <w:sz w:val="24"/>
                <w:lang w:eastAsia="zh-CN"/>
              </w:rPr>
              <w:t>，</w:t>
            </w:r>
            <w:r>
              <w:rPr>
                <w:rFonts w:ascii="Times New Roman" w:hAnsi="Times New Roman" w:eastAsia="宋体" w:cs="Times New Roman"/>
                <w:bCs/>
                <w:color w:val="000000"/>
                <w:sz w:val="24"/>
              </w:rPr>
              <w:t>能够满足项目营运需求。</w:t>
            </w:r>
          </w:p>
          <w:p w14:paraId="21DC9398">
            <w:pPr>
              <w:keepNext w:val="0"/>
              <w:keepLines w:val="0"/>
              <w:pageBreakBefore w:val="0"/>
              <w:widowControl w:val="0"/>
              <w:numPr>
                <w:ilvl w:val="0"/>
                <w:numId w:val="0"/>
              </w:numPr>
              <w:spacing w:line="360" w:lineRule="auto"/>
              <w:ind w:firstLine="480"/>
              <w:jc w:val="both"/>
              <w:rPr>
                <w:rFonts w:ascii="Times New Roman" w:hAnsi="Times New Roman" w:eastAsia="宋体" w:cs="Times New Roman"/>
                <w:b/>
                <w:bCs w:val="0"/>
                <w:color w:val="000000"/>
                <w:sz w:val="24"/>
                <w:szCs w:val="24"/>
                <w:lang w:val="en-US" w:eastAsia="zh-CN"/>
              </w:rPr>
            </w:pPr>
            <w:r>
              <w:rPr>
                <w:rFonts w:hint="eastAsia" w:ascii="Times New Roman" w:hAnsi="Times New Roman" w:eastAsia="宋体" w:cs="Times New Roman"/>
                <w:b w:val="0"/>
                <w:bCs/>
                <w:color w:val="000000"/>
                <w:sz w:val="24"/>
                <w:szCs w:val="24"/>
                <w:lang w:val="en-US" w:eastAsia="zh-CN"/>
              </w:rPr>
              <w:t>项目区所在地周边有兴侨村、帕底村、允门村、芒波村、那目村、弄转村等多个村庄，村庄周边均有大片农田，农用地面积广阔，且本项目员工均招聘周边村民，项目化粪池可由厂内员工或委托周边村民清掏，用作周围农田农肥，化粪池可满足项目生活污水暂存7天以上，生活污水经化粪池处理后每7天由周边村民清掏一次，也可安排厂内员工进行临时清运用作农肥，从而保证生活污水不在厂区积存，处置可行。</w:t>
            </w:r>
          </w:p>
          <w:p w14:paraId="0CAE0A0A">
            <w:pPr>
              <w:keepNext w:val="0"/>
              <w:keepLines w:val="0"/>
              <w:pageBreakBefore w:val="0"/>
              <w:widowControl w:val="0"/>
              <w:numPr>
                <w:ilvl w:val="0"/>
                <w:numId w:val="0"/>
              </w:numPr>
              <w:spacing w:line="360" w:lineRule="auto"/>
              <w:ind w:firstLine="482"/>
              <w:jc w:val="both"/>
              <w:rPr>
                <w:rFonts w:ascii="Times New Roman" w:hAnsi="Times New Roman" w:eastAsia="宋体" w:cs="Times New Roman"/>
                <w:b/>
                <w:bCs w:val="0"/>
                <w:color w:val="000000"/>
                <w:sz w:val="24"/>
                <w:szCs w:val="24"/>
                <w:lang w:val="en-US" w:eastAsia="zh-CN"/>
              </w:rPr>
            </w:pPr>
            <w:r>
              <w:rPr>
                <w:rFonts w:hint="eastAsia" w:ascii="Times New Roman" w:hAnsi="Times New Roman" w:eastAsia="宋体" w:cs="Times New Roman"/>
                <w:b/>
                <w:bCs w:val="0"/>
                <w:color w:val="000000"/>
                <w:sz w:val="24"/>
                <w:szCs w:val="24"/>
                <w:lang w:val="en-US" w:eastAsia="zh-CN"/>
              </w:rPr>
              <w:t>②</w:t>
            </w:r>
            <w:r>
              <w:rPr>
                <w:rFonts w:ascii="Times New Roman" w:hAnsi="Times New Roman" w:eastAsia="宋体" w:cs="Times New Roman"/>
                <w:b/>
                <w:bCs w:val="0"/>
                <w:color w:val="000000"/>
                <w:sz w:val="24"/>
                <w:szCs w:val="24"/>
                <w:lang w:val="en-US" w:eastAsia="zh-CN"/>
              </w:rPr>
              <w:t>初期雨水收集池设置合理性分析</w:t>
            </w:r>
          </w:p>
          <w:p w14:paraId="5442E5C8">
            <w:pPr>
              <w:keepNext w:val="0"/>
              <w:keepLines w:val="0"/>
              <w:pageBreakBefore w:val="0"/>
              <w:widowControl w:val="0"/>
              <w:spacing w:line="360" w:lineRule="auto"/>
              <w:ind w:firstLine="480"/>
              <w:rPr>
                <w:rFonts w:ascii="Times New Roman" w:hAnsi="Times New Roman" w:eastAsia="宋体" w:cs="Times New Roman"/>
                <w:b w:val="0"/>
                <w:bCs/>
                <w:color w:val="000000"/>
                <w:sz w:val="24"/>
                <w:szCs w:val="24"/>
                <w:lang w:val="en-US" w:eastAsia="zh-CN"/>
              </w:rPr>
            </w:pPr>
            <w:r>
              <w:rPr>
                <w:rFonts w:ascii="Times New Roman" w:hAnsi="Times New Roman" w:eastAsia="宋体" w:cs="Times New Roman"/>
                <w:b w:val="0"/>
                <w:bCs w:val="0"/>
                <w:color w:val="000000"/>
                <w:sz w:val="24"/>
                <w:szCs w:val="24"/>
                <w:lang w:val="en-US" w:eastAsia="zh-CN"/>
              </w:rPr>
              <w:t>本项目厂区</w:t>
            </w:r>
            <w:r>
              <w:rPr>
                <w:rFonts w:hint="eastAsia" w:ascii="Times New Roman" w:hAnsi="Times New Roman" w:eastAsia="宋体" w:cs="Times New Roman"/>
                <w:b w:val="0"/>
                <w:bCs w:val="0"/>
                <w:color w:val="000000"/>
                <w:sz w:val="24"/>
                <w:szCs w:val="24"/>
                <w:lang w:val="en-US" w:eastAsia="zh-CN"/>
              </w:rPr>
              <w:t>北</w:t>
            </w:r>
            <w:r>
              <w:rPr>
                <w:rFonts w:ascii="Times New Roman" w:hAnsi="Times New Roman" w:eastAsia="宋体" w:cs="Times New Roman"/>
                <w:b w:val="0"/>
                <w:bCs w:val="0"/>
                <w:color w:val="000000"/>
                <w:sz w:val="24"/>
                <w:szCs w:val="24"/>
                <w:lang w:val="en-US" w:eastAsia="zh-CN"/>
              </w:rPr>
              <w:t>高</w:t>
            </w:r>
            <w:r>
              <w:rPr>
                <w:rFonts w:hint="eastAsia" w:ascii="Times New Roman" w:hAnsi="Times New Roman" w:eastAsia="宋体" w:cs="Times New Roman"/>
                <w:b w:val="0"/>
                <w:bCs w:val="0"/>
                <w:color w:val="000000"/>
                <w:sz w:val="24"/>
                <w:szCs w:val="24"/>
                <w:lang w:val="en-US" w:eastAsia="zh-CN"/>
              </w:rPr>
              <w:t>南</w:t>
            </w:r>
            <w:r>
              <w:rPr>
                <w:rFonts w:ascii="Times New Roman" w:hAnsi="Times New Roman" w:eastAsia="宋体" w:cs="Times New Roman"/>
                <w:b w:val="0"/>
                <w:bCs w:val="0"/>
                <w:color w:val="000000"/>
                <w:sz w:val="24"/>
                <w:szCs w:val="24"/>
                <w:lang w:val="en-US" w:eastAsia="zh-CN"/>
              </w:rPr>
              <w:t>低，整个厂区为一个整体，初期雨水可统一收集，项目区初期雨水产生量为</w:t>
            </w:r>
            <w:r>
              <w:rPr>
                <w:rFonts w:hint="eastAsia" w:ascii="Times New Roman" w:hAnsi="Times New Roman" w:eastAsia="宋体" w:cs="Times New Roman"/>
                <w:b w:val="0"/>
                <w:bCs w:val="0"/>
                <w:color w:val="000000"/>
                <w:sz w:val="24"/>
                <w:szCs w:val="24"/>
                <w:lang w:val="en-US" w:eastAsia="zh-CN"/>
              </w:rPr>
              <w:t>26.446</w:t>
            </w:r>
            <w:r>
              <w:rPr>
                <w:rFonts w:ascii="Times New Roman" w:hAnsi="Times New Roman" w:eastAsia="宋体" w:cs="Times New Roman"/>
                <w:b w:val="0"/>
                <w:bCs w:val="0"/>
                <w:color w:val="000000"/>
                <w:sz w:val="24"/>
                <w:szCs w:val="24"/>
                <w:lang w:val="en-US" w:eastAsia="zh-CN"/>
              </w:rPr>
              <w:t>m</w:t>
            </w:r>
            <w:r>
              <w:rPr>
                <w:rFonts w:ascii="Times New Roman" w:hAnsi="Times New Roman" w:eastAsia="宋体" w:cs="Times New Roman"/>
                <w:b w:val="0"/>
                <w:bCs w:val="0"/>
                <w:color w:val="000000"/>
                <w:sz w:val="24"/>
                <w:szCs w:val="24"/>
                <w:vertAlign w:val="superscript"/>
                <w:lang w:val="en-US" w:eastAsia="zh-CN"/>
              </w:rPr>
              <w:t>3</w:t>
            </w:r>
            <w:r>
              <w:rPr>
                <w:rFonts w:ascii="Times New Roman" w:hAnsi="Times New Roman" w:eastAsia="宋体" w:cs="Times New Roman"/>
                <w:b w:val="0"/>
                <w:bCs w:val="0"/>
                <w:color w:val="000000"/>
                <w:sz w:val="24"/>
                <w:szCs w:val="24"/>
                <w:lang w:val="en-US" w:eastAsia="zh-CN"/>
              </w:rPr>
              <w:t>。</w:t>
            </w:r>
            <w:r>
              <w:rPr>
                <w:rFonts w:ascii="Times New Roman" w:hAnsi="Times New Roman" w:eastAsia="宋体" w:cs="Times New Roman"/>
                <w:b w:val="0"/>
                <w:bCs/>
                <w:color w:val="000000"/>
                <w:sz w:val="24"/>
                <w:szCs w:val="24"/>
                <w:vertAlign w:val="baseline"/>
                <w:lang w:val="en-US" w:eastAsia="zh-CN"/>
              </w:rPr>
              <w:t>考虑1.2的</w:t>
            </w:r>
            <w:r>
              <w:rPr>
                <w:rFonts w:ascii="Times New Roman" w:hAnsi="Times New Roman" w:eastAsia="宋体" w:cs="Times New Roman"/>
                <w:b w:val="0"/>
                <w:bCs/>
                <w:color w:val="000000"/>
                <w:sz w:val="24"/>
                <w:szCs w:val="24"/>
                <w:lang w:val="en-US" w:eastAsia="zh-CN"/>
              </w:rPr>
              <w:t>最大排水量变化系数，</w:t>
            </w:r>
            <w:r>
              <w:rPr>
                <w:rFonts w:ascii="Times New Roman" w:hAnsi="Times New Roman" w:eastAsia="宋体" w:cs="Times New Roman"/>
                <w:b w:val="0"/>
                <w:bCs w:val="0"/>
                <w:color w:val="000000"/>
                <w:sz w:val="24"/>
                <w:szCs w:val="24"/>
                <w:lang w:val="en-US" w:eastAsia="zh-CN"/>
              </w:rPr>
              <w:t>初期雨水</w:t>
            </w:r>
            <w:r>
              <w:rPr>
                <w:rFonts w:ascii="Times New Roman" w:hAnsi="Times New Roman" w:eastAsia="宋体" w:cs="Times New Roman"/>
                <w:b w:val="0"/>
                <w:bCs/>
                <w:color w:val="000000"/>
                <w:sz w:val="24"/>
                <w:szCs w:val="24"/>
                <w:vertAlign w:val="baseline"/>
                <w:lang w:val="en-US" w:eastAsia="zh-CN"/>
              </w:rPr>
              <w:t>收集池容积</w:t>
            </w:r>
            <w:r>
              <w:rPr>
                <w:rFonts w:ascii="Times New Roman" w:hAnsi="Times New Roman" w:eastAsia="宋体" w:cs="Times New Roman"/>
                <w:b w:val="0"/>
                <w:bCs/>
                <w:color w:val="000000"/>
                <w:sz w:val="24"/>
                <w:szCs w:val="24"/>
                <w:lang w:val="en-US" w:eastAsia="zh-CN"/>
              </w:rPr>
              <w:t>应不小于</w:t>
            </w:r>
            <w:r>
              <w:rPr>
                <w:rFonts w:hint="eastAsia" w:ascii="Times New Roman" w:hAnsi="Times New Roman" w:eastAsia="宋体" w:cs="Times New Roman"/>
                <w:b w:val="0"/>
                <w:bCs/>
                <w:color w:val="000000"/>
                <w:sz w:val="24"/>
                <w:szCs w:val="24"/>
                <w:lang w:val="en-US" w:eastAsia="zh-CN"/>
              </w:rPr>
              <w:t>31.74</w:t>
            </w:r>
            <w:r>
              <w:rPr>
                <w:rFonts w:ascii="Times New Roman" w:hAnsi="Times New Roman" w:eastAsia="宋体" w:cs="Times New Roman"/>
                <w:b w:val="0"/>
                <w:bCs/>
                <w:color w:val="000000"/>
                <w:sz w:val="24"/>
                <w:szCs w:val="24"/>
                <w:lang w:val="en-US" w:eastAsia="zh-CN"/>
              </w:rPr>
              <w:t>m</w:t>
            </w:r>
            <w:r>
              <w:rPr>
                <w:rFonts w:ascii="Times New Roman" w:hAnsi="Times New Roman" w:eastAsia="宋体" w:cs="Times New Roman"/>
                <w:b w:val="0"/>
                <w:bCs/>
                <w:color w:val="000000"/>
                <w:sz w:val="24"/>
                <w:szCs w:val="24"/>
                <w:vertAlign w:val="superscript"/>
                <w:lang w:val="en-US" w:eastAsia="zh-CN"/>
              </w:rPr>
              <w:t>3</w:t>
            </w:r>
            <w:r>
              <w:rPr>
                <w:rFonts w:ascii="Times New Roman" w:hAnsi="Times New Roman" w:eastAsia="宋体" w:cs="Times New Roman"/>
                <w:b w:val="0"/>
                <w:bCs/>
                <w:color w:val="000000"/>
                <w:sz w:val="24"/>
                <w:szCs w:val="24"/>
                <w:vertAlign w:val="baseline"/>
                <w:lang w:val="en-US" w:eastAsia="zh-CN"/>
              </w:rPr>
              <w:t>，</w:t>
            </w:r>
            <w:r>
              <w:rPr>
                <w:rFonts w:ascii="Times New Roman" w:hAnsi="Times New Roman" w:eastAsia="宋体" w:cs="Times New Roman"/>
                <w:b w:val="0"/>
                <w:bCs w:val="0"/>
                <w:color w:val="000000"/>
                <w:sz w:val="24"/>
                <w:szCs w:val="24"/>
                <w:lang w:val="en-US" w:eastAsia="zh-CN"/>
              </w:rPr>
              <w:t>项目</w:t>
            </w:r>
            <w:r>
              <w:rPr>
                <w:rFonts w:hint="eastAsia" w:ascii="Times New Roman" w:hAnsi="Times New Roman" w:eastAsia="宋体" w:cs="Times New Roman"/>
                <w:b w:val="0"/>
                <w:bCs w:val="0"/>
                <w:color w:val="000000"/>
                <w:sz w:val="24"/>
                <w:szCs w:val="24"/>
                <w:lang w:val="en-US" w:eastAsia="zh-CN"/>
              </w:rPr>
              <w:t>预设的雨水收集池</w:t>
            </w:r>
            <w:r>
              <w:rPr>
                <w:rFonts w:ascii="Times New Roman" w:hAnsi="Times New Roman" w:eastAsia="宋体" w:cs="Times New Roman"/>
                <w:b w:val="0"/>
                <w:bCs w:val="0"/>
                <w:color w:val="000000"/>
                <w:sz w:val="24"/>
                <w:szCs w:val="24"/>
                <w:lang w:val="en-US" w:eastAsia="zh-CN"/>
              </w:rPr>
              <w:t>容积</w:t>
            </w:r>
            <w:r>
              <w:rPr>
                <w:rFonts w:hint="eastAsia" w:ascii="Times New Roman" w:hAnsi="Times New Roman" w:eastAsia="宋体" w:cs="Times New Roman"/>
                <w:b w:val="0"/>
                <w:bCs w:val="0"/>
                <w:color w:val="000000"/>
                <w:sz w:val="24"/>
                <w:szCs w:val="24"/>
                <w:lang w:val="en-US" w:eastAsia="zh-CN"/>
              </w:rPr>
              <w:t>为50</w:t>
            </w:r>
            <w:r>
              <w:rPr>
                <w:rFonts w:ascii="Times New Roman" w:hAnsi="Times New Roman" w:eastAsia="宋体" w:cs="Times New Roman"/>
                <w:b w:val="0"/>
                <w:bCs w:val="0"/>
                <w:color w:val="000000"/>
                <w:sz w:val="24"/>
                <w:szCs w:val="24"/>
                <w:lang w:val="en-US" w:eastAsia="zh-CN"/>
              </w:rPr>
              <w:t>m</w:t>
            </w:r>
            <w:r>
              <w:rPr>
                <w:rFonts w:ascii="Times New Roman" w:hAnsi="Times New Roman" w:eastAsia="宋体" w:cs="Times New Roman"/>
                <w:b w:val="0"/>
                <w:bCs w:val="0"/>
                <w:color w:val="000000"/>
                <w:sz w:val="24"/>
                <w:szCs w:val="24"/>
                <w:vertAlign w:val="superscript"/>
                <w:lang w:val="en-US" w:eastAsia="zh-CN"/>
              </w:rPr>
              <w:t>3</w:t>
            </w:r>
            <w:r>
              <w:rPr>
                <w:rFonts w:ascii="Times New Roman" w:hAnsi="Times New Roman" w:eastAsia="宋体" w:cs="Times New Roman"/>
                <w:b w:val="0"/>
                <w:bCs w:val="0"/>
                <w:color w:val="000000"/>
                <w:sz w:val="24"/>
                <w:szCs w:val="24"/>
                <w:lang w:val="en-US" w:eastAsia="zh-CN"/>
              </w:rPr>
              <w:t>，能够满足初期雨水</w:t>
            </w:r>
            <w:r>
              <w:rPr>
                <w:rFonts w:hint="eastAsia" w:ascii="Times New Roman" w:hAnsi="Times New Roman" w:eastAsia="宋体" w:cs="Times New Roman"/>
                <w:b w:val="0"/>
                <w:bCs w:val="0"/>
                <w:color w:val="000000"/>
                <w:sz w:val="24"/>
                <w:szCs w:val="24"/>
                <w:lang w:val="en-US" w:eastAsia="zh-CN"/>
              </w:rPr>
              <w:t>的</w:t>
            </w:r>
            <w:r>
              <w:rPr>
                <w:rFonts w:ascii="Times New Roman" w:hAnsi="Times New Roman" w:eastAsia="宋体" w:cs="Times New Roman"/>
                <w:b w:val="0"/>
                <w:bCs w:val="0"/>
                <w:color w:val="000000"/>
                <w:sz w:val="24"/>
                <w:szCs w:val="24"/>
                <w:lang w:val="en-US" w:eastAsia="zh-CN"/>
              </w:rPr>
              <w:t>收集</w:t>
            </w:r>
            <w:r>
              <w:rPr>
                <w:rFonts w:hint="eastAsia" w:ascii="Times New Roman" w:hAnsi="Times New Roman" w:eastAsia="宋体" w:cs="Times New Roman"/>
                <w:b w:val="0"/>
                <w:bCs w:val="0"/>
                <w:color w:val="000000"/>
                <w:sz w:val="24"/>
                <w:szCs w:val="24"/>
                <w:lang w:val="en-US" w:eastAsia="zh-CN"/>
              </w:rPr>
              <w:t>要求</w:t>
            </w:r>
            <w:r>
              <w:rPr>
                <w:rFonts w:ascii="Times New Roman" w:hAnsi="Times New Roman" w:eastAsia="宋体" w:cs="Times New Roman"/>
                <w:b w:val="0"/>
                <w:bCs/>
                <w:color w:val="000000"/>
                <w:sz w:val="24"/>
                <w:szCs w:val="24"/>
                <w:lang w:val="en-US" w:eastAsia="zh-CN"/>
              </w:rPr>
              <w:t>。</w:t>
            </w:r>
          </w:p>
          <w:p w14:paraId="2C05D04B">
            <w:pPr>
              <w:spacing w:line="360" w:lineRule="auto"/>
              <w:ind w:firstLine="482"/>
              <w:rPr>
                <w:rFonts w:ascii="Times New Roman" w:hAnsi="Times New Roman" w:eastAsia="宋体" w:cs="Times New Roman"/>
                <w:b/>
                <w:bCs/>
                <w:color w:val="000000"/>
                <w:sz w:val="24"/>
                <w:lang w:val="en-US" w:eastAsia="zh-CN"/>
              </w:rPr>
            </w:pPr>
            <w:r>
              <w:rPr>
                <w:rFonts w:ascii="Times New Roman" w:hAnsi="Times New Roman" w:eastAsia="宋体" w:cs="Times New Roman"/>
                <w:b/>
                <w:bCs/>
                <w:color w:val="000000"/>
                <w:sz w:val="24"/>
                <w:lang w:val="en-US" w:eastAsia="zh-CN"/>
              </w:rPr>
              <w:t>4</w:t>
            </w:r>
            <w:r>
              <w:rPr>
                <w:rFonts w:ascii="Times New Roman" w:hAnsi="Times New Roman" w:eastAsia="宋体" w:cs="Times New Roman"/>
                <w:b/>
                <w:bCs/>
                <w:color w:val="000000"/>
                <w:sz w:val="24"/>
              </w:rPr>
              <w:t>、</w:t>
            </w:r>
            <w:r>
              <w:rPr>
                <w:rFonts w:ascii="Times New Roman" w:hAnsi="Times New Roman" w:eastAsia="宋体" w:cs="Times New Roman"/>
                <w:b/>
                <w:bCs/>
                <w:color w:val="000000"/>
                <w:sz w:val="24"/>
                <w:lang w:val="en-US" w:eastAsia="zh-CN"/>
              </w:rPr>
              <w:t>废水评价总结</w:t>
            </w:r>
          </w:p>
          <w:p w14:paraId="44241B8A">
            <w:pPr>
              <w:spacing w:line="360" w:lineRule="auto"/>
              <w:ind w:firstLine="480"/>
              <w:rPr>
                <w:rFonts w:ascii="Times New Roman" w:hAnsi="Times New Roman" w:eastAsia="宋体" w:cs="Times New Roman"/>
                <w:color w:val="000000"/>
                <w:sz w:val="24"/>
                <w:lang w:val="en-US" w:eastAsia="zh-CN"/>
              </w:rPr>
            </w:pPr>
            <w:r>
              <w:rPr>
                <w:rFonts w:ascii="Times New Roman" w:hAnsi="Times New Roman" w:eastAsia="宋体" w:cs="Times New Roman"/>
                <w:b w:val="0"/>
                <w:bCs w:val="0"/>
                <w:color w:val="000000"/>
                <w:sz w:val="24"/>
                <w:szCs w:val="24"/>
                <w:lang w:val="en-US" w:eastAsia="zh-CN"/>
              </w:rPr>
              <w:t>本项目在生产运营期间，</w:t>
            </w:r>
            <w:r>
              <w:rPr>
                <w:rFonts w:hint="eastAsia" w:ascii="Times New Roman" w:hAnsi="Times New Roman" w:eastAsia="宋体" w:cs="Times New Roman"/>
                <w:b w:val="0"/>
                <w:bCs w:val="0"/>
                <w:color w:val="000000"/>
                <w:sz w:val="24"/>
                <w:szCs w:val="24"/>
                <w:lang w:val="en-US" w:eastAsia="zh-CN"/>
              </w:rPr>
              <w:t>不产生生产废水</w:t>
            </w:r>
            <w:r>
              <w:rPr>
                <w:rFonts w:ascii="Times New Roman" w:hAnsi="Times New Roman" w:eastAsia="宋体" w:cs="Times New Roman"/>
                <w:b w:val="0"/>
                <w:bCs w:val="0"/>
                <w:color w:val="000000"/>
                <w:sz w:val="24"/>
                <w:szCs w:val="24"/>
                <w:lang w:val="en-US" w:eastAsia="zh-CN"/>
              </w:rPr>
              <w:t>；生活废水经化粪池处理后</w:t>
            </w:r>
            <w:r>
              <w:rPr>
                <w:rFonts w:hint="eastAsia" w:ascii="Times New Roman" w:hAnsi="Times New Roman" w:eastAsia="宋体" w:cs="Times New Roman"/>
                <w:b w:val="0"/>
                <w:bCs w:val="0"/>
                <w:color w:val="000000"/>
                <w:sz w:val="24"/>
                <w:szCs w:val="24"/>
                <w:lang w:val="en-US" w:eastAsia="zh-CN"/>
              </w:rPr>
              <w:t>定期清掏，用作农肥</w:t>
            </w:r>
            <w:r>
              <w:rPr>
                <w:rFonts w:ascii="Times New Roman" w:hAnsi="Times New Roman" w:eastAsia="宋体" w:cs="Times New Roman"/>
                <w:b w:val="0"/>
                <w:bCs w:val="0"/>
                <w:color w:val="000000"/>
                <w:sz w:val="24"/>
                <w:szCs w:val="24"/>
                <w:lang w:val="en-US" w:eastAsia="zh-CN"/>
              </w:rPr>
              <w:t>，不外排；</w:t>
            </w:r>
            <w:r>
              <w:rPr>
                <w:rFonts w:ascii="Times New Roman" w:hAnsi="Times New Roman" w:eastAsia="宋体" w:cs="Times New Roman"/>
                <w:color w:val="000000"/>
                <w:sz w:val="24"/>
              </w:rPr>
              <w:t>初期雨水能全部回用</w:t>
            </w:r>
            <w:r>
              <w:rPr>
                <w:rFonts w:hint="eastAsia" w:ascii="Times New Roman" w:hAnsi="Times New Roman" w:eastAsia="宋体" w:cs="Times New Roman"/>
                <w:color w:val="000000"/>
                <w:sz w:val="24"/>
                <w:lang w:val="en-US" w:eastAsia="zh-CN"/>
              </w:rPr>
              <w:t>于</w:t>
            </w:r>
            <w:r>
              <w:rPr>
                <w:rFonts w:ascii="Times New Roman" w:hAnsi="Times New Roman" w:eastAsia="宋体" w:cs="Times New Roman"/>
                <w:bCs/>
                <w:color w:val="000000"/>
                <w:sz w:val="24"/>
                <w:lang w:val="en-US" w:eastAsia="zh-CN"/>
              </w:rPr>
              <w:t>厂</w:t>
            </w:r>
            <w:r>
              <w:rPr>
                <w:rFonts w:ascii="Times New Roman" w:hAnsi="Times New Roman" w:eastAsia="宋体" w:cs="Times New Roman"/>
                <w:bCs/>
                <w:color w:val="000000"/>
                <w:sz w:val="24"/>
              </w:rPr>
              <w:t>区</w:t>
            </w:r>
            <w:r>
              <w:rPr>
                <w:rFonts w:ascii="Times New Roman" w:hAnsi="Times New Roman" w:eastAsia="宋体" w:cs="Times New Roman"/>
                <w:bCs/>
                <w:color w:val="000000"/>
                <w:sz w:val="24"/>
                <w:lang w:val="en-US" w:eastAsia="zh-CN"/>
              </w:rPr>
              <w:t>洒水抑尘</w:t>
            </w:r>
            <w:r>
              <w:rPr>
                <w:rFonts w:ascii="Times New Roman" w:hAnsi="Times New Roman" w:eastAsia="宋体" w:cs="Times New Roman"/>
                <w:color w:val="000000"/>
                <w:sz w:val="24"/>
              </w:rPr>
              <w:t>，</w:t>
            </w:r>
            <w:r>
              <w:rPr>
                <w:rFonts w:ascii="Times New Roman" w:hAnsi="Times New Roman" w:eastAsia="宋体" w:cs="Times New Roman"/>
                <w:b w:val="0"/>
                <w:bCs w:val="0"/>
                <w:color w:val="000000"/>
                <w:sz w:val="24"/>
                <w:szCs w:val="24"/>
                <w:lang w:val="en-US" w:eastAsia="zh-CN"/>
              </w:rPr>
              <w:t>不外排。</w:t>
            </w:r>
            <w:r>
              <w:rPr>
                <w:rFonts w:ascii="Times New Roman" w:hAnsi="Times New Roman" w:eastAsia="宋体" w:cs="Times New Roman"/>
                <w:color w:val="000000"/>
                <w:sz w:val="24"/>
                <w:lang w:val="en-US" w:eastAsia="zh-CN"/>
              </w:rPr>
              <w:t xml:space="preserve"> </w:t>
            </w:r>
          </w:p>
          <w:p w14:paraId="0D333405">
            <w:pPr>
              <w:spacing w:line="360" w:lineRule="auto"/>
              <w:ind w:firstLine="480"/>
              <w:jc w:val="left"/>
              <w:rPr>
                <w:rFonts w:ascii="Times New Roman" w:hAnsi="Times New Roman" w:eastAsia="宋体" w:cs="Times New Roman"/>
                <w:color w:val="000000"/>
                <w:sz w:val="24"/>
              </w:rPr>
            </w:pPr>
            <w:r>
              <w:rPr>
                <w:rFonts w:ascii="Times New Roman" w:hAnsi="Times New Roman" w:eastAsia="宋体" w:cs="Times New Roman"/>
                <w:color w:val="000000"/>
                <w:sz w:val="24"/>
                <w:szCs w:val="24"/>
                <w:vertAlign w:val="baseline"/>
                <w:lang w:val="en-US" w:eastAsia="zh-CN"/>
              </w:rPr>
              <w:t>综上所述，本项目废水处理措施是合理可行的，对项目周边地表水环境等环境影响较小。</w:t>
            </w:r>
          </w:p>
          <w:p w14:paraId="37D4209F">
            <w:pPr>
              <w:keepNext w:val="0"/>
              <w:keepLines w:val="0"/>
              <w:pageBreakBefore w:val="0"/>
              <w:widowControl w:val="0"/>
              <w:tabs>
                <w:tab w:val="left" w:pos="6153"/>
              </w:tabs>
              <w:spacing w:line="360" w:lineRule="auto"/>
              <w:ind w:firstLine="482"/>
              <w:rPr>
                <w:rFonts w:ascii="Times New Roman" w:hAnsi="Times New Roman" w:eastAsia="宋体" w:cs="Times New Roman"/>
                <w:b/>
                <w:color w:val="000000"/>
                <w:sz w:val="24"/>
                <w:szCs w:val="24"/>
                <w:highlight w:val="none"/>
                <w:lang w:val="en-US" w:eastAsia="zh-CN"/>
              </w:rPr>
            </w:pPr>
          </w:p>
          <w:p w14:paraId="7CCD1B8A">
            <w:pPr>
              <w:pStyle w:val="2"/>
              <w:rPr>
                <w:rFonts w:ascii="Times New Roman" w:hAnsi="Times New Roman" w:eastAsia="宋体" w:cs="Times New Roman"/>
                <w:b/>
                <w:color w:val="000000"/>
                <w:sz w:val="24"/>
                <w:szCs w:val="24"/>
                <w:highlight w:val="none"/>
                <w:lang w:val="en-US" w:eastAsia="zh-CN"/>
              </w:rPr>
            </w:pPr>
          </w:p>
          <w:p w14:paraId="1B10F294">
            <w:pPr>
              <w:rPr>
                <w:rFonts w:ascii="Times New Roman" w:hAnsi="Times New Roman" w:eastAsia="宋体" w:cs="Times New Roman"/>
                <w:b/>
                <w:color w:val="000000"/>
                <w:sz w:val="24"/>
                <w:szCs w:val="24"/>
                <w:highlight w:val="none"/>
                <w:lang w:val="en-US" w:eastAsia="zh-CN"/>
              </w:rPr>
            </w:pPr>
          </w:p>
          <w:p w14:paraId="666117F6">
            <w:pPr>
              <w:pStyle w:val="2"/>
              <w:rPr>
                <w:rFonts w:ascii="Times New Roman" w:hAnsi="Times New Roman" w:eastAsia="宋体" w:cs="Times New Roman"/>
                <w:b/>
                <w:color w:val="000000"/>
                <w:sz w:val="24"/>
                <w:szCs w:val="24"/>
                <w:highlight w:val="none"/>
                <w:lang w:val="en-US" w:eastAsia="zh-CN"/>
              </w:rPr>
            </w:pPr>
          </w:p>
          <w:p w14:paraId="5690B3C2">
            <w:pPr>
              <w:rPr>
                <w:rFonts w:ascii="Times New Roman" w:hAnsi="Times New Roman" w:eastAsia="宋体" w:cs="Times New Roman"/>
                <w:b/>
                <w:color w:val="000000"/>
                <w:sz w:val="24"/>
                <w:szCs w:val="24"/>
                <w:highlight w:val="none"/>
                <w:lang w:val="en-US" w:eastAsia="zh-CN"/>
              </w:rPr>
            </w:pPr>
          </w:p>
          <w:p w14:paraId="5FE74F6C">
            <w:pPr>
              <w:pStyle w:val="2"/>
              <w:rPr>
                <w:rFonts w:ascii="Times New Roman" w:hAnsi="Times New Roman" w:eastAsia="宋体" w:cs="Times New Roman"/>
                <w:b/>
                <w:color w:val="000000"/>
                <w:sz w:val="24"/>
                <w:szCs w:val="24"/>
                <w:highlight w:val="none"/>
                <w:lang w:val="en-US" w:eastAsia="zh-CN"/>
              </w:rPr>
            </w:pPr>
          </w:p>
          <w:p w14:paraId="6C2FFCDF">
            <w:pPr>
              <w:rPr>
                <w:rFonts w:ascii="Times New Roman" w:hAnsi="Times New Roman" w:eastAsia="宋体" w:cs="Times New Roman"/>
                <w:b/>
                <w:color w:val="000000"/>
                <w:sz w:val="24"/>
                <w:szCs w:val="24"/>
                <w:highlight w:val="none"/>
                <w:lang w:val="en-US" w:eastAsia="zh-CN"/>
              </w:rPr>
            </w:pPr>
          </w:p>
          <w:p w14:paraId="55E74EF3">
            <w:pPr>
              <w:pStyle w:val="2"/>
              <w:rPr>
                <w:rFonts w:ascii="Times New Roman" w:hAnsi="Times New Roman" w:eastAsia="宋体" w:cs="Times New Roman"/>
                <w:b/>
                <w:color w:val="000000"/>
                <w:sz w:val="24"/>
                <w:szCs w:val="24"/>
                <w:highlight w:val="none"/>
                <w:lang w:val="en-US" w:eastAsia="zh-CN"/>
              </w:rPr>
            </w:pPr>
          </w:p>
          <w:p w14:paraId="28CF5B0D">
            <w:pPr>
              <w:rPr>
                <w:rFonts w:ascii="Times New Roman" w:hAnsi="Times New Roman" w:eastAsia="宋体" w:cs="Times New Roman"/>
                <w:b/>
                <w:color w:val="000000"/>
                <w:sz w:val="24"/>
                <w:szCs w:val="24"/>
                <w:highlight w:val="none"/>
                <w:lang w:val="en-US" w:eastAsia="zh-CN"/>
              </w:rPr>
            </w:pPr>
          </w:p>
          <w:p w14:paraId="0B1716E3">
            <w:pPr>
              <w:keepNext w:val="0"/>
              <w:keepLines w:val="0"/>
              <w:pageBreakBefore w:val="0"/>
              <w:widowControl w:val="0"/>
              <w:tabs>
                <w:tab w:val="left" w:pos="6153"/>
              </w:tabs>
              <w:spacing w:line="360" w:lineRule="auto"/>
              <w:ind w:firstLine="482"/>
              <w:rPr>
                <w:rFonts w:ascii="Times New Roman" w:hAnsi="Times New Roman" w:eastAsia="宋体" w:cs="Times New Roman"/>
                <w:b/>
                <w:color w:val="000000"/>
                <w:sz w:val="24"/>
                <w:szCs w:val="24"/>
                <w:highlight w:val="none"/>
                <w:lang w:val="en-US" w:eastAsia="zh-CN"/>
              </w:rPr>
            </w:pPr>
            <w:r>
              <w:rPr>
                <w:rFonts w:ascii="Times New Roman" w:hAnsi="Times New Roman" w:eastAsia="宋体" w:cs="Times New Roman"/>
                <w:b/>
                <w:color w:val="000000"/>
                <w:sz w:val="24"/>
                <w:szCs w:val="24"/>
                <w:highlight w:val="none"/>
                <w:lang w:val="en-US" w:eastAsia="zh-CN"/>
              </w:rPr>
              <w:t>（三）噪声影响和保护措施</w:t>
            </w:r>
          </w:p>
          <w:p w14:paraId="5B38817B">
            <w:pPr>
              <w:keepNext w:val="0"/>
              <w:keepLines w:val="0"/>
              <w:pageBreakBefore w:val="0"/>
              <w:widowControl w:val="0"/>
              <w:spacing w:line="360" w:lineRule="auto"/>
              <w:ind w:firstLine="48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项目运营期间噪声来源主要为生产设备运行产生的噪声，其次为车辆产生的噪声。</w:t>
            </w:r>
          </w:p>
          <w:p w14:paraId="482CDEC7">
            <w:pPr>
              <w:keepNext w:val="0"/>
              <w:keepLines w:val="0"/>
              <w:pageBreakBefore w:val="0"/>
              <w:widowControl w:val="0"/>
              <w:spacing w:line="360" w:lineRule="auto"/>
              <w:ind w:firstLine="482"/>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rPr>
              <w:t>1、车辆噪声</w:t>
            </w:r>
          </w:p>
          <w:p w14:paraId="5B1556A5">
            <w:pPr>
              <w:keepNext w:val="0"/>
              <w:keepLines w:val="0"/>
              <w:pageBreakBefore w:val="0"/>
              <w:widowControl w:val="0"/>
              <w:spacing w:line="360" w:lineRule="auto"/>
              <w:ind w:firstLine="48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项目在正常营运时车辆进出厂区</w:t>
            </w:r>
            <w:r>
              <w:rPr>
                <w:rFonts w:ascii="Times New Roman" w:hAnsi="Times New Roman" w:eastAsia="宋体" w:cs="Times New Roman"/>
                <w:color w:val="000000"/>
                <w:sz w:val="24"/>
                <w:szCs w:val="24"/>
                <w:highlight w:val="none"/>
                <w:lang w:val="en-US" w:eastAsia="zh-CN"/>
              </w:rPr>
              <w:t>会产生</w:t>
            </w:r>
            <w:r>
              <w:rPr>
                <w:rFonts w:ascii="Times New Roman" w:hAnsi="Times New Roman" w:eastAsia="宋体" w:cs="Times New Roman"/>
                <w:color w:val="000000"/>
                <w:sz w:val="24"/>
                <w:szCs w:val="24"/>
                <w:highlight w:val="none"/>
              </w:rPr>
              <w:t>噪声。经类比调查可知，车辆进出厂区噪声值一般在65～80dB（A）</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rPr>
              <w:t>会对周围环境造成一定影响。</w:t>
            </w:r>
            <w:r>
              <w:rPr>
                <w:rFonts w:ascii="Times New Roman" w:hAnsi="Times New Roman" w:eastAsia="宋体" w:cs="Times New Roman"/>
                <w:color w:val="000000"/>
                <w:sz w:val="24"/>
                <w:szCs w:val="24"/>
                <w:highlight w:val="none"/>
                <w:lang w:val="en-US" w:eastAsia="zh-CN"/>
              </w:rPr>
              <w:t>项目通过</w:t>
            </w:r>
            <w:r>
              <w:rPr>
                <w:rFonts w:ascii="Times New Roman" w:hAnsi="Times New Roman" w:eastAsia="宋体" w:cs="Times New Roman"/>
                <w:color w:val="000000"/>
                <w:sz w:val="24"/>
              </w:rPr>
              <w:t>强化行车管理制度，设置降噪标志，严禁鸣号，进入厂区低速行驶</w:t>
            </w:r>
            <w:r>
              <w:rPr>
                <w:rFonts w:ascii="Times New Roman" w:hAnsi="Times New Roman" w:eastAsia="宋体" w:cs="Times New Roman"/>
                <w:color w:val="000000"/>
                <w:sz w:val="24"/>
                <w:szCs w:val="24"/>
                <w:highlight w:val="none"/>
                <w:lang w:val="en-US" w:eastAsia="zh-CN"/>
              </w:rPr>
              <w:t>等措施</w:t>
            </w:r>
            <w:r>
              <w:rPr>
                <w:rFonts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lang w:val="en-US" w:eastAsia="zh-CN"/>
              </w:rPr>
              <w:t>可有效减轻</w:t>
            </w:r>
            <w:r>
              <w:rPr>
                <w:rFonts w:ascii="Times New Roman" w:hAnsi="Times New Roman" w:eastAsia="宋体" w:cs="Times New Roman"/>
                <w:color w:val="000000"/>
                <w:sz w:val="24"/>
                <w:szCs w:val="24"/>
                <w:highlight w:val="none"/>
              </w:rPr>
              <w:t>车辆</w:t>
            </w:r>
            <w:r>
              <w:rPr>
                <w:rFonts w:ascii="Times New Roman" w:hAnsi="Times New Roman" w:eastAsia="宋体" w:cs="Times New Roman"/>
                <w:color w:val="000000"/>
                <w:sz w:val="24"/>
                <w:szCs w:val="24"/>
                <w:highlight w:val="none"/>
                <w:lang w:val="en-US" w:eastAsia="zh-CN"/>
              </w:rPr>
              <w:t>进出场区产生的噪声</w:t>
            </w:r>
            <w:r>
              <w:rPr>
                <w:rFonts w:ascii="Times New Roman" w:hAnsi="Times New Roman" w:eastAsia="宋体" w:cs="Times New Roman"/>
                <w:color w:val="000000"/>
                <w:sz w:val="24"/>
                <w:szCs w:val="24"/>
                <w:highlight w:val="none"/>
              </w:rPr>
              <w:t>对周围环境的影响</w:t>
            </w:r>
            <w:r>
              <w:rPr>
                <w:rFonts w:ascii="Times New Roman" w:hAnsi="Times New Roman" w:eastAsia="宋体" w:cs="Times New Roman"/>
                <w:color w:val="000000"/>
                <w:sz w:val="24"/>
                <w:szCs w:val="24"/>
                <w:highlight w:val="none"/>
                <w:lang w:val="en-US" w:eastAsia="zh-CN"/>
              </w:rPr>
              <w:t>较小</w:t>
            </w:r>
            <w:r>
              <w:rPr>
                <w:rFonts w:ascii="Times New Roman" w:hAnsi="Times New Roman" w:eastAsia="宋体" w:cs="Times New Roman"/>
                <w:color w:val="000000"/>
                <w:sz w:val="24"/>
                <w:szCs w:val="24"/>
                <w:highlight w:val="none"/>
              </w:rPr>
              <w:t>。</w:t>
            </w:r>
          </w:p>
          <w:p w14:paraId="225053DE">
            <w:pPr>
              <w:keepNext w:val="0"/>
              <w:keepLines w:val="0"/>
              <w:pageBreakBefore w:val="0"/>
              <w:widowControl w:val="0"/>
              <w:spacing w:line="360" w:lineRule="auto"/>
              <w:ind w:firstLine="482"/>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4"/>
                <w:szCs w:val="24"/>
                <w:highlight w:val="none"/>
              </w:rPr>
              <w:t>2、</w:t>
            </w:r>
            <w:r>
              <w:rPr>
                <w:rFonts w:ascii="Times New Roman" w:hAnsi="Times New Roman" w:eastAsia="宋体" w:cs="Times New Roman"/>
                <w:b/>
                <w:bCs w:val="0"/>
                <w:color w:val="000000"/>
                <w:sz w:val="24"/>
                <w:szCs w:val="24"/>
                <w:highlight w:val="none"/>
                <w:lang w:val="en-US" w:eastAsia="zh-CN"/>
              </w:rPr>
              <w:t>设备噪声</w:t>
            </w:r>
          </w:p>
          <w:p w14:paraId="04258E28">
            <w:pPr>
              <w:spacing w:line="360" w:lineRule="auto"/>
              <w:ind w:firstLine="482"/>
              <w:rPr>
                <w:rFonts w:ascii="Times New Roman" w:hAnsi="Times New Roman" w:eastAsia="宋体" w:cs="Times New Roman"/>
                <w:b/>
                <w:bCs/>
                <w:color w:val="000000"/>
                <w:sz w:val="24"/>
                <w:lang w:val="en-US" w:eastAsia="zh-CN"/>
              </w:rPr>
            </w:pPr>
            <w:r>
              <w:rPr>
                <w:rFonts w:ascii="Times New Roman" w:hAnsi="Times New Roman" w:eastAsia="宋体" w:cs="Times New Roman"/>
                <w:b/>
                <w:bCs/>
                <w:color w:val="000000"/>
                <w:sz w:val="24"/>
                <w:lang w:eastAsia="zh-CN"/>
              </w:rPr>
              <w:t>（</w:t>
            </w:r>
            <w:r>
              <w:rPr>
                <w:rFonts w:ascii="Times New Roman" w:hAnsi="Times New Roman" w:eastAsia="宋体" w:cs="Times New Roman"/>
                <w:b/>
                <w:bCs/>
                <w:color w:val="000000"/>
                <w:sz w:val="24"/>
                <w:lang w:val="en-US" w:eastAsia="zh-CN"/>
              </w:rPr>
              <w:t>1</w:t>
            </w:r>
            <w:r>
              <w:rPr>
                <w:rFonts w:ascii="Times New Roman" w:hAnsi="Times New Roman" w:eastAsia="宋体" w:cs="Times New Roman"/>
                <w:b/>
                <w:bCs/>
                <w:color w:val="000000"/>
                <w:sz w:val="24"/>
                <w:lang w:eastAsia="zh-CN"/>
              </w:rPr>
              <w:t>）</w:t>
            </w:r>
            <w:r>
              <w:rPr>
                <w:rFonts w:ascii="Times New Roman" w:hAnsi="Times New Roman" w:eastAsia="宋体" w:cs="Times New Roman"/>
                <w:b/>
                <w:bCs/>
                <w:color w:val="000000"/>
                <w:sz w:val="24"/>
                <w:lang w:val="en-US" w:eastAsia="zh-CN"/>
              </w:rPr>
              <w:t>噪声源强及治理措施</w:t>
            </w:r>
          </w:p>
          <w:p w14:paraId="18B07D95">
            <w:pPr>
              <w:spacing w:line="360" w:lineRule="auto"/>
              <w:ind w:firstLine="480"/>
              <w:rPr>
                <w:rFonts w:ascii="Times New Roman" w:hAnsi="Times New Roman" w:eastAsia="宋体" w:cs="Times New Roman"/>
                <w:color w:val="000000"/>
                <w:sz w:val="24"/>
                <w:lang w:eastAsia="zh-CN"/>
              </w:rPr>
            </w:pPr>
            <w:r>
              <w:rPr>
                <w:rFonts w:hint="eastAsia" w:ascii="Times New Roman" w:hAnsi="Times New Roman" w:eastAsia="宋体" w:cs="Times New Roman"/>
                <w:color w:val="000000"/>
                <w:sz w:val="24"/>
                <w:lang w:val="en-US" w:eastAsia="zh-CN"/>
              </w:rPr>
              <w:t>本</w:t>
            </w:r>
            <w:r>
              <w:rPr>
                <w:rFonts w:ascii="Times New Roman" w:hAnsi="Times New Roman" w:eastAsia="宋体" w:cs="Times New Roman"/>
                <w:color w:val="000000"/>
                <w:sz w:val="24"/>
              </w:rPr>
              <w:t>项目噪声主要来源于</w:t>
            </w:r>
            <w:r>
              <w:rPr>
                <w:rFonts w:hint="eastAsia" w:ascii="Times New Roman" w:hAnsi="Times New Roman" w:eastAsia="宋体" w:cs="Times New Roman"/>
                <w:color w:val="000000"/>
                <w:sz w:val="24"/>
                <w:lang w:val="en-US" w:eastAsia="zh-CN"/>
              </w:rPr>
              <w:t>断料机、圆木机、方木多锯片、清边机、小断头机、拼板机、梳齿机、齿接机、涂胶机、齐头机、空压机</w:t>
            </w:r>
            <w:r>
              <w:rPr>
                <w:rFonts w:ascii="Times New Roman" w:hAnsi="Times New Roman" w:eastAsia="宋体" w:cs="Times New Roman"/>
                <w:color w:val="000000"/>
                <w:sz w:val="24"/>
              </w:rPr>
              <w:t>等生产设备的运行噪声，其噪声在</w:t>
            </w:r>
            <w:r>
              <w:rPr>
                <w:rFonts w:hint="eastAsia" w:ascii="Times New Roman" w:hAnsi="Times New Roman" w:eastAsia="宋体" w:cs="Times New Roman"/>
                <w:color w:val="000000"/>
                <w:sz w:val="24"/>
                <w:lang w:val="en-US" w:eastAsia="zh-CN"/>
              </w:rPr>
              <w:t>7</w:t>
            </w:r>
            <w:r>
              <w:rPr>
                <w:rFonts w:ascii="Times New Roman" w:hAnsi="Times New Roman" w:eastAsia="宋体" w:cs="Times New Roman"/>
                <w:color w:val="000000"/>
                <w:sz w:val="24"/>
              </w:rPr>
              <w:t>0~</w:t>
            </w:r>
            <w:r>
              <w:rPr>
                <w:rFonts w:hint="eastAsia" w:ascii="Times New Roman" w:hAnsi="Times New Roman" w:eastAsia="宋体" w:cs="Times New Roman"/>
                <w:color w:val="000000"/>
                <w:sz w:val="24"/>
                <w:lang w:val="en-US" w:eastAsia="zh-CN"/>
              </w:rPr>
              <w:t>85</w:t>
            </w:r>
            <w:r>
              <w:rPr>
                <w:rFonts w:ascii="Times New Roman" w:hAnsi="Times New Roman" w:eastAsia="宋体" w:cs="Times New Roman"/>
                <w:color w:val="000000"/>
                <w:sz w:val="24"/>
              </w:rPr>
              <w:t>dB(A）之间。拟采取设备基础减震、合理布局、厂房隔声等降噪措施。具体的噪声防治措施如下</w:t>
            </w:r>
            <w:r>
              <w:rPr>
                <w:rFonts w:ascii="Times New Roman" w:hAnsi="Times New Roman" w:eastAsia="宋体" w:cs="Times New Roman"/>
                <w:color w:val="000000"/>
                <w:sz w:val="24"/>
                <w:lang w:eastAsia="zh-CN"/>
              </w:rPr>
              <w:t>：</w:t>
            </w:r>
          </w:p>
          <w:p w14:paraId="3FD06F12">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lang w:val="en-US" w:eastAsia="zh-CN"/>
              </w:rPr>
              <w:t>①</w:t>
            </w:r>
            <w:r>
              <w:rPr>
                <w:rFonts w:ascii="Times New Roman" w:hAnsi="Times New Roman" w:eastAsia="宋体" w:cs="Times New Roman"/>
                <w:b/>
                <w:bCs/>
                <w:color w:val="000000"/>
                <w:sz w:val="24"/>
              </w:rPr>
              <w:t>总平布置</w:t>
            </w:r>
          </w:p>
          <w:p w14:paraId="5CB17AFC">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从总平面布置的角度出发，将</w:t>
            </w:r>
            <w:r>
              <w:rPr>
                <w:rFonts w:ascii="Times New Roman" w:hAnsi="Times New Roman" w:eastAsia="宋体" w:cs="Times New Roman"/>
                <w:color w:val="000000"/>
                <w:sz w:val="24"/>
                <w:lang w:val="en-US" w:eastAsia="zh-CN"/>
              </w:rPr>
              <w:t>带锯</w:t>
            </w:r>
            <w:r>
              <w:rPr>
                <w:rFonts w:hint="eastAsia" w:ascii="Times New Roman" w:hAnsi="Times New Roman" w:eastAsia="宋体" w:cs="Times New Roman"/>
                <w:color w:val="000000"/>
                <w:sz w:val="24"/>
                <w:lang w:val="en-US" w:eastAsia="zh-CN"/>
              </w:rPr>
              <w:t>、</w:t>
            </w:r>
            <w:r>
              <w:rPr>
                <w:rFonts w:ascii="Times New Roman" w:hAnsi="Times New Roman" w:eastAsia="宋体" w:cs="Times New Roman"/>
                <w:color w:val="000000"/>
                <w:sz w:val="24"/>
                <w:lang w:val="en-US" w:eastAsia="zh-CN"/>
              </w:rPr>
              <w:t>多边锯</w:t>
            </w:r>
            <w:r>
              <w:rPr>
                <w:rFonts w:hint="eastAsia" w:ascii="Times New Roman" w:hAnsi="Times New Roman" w:eastAsia="宋体" w:cs="Times New Roman"/>
                <w:color w:val="000000"/>
                <w:sz w:val="24"/>
                <w:lang w:val="en-US" w:eastAsia="zh-CN"/>
              </w:rPr>
              <w:t>、</w:t>
            </w:r>
            <w:r>
              <w:rPr>
                <w:rFonts w:ascii="Times New Roman" w:hAnsi="Times New Roman" w:eastAsia="宋体" w:cs="Times New Roman"/>
                <w:color w:val="000000"/>
                <w:sz w:val="24"/>
                <w:lang w:val="en-US" w:eastAsia="zh-CN"/>
              </w:rPr>
              <w:t>断料机</w:t>
            </w:r>
            <w:r>
              <w:rPr>
                <w:rFonts w:ascii="Times New Roman" w:hAnsi="Times New Roman" w:eastAsia="宋体" w:cs="Times New Roman"/>
                <w:color w:val="000000"/>
                <w:sz w:val="24"/>
              </w:rPr>
              <w:t>等高噪声设备设置于厂房中部。</w:t>
            </w:r>
          </w:p>
          <w:p w14:paraId="7AB70618">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lang w:val="en-US" w:eastAsia="zh-CN"/>
              </w:rPr>
              <w:t>②</w:t>
            </w:r>
            <w:r>
              <w:rPr>
                <w:rFonts w:ascii="Times New Roman" w:hAnsi="Times New Roman" w:eastAsia="宋体" w:cs="Times New Roman"/>
                <w:b/>
                <w:bCs/>
                <w:color w:val="000000"/>
                <w:sz w:val="24"/>
              </w:rPr>
              <w:t>设备减震降噪措施</w:t>
            </w:r>
          </w:p>
          <w:p w14:paraId="10483B38">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在设备选型时尽量选择噪声低的设备，主要设备设置台基减震、橡胶减震接头等减震设施，采用全</w:t>
            </w:r>
            <w:r>
              <w:rPr>
                <w:rFonts w:hint="eastAsia" w:ascii="Times New Roman" w:hAnsi="Times New Roman" w:eastAsia="宋体" w:cs="Times New Roman"/>
                <w:color w:val="000000"/>
                <w:sz w:val="24"/>
                <w:lang w:val="en-US" w:eastAsia="zh-CN"/>
              </w:rPr>
              <w:t>封</w:t>
            </w:r>
            <w:r>
              <w:rPr>
                <w:rFonts w:ascii="Times New Roman" w:hAnsi="Times New Roman" w:eastAsia="宋体" w:cs="Times New Roman"/>
                <w:color w:val="000000"/>
                <w:sz w:val="24"/>
              </w:rPr>
              <w:t>闭厂房，</w:t>
            </w:r>
            <w:r>
              <w:rPr>
                <w:rFonts w:ascii="Times New Roman" w:hAnsi="Times New Roman" w:eastAsia="宋体" w:cs="Times New Roman"/>
                <w:color w:val="000000"/>
                <w:sz w:val="24"/>
                <w:lang w:val="en-US" w:eastAsia="zh-CN"/>
              </w:rPr>
              <w:t>厂房</w:t>
            </w:r>
            <w:r>
              <w:rPr>
                <w:rFonts w:ascii="Times New Roman" w:hAnsi="Times New Roman" w:eastAsia="宋体" w:cs="Times New Roman"/>
                <w:color w:val="000000"/>
                <w:sz w:val="24"/>
              </w:rPr>
              <w:t>内部设置双层0.6mm厚的彩钢结构，彩钢内部为泡沫板。厂区四周设置2.5m高24cm砖墙</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lang w:val="en-US" w:eastAsia="zh-CN"/>
              </w:rPr>
              <w:t>围墙</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rPr>
              <w:t>隔声。</w:t>
            </w:r>
          </w:p>
          <w:p w14:paraId="4373F68B">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lang w:val="en-US" w:eastAsia="zh-CN"/>
              </w:rPr>
              <w:t>③</w:t>
            </w:r>
            <w:r>
              <w:rPr>
                <w:rFonts w:ascii="Times New Roman" w:hAnsi="Times New Roman" w:eastAsia="宋体" w:cs="Times New Roman"/>
                <w:b/>
                <w:bCs/>
                <w:color w:val="000000"/>
                <w:sz w:val="24"/>
              </w:rPr>
              <w:t>加强管理</w:t>
            </w:r>
          </w:p>
          <w:p w14:paraId="7EBC7DE2">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建立设备定期维护、保养的管理制度，以防止设备故障形成的非正常生产噪声，同时确保环保措施发挥最佳有效的功能</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rPr>
              <w:t>加强职工环保意识教育，提倡文明生产，防止人为噪声。</w:t>
            </w:r>
          </w:p>
          <w:p w14:paraId="1153E917">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另外，由于生产车间内部高噪声设备较多，因此建设单位应该加强职工的职业卫生防护措施，高噪声设备操作人员应该佩戴防噪声耳塞或耳罩，以减轻噪声对职工的职业危害。</w:t>
            </w:r>
          </w:p>
          <w:p w14:paraId="0ABC02FA">
            <w:pPr>
              <w:pStyle w:val="234"/>
              <w:jc w:val="center"/>
              <w:rPr>
                <w:rFonts w:ascii="Times New Roman" w:hAnsi="Times New Roman" w:eastAsia="宋体" w:cs="Times New Roman"/>
                <w:b/>
                <w:color w:val="000000"/>
                <w:highlight w:val="none"/>
              </w:rPr>
            </w:pPr>
          </w:p>
          <w:p w14:paraId="05706512">
            <w:pPr>
              <w:pStyle w:val="234"/>
              <w:jc w:val="center"/>
              <w:rPr>
                <w:rFonts w:ascii="Times New Roman" w:hAnsi="Times New Roman" w:eastAsia="宋体" w:cs="Times New Roman"/>
                <w:b/>
                <w:color w:val="000000"/>
                <w:highlight w:val="none"/>
              </w:rPr>
            </w:pPr>
          </w:p>
          <w:p w14:paraId="17556118">
            <w:pPr>
              <w:pStyle w:val="234"/>
              <w:jc w:val="center"/>
              <w:rPr>
                <w:rFonts w:ascii="Times New Roman" w:hAnsi="Times New Roman" w:eastAsia="宋体" w:cs="Times New Roman"/>
                <w:b/>
                <w:color w:val="000000"/>
                <w:highlight w:val="none"/>
              </w:rPr>
            </w:pPr>
          </w:p>
          <w:p w14:paraId="6A97A614">
            <w:pPr>
              <w:pStyle w:val="234"/>
              <w:jc w:val="center"/>
              <w:rPr>
                <w:rFonts w:ascii="Times New Roman" w:hAnsi="Times New Roman" w:eastAsia="宋体" w:cs="Times New Roman"/>
                <w:b/>
                <w:color w:val="000000"/>
                <w:highlight w:val="none"/>
              </w:rPr>
            </w:pPr>
          </w:p>
          <w:p w14:paraId="18123CB5">
            <w:pPr>
              <w:pStyle w:val="234"/>
              <w:jc w:val="center"/>
              <w:rPr>
                <w:rFonts w:ascii="Times New Roman" w:hAnsi="Times New Roman" w:eastAsia="宋体" w:cs="Times New Roman"/>
                <w:b/>
                <w:color w:val="000000"/>
                <w:highlight w:val="none"/>
              </w:rPr>
            </w:pPr>
          </w:p>
          <w:p w14:paraId="413A6A2E">
            <w:pPr>
              <w:pStyle w:val="234"/>
              <w:jc w:val="center"/>
              <w:rPr>
                <w:rFonts w:ascii="Times New Roman" w:hAnsi="Times New Roman" w:eastAsia="宋体" w:cs="Times New Roman"/>
                <w:b/>
                <w:color w:val="000000"/>
                <w:highlight w:val="none"/>
              </w:rPr>
            </w:pPr>
          </w:p>
          <w:p w14:paraId="5CC634DF">
            <w:pPr>
              <w:pStyle w:val="234"/>
              <w:jc w:val="center"/>
              <w:rPr>
                <w:rFonts w:ascii="Times New Roman" w:hAnsi="Times New Roman" w:eastAsia="宋体" w:cs="Times New Roman"/>
                <w:b/>
                <w:color w:val="000000"/>
                <w:highlight w:val="none"/>
              </w:rPr>
            </w:pPr>
          </w:p>
          <w:p w14:paraId="70E703E6">
            <w:pPr>
              <w:pStyle w:val="234"/>
              <w:jc w:val="center"/>
              <w:rPr>
                <w:rFonts w:ascii="Times New Roman" w:hAnsi="Times New Roman" w:eastAsia="宋体" w:cs="Times New Roman"/>
                <w:b/>
                <w:color w:val="000000"/>
                <w:highlight w:val="none"/>
              </w:rPr>
            </w:pPr>
          </w:p>
          <w:p w14:paraId="476F5CBD">
            <w:pPr>
              <w:pStyle w:val="234"/>
              <w:jc w:val="center"/>
              <w:rPr>
                <w:rFonts w:ascii="Times New Roman" w:hAnsi="Times New Roman" w:eastAsia="宋体" w:cs="Times New Roman"/>
                <w:b/>
                <w:color w:val="000000"/>
                <w:highlight w:val="none"/>
              </w:rPr>
            </w:pPr>
            <w:r>
              <w:rPr>
                <w:rFonts w:ascii="Times New Roman" w:hAnsi="Times New Roman" w:eastAsia="宋体" w:cs="Times New Roman"/>
                <w:b/>
                <w:color w:val="000000"/>
                <w:highlight w:val="none"/>
              </w:rPr>
              <w:t>表4-</w:t>
            </w:r>
            <w:r>
              <w:rPr>
                <w:rFonts w:ascii="Times New Roman" w:hAnsi="Times New Roman" w:eastAsia="宋体" w:cs="Times New Roman"/>
                <w:b/>
                <w:color w:val="000000"/>
                <w:highlight w:val="none"/>
                <w:lang w:val="en-US" w:eastAsia="zh-CN"/>
              </w:rPr>
              <w:t>3</w:t>
            </w:r>
            <w:r>
              <w:rPr>
                <w:rFonts w:ascii="Times New Roman" w:hAnsi="Times New Roman" w:eastAsia="宋体" w:cs="Times New Roman"/>
                <w:b/>
                <w:color w:val="000000"/>
                <w:highlight w:val="none"/>
              </w:rPr>
              <w:t xml:space="preserve">  噪声源强调查清单</w:t>
            </w:r>
          </w:p>
          <w:tbl>
            <w:tblPr>
              <w:tblStyle w:val="2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400"/>
              <w:gridCol w:w="341"/>
              <w:gridCol w:w="854"/>
              <w:gridCol w:w="369"/>
              <w:gridCol w:w="688"/>
              <w:gridCol w:w="552"/>
              <w:gridCol w:w="943"/>
              <w:gridCol w:w="739"/>
              <w:gridCol w:w="432"/>
              <w:gridCol w:w="747"/>
              <w:gridCol w:w="588"/>
              <w:gridCol w:w="767"/>
              <w:gridCol w:w="1769"/>
            </w:tblGrid>
            <w:tr w14:paraId="42012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gridAfter w:val="2"/>
                <w:wAfter w:w="2268" w:type="dxa"/>
                <w:trHeight w:val="237" w:hRule="atLeast"/>
                <w:jc w:val="center"/>
              </w:trPr>
              <w:tc>
                <w:tcPr>
                  <w:tcW w:w="215" w:type="dxa"/>
                  <w:vMerge w:val="restart"/>
                  <w:noWrap w:val="0"/>
                  <w:vAlign w:val="center"/>
                </w:tcPr>
                <w:p w14:paraId="710ACBCA">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color w:val="000000"/>
                      <w:sz w:val="21"/>
                      <w:szCs w:val="21"/>
                      <w:highlight w:val="none"/>
                      <w:lang w:eastAsia="zh-CN"/>
                    </w:rPr>
                    <w:t>序号</w:t>
                  </w:r>
                </w:p>
              </w:tc>
              <w:tc>
                <w:tcPr>
                  <w:tcW w:w="254" w:type="dxa"/>
                  <w:vMerge w:val="restart"/>
                  <w:noWrap w:val="0"/>
                  <w:vAlign w:val="center"/>
                </w:tcPr>
                <w:p w14:paraId="4C7D233F">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color w:val="000000"/>
                      <w:sz w:val="21"/>
                      <w:szCs w:val="21"/>
                      <w:highlight w:val="none"/>
                      <w:lang w:eastAsia="zh-CN"/>
                    </w:rPr>
                    <w:t>建筑物</w:t>
                  </w:r>
                </w:p>
              </w:tc>
              <w:tc>
                <w:tcPr>
                  <w:tcW w:w="764" w:type="dxa"/>
                  <w:vMerge w:val="restart"/>
                  <w:noWrap w:val="0"/>
                  <w:vAlign w:val="center"/>
                </w:tcPr>
                <w:p w14:paraId="3D85C77B">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color w:val="000000"/>
                      <w:sz w:val="21"/>
                      <w:szCs w:val="21"/>
                      <w:highlight w:val="none"/>
                      <w:lang w:eastAsia="zh-CN"/>
                    </w:rPr>
                    <w:t>声源名称</w:t>
                  </w:r>
                </w:p>
              </w:tc>
              <w:tc>
                <w:tcPr>
                  <w:tcW w:w="330" w:type="dxa"/>
                  <w:vMerge w:val="restart"/>
                  <w:noWrap w:val="0"/>
                  <w:vAlign w:val="center"/>
                </w:tcPr>
                <w:p w14:paraId="59758304">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color w:val="000000"/>
                      <w:sz w:val="21"/>
                      <w:szCs w:val="21"/>
                      <w:highlight w:val="none"/>
                      <w:lang w:eastAsia="zh-CN"/>
                    </w:rPr>
                    <w:t>数量</w:t>
                  </w:r>
                </w:p>
              </w:tc>
              <w:tc>
                <w:tcPr>
                  <w:tcW w:w="615" w:type="dxa"/>
                  <w:vMerge w:val="restart"/>
                  <w:noWrap w:val="0"/>
                  <w:vAlign w:val="center"/>
                </w:tcPr>
                <w:p w14:paraId="6D9452A0">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color w:val="000000"/>
                      <w:sz w:val="21"/>
                      <w:szCs w:val="21"/>
                      <w:highlight w:val="none"/>
                      <w:lang w:eastAsia="zh-CN"/>
                    </w:rPr>
                    <w:t>声源源强</w:t>
                  </w:r>
                </w:p>
                <w:p w14:paraId="67C982E1">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dB(A)</w:t>
                  </w:r>
                </w:p>
              </w:tc>
              <w:tc>
                <w:tcPr>
                  <w:tcW w:w="381" w:type="dxa"/>
                  <w:vMerge w:val="restart"/>
                  <w:noWrap w:val="0"/>
                  <w:vAlign w:val="center"/>
                </w:tcPr>
                <w:p w14:paraId="2FE3DAF9">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color w:val="000000"/>
                      <w:sz w:val="21"/>
                      <w:szCs w:val="21"/>
                      <w:highlight w:val="none"/>
                      <w:lang w:eastAsia="zh-CN"/>
                    </w:rPr>
                    <w:t>声源控制措施</w:t>
                  </w:r>
                </w:p>
              </w:tc>
              <w:tc>
                <w:tcPr>
                  <w:tcW w:w="843" w:type="dxa"/>
                  <w:noWrap w:val="0"/>
                  <w:vAlign w:val="center"/>
                </w:tcPr>
                <w:p w14:paraId="6D74BA3D">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color w:val="000000"/>
                      <w:sz w:val="21"/>
                      <w:szCs w:val="21"/>
                      <w:highlight w:val="none"/>
                      <w:lang w:eastAsia="zh-CN"/>
                    </w:rPr>
                    <w:t>空间相对位置</w:t>
                  </w:r>
                </w:p>
              </w:tc>
              <w:tc>
                <w:tcPr>
                  <w:tcW w:w="415" w:type="dxa"/>
                  <w:vMerge w:val="restart"/>
                  <w:noWrap w:val="0"/>
                  <w:vAlign w:val="center"/>
                </w:tcPr>
                <w:p w14:paraId="5EE7D198">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eastAsia="zh-CN"/>
                    </w:rPr>
                    <w:t>室内边界声级</w:t>
                  </w:r>
                  <w:r>
                    <w:rPr>
                      <w:rFonts w:ascii="Times New Roman" w:hAnsi="Times New Roman" w:eastAsia="宋体" w:cs="Times New Roman"/>
                      <w:color w:val="000000"/>
                      <w:sz w:val="21"/>
                      <w:szCs w:val="21"/>
                      <w:highlight w:val="none"/>
                      <w:lang w:val="en-US" w:eastAsia="zh-CN"/>
                    </w:rPr>
                    <w:t>/dB(A)</w:t>
                  </w:r>
                </w:p>
              </w:tc>
              <w:tc>
                <w:tcPr>
                  <w:tcW w:w="224" w:type="dxa"/>
                  <w:vMerge w:val="restart"/>
                  <w:noWrap w:val="0"/>
                  <w:vAlign w:val="center"/>
                </w:tcPr>
                <w:p w14:paraId="1F7B5638">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运行</w:t>
                  </w:r>
                </w:p>
                <w:p w14:paraId="78929D03">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时段</w:t>
                  </w:r>
                </w:p>
              </w:tc>
              <w:tc>
                <w:tcPr>
                  <w:tcW w:w="427" w:type="dxa"/>
                  <w:vMerge w:val="restart"/>
                  <w:noWrap w:val="0"/>
                  <w:vAlign w:val="center"/>
                </w:tcPr>
                <w:p w14:paraId="4F6D53BD">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eastAsia="zh-CN"/>
                    </w:rPr>
                    <w:t>建筑物插入损失</w:t>
                  </w:r>
                  <w:r>
                    <w:rPr>
                      <w:rFonts w:ascii="Times New Roman" w:hAnsi="Times New Roman" w:eastAsia="宋体" w:cs="Times New Roman"/>
                      <w:color w:val="000000"/>
                      <w:sz w:val="21"/>
                      <w:szCs w:val="21"/>
                      <w:highlight w:val="none"/>
                      <w:lang w:val="en-US" w:eastAsia="zh-CN"/>
                    </w:rPr>
                    <w:t>/dB(A)</w:t>
                  </w:r>
                </w:p>
              </w:tc>
              <w:tc>
                <w:tcPr>
                  <w:tcW w:w="526" w:type="dxa"/>
                  <w:vMerge w:val="restart"/>
                  <w:noWrap w:val="0"/>
                  <w:vAlign w:val="center"/>
                </w:tcPr>
                <w:p w14:paraId="20942A3A">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color w:val="000000"/>
                      <w:sz w:val="21"/>
                      <w:szCs w:val="21"/>
                      <w:highlight w:val="none"/>
                      <w:lang w:eastAsia="zh-CN"/>
                    </w:rPr>
                    <w:t>建筑物外</w:t>
                  </w:r>
                  <w:r>
                    <w:rPr>
                      <w:rFonts w:hint="eastAsia" w:ascii="Times New Roman" w:hAnsi="Times New Roman" w:eastAsia="宋体" w:cs="Times New Roman"/>
                      <w:color w:val="000000"/>
                      <w:sz w:val="21"/>
                      <w:szCs w:val="21"/>
                      <w:highlight w:val="none"/>
                      <w:lang w:val="en-US" w:eastAsia="zh-CN"/>
                    </w:rPr>
                    <w:t>1m处噪声</w:t>
                  </w:r>
                </w:p>
              </w:tc>
            </w:tr>
            <w:tr w14:paraId="4D427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2" w:hRule="atLeast"/>
                <w:jc w:val="center"/>
              </w:trPr>
              <w:tc>
                <w:tcPr>
                  <w:tcW w:w="215" w:type="dxa"/>
                  <w:vMerge w:val="continue"/>
                  <w:noWrap w:val="0"/>
                  <w:vAlign w:val="center"/>
                </w:tcPr>
                <w:p w14:paraId="3F2C1F91">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p>
              </w:tc>
              <w:tc>
                <w:tcPr>
                  <w:tcW w:w="254" w:type="dxa"/>
                  <w:vMerge w:val="continue"/>
                  <w:noWrap w:val="0"/>
                  <w:vAlign w:val="center"/>
                </w:tcPr>
                <w:p w14:paraId="76051B48">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p>
              </w:tc>
              <w:tc>
                <w:tcPr>
                  <w:tcW w:w="764" w:type="dxa"/>
                  <w:vMerge w:val="continue"/>
                  <w:noWrap w:val="0"/>
                  <w:vAlign w:val="center"/>
                </w:tcPr>
                <w:p w14:paraId="2111999A">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p>
              </w:tc>
              <w:tc>
                <w:tcPr>
                  <w:tcW w:w="330" w:type="dxa"/>
                  <w:vMerge w:val="continue"/>
                  <w:noWrap w:val="0"/>
                  <w:vAlign w:val="center"/>
                </w:tcPr>
                <w:p w14:paraId="202938DD">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p>
              </w:tc>
              <w:tc>
                <w:tcPr>
                  <w:tcW w:w="615" w:type="dxa"/>
                  <w:vMerge w:val="continue"/>
                  <w:noWrap w:val="0"/>
                  <w:vAlign w:val="center"/>
                </w:tcPr>
                <w:p w14:paraId="7FB128F2">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val="en-US" w:eastAsia="zh-CN"/>
                    </w:rPr>
                  </w:pPr>
                </w:p>
              </w:tc>
              <w:tc>
                <w:tcPr>
                  <w:tcW w:w="381" w:type="dxa"/>
                  <w:vMerge w:val="continue"/>
                  <w:noWrap w:val="0"/>
                  <w:vAlign w:val="center"/>
                </w:tcPr>
                <w:p w14:paraId="1CE3D1A1">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p>
              </w:tc>
              <w:tc>
                <w:tcPr>
                  <w:tcW w:w="297" w:type="dxa"/>
                  <w:noWrap w:val="0"/>
                  <w:vAlign w:val="center"/>
                </w:tcPr>
                <w:p w14:paraId="698C4F3B">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color w:val="000000"/>
                      <w:sz w:val="21"/>
                      <w:szCs w:val="21"/>
                      <w:highlight w:val="none"/>
                      <w:lang w:val="en-US" w:eastAsia="zh-CN"/>
                    </w:rPr>
                    <w:t>X</w:t>
                  </w:r>
                </w:p>
              </w:tc>
              <w:tc>
                <w:tcPr>
                  <w:tcW w:w="297" w:type="dxa"/>
                  <w:noWrap w:val="0"/>
                  <w:vAlign w:val="center"/>
                </w:tcPr>
                <w:p w14:paraId="0EDF7D6A">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color w:val="000000"/>
                      <w:sz w:val="21"/>
                      <w:szCs w:val="21"/>
                      <w:highlight w:val="none"/>
                      <w:lang w:val="en-US" w:eastAsia="zh-CN"/>
                    </w:rPr>
                    <w:t>Y</w:t>
                  </w:r>
                </w:p>
              </w:tc>
              <w:tc>
                <w:tcPr>
                  <w:tcW w:w="249" w:type="dxa"/>
                  <w:noWrap w:val="0"/>
                  <w:vAlign w:val="center"/>
                </w:tcPr>
                <w:p w14:paraId="5401AE20">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r>
                    <w:rPr>
                      <w:rFonts w:ascii="Times New Roman" w:hAnsi="Times New Roman" w:eastAsia="宋体" w:cs="Times New Roman"/>
                      <w:color w:val="000000"/>
                      <w:sz w:val="21"/>
                      <w:szCs w:val="21"/>
                      <w:highlight w:val="none"/>
                      <w:lang w:val="en-US" w:eastAsia="zh-CN"/>
                    </w:rPr>
                    <w:t>Z</w:t>
                  </w:r>
                </w:p>
              </w:tc>
              <w:tc>
                <w:tcPr>
                  <w:tcW w:w="415" w:type="dxa"/>
                  <w:vMerge w:val="continue"/>
                  <w:noWrap w:val="0"/>
                  <w:vAlign w:val="center"/>
                </w:tcPr>
                <w:p w14:paraId="3BEA01DF">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p>
              </w:tc>
              <w:tc>
                <w:tcPr>
                  <w:tcW w:w="224" w:type="dxa"/>
                  <w:vMerge w:val="continue"/>
                  <w:noWrap w:val="0"/>
                  <w:vAlign w:val="center"/>
                </w:tcPr>
                <w:p w14:paraId="1EE35E5B">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p>
              </w:tc>
              <w:tc>
                <w:tcPr>
                  <w:tcW w:w="427" w:type="dxa"/>
                  <w:vMerge w:val="restart"/>
                  <w:noWrap w:val="0"/>
                  <w:vAlign w:val="center"/>
                </w:tcPr>
                <w:p w14:paraId="59DAFE3F">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p>
              </w:tc>
              <w:tc>
                <w:tcPr>
                  <w:tcW w:w="526" w:type="dxa"/>
                  <w:vMerge w:val="restart"/>
                  <w:noWrap w:val="0"/>
                  <w:vAlign w:val="center"/>
                </w:tcPr>
                <w:p w14:paraId="2FC37AC6">
                  <w:pPr>
                    <w:pStyle w:val="223"/>
                    <w:keepNext w:val="0"/>
                    <w:keepLines w:val="0"/>
                    <w:pageBreakBefore w:val="0"/>
                    <w:spacing w:before="0" w:line="240" w:lineRule="auto"/>
                    <w:jc w:val="center"/>
                    <w:rPr>
                      <w:rFonts w:ascii="Times New Roman" w:hAnsi="Times New Roman" w:eastAsia="宋体" w:cs="Times New Roman"/>
                      <w:color w:val="000000"/>
                      <w:sz w:val="21"/>
                      <w:szCs w:val="21"/>
                      <w:highlight w:val="none"/>
                      <w:lang w:eastAsia="zh-CN"/>
                    </w:rPr>
                  </w:pPr>
                </w:p>
              </w:tc>
            </w:tr>
            <w:tr w14:paraId="4F3E8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7" w:hRule="atLeast"/>
                <w:jc w:val="center"/>
              </w:trPr>
              <w:tc>
                <w:tcPr>
                  <w:tcW w:w="215" w:type="dxa"/>
                  <w:noWrap w:val="0"/>
                  <w:vAlign w:val="center"/>
                </w:tcPr>
                <w:p w14:paraId="2869C5E5">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color w:val="000000"/>
                      <w:sz w:val="21"/>
                      <w:szCs w:val="21"/>
                      <w:highlight w:val="none"/>
                    </w:rPr>
                    <w:t>1</w:t>
                  </w:r>
                </w:p>
              </w:tc>
              <w:tc>
                <w:tcPr>
                  <w:tcW w:w="254" w:type="dxa"/>
                  <w:vMerge w:val="restart"/>
                  <w:noWrap w:val="0"/>
                  <w:vAlign w:val="center"/>
                </w:tcPr>
                <w:p w14:paraId="3B5A6BA3">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生产厂房</w:t>
                  </w:r>
                </w:p>
              </w:tc>
              <w:tc>
                <w:tcPr>
                  <w:tcW w:w="764" w:type="dxa"/>
                  <w:noWrap w:val="0"/>
                  <w:vAlign w:val="center"/>
                </w:tcPr>
                <w:p w14:paraId="689189C3">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断料机</w:t>
                  </w:r>
                </w:p>
              </w:tc>
              <w:tc>
                <w:tcPr>
                  <w:tcW w:w="330" w:type="dxa"/>
                  <w:noWrap w:val="0"/>
                  <w:vAlign w:val="center"/>
                </w:tcPr>
                <w:p w14:paraId="2F864C75">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rPr>
                    <w:t>2</w:t>
                  </w:r>
                </w:p>
              </w:tc>
              <w:tc>
                <w:tcPr>
                  <w:tcW w:w="615" w:type="dxa"/>
                  <w:noWrap w:val="0"/>
                  <w:vAlign w:val="center"/>
                </w:tcPr>
                <w:p w14:paraId="53A3A490">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85</w:t>
                  </w:r>
                </w:p>
              </w:tc>
              <w:tc>
                <w:tcPr>
                  <w:tcW w:w="381" w:type="dxa"/>
                  <w:vMerge w:val="restart"/>
                  <w:noWrap w:val="0"/>
                  <w:vAlign w:val="center"/>
                </w:tcPr>
                <w:p w14:paraId="7619C0F2">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eastAsia="zh-CN"/>
                    </w:rPr>
                  </w:pPr>
                  <w:r>
                    <w:rPr>
                      <w:rFonts w:ascii="Times New Roman" w:hAnsi="Times New Roman" w:eastAsia="宋体" w:cs="Times New Roman"/>
                      <w:b w:val="0"/>
                      <w:bCs w:val="0"/>
                      <w:color w:val="000000"/>
                      <w:sz w:val="21"/>
                      <w:szCs w:val="21"/>
                      <w:highlight w:val="none"/>
                      <w:lang w:eastAsia="zh-CN"/>
                    </w:rPr>
                    <w:t>设备基础减震、合理布局、厂房隔声等</w:t>
                  </w:r>
                </w:p>
              </w:tc>
              <w:tc>
                <w:tcPr>
                  <w:tcW w:w="297" w:type="dxa"/>
                  <w:noWrap w:val="0"/>
                  <w:vAlign w:val="center"/>
                </w:tcPr>
                <w:p w14:paraId="0D5CFB2F">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-32</w:t>
                  </w:r>
                </w:p>
              </w:tc>
              <w:tc>
                <w:tcPr>
                  <w:tcW w:w="297" w:type="dxa"/>
                  <w:noWrap w:val="0"/>
                  <w:vAlign w:val="center"/>
                </w:tcPr>
                <w:p w14:paraId="1F1A584B">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249" w:type="dxa"/>
                  <w:noWrap w:val="0"/>
                  <w:vAlign w:val="center"/>
                </w:tcPr>
                <w:p w14:paraId="44E4929E">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415" w:type="dxa"/>
                  <w:noWrap w:val="0"/>
                  <w:vAlign w:val="center"/>
                </w:tcPr>
                <w:p w14:paraId="1F498614">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85</w:t>
                  </w:r>
                </w:p>
              </w:tc>
              <w:tc>
                <w:tcPr>
                  <w:tcW w:w="224" w:type="dxa"/>
                  <w:vMerge w:val="restart"/>
                  <w:noWrap w:val="0"/>
                  <w:vAlign w:val="center"/>
                </w:tcPr>
                <w:p w14:paraId="71D5F14C">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昼间</w:t>
                  </w:r>
                </w:p>
              </w:tc>
              <w:tc>
                <w:tcPr>
                  <w:tcW w:w="427" w:type="dxa"/>
                  <w:noWrap w:val="0"/>
                  <w:vAlign w:val="center"/>
                </w:tcPr>
                <w:p w14:paraId="186A955E">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center"/>
                </w:tcPr>
                <w:p w14:paraId="0E455EFA">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70</w:t>
                  </w:r>
                </w:p>
              </w:tc>
            </w:tr>
            <w:tr w14:paraId="04433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7" w:hRule="atLeast"/>
                <w:jc w:val="center"/>
              </w:trPr>
              <w:tc>
                <w:tcPr>
                  <w:tcW w:w="215" w:type="dxa"/>
                  <w:noWrap w:val="0"/>
                  <w:vAlign w:val="center"/>
                </w:tcPr>
                <w:p w14:paraId="7C79745D">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color w:val="000000"/>
                      <w:sz w:val="21"/>
                      <w:szCs w:val="21"/>
                      <w:highlight w:val="none"/>
                    </w:rPr>
                    <w:t>2</w:t>
                  </w:r>
                </w:p>
              </w:tc>
              <w:tc>
                <w:tcPr>
                  <w:tcW w:w="254" w:type="dxa"/>
                  <w:vMerge w:val="continue"/>
                  <w:noWrap w:val="0"/>
                  <w:vAlign w:val="center"/>
                </w:tcPr>
                <w:p w14:paraId="17CB0046">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764" w:type="dxa"/>
                  <w:noWrap w:val="0"/>
                  <w:vAlign w:val="center"/>
                </w:tcPr>
                <w:p w14:paraId="57AAAA08">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圆木机</w:t>
                  </w:r>
                </w:p>
              </w:tc>
              <w:tc>
                <w:tcPr>
                  <w:tcW w:w="330" w:type="dxa"/>
                  <w:noWrap w:val="0"/>
                  <w:vAlign w:val="center"/>
                </w:tcPr>
                <w:p w14:paraId="41025B31">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13</w:t>
                  </w:r>
                </w:p>
              </w:tc>
              <w:tc>
                <w:tcPr>
                  <w:tcW w:w="615" w:type="dxa"/>
                  <w:noWrap w:val="0"/>
                  <w:vAlign w:val="center"/>
                </w:tcPr>
                <w:p w14:paraId="7492A97D">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85</w:t>
                  </w:r>
                </w:p>
              </w:tc>
              <w:tc>
                <w:tcPr>
                  <w:tcW w:w="381" w:type="dxa"/>
                  <w:vMerge w:val="continue"/>
                  <w:noWrap w:val="0"/>
                  <w:vAlign w:val="center"/>
                </w:tcPr>
                <w:p w14:paraId="0578618D">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297" w:type="dxa"/>
                  <w:noWrap w:val="0"/>
                  <w:vAlign w:val="center"/>
                </w:tcPr>
                <w:p w14:paraId="116DD21F">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297" w:type="dxa"/>
                  <w:noWrap w:val="0"/>
                  <w:vAlign w:val="center"/>
                </w:tcPr>
                <w:p w14:paraId="187B1439">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20</w:t>
                  </w:r>
                </w:p>
              </w:tc>
              <w:tc>
                <w:tcPr>
                  <w:tcW w:w="249" w:type="dxa"/>
                  <w:noWrap w:val="0"/>
                  <w:vAlign w:val="center"/>
                </w:tcPr>
                <w:p w14:paraId="5B8689CC">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415" w:type="dxa"/>
                  <w:noWrap w:val="0"/>
                  <w:vAlign w:val="center"/>
                </w:tcPr>
                <w:p w14:paraId="7A354901">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85</w:t>
                  </w:r>
                </w:p>
              </w:tc>
              <w:tc>
                <w:tcPr>
                  <w:tcW w:w="224" w:type="dxa"/>
                  <w:vMerge w:val="continue"/>
                  <w:noWrap w:val="0"/>
                  <w:vAlign w:val="center"/>
                </w:tcPr>
                <w:p w14:paraId="01213724">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427" w:type="dxa"/>
                  <w:noWrap w:val="0"/>
                  <w:vAlign w:val="center"/>
                </w:tcPr>
                <w:p w14:paraId="5BD243F6">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center"/>
                </w:tcPr>
                <w:p w14:paraId="26751144">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70</w:t>
                  </w:r>
                </w:p>
              </w:tc>
            </w:tr>
            <w:tr w14:paraId="42529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7" w:hRule="atLeast"/>
                <w:jc w:val="center"/>
              </w:trPr>
              <w:tc>
                <w:tcPr>
                  <w:tcW w:w="215" w:type="dxa"/>
                  <w:noWrap w:val="0"/>
                  <w:vAlign w:val="center"/>
                </w:tcPr>
                <w:p w14:paraId="5CE101EC">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color w:val="000000"/>
                      <w:sz w:val="21"/>
                      <w:szCs w:val="21"/>
                      <w:highlight w:val="none"/>
                    </w:rPr>
                    <w:t>3</w:t>
                  </w:r>
                </w:p>
              </w:tc>
              <w:tc>
                <w:tcPr>
                  <w:tcW w:w="254" w:type="dxa"/>
                  <w:vMerge w:val="continue"/>
                  <w:noWrap w:val="0"/>
                  <w:vAlign w:val="center"/>
                </w:tcPr>
                <w:p w14:paraId="5B5D0C9F">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764" w:type="dxa"/>
                  <w:noWrap w:val="0"/>
                  <w:vAlign w:val="center"/>
                </w:tcPr>
                <w:p w14:paraId="7A09F2A8">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方木多片锯</w:t>
                  </w:r>
                </w:p>
              </w:tc>
              <w:tc>
                <w:tcPr>
                  <w:tcW w:w="330" w:type="dxa"/>
                  <w:noWrap w:val="0"/>
                  <w:vAlign w:val="center"/>
                </w:tcPr>
                <w:p w14:paraId="292D5297">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rPr>
                    <w:t>11</w:t>
                  </w:r>
                </w:p>
              </w:tc>
              <w:tc>
                <w:tcPr>
                  <w:tcW w:w="615" w:type="dxa"/>
                  <w:noWrap w:val="0"/>
                  <w:vAlign w:val="center"/>
                </w:tcPr>
                <w:p w14:paraId="1CB9CF69">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85</w:t>
                  </w:r>
                  <w:r>
                    <w:rPr>
                      <w:rFonts w:ascii="Times New Roman" w:hAnsi="Times New Roman" w:eastAsia="宋体" w:cs="Times New Roman"/>
                      <w:b w:val="0"/>
                      <w:bCs w:val="0"/>
                      <w:color w:val="000000"/>
                      <w:sz w:val="21"/>
                      <w:szCs w:val="21"/>
                      <w:highlight w:val="none"/>
                      <w:lang w:val="en-US" w:eastAsia="zh-CN"/>
                    </w:rPr>
                    <w:t>/1</w:t>
                  </w:r>
                </w:p>
              </w:tc>
              <w:tc>
                <w:tcPr>
                  <w:tcW w:w="381" w:type="dxa"/>
                  <w:vMerge w:val="continue"/>
                  <w:noWrap w:val="0"/>
                  <w:vAlign w:val="center"/>
                </w:tcPr>
                <w:p w14:paraId="63952374">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297" w:type="dxa"/>
                  <w:noWrap w:val="0"/>
                  <w:vAlign w:val="center"/>
                </w:tcPr>
                <w:p w14:paraId="236FF612">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30</w:t>
                  </w:r>
                </w:p>
              </w:tc>
              <w:tc>
                <w:tcPr>
                  <w:tcW w:w="297" w:type="dxa"/>
                  <w:noWrap w:val="0"/>
                  <w:vAlign w:val="center"/>
                </w:tcPr>
                <w:p w14:paraId="2E3F3101">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249" w:type="dxa"/>
                  <w:noWrap w:val="0"/>
                  <w:vAlign w:val="center"/>
                </w:tcPr>
                <w:p w14:paraId="2EA23A29">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415" w:type="dxa"/>
                  <w:noWrap w:val="0"/>
                  <w:vAlign w:val="center"/>
                </w:tcPr>
                <w:p w14:paraId="08295CA4">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85</w:t>
                  </w:r>
                </w:p>
              </w:tc>
              <w:tc>
                <w:tcPr>
                  <w:tcW w:w="224" w:type="dxa"/>
                  <w:vMerge w:val="continue"/>
                  <w:noWrap w:val="0"/>
                  <w:vAlign w:val="center"/>
                </w:tcPr>
                <w:p w14:paraId="3BEA5297">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427" w:type="dxa"/>
                  <w:noWrap w:val="0"/>
                  <w:vAlign w:val="center"/>
                </w:tcPr>
                <w:p w14:paraId="0FABD944">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center"/>
                </w:tcPr>
                <w:p w14:paraId="32BD1825">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70</w:t>
                  </w:r>
                </w:p>
              </w:tc>
            </w:tr>
            <w:tr w14:paraId="026B8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7" w:hRule="atLeast"/>
                <w:jc w:val="center"/>
              </w:trPr>
              <w:tc>
                <w:tcPr>
                  <w:tcW w:w="358" w:type="dxa"/>
                  <w:noWrap w:val="0"/>
                  <w:vAlign w:val="center"/>
                </w:tcPr>
                <w:p w14:paraId="60745C78">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color w:val="000000"/>
                      <w:sz w:val="21"/>
                      <w:szCs w:val="21"/>
                      <w:highlight w:val="none"/>
                    </w:rPr>
                    <w:t>4</w:t>
                  </w:r>
                </w:p>
              </w:tc>
              <w:tc>
                <w:tcPr>
                  <w:tcW w:w="254" w:type="dxa"/>
                  <w:vMerge w:val="continue"/>
                  <w:noWrap w:val="0"/>
                  <w:vAlign w:val="top"/>
                </w:tcPr>
                <w:p w14:paraId="150F1F42">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764" w:type="dxa"/>
                  <w:noWrap w:val="0"/>
                  <w:vAlign w:val="center"/>
                </w:tcPr>
                <w:p w14:paraId="45AB240F">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清边机</w:t>
                  </w:r>
                </w:p>
              </w:tc>
              <w:tc>
                <w:tcPr>
                  <w:tcW w:w="330" w:type="dxa"/>
                  <w:noWrap w:val="0"/>
                  <w:vAlign w:val="center"/>
                </w:tcPr>
                <w:p w14:paraId="210D2509">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rPr>
                    <w:t>12</w:t>
                  </w:r>
                </w:p>
              </w:tc>
              <w:tc>
                <w:tcPr>
                  <w:tcW w:w="615" w:type="dxa"/>
                  <w:noWrap w:val="0"/>
                  <w:vAlign w:val="top"/>
                </w:tcPr>
                <w:p w14:paraId="5A9AAA37">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70</w:t>
                  </w:r>
                  <w:r>
                    <w:rPr>
                      <w:rFonts w:ascii="Times New Roman" w:hAnsi="Times New Roman" w:eastAsia="宋体" w:cs="Times New Roman"/>
                      <w:b w:val="0"/>
                      <w:bCs w:val="0"/>
                      <w:color w:val="000000"/>
                      <w:sz w:val="21"/>
                      <w:szCs w:val="21"/>
                      <w:highlight w:val="none"/>
                      <w:lang w:val="en-US" w:eastAsia="zh-CN"/>
                    </w:rPr>
                    <w:t>/1</w:t>
                  </w:r>
                </w:p>
              </w:tc>
              <w:tc>
                <w:tcPr>
                  <w:tcW w:w="381" w:type="dxa"/>
                  <w:vMerge w:val="continue"/>
                  <w:noWrap w:val="0"/>
                  <w:vAlign w:val="top"/>
                </w:tcPr>
                <w:p w14:paraId="0559ECF1">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480" w:type="dxa"/>
                  <w:noWrap w:val="0"/>
                  <w:vAlign w:val="top"/>
                </w:tcPr>
                <w:p w14:paraId="3CCD617C">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27</w:t>
                  </w:r>
                </w:p>
              </w:tc>
              <w:tc>
                <w:tcPr>
                  <w:tcW w:w="480" w:type="dxa"/>
                  <w:noWrap w:val="0"/>
                  <w:vAlign w:val="top"/>
                </w:tcPr>
                <w:p w14:paraId="61E22C15">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w:t>
                  </w:r>
                </w:p>
              </w:tc>
              <w:tc>
                <w:tcPr>
                  <w:tcW w:w="386" w:type="dxa"/>
                  <w:noWrap w:val="0"/>
                  <w:vAlign w:val="top"/>
                </w:tcPr>
                <w:p w14:paraId="27350EAA">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668" w:type="dxa"/>
                  <w:noWrap w:val="0"/>
                  <w:vAlign w:val="top"/>
                </w:tcPr>
                <w:p w14:paraId="151957AA">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70</w:t>
                  </w:r>
                </w:p>
              </w:tc>
              <w:tc>
                <w:tcPr>
                  <w:tcW w:w="224" w:type="dxa"/>
                  <w:vMerge w:val="continue"/>
                  <w:noWrap w:val="0"/>
                  <w:vAlign w:val="top"/>
                </w:tcPr>
                <w:p w14:paraId="3A14CBDB">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686" w:type="dxa"/>
                  <w:noWrap w:val="0"/>
                  <w:vAlign w:val="top"/>
                </w:tcPr>
                <w:p w14:paraId="23496E48">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top"/>
                </w:tcPr>
                <w:p w14:paraId="2C583464">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55</w:t>
                  </w:r>
                </w:p>
              </w:tc>
            </w:tr>
            <w:tr w14:paraId="0DC6D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7" w:hRule="atLeast"/>
                <w:jc w:val="center"/>
              </w:trPr>
              <w:tc>
                <w:tcPr>
                  <w:tcW w:w="358" w:type="dxa"/>
                  <w:noWrap w:val="0"/>
                  <w:vAlign w:val="center"/>
                </w:tcPr>
                <w:p w14:paraId="088A0D62">
                  <w:pPr>
                    <w:pStyle w:val="261"/>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5</w:t>
                  </w:r>
                </w:p>
              </w:tc>
              <w:tc>
                <w:tcPr>
                  <w:tcW w:w="254" w:type="dxa"/>
                  <w:vMerge w:val="continue"/>
                  <w:noWrap w:val="0"/>
                  <w:vAlign w:val="top"/>
                </w:tcPr>
                <w:p w14:paraId="4E7BA13B">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764" w:type="dxa"/>
                  <w:noWrap w:val="0"/>
                  <w:vAlign w:val="center"/>
                </w:tcPr>
                <w:p w14:paraId="05E3CC9F">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小断头机</w:t>
                  </w:r>
                </w:p>
              </w:tc>
              <w:tc>
                <w:tcPr>
                  <w:tcW w:w="330" w:type="dxa"/>
                  <w:noWrap w:val="0"/>
                  <w:vAlign w:val="center"/>
                </w:tcPr>
                <w:p w14:paraId="1D9B5E01">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9</w:t>
                  </w:r>
                </w:p>
              </w:tc>
              <w:tc>
                <w:tcPr>
                  <w:tcW w:w="615" w:type="dxa"/>
                  <w:noWrap w:val="0"/>
                  <w:vAlign w:val="top"/>
                </w:tcPr>
                <w:p w14:paraId="2FDE4530">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75</w:t>
                  </w:r>
                  <w:r>
                    <w:rPr>
                      <w:rFonts w:ascii="Times New Roman" w:hAnsi="Times New Roman" w:eastAsia="宋体" w:cs="Times New Roman"/>
                      <w:b w:val="0"/>
                      <w:bCs w:val="0"/>
                      <w:color w:val="000000"/>
                      <w:sz w:val="21"/>
                      <w:szCs w:val="21"/>
                      <w:highlight w:val="none"/>
                      <w:lang w:val="en-US" w:eastAsia="zh-CN"/>
                    </w:rPr>
                    <w:t>/1</w:t>
                  </w:r>
                </w:p>
              </w:tc>
              <w:tc>
                <w:tcPr>
                  <w:tcW w:w="381" w:type="dxa"/>
                  <w:vMerge w:val="continue"/>
                  <w:noWrap w:val="0"/>
                  <w:vAlign w:val="top"/>
                </w:tcPr>
                <w:p w14:paraId="5A605B17">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480" w:type="dxa"/>
                  <w:noWrap w:val="0"/>
                  <w:vAlign w:val="top"/>
                </w:tcPr>
                <w:p w14:paraId="528907B3">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24</w:t>
                  </w:r>
                </w:p>
              </w:tc>
              <w:tc>
                <w:tcPr>
                  <w:tcW w:w="480" w:type="dxa"/>
                  <w:noWrap w:val="0"/>
                  <w:vAlign w:val="top"/>
                </w:tcPr>
                <w:p w14:paraId="2C9FA92C">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-2</w:t>
                  </w:r>
                </w:p>
              </w:tc>
              <w:tc>
                <w:tcPr>
                  <w:tcW w:w="386" w:type="dxa"/>
                  <w:noWrap w:val="0"/>
                  <w:vAlign w:val="top"/>
                </w:tcPr>
                <w:p w14:paraId="77B8B186">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668" w:type="dxa"/>
                  <w:noWrap w:val="0"/>
                  <w:vAlign w:val="top"/>
                </w:tcPr>
                <w:p w14:paraId="3999804C">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75</w:t>
                  </w:r>
                </w:p>
              </w:tc>
              <w:tc>
                <w:tcPr>
                  <w:tcW w:w="224" w:type="dxa"/>
                  <w:vMerge w:val="continue"/>
                  <w:noWrap w:val="0"/>
                  <w:vAlign w:val="top"/>
                </w:tcPr>
                <w:p w14:paraId="75CEDFEB">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686" w:type="dxa"/>
                  <w:noWrap w:val="0"/>
                  <w:vAlign w:val="top"/>
                </w:tcPr>
                <w:p w14:paraId="237B3617">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top"/>
                </w:tcPr>
                <w:p w14:paraId="44FC11A5">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60</w:t>
                  </w:r>
                </w:p>
              </w:tc>
            </w:tr>
            <w:tr w14:paraId="2CC55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7" w:hRule="atLeast"/>
                <w:jc w:val="center"/>
              </w:trPr>
              <w:tc>
                <w:tcPr>
                  <w:tcW w:w="358" w:type="dxa"/>
                  <w:noWrap w:val="0"/>
                  <w:vAlign w:val="center"/>
                </w:tcPr>
                <w:p w14:paraId="49696A9F">
                  <w:pPr>
                    <w:pStyle w:val="261"/>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6</w:t>
                  </w:r>
                </w:p>
              </w:tc>
              <w:tc>
                <w:tcPr>
                  <w:tcW w:w="254" w:type="dxa"/>
                  <w:vMerge w:val="continue"/>
                  <w:noWrap w:val="0"/>
                  <w:vAlign w:val="top"/>
                </w:tcPr>
                <w:p w14:paraId="6916528D">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764" w:type="dxa"/>
                  <w:noWrap w:val="0"/>
                  <w:vAlign w:val="center"/>
                </w:tcPr>
                <w:p w14:paraId="50516C67">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拼板机</w:t>
                  </w:r>
                </w:p>
              </w:tc>
              <w:tc>
                <w:tcPr>
                  <w:tcW w:w="330" w:type="dxa"/>
                  <w:noWrap w:val="0"/>
                  <w:vAlign w:val="center"/>
                </w:tcPr>
                <w:p w14:paraId="1EACE14B">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6</w:t>
                  </w:r>
                </w:p>
              </w:tc>
              <w:tc>
                <w:tcPr>
                  <w:tcW w:w="615" w:type="dxa"/>
                  <w:noWrap w:val="0"/>
                  <w:vAlign w:val="top"/>
                </w:tcPr>
                <w:p w14:paraId="111AF4AD">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75</w:t>
                  </w:r>
                  <w:r>
                    <w:rPr>
                      <w:rFonts w:ascii="Times New Roman" w:hAnsi="Times New Roman" w:eastAsia="宋体" w:cs="Times New Roman"/>
                      <w:b w:val="0"/>
                      <w:bCs w:val="0"/>
                      <w:color w:val="000000"/>
                      <w:sz w:val="21"/>
                      <w:szCs w:val="21"/>
                      <w:highlight w:val="none"/>
                      <w:lang w:val="en-US" w:eastAsia="zh-CN"/>
                    </w:rPr>
                    <w:t>/1</w:t>
                  </w:r>
                </w:p>
              </w:tc>
              <w:tc>
                <w:tcPr>
                  <w:tcW w:w="381" w:type="dxa"/>
                  <w:vMerge w:val="continue"/>
                  <w:noWrap w:val="0"/>
                  <w:vAlign w:val="top"/>
                </w:tcPr>
                <w:p w14:paraId="6A8D9CD6">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480" w:type="dxa"/>
                  <w:noWrap w:val="0"/>
                  <w:vAlign w:val="top"/>
                </w:tcPr>
                <w:p w14:paraId="2C062F6C">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480" w:type="dxa"/>
                  <w:noWrap w:val="0"/>
                  <w:vAlign w:val="top"/>
                </w:tcPr>
                <w:p w14:paraId="60C6F38B">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-12</w:t>
                  </w:r>
                </w:p>
              </w:tc>
              <w:tc>
                <w:tcPr>
                  <w:tcW w:w="386" w:type="dxa"/>
                  <w:noWrap w:val="0"/>
                  <w:vAlign w:val="top"/>
                </w:tcPr>
                <w:p w14:paraId="10757F18">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668" w:type="dxa"/>
                  <w:noWrap w:val="0"/>
                  <w:vAlign w:val="top"/>
                </w:tcPr>
                <w:p w14:paraId="3C24B11E">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75</w:t>
                  </w:r>
                </w:p>
              </w:tc>
              <w:tc>
                <w:tcPr>
                  <w:tcW w:w="224" w:type="dxa"/>
                  <w:vMerge w:val="continue"/>
                  <w:noWrap w:val="0"/>
                  <w:vAlign w:val="top"/>
                </w:tcPr>
                <w:p w14:paraId="6F54D6DC">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686" w:type="dxa"/>
                  <w:noWrap w:val="0"/>
                  <w:vAlign w:val="top"/>
                </w:tcPr>
                <w:p w14:paraId="5AED9CAE">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top"/>
                </w:tcPr>
                <w:p w14:paraId="02B17E77">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60</w:t>
                  </w:r>
                </w:p>
              </w:tc>
            </w:tr>
            <w:tr w14:paraId="1B99A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7" w:hRule="atLeast"/>
                <w:jc w:val="center"/>
              </w:trPr>
              <w:tc>
                <w:tcPr>
                  <w:tcW w:w="358" w:type="dxa"/>
                  <w:noWrap w:val="0"/>
                  <w:vAlign w:val="center"/>
                </w:tcPr>
                <w:p w14:paraId="590C9B36">
                  <w:pPr>
                    <w:pStyle w:val="261"/>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7</w:t>
                  </w:r>
                </w:p>
              </w:tc>
              <w:tc>
                <w:tcPr>
                  <w:tcW w:w="254" w:type="dxa"/>
                  <w:vMerge w:val="continue"/>
                  <w:noWrap w:val="0"/>
                  <w:vAlign w:val="top"/>
                </w:tcPr>
                <w:p w14:paraId="01362B4A">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764" w:type="dxa"/>
                  <w:noWrap w:val="0"/>
                  <w:vAlign w:val="center"/>
                </w:tcPr>
                <w:p w14:paraId="769DEF8D">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梳齿机</w:t>
                  </w:r>
                </w:p>
              </w:tc>
              <w:tc>
                <w:tcPr>
                  <w:tcW w:w="330" w:type="dxa"/>
                  <w:noWrap w:val="0"/>
                  <w:vAlign w:val="center"/>
                </w:tcPr>
                <w:p w14:paraId="7BA84835">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4</w:t>
                  </w:r>
                </w:p>
              </w:tc>
              <w:tc>
                <w:tcPr>
                  <w:tcW w:w="615" w:type="dxa"/>
                  <w:noWrap w:val="0"/>
                  <w:vAlign w:val="top"/>
                </w:tcPr>
                <w:p w14:paraId="38E035EA">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75</w:t>
                  </w:r>
                  <w:r>
                    <w:rPr>
                      <w:rFonts w:ascii="Times New Roman" w:hAnsi="Times New Roman" w:eastAsia="宋体" w:cs="Times New Roman"/>
                      <w:b w:val="0"/>
                      <w:bCs w:val="0"/>
                      <w:color w:val="000000"/>
                      <w:sz w:val="21"/>
                      <w:szCs w:val="21"/>
                      <w:highlight w:val="none"/>
                      <w:lang w:val="en-US" w:eastAsia="zh-CN"/>
                    </w:rPr>
                    <w:t>/1</w:t>
                  </w:r>
                </w:p>
              </w:tc>
              <w:tc>
                <w:tcPr>
                  <w:tcW w:w="381" w:type="dxa"/>
                  <w:vMerge w:val="continue"/>
                  <w:noWrap w:val="0"/>
                  <w:vAlign w:val="top"/>
                </w:tcPr>
                <w:p w14:paraId="3DFCB54A">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480" w:type="dxa"/>
                  <w:noWrap w:val="0"/>
                  <w:vAlign w:val="top"/>
                </w:tcPr>
                <w:p w14:paraId="1C2555BF">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12</w:t>
                  </w:r>
                </w:p>
              </w:tc>
              <w:tc>
                <w:tcPr>
                  <w:tcW w:w="480" w:type="dxa"/>
                  <w:noWrap w:val="0"/>
                  <w:vAlign w:val="top"/>
                </w:tcPr>
                <w:p w14:paraId="5BC7BE3B">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-13</w:t>
                  </w:r>
                </w:p>
              </w:tc>
              <w:tc>
                <w:tcPr>
                  <w:tcW w:w="386" w:type="dxa"/>
                  <w:noWrap w:val="0"/>
                  <w:vAlign w:val="top"/>
                </w:tcPr>
                <w:p w14:paraId="5161FB10">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668" w:type="dxa"/>
                  <w:noWrap w:val="0"/>
                  <w:vAlign w:val="top"/>
                </w:tcPr>
                <w:p w14:paraId="5E983C6B">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75</w:t>
                  </w:r>
                </w:p>
              </w:tc>
              <w:tc>
                <w:tcPr>
                  <w:tcW w:w="224" w:type="dxa"/>
                  <w:vMerge w:val="continue"/>
                  <w:noWrap w:val="0"/>
                  <w:vAlign w:val="top"/>
                </w:tcPr>
                <w:p w14:paraId="2394D693">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686" w:type="dxa"/>
                  <w:noWrap w:val="0"/>
                  <w:vAlign w:val="top"/>
                </w:tcPr>
                <w:p w14:paraId="6C74CDF9">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top"/>
                </w:tcPr>
                <w:p w14:paraId="0B76F366">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60</w:t>
                  </w:r>
                </w:p>
              </w:tc>
            </w:tr>
            <w:tr w14:paraId="4D72F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40" w:hRule="atLeast"/>
                <w:jc w:val="center"/>
              </w:trPr>
              <w:tc>
                <w:tcPr>
                  <w:tcW w:w="358" w:type="dxa"/>
                  <w:noWrap w:val="0"/>
                  <w:vAlign w:val="center"/>
                </w:tcPr>
                <w:p w14:paraId="69E2CA37">
                  <w:pPr>
                    <w:pStyle w:val="261"/>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8</w:t>
                  </w:r>
                </w:p>
              </w:tc>
              <w:tc>
                <w:tcPr>
                  <w:tcW w:w="254" w:type="dxa"/>
                  <w:vMerge w:val="continue"/>
                  <w:noWrap w:val="0"/>
                  <w:vAlign w:val="top"/>
                </w:tcPr>
                <w:p w14:paraId="1B23D54C">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764" w:type="dxa"/>
                  <w:noWrap w:val="0"/>
                  <w:vAlign w:val="center"/>
                </w:tcPr>
                <w:p w14:paraId="76C5B32B">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齿接机</w:t>
                  </w:r>
                </w:p>
              </w:tc>
              <w:tc>
                <w:tcPr>
                  <w:tcW w:w="330" w:type="dxa"/>
                  <w:noWrap w:val="0"/>
                  <w:vAlign w:val="center"/>
                </w:tcPr>
                <w:p w14:paraId="09FB5B05">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4</w:t>
                  </w:r>
                </w:p>
              </w:tc>
              <w:tc>
                <w:tcPr>
                  <w:tcW w:w="615" w:type="dxa"/>
                  <w:noWrap w:val="0"/>
                  <w:vAlign w:val="top"/>
                </w:tcPr>
                <w:p w14:paraId="0374A686">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75</w:t>
                  </w:r>
                  <w:r>
                    <w:rPr>
                      <w:rFonts w:ascii="Times New Roman" w:hAnsi="Times New Roman" w:eastAsia="宋体" w:cs="Times New Roman"/>
                      <w:b w:val="0"/>
                      <w:bCs w:val="0"/>
                      <w:color w:val="000000"/>
                      <w:sz w:val="21"/>
                      <w:szCs w:val="21"/>
                      <w:highlight w:val="none"/>
                      <w:lang w:val="en-US" w:eastAsia="zh-CN"/>
                    </w:rPr>
                    <w:t>/1</w:t>
                  </w:r>
                </w:p>
              </w:tc>
              <w:tc>
                <w:tcPr>
                  <w:tcW w:w="381" w:type="dxa"/>
                  <w:vMerge w:val="continue"/>
                  <w:noWrap w:val="0"/>
                  <w:vAlign w:val="top"/>
                </w:tcPr>
                <w:p w14:paraId="2A4F9976">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480" w:type="dxa"/>
                  <w:noWrap w:val="0"/>
                  <w:vAlign w:val="top"/>
                </w:tcPr>
                <w:p w14:paraId="38E5D821">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9</w:t>
                  </w:r>
                </w:p>
              </w:tc>
              <w:tc>
                <w:tcPr>
                  <w:tcW w:w="480" w:type="dxa"/>
                  <w:noWrap w:val="0"/>
                  <w:vAlign w:val="top"/>
                </w:tcPr>
                <w:p w14:paraId="634F6B61">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386" w:type="dxa"/>
                  <w:noWrap w:val="0"/>
                  <w:vAlign w:val="top"/>
                </w:tcPr>
                <w:p w14:paraId="1A697EBA">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668" w:type="dxa"/>
                  <w:noWrap w:val="0"/>
                  <w:vAlign w:val="top"/>
                </w:tcPr>
                <w:p w14:paraId="7F8F2390">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75</w:t>
                  </w:r>
                </w:p>
              </w:tc>
              <w:tc>
                <w:tcPr>
                  <w:tcW w:w="224" w:type="dxa"/>
                  <w:vMerge w:val="continue"/>
                  <w:noWrap w:val="0"/>
                  <w:vAlign w:val="top"/>
                </w:tcPr>
                <w:p w14:paraId="30B1764F">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686" w:type="dxa"/>
                  <w:noWrap w:val="0"/>
                  <w:vAlign w:val="top"/>
                </w:tcPr>
                <w:p w14:paraId="3E93F34E">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top"/>
                </w:tcPr>
                <w:p w14:paraId="1F1C8ACB">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60</w:t>
                  </w:r>
                </w:p>
              </w:tc>
            </w:tr>
            <w:tr w14:paraId="5292A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7" w:hRule="atLeast"/>
                <w:jc w:val="center"/>
              </w:trPr>
              <w:tc>
                <w:tcPr>
                  <w:tcW w:w="358" w:type="dxa"/>
                  <w:noWrap w:val="0"/>
                  <w:vAlign w:val="center"/>
                </w:tcPr>
                <w:p w14:paraId="118FF2C5">
                  <w:pPr>
                    <w:pStyle w:val="261"/>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9</w:t>
                  </w:r>
                </w:p>
              </w:tc>
              <w:tc>
                <w:tcPr>
                  <w:tcW w:w="254" w:type="dxa"/>
                  <w:vMerge w:val="continue"/>
                  <w:noWrap w:val="0"/>
                  <w:vAlign w:val="top"/>
                </w:tcPr>
                <w:p w14:paraId="085D8E81">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764" w:type="dxa"/>
                  <w:noWrap w:val="0"/>
                  <w:vAlign w:val="center"/>
                </w:tcPr>
                <w:p w14:paraId="73417B8C">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涂胶机</w:t>
                  </w:r>
                </w:p>
              </w:tc>
              <w:tc>
                <w:tcPr>
                  <w:tcW w:w="330" w:type="dxa"/>
                  <w:noWrap w:val="0"/>
                  <w:vAlign w:val="center"/>
                </w:tcPr>
                <w:p w14:paraId="355DB1D4">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6</w:t>
                  </w:r>
                </w:p>
              </w:tc>
              <w:tc>
                <w:tcPr>
                  <w:tcW w:w="615" w:type="dxa"/>
                  <w:noWrap w:val="0"/>
                  <w:vAlign w:val="top"/>
                </w:tcPr>
                <w:p w14:paraId="23C5B2E1">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75</w:t>
                  </w:r>
                  <w:r>
                    <w:rPr>
                      <w:rFonts w:ascii="Times New Roman" w:hAnsi="Times New Roman" w:eastAsia="宋体" w:cs="Times New Roman"/>
                      <w:b w:val="0"/>
                      <w:bCs w:val="0"/>
                      <w:color w:val="000000"/>
                      <w:sz w:val="21"/>
                      <w:szCs w:val="21"/>
                      <w:highlight w:val="none"/>
                      <w:lang w:val="en-US" w:eastAsia="zh-CN"/>
                    </w:rPr>
                    <w:t>/1</w:t>
                  </w:r>
                </w:p>
              </w:tc>
              <w:tc>
                <w:tcPr>
                  <w:tcW w:w="381" w:type="dxa"/>
                  <w:vMerge w:val="continue"/>
                  <w:noWrap w:val="0"/>
                  <w:vAlign w:val="top"/>
                </w:tcPr>
                <w:p w14:paraId="7AC9F309">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480" w:type="dxa"/>
                  <w:noWrap w:val="0"/>
                  <w:vAlign w:val="top"/>
                </w:tcPr>
                <w:p w14:paraId="147BD587">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6</w:t>
                  </w:r>
                </w:p>
              </w:tc>
              <w:tc>
                <w:tcPr>
                  <w:tcW w:w="480" w:type="dxa"/>
                  <w:noWrap w:val="0"/>
                  <w:vAlign w:val="top"/>
                </w:tcPr>
                <w:p w14:paraId="315A5E08">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-16</w:t>
                  </w:r>
                </w:p>
              </w:tc>
              <w:tc>
                <w:tcPr>
                  <w:tcW w:w="386" w:type="dxa"/>
                  <w:noWrap w:val="0"/>
                  <w:vAlign w:val="top"/>
                </w:tcPr>
                <w:p w14:paraId="6A31CE9B">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668" w:type="dxa"/>
                  <w:noWrap w:val="0"/>
                  <w:vAlign w:val="top"/>
                </w:tcPr>
                <w:p w14:paraId="525CEE1D">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75</w:t>
                  </w:r>
                </w:p>
              </w:tc>
              <w:tc>
                <w:tcPr>
                  <w:tcW w:w="224" w:type="dxa"/>
                  <w:vMerge w:val="continue"/>
                  <w:noWrap w:val="0"/>
                  <w:vAlign w:val="top"/>
                </w:tcPr>
                <w:p w14:paraId="1CB6D828">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686" w:type="dxa"/>
                  <w:noWrap w:val="0"/>
                  <w:vAlign w:val="top"/>
                </w:tcPr>
                <w:p w14:paraId="02DF7E15">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top"/>
                </w:tcPr>
                <w:p w14:paraId="3AB2D4AD">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60</w:t>
                  </w:r>
                </w:p>
              </w:tc>
            </w:tr>
            <w:tr w14:paraId="562AC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7" w:hRule="atLeast"/>
                <w:jc w:val="center"/>
              </w:trPr>
              <w:tc>
                <w:tcPr>
                  <w:tcW w:w="358" w:type="dxa"/>
                  <w:noWrap w:val="0"/>
                  <w:vAlign w:val="center"/>
                </w:tcPr>
                <w:p w14:paraId="0B916D45">
                  <w:pPr>
                    <w:pStyle w:val="261"/>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10</w:t>
                  </w:r>
                </w:p>
              </w:tc>
              <w:tc>
                <w:tcPr>
                  <w:tcW w:w="254" w:type="dxa"/>
                  <w:vMerge w:val="continue"/>
                  <w:noWrap w:val="0"/>
                  <w:vAlign w:val="top"/>
                </w:tcPr>
                <w:p w14:paraId="4097B60B">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764" w:type="dxa"/>
                  <w:noWrap w:val="0"/>
                  <w:vAlign w:val="center"/>
                </w:tcPr>
                <w:p w14:paraId="5BA0B823">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齐头机</w:t>
                  </w:r>
                </w:p>
              </w:tc>
              <w:tc>
                <w:tcPr>
                  <w:tcW w:w="330" w:type="dxa"/>
                  <w:noWrap w:val="0"/>
                  <w:vAlign w:val="center"/>
                </w:tcPr>
                <w:p w14:paraId="019A880C">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5</w:t>
                  </w:r>
                </w:p>
              </w:tc>
              <w:tc>
                <w:tcPr>
                  <w:tcW w:w="615" w:type="dxa"/>
                  <w:noWrap w:val="0"/>
                  <w:vAlign w:val="top"/>
                </w:tcPr>
                <w:p w14:paraId="274200EF">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80</w:t>
                  </w:r>
                  <w:r>
                    <w:rPr>
                      <w:rFonts w:ascii="Times New Roman" w:hAnsi="Times New Roman" w:eastAsia="宋体" w:cs="Times New Roman"/>
                      <w:b w:val="0"/>
                      <w:bCs w:val="0"/>
                      <w:color w:val="000000"/>
                      <w:sz w:val="21"/>
                      <w:szCs w:val="21"/>
                      <w:highlight w:val="none"/>
                      <w:lang w:val="en-US" w:eastAsia="zh-CN"/>
                    </w:rPr>
                    <w:t>/1</w:t>
                  </w:r>
                </w:p>
              </w:tc>
              <w:tc>
                <w:tcPr>
                  <w:tcW w:w="381" w:type="dxa"/>
                  <w:vMerge w:val="continue"/>
                  <w:noWrap w:val="0"/>
                  <w:vAlign w:val="top"/>
                </w:tcPr>
                <w:p w14:paraId="3C52B996">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480" w:type="dxa"/>
                  <w:noWrap w:val="0"/>
                  <w:vAlign w:val="top"/>
                </w:tcPr>
                <w:p w14:paraId="58360CEF">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3</w:t>
                  </w:r>
                </w:p>
              </w:tc>
              <w:tc>
                <w:tcPr>
                  <w:tcW w:w="480" w:type="dxa"/>
                  <w:noWrap w:val="0"/>
                  <w:vAlign w:val="top"/>
                </w:tcPr>
                <w:p w14:paraId="25A42536">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-19</w:t>
                  </w:r>
                </w:p>
              </w:tc>
              <w:tc>
                <w:tcPr>
                  <w:tcW w:w="386" w:type="dxa"/>
                  <w:noWrap w:val="0"/>
                  <w:vAlign w:val="top"/>
                </w:tcPr>
                <w:p w14:paraId="0EAAAF0E">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0</w:t>
                  </w:r>
                </w:p>
              </w:tc>
              <w:tc>
                <w:tcPr>
                  <w:tcW w:w="668" w:type="dxa"/>
                  <w:noWrap w:val="0"/>
                  <w:vAlign w:val="top"/>
                </w:tcPr>
                <w:p w14:paraId="0DF04010">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80</w:t>
                  </w:r>
                </w:p>
              </w:tc>
              <w:tc>
                <w:tcPr>
                  <w:tcW w:w="224" w:type="dxa"/>
                  <w:vMerge w:val="continue"/>
                  <w:noWrap w:val="0"/>
                  <w:vAlign w:val="top"/>
                </w:tcPr>
                <w:p w14:paraId="0EE18451">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686" w:type="dxa"/>
                  <w:noWrap w:val="0"/>
                  <w:vAlign w:val="top"/>
                </w:tcPr>
                <w:p w14:paraId="1D5564FB">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top"/>
                </w:tcPr>
                <w:p w14:paraId="7AF9F010">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65</w:t>
                  </w:r>
                </w:p>
              </w:tc>
            </w:tr>
            <w:tr w14:paraId="580F6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7" w:hRule="atLeast"/>
                <w:jc w:val="center"/>
              </w:trPr>
              <w:tc>
                <w:tcPr>
                  <w:tcW w:w="358" w:type="dxa"/>
                  <w:noWrap w:val="0"/>
                  <w:vAlign w:val="center"/>
                </w:tcPr>
                <w:p w14:paraId="643DE59A">
                  <w:pPr>
                    <w:pStyle w:val="261"/>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1</w:t>
                  </w:r>
                  <w:r>
                    <w:rPr>
                      <w:rFonts w:hint="eastAsia" w:ascii="Times New Roman" w:hAnsi="Times New Roman" w:eastAsia="宋体" w:cs="Times New Roman"/>
                      <w:color w:val="000000"/>
                      <w:sz w:val="21"/>
                      <w:szCs w:val="21"/>
                      <w:highlight w:val="none"/>
                      <w:lang w:val="en-US" w:eastAsia="zh-CN"/>
                    </w:rPr>
                    <w:t>1</w:t>
                  </w:r>
                </w:p>
              </w:tc>
              <w:tc>
                <w:tcPr>
                  <w:tcW w:w="254" w:type="dxa"/>
                  <w:vMerge w:val="continue"/>
                  <w:noWrap w:val="0"/>
                  <w:vAlign w:val="top"/>
                </w:tcPr>
                <w:p w14:paraId="1888EDD6">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764" w:type="dxa"/>
                  <w:noWrap w:val="0"/>
                  <w:vAlign w:val="center"/>
                </w:tcPr>
                <w:p w14:paraId="2D232462">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空压机</w:t>
                  </w:r>
                </w:p>
              </w:tc>
              <w:tc>
                <w:tcPr>
                  <w:tcW w:w="330" w:type="dxa"/>
                  <w:noWrap w:val="0"/>
                  <w:vAlign w:val="center"/>
                </w:tcPr>
                <w:p w14:paraId="0B60556F">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10</w:t>
                  </w:r>
                </w:p>
              </w:tc>
              <w:tc>
                <w:tcPr>
                  <w:tcW w:w="615" w:type="dxa"/>
                  <w:noWrap w:val="0"/>
                  <w:vAlign w:val="top"/>
                </w:tcPr>
                <w:p w14:paraId="3CF63020">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80/1</w:t>
                  </w:r>
                </w:p>
              </w:tc>
              <w:tc>
                <w:tcPr>
                  <w:tcW w:w="381" w:type="dxa"/>
                  <w:vMerge w:val="continue"/>
                  <w:noWrap w:val="0"/>
                  <w:vAlign w:val="top"/>
                </w:tcPr>
                <w:p w14:paraId="4E1E6E6F">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297" w:type="dxa"/>
                  <w:noWrap w:val="0"/>
                  <w:vAlign w:val="top"/>
                </w:tcPr>
                <w:p w14:paraId="5A3A0789">
                  <w:pPr>
                    <w:pStyle w:val="223"/>
                    <w:keepNext w:val="0"/>
                    <w:keepLines w:val="0"/>
                    <w:pageBreakBefore w:val="0"/>
                    <w:spacing w:before="0" w:line="240" w:lineRule="auto"/>
                    <w:ind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2</w:t>
                  </w:r>
                  <w:r>
                    <w:rPr>
                      <w:rFonts w:hint="eastAsia" w:ascii="Times New Roman" w:hAnsi="Times New Roman" w:eastAsia="宋体" w:cs="Times New Roman"/>
                      <w:b w:val="0"/>
                      <w:bCs w:val="0"/>
                      <w:color w:val="000000"/>
                      <w:sz w:val="21"/>
                      <w:szCs w:val="21"/>
                      <w:highlight w:val="none"/>
                      <w:lang w:val="en-US" w:eastAsia="zh-CN"/>
                    </w:rPr>
                    <w:t>3</w:t>
                  </w:r>
                </w:p>
              </w:tc>
              <w:tc>
                <w:tcPr>
                  <w:tcW w:w="297" w:type="dxa"/>
                  <w:noWrap w:val="0"/>
                  <w:vAlign w:val="top"/>
                </w:tcPr>
                <w:p w14:paraId="23C30E40">
                  <w:pPr>
                    <w:pStyle w:val="223"/>
                    <w:keepNext w:val="0"/>
                    <w:keepLines w:val="0"/>
                    <w:pageBreakBefore w:val="0"/>
                    <w:spacing w:before="0" w:line="240" w:lineRule="auto"/>
                    <w:ind w:firstLine="0"/>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w:t>
                  </w:r>
                  <w:r>
                    <w:rPr>
                      <w:rFonts w:hint="eastAsia" w:ascii="Times New Roman" w:hAnsi="Times New Roman" w:eastAsia="宋体" w:cs="Times New Roman"/>
                      <w:b w:val="0"/>
                      <w:bCs w:val="0"/>
                      <w:color w:val="000000"/>
                      <w:sz w:val="21"/>
                      <w:szCs w:val="21"/>
                      <w:highlight w:val="none"/>
                      <w:lang w:val="en-US" w:eastAsia="zh-CN"/>
                    </w:rPr>
                    <w:t>3</w:t>
                  </w:r>
                </w:p>
              </w:tc>
              <w:tc>
                <w:tcPr>
                  <w:tcW w:w="386" w:type="dxa"/>
                  <w:noWrap w:val="0"/>
                  <w:vAlign w:val="top"/>
                </w:tcPr>
                <w:p w14:paraId="2011E9D0">
                  <w:pPr>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r>
                    <w:rPr>
                      <w:rFonts w:hint="eastAsia" w:ascii="Times New Roman" w:hAnsi="Times New Roman" w:eastAsia="宋体" w:cs="Times New Roman"/>
                      <w:b w:val="0"/>
                      <w:bCs w:val="0"/>
                      <w:color w:val="000000"/>
                      <w:sz w:val="21"/>
                      <w:szCs w:val="21"/>
                      <w:highlight w:val="none"/>
                      <w:lang w:val="en-US" w:eastAsia="zh-CN"/>
                    </w:rPr>
                    <w:t>0</w:t>
                  </w:r>
                </w:p>
              </w:tc>
              <w:tc>
                <w:tcPr>
                  <w:tcW w:w="668" w:type="dxa"/>
                  <w:noWrap w:val="0"/>
                  <w:vAlign w:val="top"/>
                </w:tcPr>
                <w:p w14:paraId="480EF63F">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80</w:t>
                  </w:r>
                </w:p>
              </w:tc>
              <w:tc>
                <w:tcPr>
                  <w:tcW w:w="224" w:type="dxa"/>
                  <w:vMerge w:val="continue"/>
                  <w:noWrap w:val="0"/>
                  <w:vAlign w:val="top"/>
                </w:tcPr>
                <w:p w14:paraId="55C9AB3F">
                  <w:pPr>
                    <w:pStyle w:val="223"/>
                    <w:keepNext w:val="0"/>
                    <w:keepLines w:val="0"/>
                    <w:pageBreakBefore w:val="0"/>
                    <w:spacing w:before="0" w:line="240" w:lineRule="auto"/>
                    <w:jc w:val="center"/>
                    <w:rPr>
                      <w:rFonts w:ascii="Times New Roman" w:hAnsi="Times New Roman" w:eastAsia="宋体" w:cs="Times New Roman"/>
                      <w:b w:val="0"/>
                      <w:bCs w:val="0"/>
                      <w:color w:val="000000"/>
                      <w:sz w:val="21"/>
                      <w:szCs w:val="21"/>
                      <w:highlight w:val="none"/>
                      <w:lang w:val="en-US" w:eastAsia="zh-CN"/>
                    </w:rPr>
                  </w:pPr>
                </w:p>
              </w:tc>
              <w:tc>
                <w:tcPr>
                  <w:tcW w:w="686" w:type="dxa"/>
                  <w:noWrap w:val="0"/>
                  <w:vAlign w:val="top"/>
                </w:tcPr>
                <w:p w14:paraId="44BC1B3B">
                  <w:pPr>
                    <w:keepNext w:val="0"/>
                    <w:keepLines w:val="0"/>
                    <w:pageBreakBefore w:val="0"/>
                    <w:spacing w:line="240" w:lineRule="auto"/>
                    <w:jc w:val="center"/>
                    <w:rPr>
                      <w:rFonts w:ascii="Times New Roman" w:hAnsi="Times New Roman" w:eastAsia="宋体" w:cs="Times New Roman"/>
                      <w:b w:val="0"/>
                      <w:bCs w:val="0"/>
                      <w:color w:val="000000"/>
                      <w:sz w:val="21"/>
                      <w:szCs w:val="21"/>
                      <w:highlight w:val="none"/>
                      <w:lang w:val="en-US" w:eastAsia="zh-CN"/>
                    </w:rPr>
                  </w:pPr>
                  <w:r>
                    <w:rPr>
                      <w:rFonts w:ascii="Times New Roman" w:hAnsi="Times New Roman" w:eastAsia="宋体" w:cs="Times New Roman"/>
                      <w:b w:val="0"/>
                      <w:bCs w:val="0"/>
                      <w:color w:val="000000"/>
                      <w:sz w:val="21"/>
                      <w:szCs w:val="21"/>
                      <w:highlight w:val="none"/>
                      <w:lang w:val="en-US" w:eastAsia="zh-CN"/>
                    </w:rPr>
                    <w:t>15</w:t>
                  </w:r>
                </w:p>
              </w:tc>
              <w:tc>
                <w:tcPr>
                  <w:tcW w:w="526" w:type="dxa"/>
                  <w:noWrap w:val="0"/>
                  <w:vAlign w:val="top"/>
                </w:tcPr>
                <w:p w14:paraId="435D725A">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65</w:t>
                  </w:r>
                </w:p>
              </w:tc>
            </w:tr>
          </w:tbl>
          <w:p w14:paraId="410E2559">
            <w:pPr>
              <w:keepNext w:val="0"/>
              <w:keepLines w:val="0"/>
              <w:pageBreakBefore w:val="0"/>
              <w:widowControl w:val="0"/>
              <w:spacing w:before="157" w:line="360" w:lineRule="auto"/>
              <w:ind w:firstLine="402"/>
              <w:rPr>
                <w:rFonts w:ascii="Times New Roman" w:hAnsi="Times New Roman" w:eastAsia="宋体" w:cs="Times New Roman"/>
                <w:b/>
                <w:bCs/>
                <w:color w:val="000000"/>
                <w:sz w:val="24"/>
                <w:szCs w:val="24"/>
                <w:lang w:val="en-US" w:eastAsia="zh-CN"/>
              </w:rPr>
            </w:pPr>
            <w:r>
              <w:rPr>
                <w:rFonts w:hint="eastAsia" w:ascii="宋体" w:hAnsi="宋体" w:eastAsia="宋体" w:cs="宋体"/>
                <w:b/>
                <w:bCs/>
                <w:color w:val="000000"/>
                <w:sz w:val="20"/>
                <w:szCs w:val="20"/>
                <w:lang w:val="en-US" w:eastAsia="zh-CN" w:bidi="ar"/>
              </w:rPr>
              <w:t>注：</w:t>
            </w:r>
            <w:r>
              <w:rPr>
                <w:rFonts w:hint="eastAsia" w:ascii="宋体" w:hAnsi="宋体" w:eastAsia="宋体" w:cs="宋体"/>
                <w:b w:val="0"/>
                <w:bCs w:val="0"/>
                <w:color w:val="000000"/>
                <w:sz w:val="20"/>
                <w:szCs w:val="20"/>
                <w:lang w:val="en-US" w:eastAsia="zh-CN" w:bidi="ar"/>
              </w:rPr>
              <w:t>表中坐标以厂界中心为坐标原点，正东向为</w:t>
            </w:r>
            <w:r>
              <w:rPr>
                <w:rFonts w:ascii="Times New Roman" w:hAnsi="Times New Roman" w:eastAsia="宋体" w:cs="Times New Roman"/>
                <w:b w:val="0"/>
                <w:bCs w:val="0"/>
                <w:color w:val="000000"/>
                <w:sz w:val="20"/>
                <w:szCs w:val="20"/>
                <w:lang w:val="en-US" w:eastAsia="zh-CN" w:bidi="ar"/>
              </w:rPr>
              <w:t>X</w:t>
            </w:r>
            <w:r>
              <w:rPr>
                <w:rFonts w:hint="eastAsia" w:ascii="宋体" w:hAnsi="宋体" w:eastAsia="宋体" w:cs="宋体"/>
                <w:b w:val="0"/>
                <w:bCs w:val="0"/>
                <w:color w:val="000000"/>
                <w:sz w:val="20"/>
                <w:szCs w:val="20"/>
                <w:lang w:val="en-US" w:eastAsia="zh-CN" w:bidi="ar"/>
              </w:rPr>
              <w:t>轴正方向，正北向为</w:t>
            </w:r>
            <w:r>
              <w:rPr>
                <w:rFonts w:ascii="Times New Roman" w:hAnsi="Times New Roman" w:eastAsia="宋体" w:cs="Times New Roman"/>
                <w:b w:val="0"/>
                <w:bCs w:val="0"/>
                <w:color w:val="000000"/>
                <w:sz w:val="20"/>
                <w:szCs w:val="20"/>
                <w:lang w:val="en-US" w:eastAsia="zh-CN" w:bidi="ar"/>
              </w:rPr>
              <w:t>Y</w:t>
            </w:r>
            <w:r>
              <w:rPr>
                <w:rFonts w:hint="eastAsia" w:ascii="宋体" w:hAnsi="宋体" w:eastAsia="宋体" w:cs="宋体"/>
                <w:b w:val="0"/>
                <w:bCs w:val="0"/>
                <w:color w:val="000000"/>
                <w:sz w:val="20"/>
                <w:szCs w:val="20"/>
                <w:lang w:val="en-US" w:eastAsia="zh-CN" w:bidi="ar"/>
              </w:rPr>
              <w:t>轴正方向。</w:t>
            </w:r>
          </w:p>
          <w:p w14:paraId="599BDC3D">
            <w:pPr>
              <w:keepNext w:val="0"/>
              <w:keepLines w:val="0"/>
              <w:pageBreakBefore w:val="0"/>
              <w:widowControl w:val="0"/>
              <w:spacing w:line="360" w:lineRule="auto"/>
              <w:ind w:firstLine="482"/>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lang w:val="en-US" w:eastAsia="zh-CN"/>
              </w:rPr>
              <w:t>（2）</w:t>
            </w:r>
            <w:r>
              <w:rPr>
                <w:rFonts w:ascii="Times New Roman" w:hAnsi="Times New Roman" w:eastAsia="宋体" w:cs="Times New Roman"/>
                <w:b/>
                <w:bCs/>
                <w:color w:val="000000"/>
                <w:sz w:val="24"/>
                <w:szCs w:val="24"/>
              </w:rPr>
              <w:t>噪声环境影响分析</w:t>
            </w:r>
          </w:p>
          <w:p w14:paraId="1C551A6F">
            <w:pPr>
              <w:pStyle w:val="234"/>
              <w:spacing w:line="360" w:lineRule="auto"/>
              <w:ind w:firstLine="482"/>
              <w:rPr>
                <w:rFonts w:ascii="Times New Roman" w:hAnsi="Times New Roman" w:eastAsia="宋体" w:cs="Times New Roman"/>
                <w:b/>
                <w:color w:val="000000"/>
                <w:sz w:val="24"/>
                <w:szCs w:val="24"/>
                <w:highlight w:val="none"/>
              </w:rPr>
            </w:pPr>
            <w:r>
              <w:rPr>
                <w:rFonts w:hint="eastAsia" w:ascii="Times New Roman" w:hAnsi="Times New Roman" w:cs="Times New Roman"/>
                <w:b/>
                <w:color w:val="000000"/>
                <w:sz w:val="24"/>
                <w:szCs w:val="24"/>
                <w:highlight w:val="none"/>
                <w:lang w:val="en-US" w:eastAsia="zh-CN"/>
              </w:rPr>
              <w:t>①</w:t>
            </w:r>
            <w:r>
              <w:rPr>
                <w:rFonts w:ascii="Times New Roman" w:hAnsi="Times New Roman" w:eastAsia="宋体" w:cs="Times New Roman"/>
                <w:b/>
                <w:color w:val="000000"/>
                <w:sz w:val="24"/>
                <w:szCs w:val="24"/>
                <w:highlight w:val="none"/>
              </w:rPr>
              <w:t>预测范围、点位与评价因子</w:t>
            </w:r>
          </w:p>
          <w:p w14:paraId="327161F4">
            <w:pPr>
              <w:pStyle w:val="234"/>
              <w:spacing w:line="360" w:lineRule="auto"/>
              <w:ind w:firstLine="480"/>
              <w:rPr>
                <w:rFonts w:ascii="Times New Roman" w:hAnsi="Times New Roman" w:eastAsia="宋体" w:cs="Times New Roman"/>
                <w:bCs/>
                <w:color w:val="000000"/>
                <w:sz w:val="24"/>
                <w:szCs w:val="24"/>
                <w:highlight w:val="none"/>
              </w:rPr>
            </w:pPr>
            <w:r>
              <w:rPr>
                <w:rFonts w:ascii="Times New Roman" w:hAnsi="Times New Roman" w:eastAsia="宋体" w:cs="Times New Roman"/>
                <w:bCs/>
                <w:color w:val="000000"/>
                <w:sz w:val="24"/>
                <w:szCs w:val="24"/>
                <w:highlight w:val="none"/>
              </w:rPr>
              <w:t>预测范围：厂界外1m处。</w:t>
            </w:r>
          </w:p>
          <w:p w14:paraId="2C22A054">
            <w:pPr>
              <w:pStyle w:val="234"/>
              <w:spacing w:line="360" w:lineRule="auto"/>
              <w:ind w:firstLine="480"/>
              <w:rPr>
                <w:rFonts w:ascii="Times New Roman" w:hAnsi="Times New Roman" w:eastAsia="宋体" w:cs="Times New Roman"/>
                <w:bCs/>
                <w:color w:val="000000"/>
                <w:sz w:val="24"/>
                <w:szCs w:val="24"/>
                <w:highlight w:val="none"/>
              </w:rPr>
            </w:pPr>
            <w:r>
              <w:rPr>
                <w:rFonts w:ascii="Times New Roman" w:hAnsi="Times New Roman" w:eastAsia="宋体" w:cs="Times New Roman"/>
                <w:bCs/>
                <w:color w:val="000000"/>
                <w:sz w:val="24"/>
                <w:szCs w:val="24"/>
                <w:highlight w:val="none"/>
              </w:rPr>
              <w:t>预测点位：在厂界东、南、西、北厂界各设置一个。</w:t>
            </w:r>
          </w:p>
          <w:p w14:paraId="5B7CD890">
            <w:pPr>
              <w:pStyle w:val="234"/>
              <w:spacing w:line="360" w:lineRule="auto"/>
              <w:ind w:firstLine="480"/>
              <w:rPr>
                <w:rFonts w:ascii="Times New Roman" w:hAnsi="Times New Roman" w:eastAsia="宋体" w:cs="Times New Roman"/>
                <w:bCs/>
                <w:color w:val="000000"/>
                <w:sz w:val="24"/>
                <w:szCs w:val="24"/>
                <w:highlight w:val="none"/>
              </w:rPr>
            </w:pPr>
            <w:r>
              <w:rPr>
                <w:rFonts w:ascii="Times New Roman" w:hAnsi="Times New Roman" w:eastAsia="宋体" w:cs="Times New Roman"/>
                <w:bCs/>
                <w:color w:val="000000"/>
                <w:sz w:val="24"/>
                <w:szCs w:val="24"/>
                <w:highlight w:val="none"/>
              </w:rPr>
              <w:t>预测因子：等效连续A声级。</w:t>
            </w:r>
          </w:p>
          <w:p w14:paraId="76FD6FE6">
            <w:pPr>
              <w:pStyle w:val="234"/>
              <w:spacing w:line="360" w:lineRule="auto"/>
              <w:ind w:firstLine="482"/>
              <w:rPr>
                <w:rFonts w:ascii="Times New Roman" w:hAnsi="Times New Roman" w:eastAsia="宋体" w:cs="Times New Roman"/>
                <w:b/>
                <w:color w:val="000000"/>
                <w:sz w:val="24"/>
                <w:szCs w:val="24"/>
                <w:highlight w:val="none"/>
              </w:rPr>
            </w:pPr>
            <w:r>
              <w:rPr>
                <w:rFonts w:hint="eastAsia" w:ascii="Times New Roman" w:hAnsi="Times New Roman" w:cs="Times New Roman"/>
                <w:b/>
                <w:color w:val="000000"/>
                <w:sz w:val="24"/>
                <w:szCs w:val="24"/>
                <w:highlight w:val="none"/>
                <w:lang w:val="en-US" w:eastAsia="zh-CN"/>
              </w:rPr>
              <w:t>②</w:t>
            </w:r>
            <w:r>
              <w:rPr>
                <w:rFonts w:ascii="Times New Roman" w:hAnsi="Times New Roman" w:eastAsia="宋体" w:cs="Times New Roman"/>
                <w:b/>
                <w:color w:val="000000"/>
                <w:sz w:val="24"/>
                <w:szCs w:val="24"/>
                <w:highlight w:val="none"/>
              </w:rPr>
              <w:t>预测模式</w:t>
            </w:r>
          </w:p>
          <w:p w14:paraId="506C771A">
            <w:pPr>
              <w:pStyle w:val="234"/>
              <w:spacing w:line="360" w:lineRule="auto"/>
              <w:ind w:firstLine="480"/>
              <w:rPr>
                <w:rFonts w:ascii="Times New Roman" w:hAnsi="Times New Roman" w:eastAsia="宋体" w:cs="Times New Roman"/>
                <w:bCs/>
                <w:color w:val="000000"/>
                <w:sz w:val="24"/>
                <w:szCs w:val="24"/>
                <w:highlight w:val="none"/>
              </w:rPr>
            </w:pPr>
            <w:r>
              <w:rPr>
                <w:rFonts w:ascii="Times New Roman" w:hAnsi="Times New Roman" w:eastAsia="宋体" w:cs="Times New Roman"/>
                <w:bCs/>
                <w:color w:val="000000"/>
                <w:sz w:val="24"/>
                <w:szCs w:val="24"/>
                <w:highlight w:val="none"/>
              </w:rPr>
              <w:t>根据《环境影响评价技术导则 声环境》（HJ2.4-20</w:t>
            </w:r>
            <w:r>
              <w:rPr>
                <w:rFonts w:ascii="Times New Roman" w:hAnsi="Times New Roman" w:eastAsia="宋体" w:cs="Times New Roman"/>
                <w:bCs/>
                <w:color w:val="000000"/>
                <w:sz w:val="24"/>
                <w:szCs w:val="24"/>
                <w:highlight w:val="none"/>
                <w:lang w:val="en-US" w:eastAsia="zh-CN"/>
              </w:rPr>
              <w:t>21</w:t>
            </w:r>
            <w:r>
              <w:rPr>
                <w:rFonts w:ascii="Times New Roman" w:hAnsi="Times New Roman" w:eastAsia="宋体" w:cs="Times New Roman"/>
                <w:bCs/>
                <w:color w:val="000000"/>
                <w:sz w:val="24"/>
                <w:szCs w:val="24"/>
                <w:highlight w:val="none"/>
              </w:rPr>
              <w:t>）推荐计算模式，并考虑多声源及声环境本底值迭加和相应的噪声防治措施的效果，计算本项目噪声对外环境的影响。本评价以点声源噪声衰减模式预测项目实施后的场界噪声，预测公式如下：</w:t>
            </w:r>
          </w:p>
          <w:p w14:paraId="0113C5E8">
            <w:pPr>
              <w:pStyle w:val="234"/>
              <w:spacing w:line="360" w:lineRule="auto"/>
              <w:ind w:firstLine="480"/>
              <w:rPr>
                <w:rFonts w:ascii="Times New Roman" w:hAnsi="Times New Roman" w:eastAsia="宋体" w:cs="Times New Roman"/>
                <w:bCs/>
                <w:color w:val="000000"/>
                <w:sz w:val="24"/>
                <w:szCs w:val="24"/>
                <w:highlight w:val="none"/>
              </w:rPr>
            </w:pPr>
            <w:r>
              <w:rPr>
                <w:rFonts w:ascii="Times New Roman" w:hAnsi="Times New Roman" w:eastAsia="宋体" w:cs="Times New Roman"/>
                <w:bCs/>
                <w:color w:val="000000"/>
                <w:sz w:val="24"/>
                <w:szCs w:val="24"/>
                <w:highlight w:val="none"/>
              </w:rPr>
              <w:t xml:space="preserve">声源衰减公式： </w:t>
            </w:r>
          </w:p>
          <w:p w14:paraId="705ADE05">
            <w:pPr>
              <w:keepNext/>
              <w:keepLines/>
              <w:spacing w:line="360" w:lineRule="auto"/>
              <w:jc w:val="center"/>
              <w:rPr>
                <w:rFonts w:ascii="Times New Roman" w:hAnsi="Times New Roman" w:eastAsia="宋体" w:cs="Times New Roman"/>
                <w:bCs/>
                <w:color w:val="000000"/>
                <w:sz w:val="24"/>
                <w:szCs w:val="24"/>
                <w:highlight w:val="none"/>
              </w:rPr>
            </w:pPr>
            <w:r>
              <w:rPr>
                <w:rFonts w:ascii="Times New Roman" w:hAnsi="Times New Roman" w:eastAsia="宋体" w:cs="Times New Roman"/>
                <w:color w:val="000000"/>
                <w:sz w:val="24"/>
                <w:szCs w:val="24"/>
                <w:highlight w:val="none"/>
              </w:rPr>
              <w:drawing>
                <wp:inline distT="0" distB="0" distL="0" distR="0">
                  <wp:extent cx="2005330" cy="402590"/>
                  <wp:effectExtent l="0" t="0" r="0" b="0"/>
                  <wp:docPr id="7" name="_x0000_i2064"/>
                  <wp:cNvGraphicFramePr/>
                  <a:graphic xmlns:a="http://schemas.openxmlformats.org/drawingml/2006/main">
                    <a:graphicData uri="http://schemas.openxmlformats.org/drawingml/2006/picture">
                      <pic:pic xmlns:pic="http://schemas.openxmlformats.org/drawingml/2006/picture">
                        <pic:nvPicPr>
                          <pic:cNvPr id="7" name="_x0000_i2064"/>
                          <pic:cNvPicPr/>
                        </pic:nvPicPr>
                        <pic:blipFill>
                          <a:blip r:embed="rId13"/>
                          <a:stretch>
                            <a:fillRect/>
                          </a:stretch>
                        </pic:blipFill>
                        <pic:spPr>
                          <a:xfrm>
                            <a:off x="0" y="0"/>
                            <a:ext cx="2005457" cy="403215"/>
                          </a:xfrm>
                          <a:prstGeom prst="rect">
                            <a:avLst/>
                          </a:prstGeom>
                          <a:noFill/>
                          <a:ln>
                            <a:noFill/>
                          </a:ln>
                        </pic:spPr>
                      </pic:pic>
                    </a:graphicData>
                  </a:graphic>
                </wp:inline>
              </w:drawing>
            </w:r>
          </w:p>
          <w:p w14:paraId="5A15838B">
            <w:pPr>
              <w:keepNext/>
              <w:keepLines/>
              <w:spacing w:line="360" w:lineRule="auto"/>
              <w:ind w:firstLine="480"/>
              <w:rPr>
                <w:rFonts w:ascii="Times New Roman" w:hAnsi="Times New Roman" w:eastAsia="宋体" w:cs="Times New Roman"/>
                <w:bCs/>
                <w:color w:val="000000"/>
                <w:sz w:val="24"/>
                <w:szCs w:val="24"/>
                <w:highlight w:val="none"/>
              </w:rPr>
            </w:pPr>
            <w:r>
              <w:rPr>
                <w:rFonts w:ascii="Times New Roman" w:hAnsi="Times New Roman" w:eastAsia="宋体" w:cs="Times New Roman"/>
                <w:bCs/>
                <w:color w:val="000000"/>
                <w:sz w:val="24"/>
                <w:szCs w:val="24"/>
                <w:highlight w:val="none"/>
              </w:rPr>
              <w:t>式中：LA(r)——距离声源 r 处的噪声值，dB（A）；</w:t>
            </w:r>
          </w:p>
          <w:p w14:paraId="75F3A4C2">
            <w:pPr>
              <w:keepNext/>
              <w:keepLines/>
              <w:spacing w:line="360" w:lineRule="auto"/>
              <w:ind w:firstLine="1200"/>
              <w:rPr>
                <w:rFonts w:ascii="Times New Roman" w:hAnsi="Times New Roman" w:eastAsia="宋体" w:cs="Times New Roman"/>
                <w:bCs/>
                <w:color w:val="000000"/>
                <w:sz w:val="24"/>
                <w:szCs w:val="24"/>
                <w:highlight w:val="none"/>
              </w:rPr>
            </w:pPr>
            <w:r>
              <w:rPr>
                <w:rFonts w:ascii="Times New Roman" w:hAnsi="Times New Roman" w:eastAsia="宋体" w:cs="Times New Roman"/>
                <w:bCs/>
                <w:color w:val="000000"/>
                <w:sz w:val="24"/>
                <w:szCs w:val="24"/>
                <w:highlight w:val="none"/>
              </w:rPr>
              <w:t>LA(r0)——距离声源 r0 处的噪声值，dB（A）；</w:t>
            </w:r>
          </w:p>
          <w:p w14:paraId="1DBD19C7">
            <w:pPr>
              <w:keepNext/>
              <w:keepLines/>
              <w:spacing w:line="360" w:lineRule="auto"/>
              <w:ind w:firstLine="1200"/>
              <w:rPr>
                <w:rFonts w:ascii="Times New Roman" w:hAnsi="Times New Roman" w:eastAsia="宋体" w:cs="Times New Roman"/>
                <w:bCs/>
                <w:color w:val="000000"/>
                <w:sz w:val="24"/>
                <w:szCs w:val="24"/>
                <w:highlight w:val="none"/>
              </w:rPr>
            </w:pPr>
            <w:r>
              <w:rPr>
                <w:rFonts w:ascii="Times New Roman" w:hAnsi="Times New Roman" w:eastAsia="宋体" w:cs="Times New Roman"/>
                <w:bCs/>
                <w:color w:val="000000"/>
                <w:sz w:val="24"/>
                <w:szCs w:val="24"/>
                <w:highlight w:val="none"/>
              </w:rPr>
              <w:t>R——预测点至声源的距离，m；</w:t>
            </w:r>
          </w:p>
          <w:p w14:paraId="11E36644">
            <w:pPr>
              <w:keepNext/>
              <w:keepLines/>
              <w:spacing w:line="360" w:lineRule="auto"/>
              <w:ind w:firstLine="1200"/>
              <w:rPr>
                <w:rFonts w:ascii="Times New Roman" w:hAnsi="Times New Roman" w:eastAsia="宋体" w:cs="Times New Roman"/>
                <w:bCs/>
                <w:color w:val="000000"/>
                <w:sz w:val="24"/>
                <w:szCs w:val="24"/>
                <w:highlight w:val="none"/>
              </w:rPr>
            </w:pPr>
            <w:r>
              <w:rPr>
                <w:rFonts w:ascii="Times New Roman" w:hAnsi="Times New Roman" w:eastAsia="宋体" w:cs="Times New Roman"/>
                <w:bCs/>
                <w:color w:val="000000"/>
                <w:sz w:val="24"/>
                <w:szCs w:val="24"/>
                <w:highlight w:val="none"/>
              </w:rPr>
              <w:t>r0——参考点距声源的距离，m。</w:t>
            </w:r>
          </w:p>
          <w:p w14:paraId="35C8E7E1">
            <w:pPr>
              <w:keepNext/>
              <w:keepLines/>
              <w:spacing w:line="360" w:lineRule="auto"/>
              <w:ind w:firstLine="480"/>
              <w:outlineLvl w:val="0"/>
              <w:rPr>
                <w:rFonts w:ascii="Times New Roman" w:hAnsi="Times New Roman" w:eastAsia="宋体" w:cs="Times New Roman"/>
                <w:bCs/>
                <w:color w:val="000000"/>
                <w:sz w:val="24"/>
                <w:szCs w:val="24"/>
                <w:highlight w:val="none"/>
              </w:rPr>
            </w:pPr>
            <w:bookmarkStart w:id="9" w:name="_Toc53562937"/>
            <w:r>
              <w:rPr>
                <w:rFonts w:ascii="Times New Roman" w:hAnsi="Times New Roman" w:eastAsia="宋体" w:cs="Times New Roman"/>
                <w:bCs/>
                <w:color w:val="000000"/>
                <w:sz w:val="24"/>
                <w:szCs w:val="24"/>
                <w:highlight w:val="none"/>
              </w:rPr>
              <w:t>各受声点的声源叠加公式：</w:t>
            </w:r>
            <w:bookmarkEnd w:id="9"/>
          </w:p>
          <w:p w14:paraId="2F17FA54">
            <w:pPr>
              <w:keepNext/>
              <w:keepLines/>
              <w:spacing w:line="360" w:lineRule="auto"/>
              <w:jc w:val="center"/>
              <w:rPr>
                <w:rFonts w:ascii="Times New Roman" w:hAnsi="Times New Roman" w:eastAsia="宋体" w:cs="Times New Roman"/>
                <w:bCs/>
                <w:color w:val="000000"/>
                <w:sz w:val="24"/>
                <w:szCs w:val="24"/>
                <w:highlight w:val="none"/>
              </w:rPr>
            </w:pPr>
            <w:r>
              <w:rPr>
                <w:rFonts w:ascii="Times New Roman" w:hAnsi="Times New Roman" w:eastAsia="宋体" w:cs="Times New Roman"/>
                <w:color w:val="000000"/>
                <w:sz w:val="24"/>
                <w:szCs w:val="24"/>
                <w:highlight w:val="none"/>
              </w:rPr>
              <w:drawing>
                <wp:inline distT="0" distB="0" distL="0" distR="0">
                  <wp:extent cx="1409065" cy="456565"/>
                  <wp:effectExtent l="0" t="0" r="0" b="0"/>
                  <wp:docPr id="8" name="_x0000_i2065"/>
                  <wp:cNvGraphicFramePr/>
                  <a:graphic xmlns:a="http://schemas.openxmlformats.org/drawingml/2006/main">
                    <a:graphicData uri="http://schemas.openxmlformats.org/drawingml/2006/picture">
                      <pic:pic xmlns:pic="http://schemas.openxmlformats.org/drawingml/2006/picture">
                        <pic:nvPicPr>
                          <pic:cNvPr id="8" name="_x0000_i2065"/>
                          <pic:cNvPicPr/>
                        </pic:nvPicPr>
                        <pic:blipFill>
                          <a:blip r:embed="rId14"/>
                          <a:stretch>
                            <a:fillRect/>
                          </a:stretch>
                        </pic:blipFill>
                        <pic:spPr>
                          <a:xfrm>
                            <a:off x="0" y="0"/>
                            <a:ext cx="1409217" cy="457168"/>
                          </a:xfrm>
                          <a:prstGeom prst="rect">
                            <a:avLst/>
                          </a:prstGeom>
                          <a:noFill/>
                          <a:ln>
                            <a:noFill/>
                          </a:ln>
                        </pic:spPr>
                      </pic:pic>
                    </a:graphicData>
                  </a:graphic>
                </wp:inline>
              </w:drawing>
            </w:r>
          </w:p>
          <w:p w14:paraId="5E0BC658">
            <w:pPr>
              <w:keepNext/>
              <w:keepLines/>
              <w:spacing w:line="360" w:lineRule="auto"/>
              <w:ind w:firstLine="480"/>
              <w:outlineLvl w:val="0"/>
              <w:rPr>
                <w:rFonts w:ascii="Times New Roman" w:hAnsi="Times New Roman" w:eastAsia="宋体" w:cs="Times New Roman"/>
                <w:bCs/>
                <w:color w:val="000000"/>
                <w:sz w:val="24"/>
                <w:szCs w:val="24"/>
                <w:highlight w:val="none"/>
              </w:rPr>
            </w:pPr>
            <w:bookmarkStart w:id="10" w:name="_Toc53562938"/>
            <w:r>
              <w:rPr>
                <w:rFonts w:ascii="Times New Roman" w:hAnsi="Times New Roman" w:eastAsia="宋体" w:cs="Times New Roman"/>
                <w:bCs/>
                <w:color w:val="000000"/>
                <w:sz w:val="24"/>
                <w:szCs w:val="24"/>
                <w:highlight w:val="none"/>
              </w:rPr>
              <w:t>式中：Li——第i个声源声值；</w:t>
            </w:r>
            <w:bookmarkEnd w:id="10"/>
          </w:p>
          <w:p w14:paraId="2E8EACCC">
            <w:pPr>
              <w:keepNext/>
              <w:keepLines/>
              <w:spacing w:line="360" w:lineRule="auto"/>
              <w:ind w:firstLine="1200"/>
              <w:outlineLvl w:val="0"/>
              <w:rPr>
                <w:rFonts w:ascii="Times New Roman" w:hAnsi="Times New Roman" w:eastAsia="宋体" w:cs="Times New Roman"/>
                <w:bCs/>
                <w:color w:val="000000"/>
                <w:sz w:val="24"/>
                <w:szCs w:val="24"/>
                <w:highlight w:val="none"/>
              </w:rPr>
            </w:pPr>
            <w:bookmarkStart w:id="11" w:name="_Toc53562939"/>
            <w:r>
              <w:rPr>
                <w:rFonts w:ascii="Times New Roman" w:hAnsi="Times New Roman" w:eastAsia="宋体" w:cs="Times New Roman"/>
                <w:bCs/>
                <w:color w:val="000000"/>
                <w:sz w:val="24"/>
                <w:szCs w:val="24"/>
                <w:highlight w:val="none"/>
              </w:rPr>
              <w:t>LA——某点噪声总叠加值；</w:t>
            </w:r>
            <w:bookmarkEnd w:id="11"/>
          </w:p>
          <w:p w14:paraId="2A0A759F">
            <w:pPr>
              <w:spacing w:line="360" w:lineRule="auto"/>
              <w:ind w:firstLine="1200"/>
              <w:rPr>
                <w:rFonts w:ascii="Times New Roman" w:hAnsi="Times New Roman" w:eastAsia="宋体" w:cs="Times New Roman"/>
                <w:bCs/>
                <w:color w:val="000000"/>
                <w:sz w:val="24"/>
                <w:szCs w:val="24"/>
                <w:highlight w:val="none"/>
              </w:rPr>
            </w:pPr>
            <w:bookmarkStart w:id="12" w:name="_Toc53562940"/>
            <w:r>
              <w:rPr>
                <w:rFonts w:ascii="Times New Roman" w:hAnsi="Times New Roman" w:eastAsia="宋体" w:cs="Times New Roman"/>
                <w:bCs/>
                <w:color w:val="000000"/>
                <w:sz w:val="24"/>
                <w:szCs w:val="24"/>
                <w:highlight w:val="none"/>
              </w:rPr>
              <w:t>N——声源个数</w:t>
            </w:r>
            <w:bookmarkEnd w:id="12"/>
            <w:r>
              <w:rPr>
                <w:rFonts w:ascii="Times New Roman" w:hAnsi="Times New Roman" w:eastAsia="宋体" w:cs="Times New Roman"/>
                <w:bCs/>
                <w:color w:val="000000"/>
                <w:sz w:val="24"/>
                <w:szCs w:val="24"/>
                <w:highlight w:val="none"/>
              </w:rPr>
              <w:t>。</w:t>
            </w:r>
          </w:p>
          <w:p w14:paraId="4B8E5A49">
            <w:pPr>
              <w:pStyle w:val="234"/>
              <w:spacing w:line="360" w:lineRule="auto"/>
              <w:ind w:firstLine="482"/>
              <w:rPr>
                <w:rFonts w:ascii="Times New Roman" w:hAnsi="Times New Roman" w:eastAsia="宋体" w:cs="Times New Roman"/>
                <w:b/>
                <w:color w:val="000000"/>
                <w:highlight w:val="none"/>
              </w:rPr>
            </w:pPr>
            <w:r>
              <w:rPr>
                <w:rFonts w:hint="eastAsia" w:ascii="Times New Roman" w:hAnsi="Times New Roman" w:cs="Times New Roman"/>
                <w:b/>
                <w:color w:val="000000"/>
                <w:highlight w:val="none"/>
                <w:lang w:val="en-US" w:eastAsia="zh-CN"/>
              </w:rPr>
              <w:t>③</w:t>
            </w:r>
            <w:r>
              <w:rPr>
                <w:rFonts w:ascii="Times New Roman" w:hAnsi="Times New Roman" w:eastAsia="宋体" w:cs="Times New Roman"/>
                <w:b/>
                <w:color w:val="000000"/>
                <w:highlight w:val="none"/>
              </w:rPr>
              <w:t>噪声源与</w:t>
            </w:r>
            <w:r>
              <w:rPr>
                <w:rFonts w:ascii="Times New Roman" w:hAnsi="Times New Roman" w:eastAsia="宋体" w:cs="Times New Roman"/>
                <w:b/>
                <w:color w:val="000000"/>
                <w:szCs w:val="22"/>
                <w:highlight w:val="none"/>
              </w:rPr>
              <w:t>预测点距离</w:t>
            </w:r>
          </w:p>
          <w:p w14:paraId="6E104BB0">
            <w:pPr>
              <w:pStyle w:val="234"/>
              <w:spacing w:line="360" w:lineRule="auto"/>
              <w:ind w:firstLine="480"/>
              <w:rPr>
                <w:rFonts w:ascii="Times New Roman" w:hAnsi="Times New Roman" w:eastAsia="宋体" w:cs="Times New Roman"/>
                <w:bCs/>
                <w:color w:val="000000"/>
                <w:highlight w:val="none"/>
              </w:rPr>
            </w:pPr>
            <w:r>
              <w:rPr>
                <w:rFonts w:ascii="Times New Roman" w:hAnsi="Times New Roman" w:eastAsia="宋体" w:cs="Times New Roman"/>
                <w:bCs/>
                <w:color w:val="000000"/>
                <w:highlight w:val="none"/>
              </w:rPr>
              <w:t>各噪声源与预测点距离见下表。</w:t>
            </w:r>
          </w:p>
          <w:p w14:paraId="17B02C2A">
            <w:pPr>
              <w:jc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表4-</w:t>
            </w:r>
            <w:r>
              <w:rPr>
                <w:rFonts w:ascii="Times New Roman" w:hAnsi="Times New Roman" w:eastAsia="宋体" w:cs="Times New Roman"/>
                <w:b/>
                <w:color w:val="000000"/>
                <w:sz w:val="24"/>
                <w:highlight w:val="none"/>
                <w:lang w:val="en-US" w:eastAsia="zh-CN"/>
              </w:rPr>
              <w:t>4</w:t>
            </w:r>
            <w:r>
              <w:rPr>
                <w:rFonts w:ascii="Times New Roman" w:hAnsi="Times New Roman" w:eastAsia="宋体" w:cs="Times New Roman"/>
                <w:b/>
                <w:color w:val="000000"/>
                <w:sz w:val="24"/>
                <w:highlight w:val="none"/>
              </w:rPr>
              <w:t xml:space="preserve">  各噪声源与预测点距离一览表</w:t>
            </w:r>
          </w:p>
          <w:tbl>
            <w:tblPr>
              <w:tblStyle w:val="2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3"/>
              <w:gridCol w:w="1024"/>
              <w:gridCol w:w="704"/>
              <w:gridCol w:w="723"/>
              <w:gridCol w:w="2364"/>
              <w:gridCol w:w="998"/>
              <w:gridCol w:w="1021"/>
              <w:gridCol w:w="1496"/>
            </w:tblGrid>
            <w:tr w14:paraId="5B876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402" w:type="dxa"/>
                <w:trHeight w:val="23" w:hRule="atLeast"/>
                <w:jc w:val="center"/>
              </w:trPr>
              <w:tc>
                <w:tcPr>
                  <w:tcW w:w="452" w:type="dxa"/>
                  <w:vMerge w:val="restart"/>
                  <w:noWrap w:val="0"/>
                  <w:vAlign w:val="center"/>
                </w:tcPr>
                <w:p w14:paraId="03AC61AF">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序号</w:t>
                  </w:r>
                </w:p>
              </w:tc>
              <w:tc>
                <w:tcPr>
                  <w:tcW w:w="991" w:type="dxa"/>
                  <w:vMerge w:val="restart"/>
                  <w:noWrap w:val="0"/>
                  <w:vAlign w:val="center"/>
                </w:tcPr>
                <w:p w14:paraId="0F171B48">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设备名称</w:t>
                  </w:r>
                </w:p>
              </w:tc>
              <w:tc>
                <w:tcPr>
                  <w:tcW w:w="681" w:type="dxa"/>
                  <w:vMerge w:val="restart"/>
                  <w:noWrap w:val="0"/>
                  <w:vAlign w:val="center"/>
                </w:tcPr>
                <w:p w14:paraId="2D658888">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运行数量</w:t>
                  </w:r>
                </w:p>
                <w:p w14:paraId="7954622E">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(台/套)</w:t>
                  </w:r>
                </w:p>
              </w:tc>
              <w:tc>
                <w:tcPr>
                  <w:tcW w:w="586" w:type="dxa"/>
                  <w:vMerge w:val="restart"/>
                  <w:noWrap w:val="0"/>
                  <w:vAlign w:val="center"/>
                </w:tcPr>
                <w:p w14:paraId="4A8094DF">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lang w:val="en-US" w:eastAsia="zh-CN"/>
                    </w:rPr>
                    <w:t>排放</w:t>
                  </w:r>
                  <w:r>
                    <w:rPr>
                      <w:rFonts w:ascii="Times New Roman" w:hAnsi="Times New Roman" w:eastAsia="宋体" w:cs="Times New Roman"/>
                      <w:b/>
                      <w:color w:val="000000"/>
                      <w:sz w:val="21"/>
                      <w:szCs w:val="21"/>
                      <w:highlight w:val="none"/>
                    </w:rPr>
                    <w:t>源强dB(A）</w:t>
                  </w:r>
                </w:p>
              </w:tc>
              <w:tc>
                <w:tcPr>
                  <w:tcW w:w="2288" w:type="dxa"/>
                  <w:noWrap w:val="0"/>
                  <w:vAlign w:val="center"/>
                </w:tcPr>
                <w:p w14:paraId="1603F91E">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设备与预测点距离(m)</w:t>
                  </w:r>
                </w:p>
              </w:tc>
            </w:tr>
            <w:tr w14:paraId="66A8C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52" w:type="dxa"/>
                  <w:vMerge w:val="continue"/>
                  <w:noWrap w:val="0"/>
                  <w:vAlign w:val="center"/>
                </w:tcPr>
                <w:p w14:paraId="2AD5B0A8">
                  <w:pPr>
                    <w:jc w:val="center"/>
                    <w:rPr>
                      <w:rFonts w:ascii="Times New Roman" w:hAnsi="Times New Roman" w:eastAsia="宋体" w:cs="Times New Roman"/>
                      <w:b/>
                      <w:color w:val="000000"/>
                      <w:sz w:val="21"/>
                      <w:szCs w:val="21"/>
                      <w:highlight w:val="none"/>
                    </w:rPr>
                  </w:pPr>
                </w:p>
              </w:tc>
              <w:tc>
                <w:tcPr>
                  <w:tcW w:w="991" w:type="dxa"/>
                  <w:vMerge w:val="continue"/>
                  <w:noWrap w:val="0"/>
                  <w:vAlign w:val="center"/>
                </w:tcPr>
                <w:p w14:paraId="762A69D5">
                  <w:pPr>
                    <w:jc w:val="center"/>
                    <w:rPr>
                      <w:rFonts w:ascii="Times New Roman" w:hAnsi="Times New Roman" w:eastAsia="宋体" w:cs="Times New Roman"/>
                      <w:b/>
                      <w:color w:val="000000"/>
                      <w:sz w:val="21"/>
                      <w:szCs w:val="21"/>
                      <w:highlight w:val="none"/>
                    </w:rPr>
                  </w:pPr>
                </w:p>
              </w:tc>
              <w:tc>
                <w:tcPr>
                  <w:tcW w:w="681" w:type="dxa"/>
                  <w:vMerge w:val="continue"/>
                  <w:noWrap w:val="0"/>
                  <w:vAlign w:val="center"/>
                </w:tcPr>
                <w:p w14:paraId="3DEF5E38">
                  <w:pPr>
                    <w:jc w:val="center"/>
                    <w:rPr>
                      <w:rFonts w:ascii="Times New Roman" w:hAnsi="Times New Roman" w:eastAsia="宋体" w:cs="Times New Roman"/>
                      <w:b/>
                      <w:color w:val="000000"/>
                      <w:sz w:val="21"/>
                      <w:szCs w:val="21"/>
                      <w:highlight w:val="none"/>
                    </w:rPr>
                  </w:pPr>
                </w:p>
              </w:tc>
              <w:tc>
                <w:tcPr>
                  <w:tcW w:w="586" w:type="dxa"/>
                  <w:vMerge w:val="continue"/>
                  <w:noWrap w:val="0"/>
                  <w:vAlign w:val="center"/>
                </w:tcPr>
                <w:p w14:paraId="3FC8F28E">
                  <w:pPr>
                    <w:jc w:val="center"/>
                    <w:rPr>
                      <w:rFonts w:ascii="Times New Roman" w:hAnsi="Times New Roman" w:eastAsia="宋体" w:cs="Times New Roman"/>
                      <w:b/>
                      <w:color w:val="000000"/>
                      <w:sz w:val="21"/>
                      <w:szCs w:val="21"/>
                      <w:highlight w:val="none"/>
                    </w:rPr>
                  </w:pPr>
                </w:p>
              </w:tc>
              <w:tc>
                <w:tcPr>
                  <w:tcW w:w="541" w:type="dxa"/>
                  <w:noWrap w:val="0"/>
                  <w:vAlign w:val="center"/>
                </w:tcPr>
                <w:p w14:paraId="2C03A161">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东</w:t>
                  </w:r>
                </w:p>
              </w:tc>
              <w:tc>
                <w:tcPr>
                  <w:tcW w:w="535" w:type="dxa"/>
                  <w:noWrap w:val="0"/>
                  <w:vAlign w:val="center"/>
                </w:tcPr>
                <w:p w14:paraId="0B21CAD0">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南</w:t>
                  </w:r>
                </w:p>
              </w:tc>
              <w:tc>
                <w:tcPr>
                  <w:tcW w:w="547" w:type="dxa"/>
                  <w:noWrap w:val="0"/>
                  <w:vAlign w:val="center"/>
                </w:tcPr>
                <w:p w14:paraId="290A5CDE">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西</w:t>
                  </w:r>
                </w:p>
              </w:tc>
              <w:tc>
                <w:tcPr>
                  <w:tcW w:w="664" w:type="dxa"/>
                  <w:noWrap w:val="0"/>
                  <w:vAlign w:val="center"/>
                </w:tcPr>
                <w:p w14:paraId="47CC1D1E">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北</w:t>
                  </w:r>
                </w:p>
              </w:tc>
            </w:tr>
            <w:tr w14:paraId="135E2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52" w:type="dxa"/>
                  <w:noWrap w:val="0"/>
                  <w:vAlign w:val="center"/>
                </w:tcPr>
                <w:p w14:paraId="34D908B1">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color w:val="000000"/>
                      <w:sz w:val="21"/>
                      <w:szCs w:val="21"/>
                      <w:highlight w:val="none"/>
                    </w:rPr>
                    <w:t>1</w:t>
                  </w:r>
                </w:p>
              </w:tc>
              <w:tc>
                <w:tcPr>
                  <w:tcW w:w="991" w:type="dxa"/>
                  <w:noWrap w:val="0"/>
                  <w:vAlign w:val="center"/>
                </w:tcPr>
                <w:p w14:paraId="2D43A0CC">
                  <w:pPr>
                    <w:pStyle w:val="261"/>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断料机</w:t>
                  </w:r>
                </w:p>
              </w:tc>
              <w:tc>
                <w:tcPr>
                  <w:tcW w:w="681" w:type="dxa"/>
                  <w:noWrap w:val="0"/>
                  <w:vAlign w:val="center"/>
                </w:tcPr>
                <w:p w14:paraId="65039E6E">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rPr>
                    <w:t>2</w:t>
                  </w:r>
                </w:p>
              </w:tc>
              <w:tc>
                <w:tcPr>
                  <w:tcW w:w="586" w:type="dxa"/>
                  <w:noWrap w:val="0"/>
                  <w:vAlign w:val="center"/>
                </w:tcPr>
                <w:p w14:paraId="5177049A">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70</w:t>
                  </w:r>
                </w:p>
              </w:tc>
              <w:tc>
                <w:tcPr>
                  <w:tcW w:w="541" w:type="dxa"/>
                  <w:noWrap w:val="0"/>
                  <w:vAlign w:val="center"/>
                </w:tcPr>
                <w:p w14:paraId="63943BAE">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28</w:t>
                  </w:r>
                </w:p>
              </w:tc>
              <w:tc>
                <w:tcPr>
                  <w:tcW w:w="535" w:type="dxa"/>
                  <w:noWrap w:val="0"/>
                  <w:vAlign w:val="center"/>
                </w:tcPr>
                <w:p w14:paraId="0F7306B6">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34</w:t>
                  </w:r>
                </w:p>
              </w:tc>
              <w:tc>
                <w:tcPr>
                  <w:tcW w:w="547" w:type="dxa"/>
                  <w:noWrap w:val="0"/>
                  <w:vAlign w:val="center"/>
                </w:tcPr>
                <w:p w14:paraId="54AB5F72">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36</w:t>
                  </w:r>
                </w:p>
              </w:tc>
              <w:tc>
                <w:tcPr>
                  <w:tcW w:w="664" w:type="dxa"/>
                  <w:noWrap w:val="0"/>
                  <w:vAlign w:val="center"/>
                </w:tcPr>
                <w:p w14:paraId="74C71AD6">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12</w:t>
                  </w:r>
                </w:p>
              </w:tc>
            </w:tr>
            <w:tr w14:paraId="1543A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52" w:type="dxa"/>
                  <w:noWrap w:val="0"/>
                  <w:vAlign w:val="center"/>
                </w:tcPr>
                <w:p w14:paraId="74B76901">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color w:val="000000"/>
                      <w:sz w:val="21"/>
                      <w:szCs w:val="21"/>
                      <w:highlight w:val="none"/>
                    </w:rPr>
                    <w:t>2</w:t>
                  </w:r>
                </w:p>
              </w:tc>
              <w:tc>
                <w:tcPr>
                  <w:tcW w:w="991" w:type="dxa"/>
                  <w:noWrap w:val="0"/>
                  <w:vAlign w:val="center"/>
                </w:tcPr>
                <w:p w14:paraId="643C4BF7">
                  <w:pPr>
                    <w:pStyle w:val="261"/>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圆木机</w:t>
                  </w:r>
                </w:p>
              </w:tc>
              <w:tc>
                <w:tcPr>
                  <w:tcW w:w="681" w:type="dxa"/>
                  <w:noWrap w:val="0"/>
                  <w:vAlign w:val="center"/>
                </w:tcPr>
                <w:p w14:paraId="29E43823">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13</w:t>
                  </w:r>
                </w:p>
              </w:tc>
              <w:tc>
                <w:tcPr>
                  <w:tcW w:w="586" w:type="dxa"/>
                  <w:noWrap w:val="0"/>
                  <w:vAlign w:val="center"/>
                </w:tcPr>
                <w:p w14:paraId="51A5B81B">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70</w:t>
                  </w:r>
                </w:p>
              </w:tc>
              <w:tc>
                <w:tcPr>
                  <w:tcW w:w="541" w:type="dxa"/>
                  <w:noWrap w:val="0"/>
                  <w:vAlign w:val="center"/>
                </w:tcPr>
                <w:p w14:paraId="3D988AC9">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38</w:t>
                  </w:r>
                </w:p>
              </w:tc>
              <w:tc>
                <w:tcPr>
                  <w:tcW w:w="535" w:type="dxa"/>
                  <w:noWrap w:val="0"/>
                  <w:vAlign w:val="center"/>
                </w:tcPr>
                <w:p w14:paraId="14A1A449">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31</w:t>
                  </w:r>
                </w:p>
              </w:tc>
              <w:tc>
                <w:tcPr>
                  <w:tcW w:w="547" w:type="dxa"/>
                  <w:noWrap w:val="0"/>
                  <w:vAlign w:val="center"/>
                </w:tcPr>
                <w:p w14:paraId="481DF659">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21</w:t>
                  </w:r>
                </w:p>
              </w:tc>
              <w:tc>
                <w:tcPr>
                  <w:tcW w:w="664" w:type="dxa"/>
                  <w:noWrap w:val="0"/>
                  <w:vAlign w:val="center"/>
                </w:tcPr>
                <w:p w14:paraId="4F379041">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12</w:t>
                  </w:r>
                </w:p>
              </w:tc>
            </w:tr>
            <w:tr w14:paraId="6E59E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52" w:type="dxa"/>
                  <w:noWrap w:val="0"/>
                  <w:vAlign w:val="center"/>
                </w:tcPr>
                <w:p w14:paraId="35303C70">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color w:val="000000"/>
                      <w:sz w:val="21"/>
                      <w:szCs w:val="21"/>
                      <w:highlight w:val="none"/>
                    </w:rPr>
                    <w:t>3</w:t>
                  </w:r>
                </w:p>
              </w:tc>
              <w:tc>
                <w:tcPr>
                  <w:tcW w:w="991" w:type="dxa"/>
                  <w:noWrap w:val="0"/>
                  <w:vAlign w:val="center"/>
                </w:tcPr>
                <w:p w14:paraId="63118FEE">
                  <w:pPr>
                    <w:pStyle w:val="261"/>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方木多片锯</w:t>
                  </w:r>
                </w:p>
              </w:tc>
              <w:tc>
                <w:tcPr>
                  <w:tcW w:w="681" w:type="dxa"/>
                  <w:noWrap w:val="0"/>
                  <w:vAlign w:val="center"/>
                </w:tcPr>
                <w:p w14:paraId="4AB5AB2E">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rPr>
                    <w:t>11</w:t>
                  </w:r>
                </w:p>
              </w:tc>
              <w:tc>
                <w:tcPr>
                  <w:tcW w:w="586" w:type="dxa"/>
                  <w:noWrap w:val="0"/>
                  <w:vAlign w:val="center"/>
                </w:tcPr>
                <w:p w14:paraId="38AE2651">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70</w:t>
                  </w:r>
                </w:p>
              </w:tc>
              <w:tc>
                <w:tcPr>
                  <w:tcW w:w="541" w:type="dxa"/>
                  <w:noWrap w:val="0"/>
                  <w:vAlign w:val="center"/>
                </w:tcPr>
                <w:p w14:paraId="35A1FA3F">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8</w:t>
                  </w:r>
                </w:p>
              </w:tc>
              <w:tc>
                <w:tcPr>
                  <w:tcW w:w="535" w:type="dxa"/>
                  <w:noWrap w:val="0"/>
                  <w:vAlign w:val="center"/>
                </w:tcPr>
                <w:p w14:paraId="742C642B">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35</w:t>
                  </w:r>
                </w:p>
              </w:tc>
              <w:tc>
                <w:tcPr>
                  <w:tcW w:w="547" w:type="dxa"/>
                  <w:noWrap w:val="0"/>
                  <w:vAlign w:val="center"/>
                </w:tcPr>
                <w:p w14:paraId="4530BF07">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37</w:t>
                  </w:r>
                </w:p>
              </w:tc>
              <w:tc>
                <w:tcPr>
                  <w:tcW w:w="664" w:type="dxa"/>
                  <w:noWrap w:val="0"/>
                  <w:vAlign w:val="center"/>
                </w:tcPr>
                <w:p w14:paraId="0153B082">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28</w:t>
                  </w:r>
                </w:p>
              </w:tc>
            </w:tr>
            <w:tr w14:paraId="30525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52" w:type="dxa"/>
                  <w:noWrap w:val="0"/>
                  <w:vAlign w:val="center"/>
                </w:tcPr>
                <w:p w14:paraId="73F9ADD3">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color w:val="000000"/>
                      <w:sz w:val="21"/>
                      <w:szCs w:val="21"/>
                      <w:highlight w:val="none"/>
                    </w:rPr>
                    <w:t>4</w:t>
                  </w:r>
                </w:p>
              </w:tc>
              <w:tc>
                <w:tcPr>
                  <w:tcW w:w="991" w:type="dxa"/>
                  <w:noWrap w:val="0"/>
                  <w:vAlign w:val="center"/>
                </w:tcPr>
                <w:p w14:paraId="27659211">
                  <w:pPr>
                    <w:pStyle w:val="261"/>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清边机</w:t>
                  </w:r>
                </w:p>
              </w:tc>
              <w:tc>
                <w:tcPr>
                  <w:tcW w:w="681" w:type="dxa"/>
                  <w:noWrap w:val="0"/>
                  <w:vAlign w:val="center"/>
                </w:tcPr>
                <w:p w14:paraId="5EB1DF17">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rPr>
                    <w:t>12</w:t>
                  </w:r>
                </w:p>
              </w:tc>
              <w:tc>
                <w:tcPr>
                  <w:tcW w:w="586" w:type="dxa"/>
                  <w:noWrap w:val="0"/>
                  <w:vAlign w:val="top"/>
                </w:tcPr>
                <w:p w14:paraId="41E1E0CF">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55</w:t>
                  </w:r>
                </w:p>
              </w:tc>
              <w:tc>
                <w:tcPr>
                  <w:tcW w:w="541" w:type="dxa"/>
                  <w:noWrap w:val="0"/>
                  <w:vAlign w:val="center"/>
                </w:tcPr>
                <w:p w14:paraId="4B4F84FD">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24</w:t>
                  </w:r>
                </w:p>
              </w:tc>
              <w:tc>
                <w:tcPr>
                  <w:tcW w:w="535" w:type="dxa"/>
                  <w:noWrap w:val="0"/>
                  <w:vAlign w:val="center"/>
                </w:tcPr>
                <w:p w14:paraId="3EF5063C">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32</w:t>
                  </w:r>
                </w:p>
              </w:tc>
              <w:tc>
                <w:tcPr>
                  <w:tcW w:w="547" w:type="dxa"/>
                  <w:noWrap w:val="0"/>
                  <w:vAlign w:val="center"/>
                </w:tcPr>
                <w:p w14:paraId="0A1ED4B2">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25</w:t>
                  </w:r>
                </w:p>
              </w:tc>
              <w:tc>
                <w:tcPr>
                  <w:tcW w:w="664" w:type="dxa"/>
                  <w:noWrap w:val="0"/>
                  <w:vAlign w:val="center"/>
                </w:tcPr>
                <w:p w14:paraId="38187ACD">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31</w:t>
                  </w:r>
                </w:p>
              </w:tc>
            </w:tr>
            <w:tr w14:paraId="6843A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26" w:type="dxa"/>
                  <w:noWrap w:val="0"/>
                  <w:vAlign w:val="center"/>
                </w:tcPr>
                <w:p w14:paraId="79AB880C">
                  <w:pPr>
                    <w:pStyle w:val="261"/>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5</w:t>
                  </w:r>
                </w:p>
              </w:tc>
              <w:tc>
                <w:tcPr>
                  <w:tcW w:w="991" w:type="dxa"/>
                  <w:noWrap w:val="0"/>
                  <w:vAlign w:val="center"/>
                </w:tcPr>
                <w:p w14:paraId="5A492350">
                  <w:pPr>
                    <w:pStyle w:val="261"/>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小断头机</w:t>
                  </w:r>
                </w:p>
              </w:tc>
              <w:tc>
                <w:tcPr>
                  <w:tcW w:w="681" w:type="dxa"/>
                  <w:noWrap w:val="0"/>
                  <w:vAlign w:val="center"/>
                </w:tcPr>
                <w:p w14:paraId="0BCB96CB">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9</w:t>
                  </w:r>
                </w:p>
              </w:tc>
              <w:tc>
                <w:tcPr>
                  <w:tcW w:w="586" w:type="dxa"/>
                  <w:noWrap w:val="0"/>
                  <w:vAlign w:val="top"/>
                </w:tcPr>
                <w:p w14:paraId="04E2D756">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60</w:t>
                  </w:r>
                </w:p>
              </w:tc>
              <w:tc>
                <w:tcPr>
                  <w:tcW w:w="977" w:type="dxa"/>
                  <w:noWrap w:val="0"/>
                  <w:vAlign w:val="top"/>
                </w:tcPr>
                <w:p w14:paraId="46CDE13F">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8</w:t>
                  </w:r>
                </w:p>
              </w:tc>
              <w:tc>
                <w:tcPr>
                  <w:tcW w:w="966" w:type="dxa"/>
                  <w:noWrap w:val="0"/>
                  <w:vAlign w:val="top"/>
                </w:tcPr>
                <w:p w14:paraId="46B9B550">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49</w:t>
                  </w:r>
                </w:p>
              </w:tc>
              <w:tc>
                <w:tcPr>
                  <w:tcW w:w="988" w:type="dxa"/>
                  <w:noWrap w:val="0"/>
                  <w:vAlign w:val="top"/>
                </w:tcPr>
                <w:p w14:paraId="1D1521AD">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22</w:t>
                  </w:r>
                </w:p>
              </w:tc>
              <w:tc>
                <w:tcPr>
                  <w:tcW w:w="1190" w:type="dxa"/>
                  <w:noWrap w:val="0"/>
                  <w:vAlign w:val="top"/>
                </w:tcPr>
                <w:p w14:paraId="0752A145">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34</w:t>
                  </w:r>
                </w:p>
              </w:tc>
            </w:tr>
            <w:tr w14:paraId="65E17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26" w:type="dxa"/>
                  <w:noWrap w:val="0"/>
                  <w:vAlign w:val="center"/>
                </w:tcPr>
                <w:p w14:paraId="386B5243">
                  <w:pPr>
                    <w:pStyle w:val="261"/>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6</w:t>
                  </w:r>
                </w:p>
              </w:tc>
              <w:tc>
                <w:tcPr>
                  <w:tcW w:w="991" w:type="dxa"/>
                  <w:noWrap w:val="0"/>
                  <w:vAlign w:val="center"/>
                </w:tcPr>
                <w:p w14:paraId="25040916">
                  <w:pPr>
                    <w:pStyle w:val="261"/>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拼板机</w:t>
                  </w:r>
                </w:p>
              </w:tc>
              <w:tc>
                <w:tcPr>
                  <w:tcW w:w="681" w:type="dxa"/>
                  <w:noWrap w:val="0"/>
                  <w:vAlign w:val="center"/>
                </w:tcPr>
                <w:p w14:paraId="41852D77">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6</w:t>
                  </w:r>
                </w:p>
              </w:tc>
              <w:tc>
                <w:tcPr>
                  <w:tcW w:w="586" w:type="dxa"/>
                  <w:noWrap w:val="0"/>
                  <w:vAlign w:val="top"/>
                </w:tcPr>
                <w:p w14:paraId="44BA436C">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60</w:t>
                  </w:r>
                </w:p>
              </w:tc>
              <w:tc>
                <w:tcPr>
                  <w:tcW w:w="977" w:type="dxa"/>
                  <w:noWrap w:val="0"/>
                  <w:vAlign w:val="top"/>
                </w:tcPr>
                <w:p w14:paraId="6128547C">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17</w:t>
                  </w:r>
                </w:p>
              </w:tc>
              <w:tc>
                <w:tcPr>
                  <w:tcW w:w="966" w:type="dxa"/>
                  <w:noWrap w:val="0"/>
                  <w:vAlign w:val="top"/>
                </w:tcPr>
                <w:p w14:paraId="04E32F33">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30</w:t>
                  </w:r>
                </w:p>
              </w:tc>
              <w:tc>
                <w:tcPr>
                  <w:tcW w:w="988" w:type="dxa"/>
                  <w:noWrap w:val="0"/>
                  <w:vAlign w:val="top"/>
                </w:tcPr>
                <w:p w14:paraId="396F7C13">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44</w:t>
                  </w:r>
                </w:p>
              </w:tc>
              <w:tc>
                <w:tcPr>
                  <w:tcW w:w="1190" w:type="dxa"/>
                  <w:noWrap w:val="0"/>
                  <w:vAlign w:val="top"/>
                </w:tcPr>
                <w:p w14:paraId="56D30ED3">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43</w:t>
                  </w:r>
                </w:p>
              </w:tc>
            </w:tr>
            <w:tr w14:paraId="5EBB4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26" w:type="dxa"/>
                  <w:noWrap w:val="0"/>
                  <w:vAlign w:val="center"/>
                </w:tcPr>
                <w:p w14:paraId="429DB972">
                  <w:pPr>
                    <w:pStyle w:val="261"/>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7</w:t>
                  </w:r>
                </w:p>
              </w:tc>
              <w:tc>
                <w:tcPr>
                  <w:tcW w:w="991" w:type="dxa"/>
                  <w:noWrap w:val="0"/>
                  <w:vAlign w:val="center"/>
                </w:tcPr>
                <w:p w14:paraId="600CE6F4">
                  <w:pPr>
                    <w:pStyle w:val="261"/>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梳齿机</w:t>
                  </w:r>
                </w:p>
              </w:tc>
              <w:tc>
                <w:tcPr>
                  <w:tcW w:w="681" w:type="dxa"/>
                  <w:noWrap w:val="0"/>
                  <w:vAlign w:val="center"/>
                </w:tcPr>
                <w:p w14:paraId="2A84B92C">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4</w:t>
                  </w:r>
                </w:p>
              </w:tc>
              <w:tc>
                <w:tcPr>
                  <w:tcW w:w="586" w:type="dxa"/>
                  <w:noWrap w:val="0"/>
                  <w:vAlign w:val="top"/>
                </w:tcPr>
                <w:p w14:paraId="0FF2E78F">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60</w:t>
                  </w:r>
                </w:p>
              </w:tc>
              <w:tc>
                <w:tcPr>
                  <w:tcW w:w="977" w:type="dxa"/>
                  <w:noWrap w:val="0"/>
                  <w:vAlign w:val="top"/>
                </w:tcPr>
                <w:p w14:paraId="76809876">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18</w:t>
                  </w:r>
                </w:p>
              </w:tc>
              <w:tc>
                <w:tcPr>
                  <w:tcW w:w="966" w:type="dxa"/>
                  <w:noWrap w:val="0"/>
                  <w:vAlign w:val="top"/>
                </w:tcPr>
                <w:p w14:paraId="714EB726">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27</w:t>
                  </w:r>
                </w:p>
              </w:tc>
              <w:tc>
                <w:tcPr>
                  <w:tcW w:w="988" w:type="dxa"/>
                  <w:noWrap w:val="0"/>
                  <w:vAlign w:val="top"/>
                </w:tcPr>
                <w:p w14:paraId="762A6A61">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41</w:t>
                  </w:r>
                </w:p>
              </w:tc>
              <w:tc>
                <w:tcPr>
                  <w:tcW w:w="1190" w:type="dxa"/>
                  <w:noWrap w:val="0"/>
                  <w:vAlign w:val="top"/>
                </w:tcPr>
                <w:p w14:paraId="2C5A46C8">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46</w:t>
                  </w:r>
                </w:p>
              </w:tc>
            </w:tr>
            <w:tr w14:paraId="5935C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26" w:type="dxa"/>
                  <w:noWrap w:val="0"/>
                  <w:vAlign w:val="center"/>
                </w:tcPr>
                <w:p w14:paraId="2AA7FA9E">
                  <w:pPr>
                    <w:pStyle w:val="261"/>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8</w:t>
                  </w:r>
                </w:p>
              </w:tc>
              <w:tc>
                <w:tcPr>
                  <w:tcW w:w="991" w:type="dxa"/>
                  <w:noWrap w:val="0"/>
                  <w:vAlign w:val="center"/>
                </w:tcPr>
                <w:p w14:paraId="7A8A08FF">
                  <w:pPr>
                    <w:pStyle w:val="261"/>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齿接机</w:t>
                  </w:r>
                </w:p>
              </w:tc>
              <w:tc>
                <w:tcPr>
                  <w:tcW w:w="681" w:type="dxa"/>
                  <w:noWrap w:val="0"/>
                  <w:vAlign w:val="center"/>
                </w:tcPr>
                <w:p w14:paraId="22885891">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4</w:t>
                  </w:r>
                </w:p>
              </w:tc>
              <w:tc>
                <w:tcPr>
                  <w:tcW w:w="586" w:type="dxa"/>
                  <w:noWrap w:val="0"/>
                  <w:vAlign w:val="top"/>
                </w:tcPr>
                <w:p w14:paraId="12E53610">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60</w:t>
                  </w:r>
                </w:p>
              </w:tc>
              <w:tc>
                <w:tcPr>
                  <w:tcW w:w="977" w:type="dxa"/>
                  <w:noWrap w:val="0"/>
                  <w:vAlign w:val="top"/>
                </w:tcPr>
                <w:p w14:paraId="028FCE5D">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31</w:t>
                  </w:r>
                </w:p>
              </w:tc>
              <w:tc>
                <w:tcPr>
                  <w:tcW w:w="966" w:type="dxa"/>
                  <w:noWrap w:val="0"/>
                  <w:vAlign w:val="top"/>
                </w:tcPr>
                <w:p w14:paraId="08112F2C">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24</w:t>
                  </w:r>
                </w:p>
              </w:tc>
              <w:tc>
                <w:tcPr>
                  <w:tcW w:w="988" w:type="dxa"/>
                  <w:noWrap w:val="0"/>
                  <w:vAlign w:val="top"/>
                </w:tcPr>
                <w:p w14:paraId="162AAFB7">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38</w:t>
                  </w:r>
                </w:p>
              </w:tc>
              <w:tc>
                <w:tcPr>
                  <w:tcW w:w="1190" w:type="dxa"/>
                  <w:noWrap w:val="0"/>
                  <w:vAlign w:val="top"/>
                </w:tcPr>
                <w:p w14:paraId="26DCE270">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49</w:t>
                  </w:r>
                </w:p>
              </w:tc>
            </w:tr>
            <w:tr w14:paraId="23711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26" w:type="dxa"/>
                  <w:noWrap w:val="0"/>
                  <w:vAlign w:val="center"/>
                </w:tcPr>
                <w:p w14:paraId="32E86453">
                  <w:pPr>
                    <w:pStyle w:val="261"/>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9</w:t>
                  </w:r>
                </w:p>
              </w:tc>
              <w:tc>
                <w:tcPr>
                  <w:tcW w:w="991" w:type="dxa"/>
                  <w:noWrap w:val="0"/>
                  <w:vAlign w:val="center"/>
                </w:tcPr>
                <w:p w14:paraId="3023EF0C">
                  <w:pPr>
                    <w:pStyle w:val="261"/>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涂胶机</w:t>
                  </w:r>
                </w:p>
              </w:tc>
              <w:tc>
                <w:tcPr>
                  <w:tcW w:w="681" w:type="dxa"/>
                  <w:noWrap w:val="0"/>
                  <w:vAlign w:val="center"/>
                </w:tcPr>
                <w:p w14:paraId="6F1C7240">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6</w:t>
                  </w:r>
                </w:p>
              </w:tc>
              <w:tc>
                <w:tcPr>
                  <w:tcW w:w="586" w:type="dxa"/>
                  <w:noWrap w:val="0"/>
                  <w:vAlign w:val="top"/>
                </w:tcPr>
                <w:p w14:paraId="094F888F">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60</w:t>
                  </w:r>
                </w:p>
              </w:tc>
              <w:tc>
                <w:tcPr>
                  <w:tcW w:w="977" w:type="dxa"/>
                  <w:noWrap w:val="0"/>
                  <w:vAlign w:val="top"/>
                </w:tcPr>
                <w:p w14:paraId="7A32454D">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8</w:t>
                  </w:r>
                </w:p>
              </w:tc>
              <w:tc>
                <w:tcPr>
                  <w:tcW w:w="966" w:type="dxa"/>
                  <w:noWrap w:val="0"/>
                  <w:vAlign w:val="top"/>
                </w:tcPr>
                <w:p w14:paraId="75C5BA42">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21</w:t>
                  </w:r>
                </w:p>
              </w:tc>
              <w:tc>
                <w:tcPr>
                  <w:tcW w:w="988" w:type="dxa"/>
                  <w:noWrap w:val="0"/>
                  <w:vAlign w:val="top"/>
                </w:tcPr>
                <w:p w14:paraId="2DAC81C8">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35</w:t>
                  </w:r>
                </w:p>
              </w:tc>
              <w:tc>
                <w:tcPr>
                  <w:tcW w:w="1190" w:type="dxa"/>
                  <w:noWrap w:val="0"/>
                  <w:vAlign w:val="top"/>
                </w:tcPr>
                <w:p w14:paraId="446FA2EB">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32</w:t>
                  </w:r>
                </w:p>
              </w:tc>
            </w:tr>
            <w:tr w14:paraId="32584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26" w:type="dxa"/>
                  <w:noWrap w:val="0"/>
                  <w:vAlign w:val="center"/>
                </w:tcPr>
                <w:p w14:paraId="53996B95">
                  <w:pPr>
                    <w:pStyle w:val="261"/>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10</w:t>
                  </w:r>
                </w:p>
              </w:tc>
              <w:tc>
                <w:tcPr>
                  <w:tcW w:w="991" w:type="dxa"/>
                  <w:noWrap w:val="0"/>
                  <w:vAlign w:val="center"/>
                </w:tcPr>
                <w:p w14:paraId="0E44107E">
                  <w:pPr>
                    <w:pStyle w:val="261"/>
                    <w:ind w:firstLine="0"/>
                    <w:jc w:val="center"/>
                    <w:rPr>
                      <w:rFonts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齐头机</w:t>
                  </w:r>
                </w:p>
              </w:tc>
              <w:tc>
                <w:tcPr>
                  <w:tcW w:w="681" w:type="dxa"/>
                  <w:noWrap w:val="0"/>
                  <w:vAlign w:val="center"/>
                </w:tcPr>
                <w:p w14:paraId="7A7978D6">
                  <w:pPr>
                    <w:pStyle w:val="261"/>
                    <w:ind w:firstLine="0"/>
                    <w:jc w:val="center"/>
                    <w:rPr>
                      <w:rFonts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5</w:t>
                  </w:r>
                </w:p>
              </w:tc>
              <w:tc>
                <w:tcPr>
                  <w:tcW w:w="586" w:type="dxa"/>
                  <w:noWrap w:val="0"/>
                  <w:vAlign w:val="top"/>
                </w:tcPr>
                <w:p w14:paraId="202C8C07">
                  <w:pPr>
                    <w:keepNext w:val="0"/>
                    <w:keepLines w:val="0"/>
                    <w:pageBreakBefore w:val="0"/>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65</w:t>
                  </w:r>
                </w:p>
              </w:tc>
              <w:tc>
                <w:tcPr>
                  <w:tcW w:w="977" w:type="dxa"/>
                  <w:noWrap w:val="0"/>
                  <w:vAlign w:val="top"/>
                </w:tcPr>
                <w:p w14:paraId="6FFE376C">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23</w:t>
                  </w:r>
                </w:p>
              </w:tc>
              <w:tc>
                <w:tcPr>
                  <w:tcW w:w="966" w:type="dxa"/>
                  <w:noWrap w:val="0"/>
                  <w:vAlign w:val="top"/>
                </w:tcPr>
                <w:p w14:paraId="6750D072">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48</w:t>
                  </w:r>
                </w:p>
              </w:tc>
              <w:tc>
                <w:tcPr>
                  <w:tcW w:w="988" w:type="dxa"/>
                  <w:noWrap w:val="0"/>
                  <w:vAlign w:val="top"/>
                </w:tcPr>
                <w:p w14:paraId="2F0AF6AC">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32</w:t>
                  </w:r>
                </w:p>
              </w:tc>
              <w:tc>
                <w:tcPr>
                  <w:tcW w:w="1190" w:type="dxa"/>
                  <w:noWrap w:val="0"/>
                  <w:vAlign w:val="top"/>
                </w:tcPr>
                <w:p w14:paraId="065FFE8C">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35</w:t>
                  </w:r>
                </w:p>
              </w:tc>
            </w:tr>
            <w:tr w14:paraId="215F7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26" w:type="dxa"/>
                  <w:noWrap w:val="0"/>
                  <w:vAlign w:val="center"/>
                </w:tcPr>
                <w:p w14:paraId="3BB5D167">
                  <w:pPr>
                    <w:pStyle w:val="261"/>
                    <w:ind w:firstLine="0"/>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11</w:t>
                  </w:r>
                </w:p>
              </w:tc>
              <w:tc>
                <w:tcPr>
                  <w:tcW w:w="991" w:type="dxa"/>
                  <w:noWrap w:val="0"/>
                  <w:vAlign w:val="center"/>
                </w:tcPr>
                <w:p w14:paraId="4E413F0E">
                  <w:pPr>
                    <w:pStyle w:val="261"/>
                    <w:ind w:firstLine="0"/>
                    <w:jc w:val="center"/>
                    <w:rPr>
                      <w:rFonts w:hint="eastAsia"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color w:val="000000"/>
                      <w:sz w:val="21"/>
                      <w:szCs w:val="21"/>
                      <w:highlight w:val="none"/>
                      <w:lang w:val="en-US" w:eastAsia="zh-CN" w:bidi="ar-SA"/>
                    </w:rPr>
                    <w:t>空压机</w:t>
                  </w:r>
                </w:p>
              </w:tc>
              <w:tc>
                <w:tcPr>
                  <w:tcW w:w="681" w:type="dxa"/>
                  <w:noWrap w:val="0"/>
                  <w:vAlign w:val="center"/>
                </w:tcPr>
                <w:p w14:paraId="3E9D9D12">
                  <w:pPr>
                    <w:pStyle w:val="261"/>
                    <w:ind w:firstLine="0"/>
                    <w:jc w:val="center"/>
                    <w:rPr>
                      <w:rFonts w:hint="eastAsia" w:ascii="Times New Roman" w:hAnsi="Times New Roman" w:eastAsia="宋体" w:cs="Times New Roman"/>
                      <w:bCs/>
                      <w:color w:val="000000"/>
                      <w:sz w:val="21"/>
                      <w:szCs w:val="21"/>
                      <w:highlight w:val="none"/>
                      <w:lang w:val="en-US" w:eastAsia="zh-CN" w:bidi="ar-SA"/>
                    </w:rPr>
                  </w:pPr>
                  <w:r>
                    <w:rPr>
                      <w:rFonts w:ascii="Times New Roman" w:hAnsi="Times New Roman" w:eastAsia="宋体" w:cs="Times New Roman"/>
                      <w:bCs/>
                      <w:color w:val="000000"/>
                      <w:sz w:val="21"/>
                      <w:szCs w:val="21"/>
                      <w:highlight w:val="none"/>
                      <w:lang w:val="en-US" w:eastAsia="zh-CN" w:bidi="ar-SA"/>
                    </w:rPr>
                    <w:t>10</w:t>
                  </w:r>
                </w:p>
              </w:tc>
              <w:tc>
                <w:tcPr>
                  <w:tcW w:w="586" w:type="dxa"/>
                  <w:noWrap w:val="0"/>
                  <w:vAlign w:val="top"/>
                </w:tcPr>
                <w:p w14:paraId="6ED5B2D2">
                  <w:pPr>
                    <w:keepNext w:val="0"/>
                    <w:keepLines w:val="0"/>
                    <w:pageBreakBefore w:val="0"/>
                    <w:spacing w:line="240" w:lineRule="auto"/>
                    <w:jc w:val="center"/>
                    <w:rPr>
                      <w:rFonts w:hint="eastAsia"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65</w:t>
                  </w:r>
                </w:p>
              </w:tc>
              <w:tc>
                <w:tcPr>
                  <w:tcW w:w="977" w:type="dxa"/>
                  <w:noWrap w:val="0"/>
                  <w:vAlign w:val="top"/>
                </w:tcPr>
                <w:p w14:paraId="29B24DFE">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21</w:t>
                  </w:r>
                </w:p>
              </w:tc>
              <w:tc>
                <w:tcPr>
                  <w:tcW w:w="966" w:type="dxa"/>
                  <w:noWrap w:val="0"/>
                  <w:vAlign w:val="top"/>
                </w:tcPr>
                <w:p w14:paraId="1BBA3BA2">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41</w:t>
                  </w:r>
                </w:p>
              </w:tc>
              <w:tc>
                <w:tcPr>
                  <w:tcW w:w="988" w:type="dxa"/>
                  <w:noWrap w:val="0"/>
                  <w:vAlign w:val="top"/>
                </w:tcPr>
                <w:p w14:paraId="75BCDEC2">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17</w:t>
                  </w:r>
                </w:p>
              </w:tc>
              <w:tc>
                <w:tcPr>
                  <w:tcW w:w="1190" w:type="dxa"/>
                  <w:noWrap w:val="0"/>
                  <w:vAlign w:val="top"/>
                </w:tcPr>
                <w:p w14:paraId="359BE401">
                  <w:pPr>
                    <w:widowControl/>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45</w:t>
                  </w:r>
                </w:p>
              </w:tc>
            </w:tr>
          </w:tbl>
          <w:p w14:paraId="5899FE32">
            <w:pPr>
              <w:pStyle w:val="234"/>
              <w:spacing w:before="120" w:line="360" w:lineRule="auto"/>
              <w:ind w:firstLine="482"/>
              <w:rPr>
                <w:rFonts w:ascii="Times New Roman" w:hAnsi="Times New Roman" w:eastAsia="宋体" w:cs="Times New Roman"/>
                <w:b/>
                <w:color w:val="000000"/>
                <w:highlight w:val="none"/>
              </w:rPr>
            </w:pPr>
            <w:r>
              <w:rPr>
                <w:rFonts w:hint="eastAsia" w:ascii="Times New Roman" w:hAnsi="Times New Roman" w:cs="Times New Roman"/>
                <w:b/>
                <w:color w:val="000000"/>
                <w:highlight w:val="none"/>
                <w:lang w:val="en-US" w:eastAsia="zh-CN"/>
              </w:rPr>
              <w:t>④</w:t>
            </w:r>
            <w:r>
              <w:rPr>
                <w:rFonts w:ascii="Times New Roman" w:hAnsi="Times New Roman" w:eastAsia="宋体" w:cs="Times New Roman"/>
                <w:b/>
                <w:color w:val="000000"/>
                <w:highlight w:val="none"/>
              </w:rPr>
              <w:t>预测结果与分析</w:t>
            </w:r>
          </w:p>
          <w:p w14:paraId="7B9C7730">
            <w:pPr>
              <w:pStyle w:val="234"/>
              <w:spacing w:line="360" w:lineRule="auto"/>
              <w:ind w:firstLine="480"/>
              <w:rPr>
                <w:rFonts w:ascii="Times New Roman" w:hAnsi="Times New Roman" w:eastAsia="宋体" w:cs="Times New Roman"/>
                <w:bCs/>
                <w:color w:val="000000"/>
                <w:highlight w:val="none"/>
              </w:rPr>
            </w:pPr>
            <w:r>
              <w:rPr>
                <w:rFonts w:hint="eastAsia" w:ascii="Times New Roman" w:hAnsi="Times New Roman" w:cs="Times New Roman"/>
                <w:bCs/>
                <w:color w:val="000000"/>
                <w:highlight w:val="none"/>
                <w:lang w:val="en-US" w:eastAsia="zh-CN"/>
              </w:rPr>
              <w:t>本项目为新建项目，</w:t>
            </w:r>
            <w:r>
              <w:rPr>
                <w:rFonts w:ascii="Times New Roman" w:hAnsi="Times New Roman" w:eastAsia="宋体" w:cs="Times New Roman"/>
                <w:bCs/>
                <w:color w:val="000000"/>
                <w:highlight w:val="none"/>
                <w:lang w:val="en-US" w:eastAsia="zh-CN"/>
              </w:rPr>
              <w:t>项目</w:t>
            </w:r>
            <w:r>
              <w:rPr>
                <w:rFonts w:ascii="Times New Roman" w:hAnsi="Times New Roman" w:eastAsia="宋体" w:cs="Times New Roman"/>
                <w:bCs/>
                <w:color w:val="000000"/>
                <w:highlight w:val="none"/>
              </w:rPr>
              <w:t>运营期主要设备噪声厂界预测结果见下表。</w:t>
            </w:r>
          </w:p>
          <w:p w14:paraId="59662896">
            <w:pPr>
              <w:keepNext/>
              <w:keepLines/>
              <w:jc w:val="center"/>
              <w:rPr>
                <w:rFonts w:ascii="Times New Roman" w:hAnsi="Times New Roman" w:eastAsia="宋体" w:cs="Times New Roman"/>
                <w:b/>
                <w:bCs/>
                <w:color w:val="000000"/>
                <w:sz w:val="24"/>
                <w:szCs w:val="22"/>
                <w:highlight w:val="none"/>
              </w:rPr>
            </w:pPr>
            <w:r>
              <w:rPr>
                <w:rFonts w:ascii="Times New Roman" w:hAnsi="Times New Roman" w:eastAsia="宋体" w:cs="Times New Roman"/>
                <w:b/>
                <w:bCs/>
                <w:color w:val="000000"/>
                <w:sz w:val="24"/>
                <w:szCs w:val="22"/>
                <w:highlight w:val="none"/>
              </w:rPr>
              <w:t>表4-</w:t>
            </w:r>
            <w:r>
              <w:rPr>
                <w:rFonts w:ascii="Times New Roman" w:hAnsi="Times New Roman" w:eastAsia="宋体" w:cs="Times New Roman"/>
                <w:b/>
                <w:bCs/>
                <w:color w:val="000000"/>
                <w:sz w:val="24"/>
                <w:szCs w:val="22"/>
                <w:highlight w:val="none"/>
                <w:lang w:val="en-US" w:eastAsia="zh-CN"/>
              </w:rPr>
              <w:t>5</w:t>
            </w:r>
            <w:r>
              <w:rPr>
                <w:rFonts w:ascii="Times New Roman" w:hAnsi="Times New Roman" w:eastAsia="宋体" w:cs="Times New Roman"/>
                <w:b/>
                <w:bCs/>
                <w:color w:val="000000"/>
                <w:sz w:val="24"/>
                <w:szCs w:val="22"/>
                <w:highlight w:val="none"/>
              </w:rPr>
              <w:t xml:space="preserve">  运营期噪声厂界贡献值预测结果表 单位：dB（A）</w:t>
            </w:r>
          </w:p>
          <w:tbl>
            <w:tblPr>
              <w:tblStyle w:val="29"/>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1"/>
              <w:gridCol w:w="1145"/>
              <w:gridCol w:w="1829"/>
              <w:gridCol w:w="1829"/>
              <w:gridCol w:w="1829"/>
              <w:gridCol w:w="1836"/>
            </w:tblGrid>
            <w:tr w14:paraId="2C401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9" w:type="dxa"/>
                  <w:noWrap w:val="0"/>
                  <w:vAlign w:val="center"/>
                </w:tcPr>
                <w:p w14:paraId="3BB445F9">
                  <w:pPr>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时段</w:t>
                  </w:r>
                </w:p>
              </w:tc>
              <w:tc>
                <w:tcPr>
                  <w:tcW w:w="967" w:type="dxa"/>
                  <w:noWrap w:val="0"/>
                  <w:vAlign w:val="center"/>
                </w:tcPr>
                <w:p w14:paraId="78737233">
                  <w:pPr>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项目</w:t>
                  </w:r>
                </w:p>
              </w:tc>
              <w:tc>
                <w:tcPr>
                  <w:tcW w:w="855" w:type="dxa"/>
                  <w:noWrap w:val="0"/>
                  <w:vAlign w:val="center"/>
                </w:tcPr>
                <w:p w14:paraId="74ED2F4F">
                  <w:pPr>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东侧厂界</w:t>
                  </w:r>
                </w:p>
              </w:tc>
              <w:tc>
                <w:tcPr>
                  <w:tcW w:w="855" w:type="dxa"/>
                  <w:noWrap w:val="0"/>
                  <w:vAlign w:val="center"/>
                </w:tcPr>
                <w:p w14:paraId="1304141C">
                  <w:pPr>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南侧厂界</w:t>
                  </w:r>
                </w:p>
              </w:tc>
              <w:tc>
                <w:tcPr>
                  <w:tcW w:w="855" w:type="dxa"/>
                  <w:noWrap w:val="0"/>
                  <w:vAlign w:val="center"/>
                </w:tcPr>
                <w:p w14:paraId="77D5A19F">
                  <w:pPr>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西侧厂界</w:t>
                  </w:r>
                </w:p>
              </w:tc>
              <w:tc>
                <w:tcPr>
                  <w:tcW w:w="858" w:type="dxa"/>
                  <w:noWrap w:val="0"/>
                  <w:vAlign w:val="center"/>
                </w:tcPr>
                <w:p w14:paraId="58F4178E">
                  <w:pPr>
                    <w:jc w:val="center"/>
                    <w:rPr>
                      <w:rFonts w:ascii="Times New Roman" w:hAnsi="Times New Roman" w:eastAsia="宋体" w:cs="Times New Roman"/>
                      <w:b/>
                      <w:color w:val="000000"/>
                      <w:szCs w:val="21"/>
                      <w:highlight w:val="none"/>
                    </w:rPr>
                  </w:pPr>
                  <w:r>
                    <w:rPr>
                      <w:rFonts w:ascii="Times New Roman" w:hAnsi="Times New Roman" w:eastAsia="宋体" w:cs="Times New Roman"/>
                      <w:b/>
                      <w:color w:val="000000"/>
                      <w:szCs w:val="21"/>
                      <w:highlight w:val="none"/>
                    </w:rPr>
                    <w:t>北侧厂界</w:t>
                  </w:r>
                </w:p>
              </w:tc>
            </w:tr>
            <w:tr w14:paraId="37964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9" w:type="dxa"/>
                  <w:vMerge w:val="restart"/>
                  <w:noWrap w:val="0"/>
                  <w:vAlign w:val="center"/>
                </w:tcPr>
                <w:p w14:paraId="2A10565B">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昼间</w:t>
                  </w:r>
                </w:p>
              </w:tc>
              <w:tc>
                <w:tcPr>
                  <w:tcW w:w="967" w:type="dxa"/>
                  <w:noWrap w:val="0"/>
                  <w:vAlign w:val="center"/>
                </w:tcPr>
                <w:p w14:paraId="548E0E2B">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Cs w:val="21"/>
                      <w:highlight w:val="none"/>
                      <w:lang w:val="en-US" w:eastAsia="zh-CN"/>
                    </w:rPr>
                    <w:t>贡献值</w:t>
                  </w:r>
                </w:p>
              </w:tc>
              <w:tc>
                <w:tcPr>
                  <w:tcW w:w="1544" w:type="dxa"/>
                  <w:noWrap w:val="0"/>
                  <w:vAlign w:val="bottom"/>
                </w:tcPr>
                <w:p w14:paraId="03AE4740">
                  <w:pPr>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 xml:space="preserve">54.4 </w:t>
                  </w:r>
                </w:p>
              </w:tc>
              <w:tc>
                <w:tcPr>
                  <w:tcW w:w="1544" w:type="dxa"/>
                  <w:noWrap w:val="0"/>
                  <w:vAlign w:val="bottom"/>
                </w:tcPr>
                <w:p w14:paraId="7F19CE21">
                  <w:pPr>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 xml:space="preserve">53.2 </w:t>
                  </w:r>
                </w:p>
              </w:tc>
              <w:tc>
                <w:tcPr>
                  <w:tcW w:w="1544" w:type="dxa"/>
                  <w:noWrap w:val="0"/>
                  <w:vAlign w:val="bottom"/>
                </w:tcPr>
                <w:p w14:paraId="3614AFD4">
                  <w:pPr>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 xml:space="preserve">55.6 </w:t>
                  </w:r>
                </w:p>
              </w:tc>
              <w:tc>
                <w:tcPr>
                  <w:tcW w:w="1550" w:type="dxa"/>
                  <w:noWrap w:val="0"/>
                  <w:vAlign w:val="bottom"/>
                </w:tcPr>
                <w:p w14:paraId="5F366924">
                  <w:pPr>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51.3</w:t>
                  </w:r>
                </w:p>
              </w:tc>
            </w:tr>
            <w:tr w14:paraId="62A89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9" w:type="dxa"/>
                  <w:vMerge w:val="continue"/>
                  <w:noWrap w:val="0"/>
                  <w:vAlign w:val="center"/>
                </w:tcPr>
                <w:p w14:paraId="10EE7C2B">
                  <w:pPr>
                    <w:jc w:val="center"/>
                    <w:rPr>
                      <w:rFonts w:ascii="Times New Roman" w:hAnsi="Times New Roman" w:eastAsia="宋体" w:cs="Times New Roman"/>
                      <w:color w:val="000000"/>
                      <w:szCs w:val="21"/>
                      <w:highlight w:val="none"/>
                    </w:rPr>
                  </w:pPr>
                </w:p>
              </w:tc>
              <w:tc>
                <w:tcPr>
                  <w:tcW w:w="967" w:type="dxa"/>
                  <w:noWrap w:val="0"/>
                  <w:vAlign w:val="center"/>
                </w:tcPr>
                <w:p w14:paraId="54B2AF49">
                  <w:pPr>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预测值</w:t>
                  </w:r>
                </w:p>
              </w:tc>
              <w:tc>
                <w:tcPr>
                  <w:tcW w:w="1544" w:type="dxa"/>
                  <w:noWrap w:val="0"/>
                  <w:vAlign w:val="bottom"/>
                </w:tcPr>
                <w:p w14:paraId="095BA019">
                  <w:pPr>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 xml:space="preserve">54.4 </w:t>
                  </w:r>
                </w:p>
              </w:tc>
              <w:tc>
                <w:tcPr>
                  <w:tcW w:w="1544" w:type="dxa"/>
                  <w:noWrap w:val="0"/>
                  <w:vAlign w:val="bottom"/>
                </w:tcPr>
                <w:p w14:paraId="03A7683E">
                  <w:pPr>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 xml:space="preserve">53.2 </w:t>
                  </w:r>
                </w:p>
              </w:tc>
              <w:tc>
                <w:tcPr>
                  <w:tcW w:w="1544" w:type="dxa"/>
                  <w:noWrap w:val="0"/>
                  <w:vAlign w:val="bottom"/>
                </w:tcPr>
                <w:p w14:paraId="162683DA">
                  <w:pPr>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 xml:space="preserve">55.6 </w:t>
                  </w:r>
                </w:p>
              </w:tc>
              <w:tc>
                <w:tcPr>
                  <w:tcW w:w="1550" w:type="dxa"/>
                  <w:noWrap w:val="0"/>
                  <w:vAlign w:val="bottom"/>
                </w:tcPr>
                <w:p w14:paraId="2386409C">
                  <w:pPr>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51.3</w:t>
                  </w:r>
                </w:p>
              </w:tc>
            </w:tr>
            <w:tr w14:paraId="7F193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9" w:type="dxa"/>
                  <w:vMerge w:val="continue"/>
                  <w:noWrap w:val="0"/>
                  <w:vAlign w:val="center"/>
                </w:tcPr>
                <w:p w14:paraId="418C4514">
                  <w:pPr>
                    <w:jc w:val="center"/>
                    <w:rPr>
                      <w:rFonts w:ascii="Times New Roman" w:hAnsi="Times New Roman" w:eastAsia="宋体" w:cs="Times New Roman"/>
                      <w:color w:val="000000"/>
                      <w:szCs w:val="21"/>
                      <w:highlight w:val="none"/>
                    </w:rPr>
                  </w:pPr>
                </w:p>
              </w:tc>
              <w:tc>
                <w:tcPr>
                  <w:tcW w:w="967" w:type="dxa"/>
                  <w:noWrap w:val="0"/>
                  <w:vAlign w:val="center"/>
                </w:tcPr>
                <w:p w14:paraId="4187C41A">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2类标准值</w:t>
                  </w:r>
                </w:p>
              </w:tc>
              <w:tc>
                <w:tcPr>
                  <w:tcW w:w="855" w:type="dxa"/>
                  <w:noWrap w:val="0"/>
                  <w:vAlign w:val="center"/>
                </w:tcPr>
                <w:p w14:paraId="3764EF38">
                  <w:pPr>
                    <w:jc w:val="center"/>
                    <w:rPr>
                      <w:rFonts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60</w:t>
                  </w:r>
                </w:p>
              </w:tc>
              <w:tc>
                <w:tcPr>
                  <w:tcW w:w="855" w:type="dxa"/>
                  <w:noWrap w:val="0"/>
                  <w:vAlign w:val="center"/>
                </w:tcPr>
                <w:p w14:paraId="123D1668">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60</w:t>
                  </w:r>
                </w:p>
              </w:tc>
              <w:tc>
                <w:tcPr>
                  <w:tcW w:w="855" w:type="dxa"/>
                  <w:noWrap w:val="0"/>
                  <w:vAlign w:val="center"/>
                </w:tcPr>
                <w:p w14:paraId="468C25D4">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60</w:t>
                  </w:r>
                </w:p>
              </w:tc>
              <w:tc>
                <w:tcPr>
                  <w:tcW w:w="858" w:type="dxa"/>
                  <w:noWrap w:val="0"/>
                  <w:vAlign w:val="center"/>
                </w:tcPr>
                <w:p w14:paraId="6BA97373">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60</w:t>
                  </w:r>
                </w:p>
              </w:tc>
            </w:tr>
            <w:tr w14:paraId="0E996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9" w:type="dxa"/>
                  <w:vMerge w:val="continue"/>
                  <w:noWrap w:val="0"/>
                  <w:vAlign w:val="center"/>
                </w:tcPr>
                <w:p w14:paraId="298775D9">
                  <w:pPr>
                    <w:jc w:val="center"/>
                    <w:rPr>
                      <w:rFonts w:ascii="Times New Roman" w:hAnsi="Times New Roman" w:eastAsia="宋体" w:cs="Times New Roman"/>
                      <w:color w:val="000000"/>
                      <w:szCs w:val="21"/>
                      <w:highlight w:val="none"/>
                    </w:rPr>
                  </w:pPr>
                </w:p>
              </w:tc>
              <w:tc>
                <w:tcPr>
                  <w:tcW w:w="967" w:type="dxa"/>
                  <w:noWrap w:val="0"/>
                  <w:vAlign w:val="center"/>
                </w:tcPr>
                <w:p w14:paraId="337503BA">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达标情况</w:t>
                  </w:r>
                </w:p>
              </w:tc>
              <w:tc>
                <w:tcPr>
                  <w:tcW w:w="855" w:type="dxa"/>
                  <w:noWrap w:val="0"/>
                  <w:vAlign w:val="center"/>
                </w:tcPr>
                <w:p w14:paraId="31F5971C">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达标</w:t>
                  </w:r>
                </w:p>
              </w:tc>
              <w:tc>
                <w:tcPr>
                  <w:tcW w:w="855" w:type="dxa"/>
                  <w:noWrap w:val="0"/>
                  <w:vAlign w:val="center"/>
                </w:tcPr>
                <w:p w14:paraId="365835A0">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达标</w:t>
                  </w:r>
                </w:p>
              </w:tc>
              <w:tc>
                <w:tcPr>
                  <w:tcW w:w="855" w:type="dxa"/>
                  <w:noWrap w:val="0"/>
                  <w:vAlign w:val="center"/>
                </w:tcPr>
                <w:p w14:paraId="645DC60C">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达标</w:t>
                  </w:r>
                </w:p>
              </w:tc>
              <w:tc>
                <w:tcPr>
                  <w:tcW w:w="858" w:type="dxa"/>
                  <w:noWrap w:val="0"/>
                  <w:vAlign w:val="center"/>
                </w:tcPr>
                <w:p w14:paraId="282C8B28">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达标</w:t>
                  </w:r>
                </w:p>
              </w:tc>
            </w:tr>
          </w:tbl>
          <w:p w14:paraId="19A8EB30">
            <w:pPr>
              <w:keepNext w:val="0"/>
              <w:keepLines w:val="0"/>
              <w:pageBreakBefore w:val="0"/>
              <w:widowControl w:val="0"/>
              <w:spacing w:before="157" w:line="360" w:lineRule="auto"/>
              <w:ind w:firstLine="480"/>
              <w:rPr>
                <w:rFonts w:ascii="Times New Roman" w:hAnsi="Times New Roman" w:eastAsia="宋体" w:cs="Times New Roman"/>
                <w:color w:val="000000"/>
                <w:sz w:val="24"/>
                <w:highlight w:val="none"/>
              </w:rPr>
            </w:pPr>
            <w:bookmarkStart w:id="13" w:name="_Toc53562945"/>
            <w:r>
              <w:rPr>
                <w:rFonts w:ascii="Times New Roman" w:hAnsi="Times New Roman" w:eastAsia="宋体" w:cs="Times New Roman"/>
                <w:bCs/>
                <w:color w:val="000000"/>
                <w:sz w:val="24"/>
                <w:szCs w:val="22"/>
                <w:highlight w:val="none"/>
              </w:rPr>
              <w:t>项目夜间不进行生产，由上表可知，项目运</w:t>
            </w:r>
            <w:r>
              <w:rPr>
                <w:rFonts w:ascii="Times New Roman" w:hAnsi="Times New Roman" w:eastAsia="宋体" w:cs="Times New Roman"/>
                <w:bCs/>
                <w:color w:val="000000"/>
                <w:sz w:val="24"/>
                <w:szCs w:val="22"/>
                <w:highlight w:val="none"/>
                <w:lang w:val="en-US" w:eastAsia="zh-CN"/>
              </w:rPr>
              <w:t>营</w:t>
            </w:r>
            <w:r>
              <w:rPr>
                <w:rFonts w:ascii="Times New Roman" w:hAnsi="Times New Roman" w:eastAsia="宋体" w:cs="Times New Roman"/>
                <w:bCs/>
                <w:color w:val="000000"/>
                <w:sz w:val="24"/>
                <w:szCs w:val="22"/>
                <w:highlight w:val="none"/>
              </w:rPr>
              <w:t>期厂界</w:t>
            </w:r>
            <w:r>
              <w:rPr>
                <w:rFonts w:hint="eastAsia" w:ascii="Times New Roman" w:hAnsi="Times New Roman" w:eastAsia="宋体" w:cs="Times New Roman"/>
                <w:bCs/>
                <w:color w:val="000000"/>
                <w:sz w:val="24"/>
                <w:szCs w:val="22"/>
                <w:highlight w:val="none"/>
                <w:lang w:val="en-US" w:eastAsia="zh-CN"/>
              </w:rPr>
              <w:t>的</w:t>
            </w:r>
            <w:r>
              <w:rPr>
                <w:rFonts w:ascii="Times New Roman" w:hAnsi="Times New Roman" w:eastAsia="宋体" w:cs="Times New Roman"/>
                <w:bCs/>
                <w:color w:val="000000"/>
                <w:sz w:val="24"/>
                <w:szCs w:val="22"/>
                <w:highlight w:val="none"/>
              </w:rPr>
              <w:t>噪声</w:t>
            </w:r>
            <w:r>
              <w:rPr>
                <w:rFonts w:hint="eastAsia" w:ascii="Times New Roman" w:hAnsi="Times New Roman" w:eastAsia="宋体" w:cs="Times New Roman"/>
                <w:bCs/>
                <w:color w:val="000000"/>
                <w:sz w:val="24"/>
                <w:szCs w:val="22"/>
                <w:highlight w:val="none"/>
                <w:lang w:val="en-US" w:eastAsia="zh-CN"/>
              </w:rPr>
              <w:t>预测</w:t>
            </w:r>
            <w:r>
              <w:rPr>
                <w:rFonts w:ascii="Times New Roman" w:hAnsi="Times New Roman" w:eastAsia="宋体" w:cs="Times New Roman"/>
                <w:bCs/>
                <w:color w:val="000000"/>
                <w:sz w:val="24"/>
                <w:szCs w:val="22"/>
                <w:highlight w:val="none"/>
              </w:rPr>
              <w:t>值满足《工业企业厂界环境噪声排放标准》（GB12348-2008）中2类标准限值要求。</w:t>
            </w:r>
            <w:bookmarkEnd w:id="13"/>
          </w:p>
          <w:p w14:paraId="7706BF2A">
            <w:pPr>
              <w:spacing w:line="360" w:lineRule="auto"/>
              <w:ind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项目区</w:t>
            </w:r>
            <w:r>
              <w:rPr>
                <w:rFonts w:ascii="Times New Roman" w:hAnsi="Times New Roman" w:eastAsia="宋体" w:cs="Times New Roman"/>
                <w:color w:val="000000"/>
                <w:sz w:val="24"/>
                <w:highlight w:val="none"/>
                <w:lang w:val="en-US" w:eastAsia="zh-CN"/>
              </w:rPr>
              <w:t>厂界外</w:t>
            </w:r>
            <w:r>
              <w:rPr>
                <w:rFonts w:ascii="Times New Roman" w:hAnsi="Times New Roman" w:eastAsia="宋体" w:cs="Times New Roman"/>
                <w:color w:val="000000"/>
                <w:sz w:val="24"/>
                <w:highlight w:val="none"/>
              </w:rPr>
              <w:t>50m范围内</w:t>
            </w:r>
            <w:r>
              <w:rPr>
                <w:rFonts w:hint="eastAsia" w:ascii="Times New Roman" w:hAnsi="Times New Roman" w:eastAsia="宋体" w:cs="Times New Roman"/>
                <w:color w:val="000000"/>
                <w:sz w:val="24"/>
                <w:highlight w:val="none"/>
                <w:lang w:val="en-US" w:eastAsia="zh-CN"/>
              </w:rPr>
              <w:t>无声环境敏感点</w:t>
            </w:r>
            <w:r>
              <w:rPr>
                <w:rFonts w:ascii="Times New Roman" w:hAnsi="Times New Roman" w:eastAsia="宋体" w:cs="Times New Roman"/>
                <w:color w:val="000000"/>
                <w:sz w:val="24"/>
                <w:highlight w:val="none"/>
              </w:rPr>
              <w:t>，</w:t>
            </w:r>
            <w:r>
              <w:rPr>
                <w:rFonts w:hint="eastAsia" w:ascii="Times New Roman" w:hAnsi="Times New Roman" w:eastAsia="宋体" w:cs="Times New Roman"/>
                <w:color w:val="000000"/>
                <w:sz w:val="24"/>
                <w:highlight w:val="none"/>
                <w:lang w:val="en-US" w:eastAsia="zh-CN"/>
              </w:rPr>
              <w:t>根据预测分析，</w:t>
            </w:r>
            <w:r>
              <w:rPr>
                <w:rFonts w:ascii="Times New Roman" w:hAnsi="Times New Roman" w:eastAsia="宋体" w:cs="Times New Roman"/>
                <w:b w:val="0"/>
                <w:bCs/>
                <w:color w:val="000000"/>
                <w:sz w:val="24"/>
                <w:szCs w:val="24"/>
                <w:lang w:val="en-US" w:eastAsia="zh-CN"/>
              </w:rPr>
              <w:t>项目区厂界</w:t>
            </w:r>
            <w:r>
              <w:rPr>
                <w:rFonts w:ascii="Times New Roman" w:hAnsi="Times New Roman" w:eastAsia="宋体" w:cs="Times New Roman"/>
                <w:b w:val="0"/>
                <w:bCs w:val="0"/>
                <w:color w:val="000000"/>
                <w:sz w:val="24"/>
                <w:szCs w:val="24"/>
                <w:lang w:val="en-US" w:eastAsia="zh-CN"/>
              </w:rPr>
              <w:t>噪声</w:t>
            </w:r>
            <w:r>
              <w:rPr>
                <w:rFonts w:hint="eastAsia" w:ascii="Times New Roman" w:hAnsi="Times New Roman" w:eastAsia="宋体" w:cs="Times New Roman"/>
                <w:b w:val="0"/>
                <w:bCs w:val="0"/>
                <w:color w:val="000000"/>
                <w:sz w:val="24"/>
                <w:szCs w:val="24"/>
                <w:lang w:val="en-US" w:eastAsia="zh-CN"/>
              </w:rPr>
              <w:t>可达标排放，即</w:t>
            </w:r>
            <w:r>
              <w:rPr>
                <w:rFonts w:ascii="Times New Roman" w:hAnsi="Times New Roman" w:eastAsia="宋体" w:cs="Times New Roman"/>
                <w:color w:val="000000"/>
                <w:sz w:val="24"/>
                <w:highlight w:val="none"/>
              </w:rPr>
              <w:t>厂界</w:t>
            </w:r>
            <w:r>
              <w:rPr>
                <w:rFonts w:hint="eastAsia" w:ascii="Times New Roman" w:hAnsi="Times New Roman" w:eastAsia="宋体" w:cs="Times New Roman"/>
                <w:color w:val="000000"/>
                <w:sz w:val="24"/>
                <w:highlight w:val="none"/>
                <w:lang w:val="en-US" w:eastAsia="zh-CN"/>
              </w:rPr>
              <w:t>声环境满足</w:t>
            </w:r>
            <w:r>
              <w:rPr>
                <w:rFonts w:ascii="Times New Roman" w:hAnsi="Times New Roman" w:eastAsia="宋体" w:cs="Times New Roman"/>
                <w:b w:val="0"/>
                <w:bCs w:val="0"/>
                <w:color w:val="000000"/>
                <w:sz w:val="24"/>
                <w:szCs w:val="24"/>
                <w:lang w:val="en-US" w:eastAsia="zh-CN"/>
              </w:rPr>
              <w:t>《声环境质量标准》（GB3096-2008）2类标准。故本项目运营期产生的噪声对周围环境保护目标影响较小。</w:t>
            </w:r>
          </w:p>
          <w:p w14:paraId="7E7A0662">
            <w:pPr>
              <w:spacing w:line="360" w:lineRule="auto"/>
              <w:ind w:firstLine="48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综上，在采取设备基础减震、合理布局、厂房隔声等措施下，项目运营期噪声厂界排放满足《工业企业厂界环境噪声排放标准》（GB12348-2008）中2类标准要求</w:t>
            </w:r>
            <w:r>
              <w:rPr>
                <w:rFonts w:ascii="Times New Roman" w:hAnsi="Times New Roman" w:eastAsia="宋体" w:cs="Times New Roman"/>
                <w:color w:val="000000"/>
                <w:sz w:val="24"/>
                <w:highlight w:val="none"/>
                <w:lang w:eastAsia="zh-CN"/>
              </w:rPr>
              <w:t>，</w:t>
            </w:r>
            <w:r>
              <w:rPr>
                <w:rFonts w:ascii="Times New Roman" w:hAnsi="Times New Roman" w:eastAsia="宋体" w:cs="Times New Roman"/>
                <w:color w:val="000000"/>
                <w:sz w:val="24"/>
                <w:highlight w:val="none"/>
                <w:lang w:val="en-US" w:eastAsia="zh-CN"/>
              </w:rPr>
              <w:t>对周围环境及保护目标的影响较小，措施可行。</w:t>
            </w:r>
          </w:p>
          <w:p w14:paraId="534C7B45">
            <w:pPr>
              <w:spacing w:line="360" w:lineRule="auto"/>
              <w:ind w:firstLine="482"/>
              <w:rPr>
                <w:rFonts w:ascii="Times New Roman" w:hAnsi="Times New Roman" w:eastAsia="宋体" w:cs="Times New Roman"/>
                <w:b/>
                <w:bCs/>
                <w:color w:val="000000"/>
                <w:sz w:val="24"/>
                <w:highlight w:val="none"/>
              </w:rPr>
            </w:pPr>
            <w:r>
              <w:rPr>
                <w:rFonts w:ascii="Times New Roman" w:hAnsi="Times New Roman" w:eastAsia="宋体" w:cs="Times New Roman"/>
                <w:b/>
                <w:bCs/>
                <w:color w:val="000000"/>
                <w:sz w:val="24"/>
                <w:highlight w:val="none"/>
                <w:lang w:val="en-US" w:eastAsia="zh-CN"/>
              </w:rPr>
              <w:t>（3）</w:t>
            </w:r>
            <w:r>
              <w:rPr>
                <w:rFonts w:ascii="Times New Roman" w:hAnsi="Times New Roman" w:eastAsia="宋体" w:cs="Times New Roman"/>
                <w:b/>
                <w:bCs/>
                <w:color w:val="000000"/>
                <w:sz w:val="24"/>
                <w:highlight w:val="none"/>
              </w:rPr>
              <w:t>噪声污染源</w:t>
            </w:r>
            <w:r>
              <w:rPr>
                <w:rFonts w:hint="eastAsia" w:ascii="Times New Roman" w:hAnsi="Times New Roman" w:eastAsia="宋体" w:cs="Times New Roman"/>
                <w:b/>
                <w:bCs/>
                <w:color w:val="000000"/>
                <w:sz w:val="24"/>
                <w:highlight w:val="none"/>
                <w:lang w:val="en-US" w:eastAsia="zh-CN"/>
              </w:rPr>
              <w:t>自行</w:t>
            </w:r>
            <w:r>
              <w:rPr>
                <w:rFonts w:ascii="Times New Roman" w:hAnsi="Times New Roman" w:eastAsia="宋体" w:cs="Times New Roman"/>
                <w:b/>
                <w:bCs/>
                <w:color w:val="000000"/>
                <w:sz w:val="24"/>
                <w:highlight w:val="none"/>
              </w:rPr>
              <w:t>监测计划</w:t>
            </w:r>
          </w:p>
          <w:p w14:paraId="3A2266DB">
            <w:pPr>
              <w:tabs>
                <w:tab w:val="left" w:pos="6153"/>
              </w:tabs>
              <w:spacing w:line="360" w:lineRule="auto"/>
              <w:ind w:firstLine="480"/>
              <w:rPr>
                <w:rFonts w:ascii="Times New Roman" w:hAnsi="Times New Roman" w:eastAsia="宋体" w:cs="Times New Roman"/>
                <w:bCs/>
                <w:color w:val="000000"/>
                <w:sz w:val="24"/>
                <w:highlight w:val="none"/>
              </w:rPr>
            </w:pPr>
            <w:r>
              <w:rPr>
                <w:rFonts w:ascii="Times New Roman" w:hAnsi="Times New Roman" w:eastAsia="宋体" w:cs="Times New Roman"/>
                <w:bCs/>
                <w:color w:val="000000"/>
                <w:sz w:val="24"/>
                <w:highlight w:val="none"/>
              </w:rPr>
              <w:t>根据《排污单位自行监测技术指南 总则》（HJ 819-2017</w:t>
            </w:r>
            <w:r>
              <w:rPr>
                <w:rFonts w:hint="eastAsia" w:ascii="Times New Roman" w:hAnsi="Times New Roman" w:eastAsia="宋体" w:cs="Times New Roman"/>
                <w:bCs/>
                <w:color w:val="000000"/>
                <w:sz w:val="24"/>
                <w:highlight w:val="none"/>
                <w:lang w:eastAsia="zh-CN"/>
              </w:rPr>
              <w:t>）</w:t>
            </w:r>
            <w:r>
              <w:rPr>
                <w:rFonts w:hint="eastAsia" w:ascii="Times New Roman" w:hAnsi="Times New Roman" w:eastAsia="宋体" w:cs="Times New Roman"/>
                <w:bCs/>
                <w:color w:val="000000"/>
                <w:sz w:val="24"/>
                <w:highlight w:val="none"/>
                <w:lang w:val="en-US" w:eastAsia="zh-CN"/>
              </w:rPr>
              <w:t>相关</w:t>
            </w:r>
            <w:r>
              <w:rPr>
                <w:rFonts w:ascii="Times New Roman" w:hAnsi="Times New Roman" w:eastAsia="宋体" w:cs="Times New Roman"/>
                <w:bCs/>
                <w:color w:val="000000"/>
                <w:sz w:val="24"/>
                <w:highlight w:val="none"/>
              </w:rPr>
              <w:t>要求，项目运营期噪声污染源自行监测计划见下表。</w:t>
            </w:r>
          </w:p>
          <w:p w14:paraId="27B1643F">
            <w:pPr>
              <w:jc w:val="center"/>
              <w:rPr>
                <w:rFonts w:ascii="Times New Roman" w:hAnsi="Times New Roman" w:eastAsia="宋体" w:cs="Times New Roman"/>
                <w:b/>
                <w:color w:val="000000"/>
                <w:sz w:val="24"/>
                <w:highlight w:val="none"/>
              </w:rPr>
            </w:pPr>
          </w:p>
          <w:p w14:paraId="2941F211">
            <w:pPr>
              <w:jc w:val="center"/>
              <w:rPr>
                <w:rFonts w:ascii="Times New Roman" w:hAnsi="Times New Roman" w:eastAsia="宋体" w:cs="Times New Roman"/>
                <w:b/>
                <w:color w:val="000000"/>
                <w:sz w:val="24"/>
                <w:highlight w:val="none"/>
              </w:rPr>
            </w:pPr>
          </w:p>
          <w:p w14:paraId="218716EB">
            <w:pPr>
              <w:jc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sz w:val="24"/>
                <w:highlight w:val="none"/>
              </w:rPr>
              <w:t>表4-</w:t>
            </w:r>
            <w:r>
              <w:rPr>
                <w:rFonts w:ascii="Times New Roman" w:hAnsi="Times New Roman" w:eastAsia="宋体" w:cs="Times New Roman"/>
                <w:b/>
                <w:color w:val="000000"/>
                <w:sz w:val="24"/>
                <w:highlight w:val="none"/>
                <w:lang w:val="en-US" w:eastAsia="zh-CN"/>
              </w:rPr>
              <w:t>6</w:t>
            </w:r>
            <w:r>
              <w:rPr>
                <w:rFonts w:ascii="Times New Roman" w:hAnsi="Times New Roman" w:eastAsia="宋体" w:cs="Times New Roman"/>
                <w:b/>
                <w:color w:val="000000"/>
                <w:sz w:val="24"/>
                <w:highlight w:val="none"/>
              </w:rPr>
              <w:t xml:space="preserve">  项目运营期厂界噪声监测要求一览表</w:t>
            </w:r>
          </w:p>
          <w:tbl>
            <w:tblPr>
              <w:tblStyle w:val="2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2"/>
              <w:gridCol w:w="2037"/>
              <w:gridCol w:w="1823"/>
              <w:gridCol w:w="1415"/>
              <w:gridCol w:w="2816"/>
            </w:tblGrid>
            <w:tr w14:paraId="319E3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99" w:type="dxa"/>
                  <w:noWrap w:val="0"/>
                  <w:vAlign w:val="center"/>
                </w:tcPr>
                <w:p w14:paraId="05371051">
                  <w:pPr>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pacing w:val="-2"/>
                      <w:szCs w:val="21"/>
                      <w:highlight w:val="none"/>
                    </w:rPr>
                    <w:t>监测对象</w:t>
                  </w:r>
                </w:p>
              </w:tc>
              <w:tc>
                <w:tcPr>
                  <w:tcW w:w="1117" w:type="dxa"/>
                  <w:noWrap w:val="0"/>
                  <w:vAlign w:val="center"/>
                </w:tcPr>
                <w:p w14:paraId="70D935C1">
                  <w:pPr>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pacing w:val="-2"/>
                      <w:szCs w:val="21"/>
                      <w:highlight w:val="none"/>
                    </w:rPr>
                    <w:t>监测点位</w:t>
                  </w:r>
                </w:p>
              </w:tc>
              <w:tc>
                <w:tcPr>
                  <w:tcW w:w="962" w:type="dxa"/>
                  <w:noWrap w:val="0"/>
                  <w:vAlign w:val="center"/>
                </w:tcPr>
                <w:p w14:paraId="658B239D">
                  <w:pPr>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pacing w:val="-3"/>
                      <w:szCs w:val="21"/>
                      <w:highlight w:val="none"/>
                    </w:rPr>
                    <w:t>监测指标</w:t>
                  </w:r>
                </w:p>
              </w:tc>
              <w:tc>
                <w:tcPr>
                  <w:tcW w:w="776" w:type="dxa"/>
                  <w:noWrap w:val="0"/>
                  <w:vAlign w:val="center"/>
                </w:tcPr>
                <w:p w14:paraId="4F419CD5">
                  <w:pPr>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pacing w:val="-2"/>
                      <w:szCs w:val="21"/>
                      <w:highlight w:val="none"/>
                    </w:rPr>
                    <w:t>监测频率</w:t>
                  </w:r>
                </w:p>
              </w:tc>
              <w:tc>
                <w:tcPr>
                  <w:tcW w:w="1544" w:type="dxa"/>
                  <w:noWrap w:val="0"/>
                  <w:vAlign w:val="center"/>
                </w:tcPr>
                <w:p w14:paraId="5D007249">
                  <w:pPr>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pacing w:val="-1"/>
                      <w:szCs w:val="21"/>
                      <w:highlight w:val="none"/>
                    </w:rPr>
                    <w:t>执行标准</w:t>
                  </w:r>
                </w:p>
              </w:tc>
            </w:tr>
            <w:tr w14:paraId="0D239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99" w:type="dxa"/>
                  <w:noWrap w:val="0"/>
                  <w:vAlign w:val="center"/>
                </w:tcPr>
                <w:p w14:paraId="7AA1E58C">
                  <w:pPr>
                    <w:jc w:val="center"/>
                    <w:rPr>
                      <w:rFonts w:ascii="Times New Roman" w:hAnsi="Times New Roman" w:eastAsia="宋体" w:cs="Times New Roman"/>
                      <w:color w:val="000000"/>
                      <w:spacing w:val="-10"/>
                      <w:szCs w:val="21"/>
                      <w:highlight w:val="none"/>
                    </w:rPr>
                  </w:pPr>
                  <w:r>
                    <w:rPr>
                      <w:rFonts w:ascii="Times New Roman" w:hAnsi="Times New Roman" w:eastAsia="宋体" w:cs="Times New Roman"/>
                      <w:color w:val="000000"/>
                      <w:spacing w:val="-10"/>
                      <w:szCs w:val="21"/>
                      <w:highlight w:val="none"/>
                    </w:rPr>
                    <w:t>噪声</w:t>
                  </w:r>
                </w:p>
              </w:tc>
              <w:tc>
                <w:tcPr>
                  <w:tcW w:w="1117" w:type="dxa"/>
                  <w:noWrap w:val="0"/>
                  <w:vAlign w:val="center"/>
                </w:tcPr>
                <w:p w14:paraId="027F4B51">
                  <w:pPr>
                    <w:jc w:val="center"/>
                    <w:rPr>
                      <w:rFonts w:ascii="Times New Roman" w:hAnsi="Times New Roman" w:eastAsia="宋体" w:cs="Times New Roman"/>
                      <w:color w:val="000000"/>
                      <w:spacing w:val="-10"/>
                      <w:szCs w:val="21"/>
                      <w:highlight w:val="none"/>
                    </w:rPr>
                  </w:pPr>
                  <w:r>
                    <w:rPr>
                      <w:rFonts w:ascii="Times New Roman" w:hAnsi="Times New Roman" w:eastAsia="宋体" w:cs="Times New Roman"/>
                      <w:color w:val="000000"/>
                      <w:spacing w:val="-10"/>
                      <w:szCs w:val="21"/>
                      <w:highlight w:val="none"/>
                    </w:rPr>
                    <w:t>项目东、南、西、北厂界外1m处</w:t>
                  </w:r>
                </w:p>
              </w:tc>
              <w:tc>
                <w:tcPr>
                  <w:tcW w:w="962" w:type="dxa"/>
                  <w:noWrap w:val="0"/>
                  <w:vAlign w:val="center"/>
                </w:tcPr>
                <w:p w14:paraId="32D7E06F">
                  <w:pPr>
                    <w:jc w:val="center"/>
                    <w:rPr>
                      <w:rFonts w:ascii="Times New Roman" w:hAnsi="Times New Roman" w:eastAsia="宋体" w:cs="Times New Roman"/>
                      <w:color w:val="000000"/>
                      <w:spacing w:val="-10"/>
                      <w:szCs w:val="21"/>
                      <w:highlight w:val="none"/>
                    </w:rPr>
                  </w:pPr>
                  <w:r>
                    <w:rPr>
                      <w:rFonts w:ascii="Times New Roman" w:hAnsi="Times New Roman" w:eastAsia="宋体" w:cs="Times New Roman"/>
                      <w:color w:val="000000"/>
                      <w:spacing w:val="-10"/>
                      <w:szCs w:val="21"/>
                      <w:highlight w:val="none"/>
                    </w:rPr>
                    <w:t>等效声级</w:t>
                  </w:r>
                </w:p>
                <w:p w14:paraId="5EBC9D1D">
                  <w:pPr>
                    <w:jc w:val="center"/>
                    <w:rPr>
                      <w:rFonts w:ascii="Times New Roman" w:hAnsi="Times New Roman" w:eastAsia="宋体" w:cs="Times New Roman"/>
                      <w:color w:val="000000"/>
                      <w:spacing w:val="-10"/>
                      <w:szCs w:val="21"/>
                      <w:highlight w:val="none"/>
                    </w:rPr>
                  </w:pPr>
                  <w:r>
                    <w:rPr>
                      <w:rFonts w:ascii="Times New Roman" w:hAnsi="Times New Roman" w:eastAsia="宋体" w:cs="Times New Roman"/>
                      <w:color w:val="000000"/>
                      <w:spacing w:val="-10"/>
                      <w:szCs w:val="21"/>
                      <w:highlight w:val="none"/>
                    </w:rPr>
                    <w:t>Le</w:t>
                  </w:r>
                  <w:r>
                    <w:rPr>
                      <w:rFonts w:ascii="Times New Roman" w:hAnsi="Times New Roman" w:eastAsia="宋体" w:cs="Times New Roman"/>
                      <w:color w:val="000000"/>
                      <w:spacing w:val="-10"/>
                      <w:szCs w:val="21"/>
                      <w:highlight w:val="none"/>
                      <w:lang w:val="en-US" w:eastAsia="zh-CN"/>
                    </w:rPr>
                    <w:t>q</w:t>
                  </w:r>
                  <w:r>
                    <w:rPr>
                      <w:rFonts w:ascii="Times New Roman" w:hAnsi="Times New Roman" w:eastAsia="宋体" w:cs="Times New Roman"/>
                      <w:color w:val="000000"/>
                      <w:spacing w:val="-10"/>
                      <w:szCs w:val="21"/>
                      <w:highlight w:val="none"/>
                    </w:rPr>
                    <w:t>dB(A)</w:t>
                  </w:r>
                </w:p>
              </w:tc>
              <w:tc>
                <w:tcPr>
                  <w:tcW w:w="776" w:type="dxa"/>
                  <w:noWrap w:val="0"/>
                  <w:vAlign w:val="center"/>
                </w:tcPr>
                <w:p w14:paraId="3F757880">
                  <w:pPr>
                    <w:jc w:val="center"/>
                    <w:rPr>
                      <w:rFonts w:ascii="Times New Roman" w:hAnsi="Times New Roman" w:eastAsia="宋体" w:cs="Times New Roman"/>
                      <w:color w:val="000000"/>
                      <w:spacing w:val="-10"/>
                      <w:szCs w:val="21"/>
                      <w:highlight w:val="none"/>
                    </w:rPr>
                  </w:pPr>
                  <w:r>
                    <w:rPr>
                      <w:rFonts w:ascii="Times New Roman" w:hAnsi="Times New Roman" w:eastAsia="宋体" w:cs="Times New Roman"/>
                      <w:color w:val="000000"/>
                      <w:spacing w:val="-10"/>
                      <w:szCs w:val="21"/>
                      <w:highlight w:val="none"/>
                    </w:rPr>
                    <w:t>1次/季度</w:t>
                  </w:r>
                </w:p>
              </w:tc>
              <w:tc>
                <w:tcPr>
                  <w:tcW w:w="1544" w:type="dxa"/>
                  <w:noWrap w:val="0"/>
                  <w:vAlign w:val="center"/>
                </w:tcPr>
                <w:p w14:paraId="5C29D1DE">
                  <w:pPr>
                    <w:jc w:val="center"/>
                    <w:rPr>
                      <w:rFonts w:ascii="Times New Roman" w:hAnsi="Times New Roman" w:eastAsia="宋体" w:cs="Times New Roman"/>
                      <w:color w:val="000000"/>
                      <w:spacing w:val="-10"/>
                      <w:szCs w:val="21"/>
                      <w:highlight w:val="none"/>
                      <w:lang w:val="en-US" w:eastAsia="zh-CN"/>
                    </w:rPr>
                  </w:pPr>
                  <w:r>
                    <w:rPr>
                      <w:rFonts w:hint="eastAsia" w:ascii="Times New Roman" w:hAnsi="Times New Roman" w:eastAsia="宋体" w:cs="Times New Roman"/>
                      <w:color w:val="000000"/>
                      <w:spacing w:val="-10"/>
                      <w:szCs w:val="21"/>
                      <w:highlight w:val="none"/>
                      <w:lang w:val="en-US" w:eastAsia="zh-CN"/>
                    </w:rPr>
                    <w:t>执行</w:t>
                  </w:r>
                  <w:r>
                    <w:rPr>
                      <w:rFonts w:ascii="Times New Roman" w:hAnsi="Times New Roman" w:eastAsia="宋体" w:cs="Times New Roman"/>
                      <w:color w:val="000000"/>
                      <w:spacing w:val="-10"/>
                      <w:szCs w:val="21"/>
                      <w:highlight w:val="none"/>
                    </w:rPr>
                    <w:t>《工业企业厂界噪声排放标准》</w:t>
                  </w:r>
                  <w:r>
                    <w:rPr>
                      <w:rFonts w:ascii="Times New Roman" w:hAnsi="Times New Roman" w:eastAsia="宋体" w:cs="Times New Roman"/>
                      <w:color w:val="000000"/>
                      <w:spacing w:val="-10"/>
                      <w:szCs w:val="21"/>
                      <w:highlight w:val="none"/>
                      <w:lang w:eastAsia="zh-CN"/>
                    </w:rPr>
                    <w:t>（</w:t>
                  </w:r>
                  <w:r>
                    <w:rPr>
                      <w:rFonts w:ascii="Times New Roman" w:hAnsi="Times New Roman" w:eastAsia="宋体" w:cs="Times New Roman"/>
                      <w:color w:val="000000"/>
                      <w:spacing w:val="-10"/>
                      <w:szCs w:val="21"/>
                      <w:highlight w:val="none"/>
                    </w:rPr>
                    <w:t>GB12348-2008</w:t>
                  </w:r>
                  <w:r>
                    <w:rPr>
                      <w:rFonts w:ascii="Times New Roman" w:hAnsi="Times New Roman" w:eastAsia="宋体" w:cs="Times New Roman"/>
                      <w:color w:val="000000"/>
                      <w:spacing w:val="-10"/>
                      <w:szCs w:val="21"/>
                      <w:highlight w:val="none"/>
                      <w:lang w:eastAsia="zh-CN"/>
                    </w:rPr>
                    <w:t>）</w:t>
                  </w:r>
                  <w:r>
                    <w:rPr>
                      <w:rFonts w:hint="eastAsia" w:ascii="Times New Roman" w:hAnsi="Times New Roman" w:eastAsia="宋体" w:cs="Times New Roman"/>
                      <w:color w:val="000000"/>
                      <w:spacing w:val="-10"/>
                      <w:szCs w:val="21"/>
                      <w:highlight w:val="none"/>
                      <w:lang w:val="en-US" w:eastAsia="zh-CN"/>
                    </w:rPr>
                    <w:t>2</w:t>
                  </w:r>
                  <w:r>
                    <w:rPr>
                      <w:rFonts w:ascii="Times New Roman" w:hAnsi="Times New Roman" w:eastAsia="宋体" w:cs="Times New Roman"/>
                      <w:color w:val="000000"/>
                      <w:spacing w:val="-10"/>
                      <w:szCs w:val="21"/>
                      <w:highlight w:val="none"/>
                    </w:rPr>
                    <w:t>类标准</w:t>
                  </w:r>
                </w:p>
              </w:tc>
            </w:tr>
          </w:tbl>
          <w:p w14:paraId="19BF38B8">
            <w:pPr>
              <w:keepNext w:val="0"/>
              <w:keepLines w:val="0"/>
              <w:pageBreakBefore w:val="0"/>
              <w:widowControl w:val="0"/>
              <w:tabs>
                <w:tab w:val="left" w:pos="6153"/>
              </w:tabs>
              <w:spacing w:before="157" w:line="360" w:lineRule="auto"/>
              <w:ind w:firstLine="482"/>
              <w:rPr>
                <w:rFonts w:ascii="Times New Roman" w:hAnsi="Times New Roman" w:eastAsia="宋体" w:cs="Times New Roman"/>
                <w:b/>
                <w:color w:val="000000"/>
                <w:sz w:val="24"/>
                <w:szCs w:val="24"/>
                <w:highlight w:val="none"/>
                <w:lang w:val="en-US" w:eastAsia="zh-CN"/>
              </w:rPr>
            </w:pPr>
          </w:p>
          <w:p w14:paraId="2ED1C2B6">
            <w:pPr>
              <w:pStyle w:val="2"/>
              <w:rPr>
                <w:rFonts w:ascii="Times New Roman" w:hAnsi="Times New Roman" w:eastAsia="宋体" w:cs="Times New Roman"/>
                <w:b/>
                <w:color w:val="000000"/>
                <w:sz w:val="24"/>
                <w:szCs w:val="24"/>
                <w:highlight w:val="none"/>
                <w:lang w:val="en-US" w:eastAsia="zh-CN"/>
              </w:rPr>
            </w:pPr>
          </w:p>
          <w:p w14:paraId="4B8CA741">
            <w:pPr>
              <w:rPr>
                <w:rFonts w:ascii="Times New Roman" w:hAnsi="Times New Roman" w:eastAsia="宋体" w:cs="Times New Roman"/>
                <w:b/>
                <w:color w:val="000000"/>
                <w:sz w:val="24"/>
                <w:szCs w:val="24"/>
                <w:highlight w:val="none"/>
                <w:lang w:val="en-US" w:eastAsia="zh-CN"/>
              </w:rPr>
            </w:pPr>
          </w:p>
          <w:p w14:paraId="08DD5C11">
            <w:pPr>
              <w:pStyle w:val="2"/>
              <w:rPr>
                <w:rFonts w:ascii="Times New Roman" w:hAnsi="Times New Roman" w:eastAsia="宋体" w:cs="Times New Roman"/>
                <w:b/>
                <w:color w:val="000000"/>
                <w:sz w:val="24"/>
                <w:szCs w:val="24"/>
                <w:highlight w:val="none"/>
                <w:lang w:val="en-US" w:eastAsia="zh-CN"/>
              </w:rPr>
            </w:pPr>
          </w:p>
          <w:p w14:paraId="1CCD2B4C">
            <w:pPr>
              <w:rPr>
                <w:rFonts w:ascii="Times New Roman" w:hAnsi="Times New Roman" w:eastAsia="宋体" w:cs="Times New Roman"/>
                <w:b/>
                <w:color w:val="000000"/>
                <w:sz w:val="24"/>
                <w:szCs w:val="24"/>
                <w:highlight w:val="none"/>
                <w:lang w:val="en-US" w:eastAsia="zh-CN"/>
              </w:rPr>
            </w:pPr>
          </w:p>
          <w:p w14:paraId="5A5BA37B">
            <w:pPr>
              <w:pStyle w:val="2"/>
              <w:rPr>
                <w:rFonts w:ascii="Times New Roman" w:hAnsi="Times New Roman" w:eastAsia="宋体" w:cs="Times New Roman"/>
                <w:b/>
                <w:color w:val="000000"/>
                <w:sz w:val="24"/>
                <w:szCs w:val="24"/>
                <w:highlight w:val="none"/>
                <w:lang w:val="en-US" w:eastAsia="zh-CN"/>
              </w:rPr>
            </w:pPr>
          </w:p>
          <w:p w14:paraId="062E7919">
            <w:pPr>
              <w:rPr>
                <w:rFonts w:ascii="Times New Roman" w:hAnsi="Times New Roman" w:eastAsia="宋体" w:cs="Times New Roman"/>
                <w:b/>
                <w:color w:val="000000"/>
                <w:sz w:val="24"/>
                <w:szCs w:val="24"/>
                <w:highlight w:val="none"/>
                <w:lang w:val="en-US" w:eastAsia="zh-CN"/>
              </w:rPr>
            </w:pPr>
          </w:p>
          <w:p w14:paraId="03A4FD9E">
            <w:pPr>
              <w:pStyle w:val="2"/>
              <w:rPr>
                <w:rFonts w:ascii="Times New Roman" w:hAnsi="Times New Roman" w:eastAsia="宋体" w:cs="Times New Roman"/>
                <w:b/>
                <w:color w:val="000000"/>
                <w:sz w:val="24"/>
                <w:szCs w:val="24"/>
                <w:highlight w:val="none"/>
                <w:lang w:val="en-US" w:eastAsia="zh-CN"/>
              </w:rPr>
            </w:pPr>
          </w:p>
          <w:p w14:paraId="77DAC864">
            <w:pPr>
              <w:rPr>
                <w:rFonts w:ascii="Times New Roman" w:hAnsi="Times New Roman" w:eastAsia="宋体" w:cs="Times New Roman"/>
                <w:b/>
                <w:color w:val="000000"/>
                <w:sz w:val="24"/>
                <w:szCs w:val="24"/>
                <w:highlight w:val="none"/>
                <w:lang w:val="en-US" w:eastAsia="zh-CN"/>
              </w:rPr>
            </w:pPr>
          </w:p>
          <w:p w14:paraId="3AD6244F">
            <w:pPr>
              <w:pStyle w:val="2"/>
              <w:rPr>
                <w:rFonts w:ascii="Times New Roman" w:hAnsi="Times New Roman" w:eastAsia="宋体" w:cs="Times New Roman"/>
                <w:b/>
                <w:color w:val="000000"/>
                <w:sz w:val="24"/>
                <w:szCs w:val="24"/>
                <w:highlight w:val="none"/>
                <w:lang w:val="en-US" w:eastAsia="zh-CN"/>
              </w:rPr>
            </w:pPr>
          </w:p>
          <w:p w14:paraId="77549AF8">
            <w:pPr>
              <w:rPr>
                <w:rFonts w:ascii="Times New Roman" w:hAnsi="Times New Roman" w:eastAsia="宋体" w:cs="Times New Roman"/>
                <w:b/>
                <w:color w:val="000000"/>
                <w:sz w:val="24"/>
                <w:szCs w:val="24"/>
                <w:highlight w:val="none"/>
                <w:lang w:val="en-US" w:eastAsia="zh-CN"/>
              </w:rPr>
            </w:pPr>
          </w:p>
          <w:p w14:paraId="0E46E06B">
            <w:pPr>
              <w:pStyle w:val="2"/>
              <w:rPr>
                <w:rFonts w:ascii="Times New Roman" w:hAnsi="Times New Roman" w:eastAsia="宋体" w:cs="Times New Roman"/>
                <w:b/>
                <w:color w:val="000000"/>
                <w:sz w:val="24"/>
                <w:szCs w:val="24"/>
                <w:highlight w:val="none"/>
                <w:lang w:val="en-US" w:eastAsia="zh-CN"/>
              </w:rPr>
            </w:pPr>
          </w:p>
          <w:p w14:paraId="15B831DA">
            <w:pPr>
              <w:rPr>
                <w:rFonts w:ascii="Times New Roman" w:hAnsi="Times New Roman" w:eastAsia="宋体" w:cs="Times New Roman"/>
                <w:b/>
                <w:color w:val="000000"/>
                <w:sz w:val="24"/>
                <w:szCs w:val="24"/>
                <w:highlight w:val="none"/>
                <w:lang w:val="en-US" w:eastAsia="zh-CN"/>
              </w:rPr>
            </w:pPr>
          </w:p>
          <w:p w14:paraId="399B49FC">
            <w:pPr>
              <w:pStyle w:val="2"/>
              <w:rPr>
                <w:rFonts w:ascii="Times New Roman" w:hAnsi="Times New Roman" w:eastAsia="宋体" w:cs="Times New Roman"/>
                <w:b/>
                <w:color w:val="000000"/>
                <w:sz w:val="24"/>
                <w:szCs w:val="24"/>
                <w:highlight w:val="none"/>
                <w:lang w:val="en-US" w:eastAsia="zh-CN"/>
              </w:rPr>
            </w:pPr>
          </w:p>
          <w:p w14:paraId="4A8BC13F">
            <w:pPr>
              <w:rPr>
                <w:rFonts w:ascii="Times New Roman" w:hAnsi="Times New Roman" w:eastAsia="宋体" w:cs="Times New Roman"/>
                <w:b/>
                <w:color w:val="000000"/>
                <w:sz w:val="24"/>
                <w:szCs w:val="24"/>
                <w:highlight w:val="none"/>
                <w:lang w:val="en-US" w:eastAsia="zh-CN"/>
              </w:rPr>
            </w:pPr>
          </w:p>
          <w:p w14:paraId="6035133C">
            <w:pPr>
              <w:pStyle w:val="2"/>
              <w:rPr>
                <w:rFonts w:ascii="Times New Roman" w:hAnsi="Times New Roman" w:eastAsia="宋体" w:cs="Times New Roman"/>
                <w:b/>
                <w:color w:val="000000"/>
                <w:sz w:val="24"/>
                <w:szCs w:val="24"/>
                <w:highlight w:val="none"/>
                <w:lang w:val="en-US" w:eastAsia="zh-CN"/>
              </w:rPr>
            </w:pPr>
          </w:p>
          <w:p w14:paraId="6C26492C">
            <w:pPr>
              <w:rPr>
                <w:rFonts w:ascii="Times New Roman" w:hAnsi="Times New Roman" w:eastAsia="宋体" w:cs="Times New Roman"/>
                <w:b/>
                <w:color w:val="000000"/>
                <w:sz w:val="24"/>
                <w:szCs w:val="24"/>
                <w:highlight w:val="none"/>
                <w:lang w:val="en-US" w:eastAsia="zh-CN"/>
              </w:rPr>
            </w:pPr>
          </w:p>
          <w:p w14:paraId="56F52785">
            <w:pPr>
              <w:pStyle w:val="2"/>
              <w:rPr>
                <w:rFonts w:ascii="Times New Roman" w:hAnsi="Times New Roman" w:eastAsia="宋体" w:cs="Times New Roman"/>
                <w:b/>
                <w:color w:val="000000"/>
                <w:sz w:val="24"/>
                <w:szCs w:val="24"/>
                <w:highlight w:val="none"/>
                <w:lang w:val="en-US" w:eastAsia="zh-CN"/>
              </w:rPr>
            </w:pPr>
          </w:p>
          <w:p w14:paraId="10C2006C">
            <w:pPr>
              <w:rPr>
                <w:rFonts w:ascii="Times New Roman" w:hAnsi="Times New Roman" w:eastAsia="宋体" w:cs="Times New Roman"/>
                <w:b/>
                <w:color w:val="000000"/>
                <w:sz w:val="24"/>
                <w:szCs w:val="24"/>
                <w:highlight w:val="none"/>
                <w:lang w:val="en-US" w:eastAsia="zh-CN"/>
              </w:rPr>
            </w:pPr>
          </w:p>
          <w:p w14:paraId="782EDA73">
            <w:pPr>
              <w:pStyle w:val="2"/>
              <w:rPr>
                <w:rFonts w:ascii="Times New Roman" w:hAnsi="Times New Roman" w:eastAsia="宋体" w:cs="Times New Roman"/>
                <w:b/>
                <w:color w:val="000000"/>
                <w:sz w:val="24"/>
                <w:szCs w:val="24"/>
                <w:highlight w:val="none"/>
                <w:lang w:val="en-US" w:eastAsia="zh-CN"/>
              </w:rPr>
            </w:pPr>
          </w:p>
          <w:p w14:paraId="28590C16">
            <w:pPr>
              <w:rPr>
                <w:rFonts w:ascii="Times New Roman" w:hAnsi="Times New Roman" w:eastAsia="宋体" w:cs="Times New Roman"/>
                <w:b/>
                <w:color w:val="000000"/>
                <w:sz w:val="24"/>
                <w:szCs w:val="24"/>
                <w:highlight w:val="none"/>
                <w:lang w:val="en-US" w:eastAsia="zh-CN"/>
              </w:rPr>
            </w:pPr>
          </w:p>
          <w:p w14:paraId="16256800">
            <w:pPr>
              <w:pStyle w:val="2"/>
              <w:rPr>
                <w:rFonts w:ascii="Times New Roman" w:hAnsi="Times New Roman" w:eastAsia="宋体" w:cs="Times New Roman"/>
                <w:b/>
                <w:color w:val="000000"/>
                <w:sz w:val="24"/>
                <w:szCs w:val="24"/>
                <w:highlight w:val="none"/>
                <w:lang w:val="en-US" w:eastAsia="zh-CN"/>
              </w:rPr>
            </w:pPr>
          </w:p>
          <w:p w14:paraId="56B8A5AA">
            <w:pPr>
              <w:rPr>
                <w:rFonts w:ascii="Times New Roman" w:hAnsi="Times New Roman" w:eastAsia="宋体" w:cs="Times New Roman"/>
                <w:b/>
                <w:color w:val="000000"/>
                <w:sz w:val="24"/>
                <w:szCs w:val="24"/>
                <w:highlight w:val="none"/>
                <w:lang w:val="en-US" w:eastAsia="zh-CN"/>
              </w:rPr>
            </w:pPr>
          </w:p>
          <w:p w14:paraId="7960E6C4">
            <w:pPr>
              <w:pStyle w:val="2"/>
              <w:rPr>
                <w:rFonts w:ascii="Times New Roman" w:hAnsi="Times New Roman" w:eastAsia="宋体" w:cs="Times New Roman"/>
                <w:b/>
                <w:color w:val="000000"/>
                <w:sz w:val="24"/>
                <w:szCs w:val="24"/>
                <w:highlight w:val="none"/>
                <w:lang w:val="en-US" w:eastAsia="zh-CN"/>
              </w:rPr>
            </w:pPr>
          </w:p>
          <w:p w14:paraId="74A5533A">
            <w:pPr>
              <w:rPr>
                <w:rFonts w:ascii="Times New Roman" w:hAnsi="Times New Roman" w:eastAsia="宋体" w:cs="Times New Roman"/>
                <w:b/>
                <w:color w:val="000000"/>
                <w:sz w:val="24"/>
                <w:szCs w:val="24"/>
                <w:highlight w:val="none"/>
                <w:lang w:val="en-US" w:eastAsia="zh-CN"/>
              </w:rPr>
            </w:pPr>
          </w:p>
          <w:p w14:paraId="05FA5317">
            <w:pPr>
              <w:pStyle w:val="2"/>
              <w:rPr>
                <w:rFonts w:ascii="Times New Roman" w:hAnsi="Times New Roman" w:eastAsia="宋体" w:cs="Times New Roman"/>
                <w:b/>
                <w:color w:val="000000"/>
                <w:sz w:val="24"/>
                <w:szCs w:val="24"/>
                <w:highlight w:val="none"/>
                <w:lang w:val="en-US" w:eastAsia="zh-CN"/>
              </w:rPr>
            </w:pPr>
          </w:p>
          <w:p w14:paraId="66193B75">
            <w:pPr>
              <w:rPr>
                <w:rFonts w:ascii="Times New Roman" w:hAnsi="Times New Roman" w:eastAsia="宋体" w:cs="Times New Roman"/>
                <w:b/>
                <w:color w:val="000000"/>
                <w:sz w:val="24"/>
                <w:szCs w:val="24"/>
                <w:highlight w:val="none"/>
                <w:lang w:val="en-US" w:eastAsia="zh-CN"/>
              </w:rPr>
            </w:pPr>
          </w:p>
          <w:p w14:paraId="4FFC8175">
            <w:pPr>
              <w:pStyle w:val="2"/>
              <w:rPr>
                <w:rFonts w:ascii="Times New Roman" w:hAnsi="Times New Roman" w:eastAsia="宋体" w:cs="Times New Roman"/>
                <w:b/>
                <w:color w:val="000000"/>
                <w:sz w:val="24"/>
                <w:szCs w:val="24"/>
                <w:highlight w:val="none"/>
                <w:lang w:val="en-US" w:eastAsia="zh-CN"/>
              </w:rPr>
            </w:pPr>
          </w:p>
          <w:p w14:paraId="76F4FBE9">
            <w:pPr>
              <w:rPr>
                <w:rFonts w:ascii="Times New Roman" w:hAnsi="Times New Roman" w:eastAsia="宋体" w:cs="Times New Roman"/>
                <w:b/>
                <w:color w:val="000000"/>
                <w:sz w:val="24"/>
                <w:szCs w:val="24"/>
                <w:highlight w:val="none"/>
                <w:lang w:val="en-US" w:eastAsia="zh-CN"/>
              </w:rPr>
            </w:pPr>
          </w:p>
          <w:p w14:paraId="458E96DD">
            <w:pPr>
              <w:pStyle w:val="2"/>
              <w:rPr>
                <w:rFonts w:ascii="Times New Roman" w:hAnsi="Times New Roman" w:eastAsia="宋体" w:cs="Times New Roman"/>
                <w:b/>
                <w:color w:val="000000"/>
                <w:sz w:val="24"/>
                <w:szCs w:val="24"/>
                <w:highlight w:val="none"/>
                <w:lang w:val="en-US" w:eastAsia="zh-CN"/>
              </w:rPr>
            </w:pPr>
          </w:p>
          <w:p w14:paraId="7A4C55D8">
            <w:pPr>
              <w:rPr>
                <w:rFonts w:ascii="Times New Roman" w:hAnsi="Times New Roman" w:eastAsia="宋体" w:cs="Times New Roman"/>
                <w:b/>
                <w:color w:val="000000"/>
                <w:sz w:val="24"/>
                <w:szCs w:val="24"/>
                <w:highlight w:val="none"/>
                <w:lang w:val="en-US" w:eastAsia="zh-CN"/>
              </w:rPr>
            </w:pPr>
          </w:p>
          <w:p w14:paraId="23C62FD8">
            <w:pPr>
              <w:pStyle w:val="2"/>
              <w:rPr>
                <w:rFonts w:ascii="Times New Roman" w:hAnsi="Times New Roman" w:eastAsia="宋体" w:cs="Times New Roman"/>
                <w:b/>
                <w:color w:val="000000"/>
                <w:sz w:val="24"/>
                <w:szCs w:val="24"/>
                <w:highlight w:val="none"/>
                <w:lang w:val="en-US" w:eastAsia="zh-CN"/>
              </w:rPr>
            </w:pPr>
          </w:p>
          <w:p w14:paraId="45ADEDEA">
            <w:pPr>
              <w:rPr>
                <w:rFonts w:ascii="Times New Roman" w:hAnsi="Times New Roman" w:eastAsia="宋体" w:cs="Times New Roman"/>
                <w:b/>
                <w:color w:val="000000"/>
                <w:sz w:val="24"/>
                <w:szCs w:val="24"/>
                <w:highlight w:val="none"/>
                <w:lang w:val="en-US" w:eastAsia="zh-CN"/>
              </w:rPr>
            </w:pPr>
          </w:p>
          <w:p w14:paraId="451DD314">
            <w:pPr>
              <w:pStyle w:val="2"/>
              <w:rPr>
                <w:rFonts w:ascii="Times New Roman" w:hAnsi="Times New Roman" w:eastAsia="宋体" w:cs="Times New Roman"/>
                <w:b/>
                <w:color w:val="000000"/>
                <w:sz w:val="24"/>
                <w:szCs w:val="24"/>
                <w:highlight w:val="none"/>
                <w:lang w:val="en-US" w:eastAsia="zh-CN"/>
              </w:rPr>
            </w:pPr>
          </w:p>
          <w:p w14:paraId="26E6A4DE">
            <w:pPr>
              <w:rPr>
                <w:lang w:val="en-US" w:eastAsia="zh-CN"/>
              </w:rPr>
            </w:pPr>
          </w:p>
          <w:p w14:paraId="2C7F34C3">
            <w:pPr>
              <w:spacing w:line="360" w:lineRule="auto"/>
              <w:ind w:firstLine="482"/>
              <w:rPr>
                <w:rFonts w:ascii="Times New Roman" w:hAnsi="Times New Roman" w:eastAsia="宋体" w:cs="Times New Roman"/>
                <w:b/>
                <w:bCs/>
                <w:color w:val="000000"/>
                <w:sz w:val="24"/>
                <w:highlight w:val="none"/>
                <w:lang w:val="en-US" w:eastAsia="zh-CN"/>
              </w:rPr>
            </w:pPr>
          </w:p>
          <w:p w14:paraId="7178C974">
            <w:pPr>
              <w:pStyle w:val="2"/>
              <w:rPr>
                <w:rFonts w:ascii="Times New Roman" w:hAnsi="Times New Roman" w:eastAsia="宋体" w:cs="Times New Roman"/>
                <w:b/>
                <w:bCs/>
                <w:color w:val="000000"/>
                <w:sz w:val="24"/>
                <w:highlight w:val="none"/>
                <w:lang w:val="en-US" w:eastAsia="zh-CN"/>
              </w:rPr>
            </w:pPr>
          </w:p>
          <w:p w14:paraId="5ECD89FD">
            <w:pPr>
              <w:rPr>
                <w:rFonts w:ascii="Times New Roman" w:hAnsi="Times New Roman" w:eastAsia="宋体" w:cs="Times New Roman"/>
                <w:b/>
                <w:bCs/>
                <w:color w:val="000000"/>
                <w:sz w:val="24"/>
                <w:highlight w:val="none"/>
                <w:lang w:val="en-US" w:eastAsia="zh-CN"/>
              </w:rPr>
            </w:pPr>
          </w:p>
          <w:p w14:paraId="3D67E076">
            <w:pPr>
              <w:pStyle w:val="2"/>
              <w:rPr>
                <w:rFonts w:ascii="Times New Roman" w:hAnsi="Times New Roman" w:eastAsia="宋体" w:cs="Times New Roman"/>
                <w:b/>
                <w:bCs/>
                <w:color w:val="000000"/>
                <w:sz w:val="24"/>
                <w:highlight w:val="none"/>
                <w:lang w:val="en-US" w:eastAsia="zh-CN"/>
              </w:rPr>
            </w:pPr>
          </w:p>
          <w:p w14:paraId="2B54CB1A">
            <w:pPr>
              <w:rPr>
                <w:rFonts w:ascii="Times New Roman" w:hAnsi="Times New Roman" w:eastAsia="宋体" w:cs="Times New Roman"/>
                <w:b/>
                <w:bCs/>
                <w:color w:val="000000"/>
                <w:sz w:val="24"/>
                <w:highlight w:val="none"/>
                <w:lang w:val="en-US" w:eastAsia="zh-CN"/>
              </w:rPr>
            </w:pPr>
          </w:p>
          <w:p w14:paraId="2D8BEC4B">
            <w:pPr>
              <w:pStyle w:val="2"/>
              <w:rPr>
                <w:rFonts w:ascii="Times New Roman" w:hAnsi="Times New Roman" w:eastAsia="宋体" w:cs="Times New Roman"/>
                <w:b/>
                <w:bCs/>
                <w:color w:val="000000"/>
                <w:sz w:val="24"/>
                <w:highlight w:val="none"/>
                <w:lang w:val="en-US" w:eastAsia="zh-CN"/>
              </w:rPr>
            </w:pPr>
          </w:p>
          <w:p w14:paraId="386EDCC3">
            <w:pPr>
              <w:rPr>
                <w:rFonts w:ascii="Times New Roman" w:hAnsi="Times New Roman" w:eastAsia="宋体" w:cs="Times New Roman"/>
                <w:b/>
                <w:bCs/>
                <w:color w:val="000000"/>
                <w:sz w:val="24"/>
                <w:highlight w:val="none"/>
                <w:lang w:val="en-US" w:eastAsia="zh-CN"/>
              </w:rPr>
            </w:pPr>
          </w:p>
          <w:p w14:paraId="6C0837B5">
            <w:pPr>
              <w:pStyle w:val="2"/>
              <w:rPr>
                <w:rFonts w:ascii="Times New Roman" w:hAnsi="Times New Roman" w:eastAsia="宋体" w:cs="Times New Roman"/>
                <w:b/>
                <w:bCs/>
                <w:color w:val="000000"/>
                <w:sz w:val="24"/>
                <w:highlight w:val="none"/>
                <w:lang w:val="en-US" w:eastAsia="zh-CN"/>
              </w:rPr>
            </w:pPr>
          </w:p>
          <w:p w14:paraId="2D0E8D7E">
            <w:pPr>
              <w:rPr>
                <w:lang w:val="en-US" w:eastAsia="zh-CN"/>
              </w:rPr>
            </w:pPr>
          </w:p>
          <w:p w14:paraId="294D0866">
            <w:pPr>
              <w:spacing w:line="360" w:lineRule="auto"/>
              <w:ind w:firstLine="482"/>
              <w:rPr>
                <w:rFonts w:ascii="Times New Roman" w:hAnsi="Times New Roman" w:eastAsia="宋体" w:cs="Times New Roman"/>
                <w:b/>
                <w:bCs/>
                <w:color w:val="000000"/>
                <w:sz w:val="24"/>
                <w:highlight w:val="none"/>
                <w:lang w:val="en-US" w:eastAsia="zh-CN"/>
              </w:rPr>
            </w:pPr>
          </w:p>
          <w:p w14:paraId="67D868D6">
            <w:pPr>
              <w:spacing w:line="360" w:lineRule="auto"/>
              <w:ind w:firstLine="482"/>
              <w:rPr>
                <w:rFonts w:ascii="Times New Roman" w:hAnsi="Times New Roman" w:eastAsia="宋体" w:cs="Times New Roman"/>
                <w:b/>
                <w:bCs/>
                <w:color w:val="000000"/>
                <w:sz w:val="24"/>
                <w:highlight w:val="none"/>
                <w:lang w:val="en-US" w:eastAsia="zh-CN"/>
              </w:rPr>
            </w:pPr>
          </w:p>
          <w:p w14:paraId="15C59E93">
            <w:pPr>
              <w:spacing w:line="360" w:lineRule="auto"/>
              <w:ind w:firstLine="482"/>
              <w:rPr>
                <w:rFonts w:ascii="Times New Roman" w:hAnsi="Times New Roman" w:eastAsia="宋体" w:cs="Times New Roman"/>
                <w:b/>
                <w:bCs/>
                <w:color w:val="000000"/>
                <w:sz w:val="24"/>
                <w:highlight w:val="none"/>
                <w:lang w:val="en-US" w:eastAsia="zh-CN"/>
              </w:rPr>
            </w:pPr>
            <w:r>
              <w:rPr>
                <w:rFonts w:ascii="Times New Roman" w:hAnsi="Times New Roman" w:eastAsia="宋体" w:cs="Times New Roman"/>
                <w:b/>
                <w:bCs/>
                <w:color w:val="000000"/>
                <w:sz w:val="24"/>
                <w:highlight w:val="none"/>
                <w:lang w:val="en-US" w:eastAsia="zh-CN"/>
              </w:rPr>
              <w:t>（四）固体废物影响和保护措施</w:t>
            </w:r>
          </w:p>
          <w:p w14:paraId="4454BBB9">
            <w:pPr>
              <w:spacing w:line="360" w:lineRule="auto"/>
              <w:ind w:firstLine="482"/>
              <w:rPr>
                <w:rFonts w:ascii="Times New Roman" w:hAnsi="Times New Roman" w:eastAsia="宋体" w:cs="Times New Roman"/>
                <w:b/>
                <w:bCs/>
                <w:color w:val="000000"/>
                <w:sz w:val="24"/>
                <w:highlight w:val="none"/>
                <w:lang w:val="en-US" w:eastAsia="zh-CN"/>
              </w:rPr>
            </w:pPr>
            <w:r>
              <w:rPr>
                <w:rFonts w:ascii="Times New Roman" w:hAnsi="Times New Roman" w:eastAsia="宋体" w:cs="Times New Roman"/>
                <w:b/>
                <w:bCs/>
                <w:color w:val="000000"/>
                <w:sz w:val="24"/>
                <w:highlight w:val="none"/>
                <w:lang w:val="en-US" w:eastAsia="zh-CN"/>
              </w:rPr>
              <w:t>1、固废产生及处置情况</w:t>
            </w:r>
          </w:p>
          <w:p w14:paraId="01682C9F">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本</w:t>
            </w:r>
            <w:r>
              <w:rPr>
                <w:rFonts w:ascii="Times New Roman" w:hAnsi="Times New Roman" w:eastAsia="宋体" w:cs="Times New Roman"/>
                <w:color w:val="000000"/>
                <w:sz w:val="24"/>
              </w:rPr>
              <w:t>项目生产过程中产生的固体废物主要有生活</w:t>
            </w:r>
            <w:r>
              <w:rPr>
                <w:rFonts w:hint="eastAsia" w:ascii="Times New Roman" w:hAnsi="Times New Roman" w:eastAsia="宋体" w:cs="Times New Roman"/>
                <w:color w:val="000000"/>
                <w:sz w:val="24"/>
                <w:lang w:val="en-US" w:eastAsia="zh-CN"/>
              </w:rPr>
              <w:t>垃圾</w:t>
            </w:r>
            <w:r>
              <w:rPr>
                <w:rFonts w:hint="eastAsia" w:ascii="Times New Roman" w:hAnsi="Times New Roman" w:eastAsia="宋体" w:cs="Times New Roman"/>
                <w:color w:val="000000"/>
                <w:sz w:val="24"/>
                <w:lang w:eastAsia="zh-CN"/>
              </w:rPr>
              <w:t>、</w:t>
            </w:r>
            <w:r>
              <w:rPr>
                <w:rFonts w:ascii="Times New Roman" w:hAnsi="Times New Roman" w:eastAsia="宋体" w:cs="Times New Roman"/>
                <w:color w:val="000000"/>
                <w:sz w:val="24"/>
              </w:rPr>
              <w:t>一般工业固废</w:t>
            </w:r>
            <w:r>
              <w:rPr>
                <w:rFonts w:hint="eastAsia" w:ascii="Times New Roman" w:hAnsi="Times New Roman" w:eastAsia="宋体" w:cs="Times New Roman"/>
                <w:color w:val="000000"/>
                <w:sz w:val="24"/>
                <w:lang w:val="en-US" w:eastAsia="zh-CN"/>
              </w:rPr>
              <w:t>及危险废物</w:t>
            </w:r>
            <w:r>
              <w:rPr>
                <w:rFonts w:ascii="Times New Roman" w:hAnsi="Times New Roman" w:eastAsia="宋体" w:cs="Times New Roman"/>
                <w:color w:val="000000"/>
                <w:sz w:val="24"/>
              </w:rPr>
              <w:t>等</w:t>
            </w:r>
            <w:r>
              <w:rPr>
                <w:rFonts w:ascii="Times New Roman" w:hAnsi="Times New Roman" w:eastAsia="宋体" w:cs="Times New Roman"/>
                <w:color w:val="000000"/>
                <w:sz w:val="24"/>
                <w:lang w:eastAsia="zh-CN"/>
              </w:rPr>
              <w:t>，</w:t>
            </w:r>
            <w:r>
              <w:rPr>
                <w:rFonts w:ascii="Times New Roman" w:hAnsi="Times New Roman" w:eastAsia="宋体" w:cs="Times New Roman"/>
                <w:b w:val="0"/>
                <w:bCs w:val="0"/>
                <w:color w:val="000000"/>
                <w:sz w:val="24"/>
                <w:szCs w:val="24"/>
                <w:highlight w:val="none"/>
                <w:lang w:val="en-US" w:eastAsia="zh-CN"/>
              </w:rPr>
              <w:t>具体产生情况如下</w:t>
            </w:r>
            <w:r>
              <w:rPr>
                <w:rFonts w:hint="eastAsia" w:ascii="Times New Roman" w:hAnsi="Times New Roman" w:eastAsia="宋体" w:cs="Times New Roman"/>
                <w:b w:val="0"/>
                <w:bCs w:val="0"/>
                <w:color w:val="000000"/>
                <w:sz w:val="24"/>
                <w:szCs w:val="24"/>
                <w:highlight w:val="none"/>
                <w:lang w:val="en-US" w:eastAsia="zh-CN"/>
              </w:rPr>
              <w:t>：</w:t>
            </w:r>
          </w:p>
          <w:p w14:paraId="0EE3ABAC">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（1）生活垃圾</w:t>
            </w:r>
          </w:p>
          <w:p w14:paraId="2C71C09D">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项目劳动定员</w:t>
            </w:r>
            <w:r>
              <w:rPr>
                <w:rFonts w:hint="eastAsia" w:ascii="Times New Roman" w:hAnsi="Times New Roman" w:eastAsia="宋体" w:cs="Times New Roman"/>
                <w:b w:val="0"/>
                <w:bCs w:val="0"/>
                <w:color w:val="000000"/>
                <w:sz w:val="24"/>
                <w:szCs w:val="24"/>
                <w:highlight w:val="none"/>
                <w:lang w:val="en-US" w:eastAsia="zh-CN"/>
              </w:rPr>
              <w:t>50</w:t>
            </w:r>
            <w:r>
              <w:rPr>
                <w:rFonts w:ascii="Times New Roman" w:hAnsi="Times New Roman" w:eastAsia="宋体" w:cs="Times New Roman"/>
                <w:b w:val="0"/>
                <w:bCs w:val="0"/>
                <w:color w:val="000000"/>
                <w:sz w:val="24"/>
                <w:szCs w:val="24"/>
                <w:highlight w:val="none"/>
                <w:lang w:val="en-US" w:eastAsia="zh-CN"/>
              </w:rPr>
              <w:t>人，年工作300天。员工产生垃圾按0.5kg/（人·d）计算，则每天产生垃圾量为</w:t>
            </w:r>
            <w:r>
              <w:rPr>
                <w:rFonts w:hint="eastAsia" w:ascii="Times New Roman" w:hAnsi="Times New Roman" w:eastAsia="宋体" w:cs="Times New Roman"/>
                <w:b w:val="0"/>
                <w:bCs w:val="0"/>
                <w:color w:val="000000"/>
                <w:sz w:val="24"/>
                <w:szCs w:val="24"/>
                <w:highlight w:val="none"/>
                <w:lang w:val="en-US" w:eastAsia="zh-CN"/>
              </w:rPr>
              <w:t>25</w:t>
            </w:r>
            <w:r>
              <w:rPr>
                <w:rFonts w:ascii="Times New Roman" w:hAnsi="Times New Roman" w:eastAsia="宋体" w:cs="Times New Roman"/>
                <w:b w:val="0"/>
                <w:bCs w:val="0"/>
                <w:color w:val="000000"/>
                <w:sz w:val="24"/>
                <w:szCs w:val="24"/>
                <w:highlight w:val="none"/>
                <w:lang w:val="en-US" w:eastAsia="zh-CN"/>
              </w:rPr>
              <w:t>kg/d，年产生垃圾量为</w:t>
            </w:r>
            <w:r>
              <w:rPr>
                <w:rFonts w:hint="eastAsia" w:ascii="Times New Roman" w:hAnsi="Times New Roman" w:eastAsia="宋体" w:cs="Times New Roman"/>
                <w:b w:val="0"/>
                <w:bCs w:val="0"/>
                <w:color w:val="000000"/>
                <w:sz w:val="24"/>
                <w:szCs w:val="24"/>
                <w:highlight w:val="none"/>
                <w:lang w:val="en-US" w:eastAsia="zh-CN"/>
              </w:rPr>
              <w:t>7.5</w:t>
            </w:r>
            <w:r>
              <w:rPr>
                <w:rFonts w:ascii="Times New Roman" w:hAnsi="Times New Roman" w:eastAsia="宋体" w:cs="Times New Roman"/>
                <w:b w:val="0"/>
                <w:bCs w:val="0"/>
                <w:color w:val="000000"/>
                <w:sz w:val="24"/>
                <w:szCs w:val="24"/>
                <w:highlight w:val="none"/>
                <w:lang w:val="en-US" w:eastAsia="zh-CN"/>
              </w:rPr>
              <w:t>t/a。环评要求厂区设置生活垃圾收集桶，生活垃圾分类收集后，运至附近村庄垃圾收集点集中处置。</w:t>
            </w:r>
          </w:p>
          <w:p w14:paraId="13D21F51">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（2）化粪池污泥</w:t>
            </w:r>
          </w:p>
          <w:p w14:paraId="2B7BCF83">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lang w:val="en-US" w:eastAsia="zh-CN"/>
              </w:rPr>
            </w:pPr>
            <w:r>
              <w:rPr>
                <w:rFonts w:ascii="Times New Roman" w:hAnsi="Times New Roman" w:eastAsia="宋体" w:cs="Times New Roman"/>
                <w:color w:val="000000"/>
                <w:sz w:val="24"/>
                <w:lang w:val="en-US" w:eastAsia="zh-CN"/>
              </w:rPr>
              <w:t>项目化粪池污泥</w:t>
            </w:r>
            <w:r>
              <w:rPr>
                <w:rFonts w:ascii="Times New Roman" w:hAnsi="Times New Roman" w:eastAsia="宋体" w:cs="Times New Roman"/>
                <w:color w:val="000000"/>
                <w:sz w:val="24"/>
              </w:rPr>
              <w:t>产生量约为</w:t>
            </w:r>
            <w:r>
              <w:rPr>
                <w:rFonts w:hint="eastAsia" w:ascii="Times New Roman" w:hAnsi="Times New Roman" w:eastAsia="宋体" w:cs="Times New Roman"/>
                <w:color w:val="000000"/>
                <w:sz w:val="24"/>
                <w:lang w:val="en-US" w:eastAsia="zh-CN"/>
              </w:rPr>
              <w:t>0.09</w:t>
            </w:r>
            <w:r>
              <w:rPr>
                <w:rFonts w:ascii="Times New Roman" w:hAnsi="Times New Roman" w:eastAsia="宋体" w:cs="Times New Roman"/>
                <w:color w:val="000000"/>
                <w:sz w:val="24"/>
              </w:rPr>
              <w:t>t/a，</w:t>
            </w:r>
            <w:r>
              <w:rPr>
                <w:rFonts w:hint="eastAsia" w:ascii="Times New Roman" w:hAnsi="Times New Roman" w:eastAsia="宋体" w:cs="Times New Roman"/>
                <w:color w:val="000000"/>
                <w:sz w:val="24"/>
                <w:lang w:val="en-US" w:eastAsia="zh-CN"/>
              </w:rPr>
              <w:t>定期</w:t>
            </w:r>
            <w:r>
              <w:rPr>
                <w:rFonts w:ascii="Times New Roman" w:hAnsi="Times New Roman" w:eastAsia="宋体" w:cs="Times New Roman"/>
                <w:color w:val="000000"/>
                <w:sz w:val="24"/>
              </w:rPr>
              <w:t>清掏</w:t>
            </w:r>
            <w:r>
              <w:rPr>
                <w:rFonts w:ascii="Times New Roman" w:hAnsi="Times New Roman" w:eastAsia="宋体" w:cs="Times New Roman"/>
                <w:b w:val="0"/>
                <w:bCs w:val="0"/>
                <w:color w:val="000000"/>
                <w:sz w:val="24"/>
                <w:szCs w:val="24"/>
                <w:highlight w:val="none"/>
                <w:lang w:val="en-US" w:eastAsia="zh-CN"/>
              </w:rPr>
              <w:t>外运给周边农户做农田肥料，综合利用</w:t>
            </w:r>
            <w:r>
              <w:rPr>
                <w:rFonts w:ascii="Times New Roman" w:hAnsi="Times New Roman" w:eastAsia="宋体" w:cs="Times New Roman"/>
                <w:color w:val="000000"/>
                <w:sz w:val="24"/>
                <w:szCs w:val="24"/>
              </w:rPr>
              <w:t>。</w:t>
            </w:r>
          </w:p>
          <w:p w14:paraId="66F3B91B">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（3）边角料</w:t>
            </w:r>
          </w:p>
          <w:p w14:paraId="60307EB9">
            <w:pPr>
              <w:keepNext w:val="0"/>
              <w:keepLines w:val="0"/>
              <w:pageBreakBefore w:val="0"/>
              <w:widowControl/>
              <w:suppressLineNumbers w:val="0"/>
              <w:spacing w:line="360" w:lineRule="auto"/>
              <w:ind w:firstLine="480"/>
              <w:jc w:val="both"/>
              <w:rPr>
                <w:rFonts w:ascii="Times New Roman" w:hAnsi="Times New Roman" w:eastAsia="宋体" w:cs="Times New Roman"/>
                <w:b w:val="0"/>
                <w:bCs w:val="0"/>
                <w:color w:val="000000"/>
                <w:sz w:val="24"/>
                <w:szCs w:val="24"/>
                <w:lang w:val="en-US" w:eastAsia="zh-CN"/>
              </w:rPr>
            </w:pPr>
            <w:r>
              <w:rPr>
                <w:rFonts w:ascii="Times New Roman" w:hAnsi="Times New Roman" w:eastAsia="宋体" w:cs="Times New Roman"/>
                <w:b w:val="0"/>
                <w:bCs w:val="0"/>
                <w:color w:val="000000"/>
                <w:sz w:val="24"/>
                <w:szCs w:val="24"/>
                <w:lang w:val="en-US" w:eastAsia="zh-CN"/>
              </w:rPr>
              <w:t>本项目在加工过程中会产生边角料，原木</w:t>
            </w:r>
            <w:r>
              <w:rPr>
                <w:rFonts w:hint="eastAsia" w:ascii="Times New Roman" w:hAnsi="Times New Roman" w:eastAsia="宋体" w:cs="Times New Roman"/>
                <w:b w:val="0"/>
                <w:bCs w:val="0"/>
                <w:color w:val="000000"/>
                <w:sz w:val="24"/>
                <w:szCs w:val="24"/>
                <w:lang w:val="en-US" w:eastAsia="zh-CN"/>
              </w:rPr>
              <w:t>破片、清边、裁边</w:t>
            </w:r>
            <w:r>
              <w:rPr>
                <w:rFonts w:ascii="Times New Roman" w:hAnsi="Times New Roman" w:eastAsia="宋体" w:cs="Times New Roman"/>
                <w:b w:val="0"/>
                <w:bCs w:val="0"/>
                <w:color w:val="000000"/>
                <w:sz w:val="24"/>
                <w:szCs w:val="24"/>
                <w:lang w:val="en-US" w:eastAsia="zh-CN"/>
              </w:rPr>
              <w:t>过程产生的木屑、边角料</w:t>
            </w:r>
            <w:r>
              <w:rPr>
                <w:rFonts w:hint="eastAsia" w:ascii="Times New Roman" w:hAnsi="Times New Roman" w:eastAsia="宋体" w:cs="Times New Roman"/>
                <w:b w:val="0"/>
                <w:bCs w:val="0"/>
                <w:color w:val="000000"/>
                <w:sz w:val="24"/>
                <w:szCs w:val="24"/>
                <w:lang w:val="en-US" w:eastAsia="zh-CN"/>
              </w:rPr>
              <w:t>均</w:t>
            </w:r>
            <w:r>
              <w:rPr>
                <w:rFonts w:ascii="Times New Roman" w:hAnsi="Times New Roman" w:eastAsia="宋体" w:cs="Times New Roman"/>
                <w:b w:val="0"/>
                <w:bCs w:val="0"/>
                <w:color w:val="000000"/>
                <w:sz w:val="24"/>
                <w:szCs w:val="24"/>
                <w:lang w:val="en-US" w:eastAsia="zh-CN"/>
              </w:rPr>
              <w:t>在</w:t>
            </w:r>
            <w:r>
              <w:rPr>
                <w:rFonts w:hint="eastAsia" w:ascii="Times New Roman" w:hAnsi="Times New Roman" w:eastAsia="宋体" w:cs="Times New Roman"/>
                <w:b w:val="0"/>
                <w:bCs w:val="0"/>
                <w:color w:val="000000"/>
                <w:sz w:val="24"/>
                <w:szCs w:val="24"/>
                <w:lang w:val="en-US" w:eastAsia="zh-CN"/>
              </w:rPr>
              <w:t>生产厂房</w:t>
            </w:r>
            <w:r>
              <w:rPr>
                <w:rFonts w:ascii="Times New Roman" w:hAnsi="Times New Roman" w:eastAsia="宋体" w:cs="Times New Roman"/>
                <w:b w:val="0"/>
                <w:bCs w:val="0"/>
                <w:color w:val="000000"/>
                <w:sz w:val="24"/>
                <w:szCs w:val="24"/>
                <w:lang w:val="en-US" w:eastAsia="zh-CN"/>
              </w:rPr>
              <w:t>内产生，定期清扫收集。</w:t>
            </w:r>
            <w:r>
              <w:rPr>
                <w:rFonts w:hint="eastAsia" w:ascii="Times New Roman" w:hAnsi="Times New Roman" w:eastAsia="宋体" w:cs="Times New Roman"/>
                <w:b w:val="0"/>
                <w:bCs w:val="0"/>
                <w:color w:val="000000"/>
                <w:sz w:val="24"/>
                <w:szCs w:val="24"/>
                <w:lang w:val="en-US" w:eastAsia="zh-CN"/>
              </w:rPr>
              <w:t>根据建设单位以往经验及类比同类项目，</w:t>
            </w:r>
            <w:r>
              <w:rPr>
                <w:rFonts w:ascii="Times New Roman" w:hAnsi="Times New Roman" w:eastAsia="宋体" w:cs="Times New Roman"/>
                <w:b w:val="0"/>
                <w:bCs w:val="0"/>
                <w:color w:val="000000"/>
                <w:sz w:val="24"/>
                <w:szCs w:val="24"/>
                <w:lang w:val="en-US" w:eastAsia="zh-CN"/>
              </w:rPr>
              <w:t>废木料产生系数控制</w:t>
            </w:r>
            <w:r>
              <w:rPr>
                <w:rFonts w:hint="eastAsia" w:ascii="Times New Roman" w:hAnsi="Times New Roman" w:eastAsia="宋体" w:cs="Times New Roman"/>
                <w:b w:val="0"/>
                <w:bCs w:val="0"/>
                <w:color w:val="000000"/>
                <w:sz w:val="24"/>
                <w:szCs w:val="24"/>
                <w:lang w:val="en-US" w:eastAsia="zh-CN"/>
              </w:rPr>
              <w:t>10</w:t>
            </w:r>
            <w:r>
              <w:rPr>
                <w:rFonts w:ascii="Times New Roman" w:hAnsi="Times New Roman" w:eastAsia="宋体" w:cs="Times New Roman"/>
                <w:b w:val="0"/>
                <w:bCs w:val="0"/>
                <w:color w:val="000000"/>
                <w:sz w:val="24"/>
                <w:szCs w:val="24"/>
                <w:lang w:val="en-US" w:eastAsia="zh-CN"/>
              </w:rPr>
              <w:t>%</w:t>
            </w:r>
            <w:r>
              <w:rPr>
                <w:rFonts w:hint="eastAsia" w:ascii="Times New Roman" w:hAnsi="Times New Roman" w:eastAsia="宋体" w:cs="Times New Roman"/>
                <w:b w:val="0"/>
                <w:bCs w:val="0"/>
                <w:color w:val="000000"/>
                <w:sz w:val="24"/>
                <w:szCs w:val="24"/>
                <w:lang w:val="en-US" w:eastAsia="zh-CN"/>
              </w:rPr>
              <w:t>左右，项目年产5000</w:t>
            </w:r>
            <w:r>
              <w:rPr>
                <w:rFonts w:ascii="Times New Roman" w:hAnsi="Times New Roman" w:eastAsia="宋体" w:cs="Times New Roman"/>
                <w:color w:val="000000"/>
                <w:sz w:val="24"/>
                <w:szCs w:val="24"/>
                <w:lang w:val="en-US" w:eastAsia="zh-CN" w:bidi="ar"/>
              </w:rPr>
              <w:t>m</w:t>
            </w:r>
            <w:r>
              <w:rPr>
                <w:rFonts w:ascii="Times New Roman" w:hAnsi="Times New Roman" w:eastAsia="宋体" w:cs="Times New Roman"/>
                <w:color w:val="000000"/>
                <w:sz w:val="24"/>
                <w:szCs w:val="24"/>
                <w:vertAlign w:val="superscript"/>
                <w:lang w:val="en-US" w:eastAsia="zh-CN" w:bidi="ar"/>
              </w:rPr>
              <w:t>3</w:t>
            </w:r>
            <w:r>
              <w:rPr>
                <w:rFonts w:hint="eastAsia" w:ascii="Times New Roman" w:hAnsi="Times New Roman" w:eastAsia="宋体" w:cs="Times New Roman"/>
                <w:color w:val="000000"/>
                <w:sz w:val="24"/>
                <w:szCs w:val="24"/>
                <w:vertAlign w:val="baseline"/>
                <w:lang w:val="en-US" w:eastAsia="zh-CN" w:bidi="ar"/>
              </w:rPr>
              <w:t>胶合板</w:t>
            </w:r>
            <w:r>
              <w:rPr>
                <w:rFonts w:hint="eastAsia" w:ascii="Times New Roman" w:hAnsi="Times New Roman" w:eastAsia="宋体" w:cs="Times New Roman"/>
                <w:b w:val="0"/>
                <w:bCs w:val="0"/>
                <w:color w:val="000000"/>
                <w:sz w:val="24"/>
                <w:szCs w:val="24"/>
                <w:lang w:val="en-US" w:eastAsia="zh-CN"/>
              </w:rPr>
              <w:t>，</w:t>
            </w:r>
            <w:r>
              <w:rPr>
                <w:rFonts w:ascii="Times New Roman" w:hAnsi="Times New Roman" w:eastAsia="宋体" w:cs="Times New Roman"/>
                <w:color w:val="000000"/>
                <w:sz w:val="24"/>
                <w:szCs w:val="24"/>
                <w:lang w:val="en-US" w:eastAsia="zh-CN" w:bidi="ar"/>
              </w:rPr>
              <w:t>根据查阅资料，木材密度为550~800kg/m</w:t>
            </w:r>
            <w:r>
              <w:rPr>
                <w:rFonts w:ascii="Times New Roman" w:hAnsi="Times New Roman" w:eastAsia="宋体" w:cs="Times New Roman"/>
                <w:color w:val="000000"/>
                <w:sz w:val="24"/>
                <w:szCs w:val="24"/>
                <w:vertAlign w:val="superscript"/>
                <w:lang w:val="en-US" w:eastAsia="zh-CN" w:bidi="ar"/>
              </w:rPr>
              <w:t>3</w:t>
            </w:r>
            <w:r>
              <w:rPr>
                <w:rFonts w:ascii="Times New Roman" w:hAnsi="Times New Roman" w:eastAsia="宋体" w:cs="Times New Roman"/>
                <w:color w:val="000000"/>
                <w:sz w:val="24"/>
                <w:szCs w:val="24"/>
                <w:lang w:val="en-US" w:eastAsia="zh-CN" w:bidi="ar"/>
              </w:rPr>
              <w:t>，环评取800kg/m</w:t>
            </w:r>
            <w:r>
              <w:rPr>
                <w:rFonts w:ascii="Times New Roman" w:hAnsi="Times New Roman" w:eastAsia="宋体" w:cs="Times New Roman"/>
                <w:color w:val="000000"/>
                <w:sz w:val="24"/>
                <w:szCs w:val="24"/>
                <w:vertAlign w:val="superscript"/>
                <w:lang w:val="en-US" w:eastAsia="zh-CN" w:bidi="ar"/>
              </w:rPr>
              <w:t>3</w:t>
            </w:r>
            <w:r>
              <w:rPr>
                <w:rFonts w:ascii="Times New Roman" w:hAnsi="Times New Roman" w:eastAsia="宋体" w:cs="Times New Roman"/>
                <w:color w:val="000000"/>
                <w:sz w:val="24"/>
                <w:szCs w:val="24"/>
                <w:lang w:val="en-US" w:eastAsia="zh-CN" w:bidi="ar"/>
              </w:rPr>
              <w:t>，则木材边角废料产生量约为</w:t>
            </w:r>
            <w:r>
              <w:rPr>
                <w:rFonts w:hint="eastAsia" w:ascii="Times New Roman" w:hAnsi="Times New Roman" w:eastAsia="宋体" w:cs="Times New Roman"/>
                <w:color w:val="000000"/>
                <w:sz w:val="24"/>
                <w:szCs w:val="24"/>
                <w:lang w:val="en-US" w:eastAsia="zh-CN" w:bidi="ar"/>
              </w:rPr>
              <w:t>400</w:t>
            </w:r>
            <w:r>
              <w:rPr>
                <w:rFonts w:ascii="Times New Roman" w:hAnsi="Times New Roman" w:eastAsia="宋体" w:cs="Times New Roman"/>
                <w:color w:val="000000"/>
                <w:sz w:val="24"/>
                <w:szCs w:val="24"/>
                <w:lang w:val="en-US" w:eastAsia="zh-CN" w:bidi="ar"/>
              </w:rPr>
              <w:t>t/a</w:t>
            </w:r>
            <w:r>
              <w:rPr>
                <w:rFonts w:hint="eastAsia" w:ascii="Times New Roman" w:hAnsi="Times New Roman" w:eastAsia="宋体" w:cs="Times New Roman"/>
                <w:color w:val="000000"/>
                <w:sz w:val="24"/>
                <w:szCs w:val="24"/>
                <w:lang w:val="en-US" w:eastAsia="zh-CN" w:bidi="ar"/>
              </w:rPr>
              <w:t>，</w:t>
            </w:r>
            <w:r>
              <w:rPr>
                <w:rFonts w:hint="eastAsia" w:ascii="Times New Roman" w:hAnsi="Times New Roman" w:eastAsia="宋体" w:cs="Times New Roman"/>
                <w:b w:val="0"/>
                <w:bCs w:val="0"/>
                <w:color w:val="000000"/>
                <w:sz w:val="24"/>
                <w:szCs w:val="24"/>
                <w:lang w:val="en-US" w:eastAsia="zh-CN"/>
              </w:rPr>
              <w:t>集中收集后分类</w:t>
            </w:r>
            <w:r>
              <w:rPr>
                <w:rFonts w:ascii="Times New Roman" w:hAnsi="Times New Roman" w:eastAsia="宋体" w:cs="Times New Roman"/>
                <w:b w:val="0"/>
                <w:bCs w:val="0"/>
                <w:color w:val="000000"/>
                <w:sz w:val="24"/>
                <w:szCs w:val="24"/>
                <w:lang w:val="en-US" w:eastAsia="zh-CN"/>
              </w:rPr>
              <w:t>暂存于</w:t>
            </w:r>
            <w:r>
              <w:rPr>
                <w:rFonts w:hint="eastAsia" w:ascii="Times New Roman" w:hAnsi="Times New Roman" w:eastAsia="宋体" w:cs="Times New Roman"/>
                <w:b w:val="0"/>
                <w:bCs w:val="0"/>
                <w:color w:val="000000"/>
                <w:sz w:val="24"/>
                <w:szCs w:val="24"/>
                <w:highlight w:val="none"/>
                <w:lang w:val="en-US" w:eastAsia="zh-CN"/>
              </w:rPr>
              <w:t>一般固废暂存间</w:t>
            </w:r>
            <w:r>
              <w:rPr>
                <w:rFonts w:ascii="Times New Roman" w:hAnsi="Times New Roman" w:eastAsia="宋体" w:cs="Times New Roman"/>
                <w:b w:val="0"/>
                <w:bCs w:val="0"/>
                <w:color w:val="000000"/>
                <w:sz w:val="24"/>
                <w:szCs w:val="24"/>
                <w:lang w:val="en-US" w:eastAsia="zh-CN"/>
              </w:rPr>
              <w:t>，外售</w:t>
            </w:r>
            <w:r>
              <w:rPr>
                <w:rFonts w:hint="eastAsia" w:ascii="Times New Roman" w:hAnsi="Times New Roman" w:eastAsia="宋体" w:cs="Times New Roman"/>
                <w:b w:val="0"/>
                <w:bCs w:val="0"/>
                <w:color w:val="000000"/>
                <w:sz w:val="24"/>
                <w:szCs w:val="24"/>
                <w:lang w:val="en-US" w:eastAsia="zh-CN"/>
              </w:rPr>
              <w:t>给生物质燃料</w:t>
            </w:r>
            <w:r>
              <w:rPr>
                <w:rFonts w:ascii="Times New Roman" w:hAnsi="Times New Roman" w:eastAsia="宋体" w:cs="Times New Roman"/>
                <w:b w:val="0"/>
                <w:bCs w:val="0"/>
                <w:color w:val="000000"/>
                <w:sz w:val="24"/>
                <w:szCs w:val="24"/>
                <w:lang w:val="en-US" w:eastAsia="zh-CN"/>
              </w:rPr>
              <w:t>厂，综合利用。</w:t>
            </w:r>
          </w:p>
          <w:p w14:paraId="482D7014">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（4）不合格产品</w:t>
            </w:r>
          </w:p>
          <w:p w14:paraId="6B4CDFED">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本项目成品会有一定量的不合格产品，根据建设单位以往生产经验，年加工5000方木材，不合格产品约为10t/a；集中收集后分类</w:t>
            </w:r>
            <w:r>
              <w:rPr>
                <w:rFonts w:ascii="Times New Roman" w:hAnsi="Times New Roman" w:eastAsia="宋体" w:cs="Times New Roman"/>
                <w:b w:val="0"/>
                <w:bCs w:val="0"/>
                <w:color w:val="000000"/>
                <w:sz w:val="24"/>
                <w:szCs w:val="24"/>
                <w:lang w:val="en-US" w:eastAsia="zh-CN"/>
              </w:rPr>
              <w:t>暂存于</w:t>
            </w:r>
            <w:r>
              <w:rPr>
                <w:rFonts w:hint="eastAsia" w:ascii="Times New Roman" w:hAnsi="Times New Roman" w:eastAsia="宋体" w:cs="Times New Roman"/>
                <w:b w:val="0"/>
                <w:bCs w:val="0"/>
                <w:color w:val="000000"/>
                <w:sz w:val="24"/>
                <w:szCs w:val="24"/>
                <w:highlight w:val="none"/>
                <w:lang w:val="en-US" w:eastAsia="zh-CN"/>
              </w:rPr>
              <w:t>一般固废暂存间</w:t>
            </w:r>
            <w:r>
              <w:rPr>
                <w:rFonts w:ascii="Times New Roman" w:hAnsi="Times New Roman" w:eastAsia="宋体" w:cs="Times New Roman"/>
                <w:b w:val="0"/>
                <w:bCs w:val="0"/>
                <w:color w:val="000000"/>
                <w:sz w:val="24"/>
                <w:szCs w:val="24"/>
                <w:lang w:val="en-US" w:eastAsia="zh-CN"/>
              </w:rPr>
              <w:t>，外售</w:t>
            </w:r>
            <w:r>
              <w:rPr>
                <w:rFonts w:hint="eastAsia" w:ascii="Times New Roman" w:hAnsi="Times New Roman" w:eastAsia="宋体" w:cs="Times New Roman"/>
                <w:b w:val="0"/>
                <w:bCs w:val="0"/>
                <w:color w:val="000000"/>
                <w:sz w:val="24"/>
                <w:szCs w:val="24"/>
                <w:lang w:val="en-US" w:eastAsia="zh-CN"/>
              </w:rPr>
              <w:t>给生物质燃料厂，</w:t>
            </w:r>
            <w:r>
              <w:rPr>
                <w:rFonts w:ascii="Times New Roman" w:hAnsi="Times New Roman" w:eastAsia="宋体" w:cs="Times New Roman"/>
                <w:b w:val="0"/>
                <w:bCs w:val="0"/>
                <w:color w:val="000000"/>
                <w:sz w:val="24"/>
                <w:szCs w:val="24"/>
                <w:lang w:val="en-US" w:eastAsia="zh-CN"/>
              </w:rPr>
              <w:t>综合利用。</w:t>
            </w:r>
          </w:p>
          <w:p w14:paraId="7B45FA5D">
            <w:pPr>
              <w:keepNext w:val="0"/>
              <w:keepLines w:val="0"/>
              <w:pageBreakBefore w:val="0"/>
              <w:widowControl w:val="0"/>
              <w:spacing w:line="360" w:lineRule="auto"/>
              <w:ind w:left="0" w:right="0" w:firstLine="482"/>
              <w:jc w:val="both"/>
              <w:rPr>
                <w:rFonts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bCs/>
                <w:color w:val="000000"/>
                <w:sz w:val="24"/>
                <w:szCs w:val="24"/>
                <w:lang w:val="en-US" w:eastAsia="zh-CN"/>
              </w:rPr>
              <w:t>（5）除尘灰</w:t>
            </w:r>
          </w:p>
          <w:p w14:paraId="1E12C0C8">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各加工工序产生粉尘，通过除尘装置及车间沉降收集的粉尘量为</w:t>
            </w:r>
            <w:r>
              <w:rPr>
                <w:rFonts w:hint="eastAsia" w:ascii="Times New Roman" w:hAnsi="Times New Roman" w:eastAsia="宋体" w:cs="Times New Roman"/>
                <w:b w:val="0"/>
                <w:bCs w:val="0"/>
                <w:i w:val="0"/>
                <w:iCs w:val="0"/>
                <w:color w:val="000000"/>
                <w:sz w:val="24"/>
                <w:szCs w:val="24"/>
                <w:lang w:val="en-US" w:eastAsia="zh-CN"/>
              </w:rPr>
              <w:t>1.4499</w:t>
            </w:r>
            <w:r>
              <w:rPr>
                <w:rFonts w:hint="eastAsia" w:ascii="Times New Roman" w:hAnsi="Times New Roman" w:eastAsia="宋体" w:cs="Times New Roman"/>
                <w:b w:val="0"/>
                <w:bCs w:val="0"/>
                <w:i w:val="0"/>
                <w:iCs w:val="0"/>
                <w:color w:val="000000"/>
                <w:sz w:val="24"/>
                <w:szCs w:val="24"/>
                <w:highlight w:val="none"/>
                <w:lang w:val="en-US" w:eastAsia="zh-CN"/>
              </w:rPr>
              <w:t>t/a</w:t>
            </w:r>
            <w:r>
              <w:rPr>
                <w:rFonts w:hint="eastAsia" w:ascii="Times New Roman" w:hAnsi="Times New Roman" w:eastAsia="宋体" w:cs="Times New Roman"/>
                <w:b w:val="0"/>
                <w:bCs w:val="0"/>
                <w:color w:val="000000"/>
                <w:sz w:val="24"/>
                <w:szCs w:val="24"/>
                <w:lang w:val="en-US" w:eastAsia="zh-CN"/>
              </w:rPr>
              <w:t>，集中收集后分类</w:t>
            </w:r>
            <w:r>
              <w:rPr>
                <w:rFonts w:ascii="Times New Roman" w:hAnsi="Times New Roman" w:eastAsia="宋体" w:cs="Times New Roman"/>
                <w:b w:val="0"/>
                <w:bCs w:val="0"/>
                <w:color w:val="000000"/>
                <w:sz w:val="24"/>
                <w:szCs w:val="24"/>
                <w:lang w:val="en-US" w:eastAsia="zh-CN"/>
              </w:rPr>
              <w:t>暂存于</w:t>
            </w:r>
            <w:r>
              <w:rPr>
                <w:rFonts w:hint="eastAsia" w:ascii="Times New Roman" w:hAnsi="Times New Roman" w:eastAsia="宋体" w:cs="Times New Roman"/>
                <w:b w:val="0"/>
                <w:bCs w:val="0"/>
                <w:color w:val="000000"/>
                <w:sz w:val="24"/>
                <w:szCs w:val="24"/>
                <w:highlight w:val="none"/>
                <w:lang w:val="en-US" w:eastAsia="zh-CN"/>
              </w:rPr>
              <w:t>一般固废暂存间</w:t>
            </w:r>
            <w:r>
              <w:rPr>
                <w:rFonts w:ascii="Times New Roman" w:hAnsi="Times New Roman" w:eastAsia="宋体" w:cs="Times New Roman"/>
                <w:b w:val="0"/>
                <w:bCs w:val="0"/>
                <w:color w:val="000000"/>
                <w:sz w:val="24"/>
                <w:szCs w:val="24"/>
                <w:lang w:val="en-US" w:eastAsia="zh-CN"/>
              </w:rPr>
              <w:t>，外售</w:t>
            </w:r>
            <w:r>
              <w:rPr>
                <w:rFonts w:hint="eastAsia" w:ascii="Times New Roman" w:hAnsi="Times New Roman" w:eastAsia="宋体" w:cs="Times New Roman"/>
                <w:b w:val="0"/>
                <w:bCs w:val="0"/>
                <w:color w:val="000000"/>
                <w:sz w:val="24"/>
                <w:szCs w:val="24"/>
                <w:lang w:val="en-US" w:eastAsia="zh-CN"/>
              </w:rPr>
              <w:t>给生物质燃料厂，</w:t>
            </w:r>
            <w:r>
              <w:rPr>
                <w:rFonts w:ascii="Times New Roman" w:hAnsi="Times New Roman" w:eastAsia="宋体" w:cs="Times New Roman"/>
                <w:b w:val="0"/>
                <w:bCs w:val="0"/>
                <w:color w:val="000000"/>
                <w:sz w:val="24"/>
                <w:szCs w:val="24"/>
                <w:lang w:val="en-US" w:eastAsia="zh-CN"/>
              </w:rPr>
              <w:t>综合利用。</w:t>
            </w:r>
          </w:p>
          <w:p w14:paraId="56EF3C4B">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（6）灰渣</w:t>
            </w:r>
          </w:p>
          <w:p w14:paraId="407C22C8">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highlight w:val="none"/>
                <w:lang w:val="en-US" w:eastAsia="zh-CN"/>
              </w:rPr>
              <w:t>经查询资料，生物质燃料的灰分含量一般为3%左右，</w:t>
            </w:r>
            <w:r>
              <w:rPr>
                <w:rFonts w:ascii="Times New Roman" w:hAnsi="Times New Roman" w:eastAsia="宋体" w:cs="Times New Roman"/>
                <w:b w:val="0"/>
                <w:bCs w:val="0"/>
                <w:color w:val="000000"/>
                <w:sz w:val="24"/>
                <w:szCs w:val="24"/>
                <w:highlight w:val="none"/>
                <w:lang w:val="en-US" w:eastAsia="zh-CN"/>
              </w:rPr>
              <w:t>本项目使用成型生物质燃料约</w:t>
            </w:r>
            <w:r>
              <w:rPr>
                <w:rFonts w:hint="eastAsia" w:ascii="Times New Roman" w:hAnsi="Times New Roman" w:eastAsia="宋体" w:cs="Times New Roman"/>
                <w:b w:val="0"/>
                <w:bCs w:val="0"/>
                <w:color w:val="000000"/>
                <w:sz w:val="24"/>
                <w:szCs w:val="24"/>
                <w:highlight w:val="none"/>
                <w:lang w:val="en-US" w:eastAsia="zh-CN"/>
              </w:rPr>
              <w:t>400</w:t>
            </w:r>
            <w:r>
              <w:rPr>
                <w:rFonts w:ascii="Times New Roman" w:hAnsi="Times New Roman" w:eastAsia="宋体" w:cs="Times New Roman"/>
                <w:b w:val="0"/>
                <w:bCs w:val="0"/>
                <w:color w:val="000000"/>
                <w:sz w:val="24"/>
                <w:szCs w:val="24"/>
                <w:highlight w:val="none"/>
                <w:lang w:val="en-US" w:eastAsia="zh-CN"/>
              </w:rPr>
              <w:t>t/a，</w:t>
            </w:r>
            <w:r>
              <w:rPr>
                <w:rFonts w:hint="eastAsia" w:ascii="Times New Roman" w:hAnsi="Times New Roman" w:eastAsia="宋体" w:cs="Times New Roman"/>
                <w:b w:val="0"/>
                <w:bCs w:val="0"/>
                <w:color w:val="000000"/>
                <w:sz w:val="24"/>
                <w:szCs w:val="24"/>
                <w:highlight w:val="none"/>
                <w:lang w:val="en-US" w:eastAsia="zh-CN"/>
              </w:rPr>
              <w:t>则项目锅炉产生的炉灰为12t/a，</w:t>
            </w:r>
            <w:r>
              <w:rPr>
                <w:rFonts w:ascii="Times New Roman" w:hAnsi="Times New Roman" w:eastAsia="宋体" w:cs="Times New Roman"/>
                <w:b w:val="0"/>
                <w:bCs w:val="0"/>
                <w:color w:val="000000"/>
                <w:sz w:val="24"/>
                <w:szCs w:val="24"/>
                <w:highlight w:val="none"/>
                <w:lang w:val="en-US" w:eastAsia="zh-CN"/>
              </w:rPr>
              <w:t>锅炉灰渣冷却后袋装收集，</w:t>
            </w:r>
            <w:r>
              <w:rPr>
                <w:rFonts w:hint="eastAsia" w:ascii="Times New Roman" w:hAnsi="Times New Roman" w:eastAsia="宋体" w:cs="Times New Roman"/>
                <w:b w:val="0"/>
                <w:bCs w:val="0"/>
                <w:color w:val="000000"/>
                <w:sz w:val="24"/>
                <w:szCs w:val="24"/>
                <w:highlight w:val="none"/>
                <w:lang w:val="en-US" w:eastAsia="zh-CN"/>
              </w:rPr>
              <w:t>暂存于一般固废暂存间，统一外运给周边农户做农田肥料，综合利用。</w:t>
            </w:r>
          </w:p>
          <w:p w14:paraId="674B0F68">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（7）废包装袋</w:t>
            </w:r>
          </w:p>
          <w:p w14:paraId="5793C9A3">
            <w:pPr>
              <w:keepNext w:val="0"/>
              <w:keepLines w:val="0"/>
              <w:pageBreakBefore w:val="0"/>
              <w:widowControl w:val="0"/>
              <w:spacing w:line="360" w:lineRule="auto"/>
              <w:ind w:left="0" w:right="0" w:firstLine="480"/>
              <w:jc w:val="both"/>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val="0"/>
                <w:bCs w:val="0"/>
                <w:color w:val="000000"/>
                <w:sz w:val="24"/>
                <w:szCs w:val="24"/>
                <w:highlight w:val="none"/>
                <w:lang w:val="en-US" w:eastAsia="zh-CN"/>
              </w:rPr>
              <w:t>废包装袋来源于用于装房项目生产所需脲醛胶的包装袋，根据核算结果及业主提供资料，本项目脲醛胶使用量为5t/a，胶桶规格为25kg/袋，则约产生200只/a，则废包装袋产生量为0.01t/a。统一收集后外售至废品收购站，综合利用。</w:t>
            </w:r>
          </w:p>
          <w:p w14:paraId="14658377">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（8）废活性炭</w:t>
            </w:r>
          </w:p>
          <w:p w14:paraId="4256D784">
            <w:pPr>
              <w:keepNext w:val="0"/>
              <w:keepLines w:val="0"/>
              <w:pageBreakBefore w:val="0"/>
              <w:widowControl/>
              <w:suppressLineNumbers w:val="0"/>
              <w:spacing w:line="360" w:lineRule="auto"/>
              <w:ind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color w:val="000000"/>
                <w:sz w:val="24"/>
                <w:szCs w:val="24"/>
                <w:lang w:val="en-US" w:eastAsia="zh-CN" w:bidi="ar"/>
              </w:rPr>
              <w:t>项目</w:t>
            </w:r>
            <w:r>
              <w:rPr>
                <w:rFonts w:hint="eastAsia" w:ascii="Times New Roman" w:hAnsi="Times New Roman" w:eastAsia="宋体" w:cs="Times New Roman"/>
                <w:color w:val="000000"/>
                <w:sz w:val="24"/>
                <w:szCs w:val="24"/>
                <w:lang w:val="en-US" w:eastAsia="zh-CN" w:bidi="ar"/>
              </w:rPr>
              <w:t>废气治理</w:t>
            </w:r>
            <w:r>
              <w:rPr>
                <w:rFonts w:ascii="Times New Roman" w:hAnsi="Times New Roman" w:eastAsia="宋体" w:cs="Times New Roman"/>
                <w:color w:val="000000"/>
                <w:sz w:val="24"/>
                <w:szCs w:val="24"/>
                <w:lang w:val="en-US" w:eastAsia="zh-CN" w:bidi="ar"/>
              </w:rPr>
              <w:t>需要采取活性炭吸附处理废气中的甲醛</w:t>
            </w:r>
            <w:r>
              <w:rPr>
                <w:rFonts w:hint="eastAsia" w:ascii="Times New Roman" w:hAnsi="Times New Roman" w:eastAsia="宋体" w:cs="Times New Roman"/>
                <w:color w:val="000000"/>
                <w:sz w:val="24"/>
                <w:szCs w:val="24"/>
                <w:lang w:val="en-US" w:eastAsia="zh-CN" w:bidi="ar"/>
              </w:rPr>
              <w:t>及非甲烷总烃等污染物</w:t>
            </w:r>
            <w:r>
              <w:rPr>
                <w:rFonts w:ascii="Times New Roman" w:hAnsi="Times New Roman" w:eastAsia="宋体" w:cs="Times New Roman"/>
                <w:color w:val="000000"/>
                <w:sz w:val="24"/>
                <w:szCs w:val="24"/>
                <w:lang w:val="en-US" w:eastAsia="zh-CN" w:bidi="ar"/>
              </w:rPr>
              <w:t>，活性炭吸附量为0.3t有机废气/t-活性炭，项目</w:t>
            </w:r>
            <w:r>
              <w:rPr>
                <w:rFonts w:hint="eastAsia" w:ascii="Times New Roman" w:hAnsi="Times New Roman" w:eastAsia="宋体" w:cs="Times New Roman"/>
                <w:color w:val="000000"/>
                <w:sz w:val="24"/>
                <w:szCs w:val="24"/>
                <w:lang w:val="en-US" w:eastAsia="zh-CN" w:bidi="ar"/>
              </w:rPr>
              <w:t>非甲烷总烃、</w:t>
            </w:r>
            <w:r>
              <w:rPr>
                <w:rFonts w:ascii="Times New Roman" w:hAnsi="Times New Roman" w:eastAsia="宋体" w:cs="Times New Roman"/>
                <w:color w:val="000000"/>
                <w:sz w:val="24"/>
                <w:szCs w:val="24"/>
                <w:lang w:val="en-US" w:eastAsia="zh-CN" w:bidi="ar"/>
              </w:rPr>
              <w:t>甲醛处理量约</w:t>
            </w:r>
            <w:r>
              <w:rPr>
                <w:rFonts w:hint="eastAsia" w:ascii="Times New Roman" w:hAnsi="Times New Roman" w:eastAsia="宋体" w:cs="Times New Roman"/>
                <w:color w:val="000000"/>
                <w:sz w:val="24"/>
                <w:szCs w:val="24"/>
                <w:lang w:val="en-US" w:eastAsia="zh-CN" w:bidi="ar"/>
              </w:rPr>
              <w:t>0.0129</w:t>
            </w:r>
            <w:r>
              <w:rPr>
                <w:rFonts w:ascii="Times New Roman" w:hAnsi="Times New Roman" w:eastAsia="宋体" w:cs="Times New Roman"/>
                <w:color w:val="000000"/>
                <w:sz w:val="24"/>
                <w:szCs w:val="24"/>
                <w:lang w:val="en-US" w:eastAsia="zh-CN" w:bidi="ar"/>
              </w:rPr>
              <w:t>t，则项目更换活性炭量约为</w:t>
            </w:r>
            <w:r>
              <w:rPr>
                <w:rFonts w:hint="eastAsia" w:ascii="Times New Roman" w:hAnsi="Times New Roman" w:eastAsia="宋体" w:cs="Times New Roman"/>
                <w:color w:val="000000"/>
                <w:sz w:val="24"/>
                <w:szCs w:val="24"/>
                <w:lang w:val="en-US" w:eastAsia="zh-CN" w:bidi="ar"/>
              </w:rPr>
              <w:t>0.0039</w:t>
            </w:r>
            <w:r>
              <w:rPr>
                <w:rFonts w:ascii="Times New Roman" w:hAnsi="Times New Roman" w:eastAsia="宋体" w:cs="Times New Roman"/>
                <w:color w:val="000000"/>
                <w:sz w:val="24"/>
                <w:szCs w:val="24"/>
                <w:lang w:val="en-US" w:eastAsia="zh-CN" w:bidi="ar"/>
              </w:rPr>
              <w:t>t。</w:t>
            </w:r>
            <w:r>
              <w:rPr>
                <w:rFonts w:ascii="Times New Roman" w:hAnsi="Times New Roman" w:eastAsia="宋体" w:cs="Times New Roman"/>
                <w:b w:val="0"/>
                <w:bCs w:val="0"/>
                <w:color w:val="000000"/>
                <w:sz w:val="24"/>
                <w:szCs w:val="24"/>
                <w:highlight w:val="none"/>
                <w:lang w:val="en-US" w:eastAsia="zh-CN"/>
              </w:rPr>
              <w:t>根据《国家危险废物名录》（2021年版），</w:t>
            </w:r>
            <w:r>
              <w:rPr>
                <w:rFonts w:hint="eastAsia" w:ascii="Times New Roman" w:hAnsi="Times New Roman" w:eastAsia="宋体" w:cs="Times New Roman"/>
                <w:b w:val="0"/>
                <w:bCs w:val="0"/>
                <w:color w:val="000000"/>
                <w:sz w:val="24"/>
                <w:szCs w:val="24"/>
                <w:highlight w:val="none"/>
                <w:lang w:val="en-US" w:eastAsia="zh-CN"/>
              </w:rPr>
              <w:t>废活性炭</w:t>
            </w:r>
            <w:r>
              <w:rPr>
                <w:rFonts w:ascii="Times New Roman" w:hAnsi="Times New Roman" w:eastAsia="宋体" w:cs="Times New Roman"/>
                <w:b w:val="0"/>
                <w:bCs w:val="0"/>
                <w:color w:val="000000"/>
                <w:sz w:val="24"/>
                <w:szCs w:val="24"/>
                <w:highlight w:val="none"/>
                <w:lang w:val="en-US" w:eastAsia="zh-CN"/>
              </w:rPr>
              <w:t>属于危</w:t>
            </w:r>
            <w:r>
              <w:rPr>
                <w:rFonts w:hint="eastAsia" w:ascii="Times New Roman" w:hAnsi="Times New Roman" w:eastAsia="宋体" w:cs="Times New Roman"/>
                <w:b w:val="0"/>
                <w:bCs w:val="0"/>
                <w:color w:val="000000"/>
                <w:sz w:val="24"/>
                <w:szCs w:val="24"/>
                <w:highlight w:val="none"/>
                <w:lang w:val="en-US" w:eastAsia="zh-CN"/>
              </w:rPr>
              <w:t>险废物，废物类别为HW49，废物代码为</w:t>
            </w:r>
            <w:r>
              <w:rPr>
                <w:rFonts w:ascii="Times New Roman" w:hAnsi="Times New Roman" w:eastAsia="宋体" w:cs="Times New Roman"/>
                <w:color w:val="000000"/>
                <w:sz w:val="24"/>
                <w:szCs w:val="24"/>
                <w:lang w:val="en-US" w:eastAsia="zh-CN" w:bidi="ar"/>
              </w:rPr>
              <w:t>900-039-49</w:t>
            </w:r>
            <w:r>
              <w:rPr>
                <w:rFonts w:hint="eastAsia" w:ascii="Times New Roman" w:hAnsi="Times New Roman" w:eastAsia="宋体" w:cs="Times New Roman"/>
                <w:b w:val="0"/>
                <w:bCs w:val="0"/>
                <w:color w:val="000000"/>
                <w:sz w:val="24"/>
                <w:szCs w:val="24"/>
                <w:highlight w:val="none"/>
                <w:lang w:val="en-US" w:eastAsia="zh-CN"/>
              </w:rPr>
              <w:t xml:space="preserve"> “</w:t>
            </w:r>
            <w:r>
              <w:rPr>
                <w:rFonts w:ascii="Times New Roman" w:hAnsi="Times New Roman" w:eastAsia="宋体" w:cs="Times New Roman"/>
                <w:color w:val="000000"/>
                <w:sz w:val="24"/>
                <w:szCs w:val="24"/>
                <w:lang w:val="en-US" w:eastAsia="zh-CN" w:bidi="ar"/>
              </w:rPr>
              <w:t>烟气、VOCs 治理过程（不包括餐饮行业油烟治理过程）产生的废活性炭，化学原料和化学制品脱色（不包括有机合成食品添加剂脱色）、除杂、净化过程产生的废活性炭</w:t>
            </w:r>
            <w:r>
              <w:rPr>
                <w:rFonts w:hint="eastAsia" w:ascii="Times New Roman" w:hAnsi="Times New Roman" w:eastAsia="宋体" w:cs="Times New Roman"/>
                <w:b w:val="0"/>
                <w:bCs w:val="0"/>
                <w:color w:val="000000"/>
                <w:sz w:val="24"/>
                <w:szCs w:val="24"/>
                <w:highlight w:val="none"/>
                <w:lang w:val="en-US" w:eastAsia="zh-CN"/>
              </w:rPr>
              <w:t>”</w:t>
            </w:r>
            <w:r>
              <w:rPr>
                <w:rFonts w:ascii="Times New Roman" w:hAnsi="Times New Roman" w:eastAsia="宋体" w:cs="Times New Roman"/>
                <w:b w:val="0"/>
                <w:bCs w:val="0"/>
                <w:color w:val="000000"/>
                <w:sz w:val="24"/>
                <w:szCs w:val="24"/>
                <w:highlight w:val="none"/>
                <w:lang w:val="en-US" w:eastAsia="zh-CN"/>
              </w:rPr>
              <w:t>。</w:t>
            </w:r>
            <w:r>
              <w:rPr>
                <w:rFonts w:ascii="Times New Roman" w:hAnsi="Times New Roman" w:eastAsia="宋体" w:cs="Times New Roman"/>
                <w:color w:val="000000"/>
                <w:sz w:val="24"/>
                <w:szCs w:val="24"/>
                <w:lang w:val="en-US" w:eastAsia="zh-CN" w:bidi="ar"/>
              </w:rPr>
              <w:t>更换的废活性炭集中收集于危废暂存间内暂存，</w:t>
            </w:r>
            <w:r>
              <w:rPr>
                <w:rFonts w:hint="eastAsia" w:ascii="Times New Roman" w:hAnsi="Times New Roman" w:eastAsia="宋体" w:cs="Times New Roman"/>
                <w:b w:val="0"/>
                <w:bCs w:val="0"/>
                <w:color w:val="000000"/>
                <w:sz w:val="24"/>
                <w:szCs w:val="24"/>
                <w:highlight w:val="none"/>
                <w:lang w:val="en-US" w:eastAsia="zh-CN"/>
              </w:rPr>
              <w:t>委托有资质的单位定期清运处置，对环境影响较小。</w:t>
            </w:r>
          </w:p>
          <w:p w14:paraId="413CF3FC">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（9）废机油</w:t>
            </w:r>
          </w:p>
          <w:p w14:paraId="1076A333">
            <w:pPr>
              <w:spacing w:line="360" w:lineRule="auto"/>
              <w:ind w:firstLine="480"/>
              <w:jc w:val="both"/>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项目在运营期间机器维修过程中会有废机油等机修固废产生，根据建设单位经验，项目废机油的产生量约为0.1t/a。根据《国家危险废物名录》（2021年版），废机油属于“HW08废矿物油与含矿物油废物”中“900-214-08车辆、机械维修和拆解过程中产生的废发动机油、制动器油、自动变速器油、齿轮油等废润滑油”，废机油经收集后暂存于为废暂存间中，定期委托有资质的单位处理。</w:t>
            </w:r>
          </w:p>
          <w:p w14:paraId="51CF02C5">
            <w:pPr>
              <w:spacing w:line="360" w:lineRule="auto"/>
              <w:ind w:firstLine="480"/>
              <w:jc w:val="left"/>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 </w:t>
            </w:r>
            <w:r>
              <w:rPr>
                <w:rFonts w:ascii="Times New Roman" w:hAnsi="Times New Roman" w:eastAsia="宋体" w:cs="Times New Roman"/>
                <w:b w:val="0"/>
                <w:bCs w:val="0"/>
                <w:color w:val="000000"/>
                <w:sz w:val="24"/>
                <w:szCs w:val="24"/>
                <w:highlight w:val="none"/>
                <w:lang w:val="en-US" w:eastAsia="zh-CN"/>
              </w:rPr>
              <w:t>综上所述，项目运营期产生的所有固体废物均得到妥善处置，去向明确，处置率达100%，对周围环境的影响较小</w:t>
            </w:r>
            <w:r>
              <w:rPr>
                <w:rFonts w:ascii="Times New Roman" w:hAnsi="Times New Roman" w:eastAsia="宋体" w:cs="Times New Roman"/>
                <w:color w:val="000000"/>
                <w:sz w:val="24"/>
                <w:szCs w:val="24"/>
                <w:highlight w:val="none"/>
                <w:lang w:eastAsia="zh-CN"/>
              </w:rPr>
              <w:t>，措施可行。</w:t>
            </w:r>
          </w:p>
        </w:tc>
      </w:tr>
    </w:tbl>
    <w:p w14:paraId="383DDBD0">
      <w:pPr>
        <w:rPr>
          <w:rFonts w:ascii="Times New Roman" w:hAnsi="Times New Roman" w:eastAsia="宋体" w:cs="Times New Roman"/>
          <w:color w:val="000000"/>
        </w:rPr>
        <w:sectPr>
          <w:pgSz w:w="11907" w:h="16840" w:orient="landscape"/>
          <w:pgMar w:top="1134" w:right="1134" w:bottom="1134" w:left="1134" w:header="851" w:footer="851" w:gutter="0"/>
          <w:pgNumType w:start="1"/>
          <w:cols w:space="1701" w:num="1"/>
        </w:sectPr>
      </w:pPr>
    </w:p>
    <w:tbl>
      <w:tblPr>
        <w:tblStyle w:val="29"/>
        <w:tblW w:w="5026"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28" w:type="dxa"/>
          <w:bottom w:w="0" w:type="dxa"/>
          <w:right w:w="28" w:type="dxa"/>
        </w:tblCellMar>
      </w:tblPr>
      <w:tblGrid>
        <w:gridCol w:w="442"/>
        <w:gridCol w:w="14262"/>
      </w:tblGrid>
      <w:tr w14:paraId="36F15E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150" w:type="dxa"/>
            <w:noWrap w:val="0"/>
            <w:tcMar>
              <w:left w:w="28" w:type="dxa"/>
              <w:right w:w="28" w:type="dxa"/>
            </w:tcMar>
            <w:vAlign w:val="center"/>
          </w:tcPr>
          <w:p w14:paraId="07059C1D">
            <w:pPr>
              <w:jc w:val="center"/>
              <w:rPr>
                <w:rFonts w:ascii="Times New Roman" w:hAnsi="Times New Roman" w:eastAsia="宋体" w:cs="Times New Roman"/>
                <w:b/>
                <w:bCs/>
                <w:color w:val="000000"/>
                <w:sz w:val="24"/>
                <w:szCs w:val="24"/>
                <w:highlight w:val="none"/>
              </w:rPr>
            </w:pPr>
            <w:r>
              <w:rPr>
                <w:rFonts w:ascii="Times New Roman" w:hAnsi="Times New Roman" w:eastAsia="宋体" w:cs="Times New Roman"/>
                <w:b/>
                <w:bCs/>
                <w:color w:val="000000"/>
                <w:sz w:val="28"/>
                <w:szCs w:val="28"/>
                <w:highlight w:val="none"/>
              </w:rPr>
              <w:t>运营期环境影响和保护措施</w:t>
            </w:r>
          </w:p>
        </w:tc>
        <w:tc>
          <w:tcPr>
            <w:tcW w:w="4849" w:type="dxa"/>
            <w:noWrap w:val="0"/>
            <w:vAlign w:val="center"/>
          </w:tcPr>
          <w:p w14:paraId="6B5B1811">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eastAsia="zh-CN"/>
              </w:rPr>
            </w:pPr>
            <w:r>
              <w:rPr>
                <w:rFonts w:ascii="Times New Roman" w:hAnsi="Times New Roman" w:eastAsia="宋体" w:cs="Times New Roman"/>
                <w:b w:val="0"/>
                <w:bCs w:val="0"/>
                <w:color w:val="000000"/>
                <w:sz w:val="24"/>
                <w:szCs w:val="24"/>
                <w:highlight w:val="none"/>
                <w:lang w:val="en-US" w:eastAsia="zh-CN"/>
              </w:rPr>
              <w:t>本项目固体废物产生及处理方式详见下表。</w:t>
            </w:r>
          </w:p>
          <w:p w14:paraId="4C4200EC">
            <w:pPr>
              <w:spacing w:line="240" w:lineRule="auto"/>
              <w:ind w:firstLine="0"/>
              <w:jc w:val="center"/>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表4-</w:t>
            </w:r>
            <w:r>
              <w:rPr>
                <w:rFonts w:ascii="Times New Roman" w:hAnsi="Times New Roman" w:eastAsia="宋体" w:cs="Times New Roman"/>
                <w:b/>
                <w:color w:val="000000"/>
                <w:sz w:val="24"/>
                <w:szCs w:val="24"/>
                <w:highlight w:val="none"/>
                <w:lang w:val="en-US" w:eastAsia="zh-CN"/>
              </w:rPr>
              <w:t>7</w:t>
            </w:r>
            <w:r>
              <w:rPr>
                <w:rFonts w:ascii="Times New Roman" w:hAnsi="Times New Roman" w:eastAsia="宋体" w:cs="Times New Roman"/>
                <w:b/>
                <w:color w:val="000000"/>
                <w:sz w:val="24"/>
                <w:szCs w:val="24"/>
                <w:highlight w:val="none"/>
              </w:rPr>
              <w:t xml:space="preserve">  固体废弃物产生及处理情况一览表</w:t>
            </w:r>
          </w:p>
          <w:tbl>
            <w:tblPr>
              <w:tblStyle w:val="29"/>
              <w:tblW w:w="491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4"/>
              <w:gridCol w:w="1633"/>
              <w:gridCol w:w="752"/>
              <w:gridCol w:w="1861"/>
              <w:gridCol w:w="863"/>
              <w:gridCol w:w="1015"/>
              <w:gridCol w:w="1330"/>
              <w:gridCol w:w="2762"/>
              <w:gridCol w:w="1040"/>
              <w:gridCol w:w="2041"/>
            </w:tblGrid>
            <w:tr w14:paraId="00332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234" w:type="dxa"/>
                  <w:noWrap w:val="0"/>
                  <w:vAlign w:val="center"/>
                </w:tcPr>
                <w:p w14:paraId="1EDC85B2">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pacing w:val="-6"/>
                      <w:sz w:val="21"/>
                      <w:szCs w:val="21"/>
                      <w:highlight w:val="none"/>
                      <w:lang w:val="en-US" w:eastAsia="zh-CN"/>
                    </w:rPr>
                  </w:pPr>
                  <w:r>
                    <w:rPr>
                      <w:rFonts w:ascii="Times New Roman" w:hAnsi="Times New Roman" w:eastAsia="宋体" w:cs="Times New Roman"/>
                      <w:b/>
                      <w:bCs/>
                      <w:color w:val="000000"/>
                      <w:spacing w:val="-6"/>
                      <w:sz w:val="21"/>
                      <w:szCs w:val="21"/>
                      <w:highlight w:val="none"/>
                      <w:lang w:val="en-US" w:eastAsia="zh-CN"/>
                    </w:rPr>
                    <w:t>产生环节</w:t>
                  </w:r>
                </w:p>
              </w:tc>
              <w:tc>
                <w:tcPr>
                  <w:tcW w:w="585" w:type="dxa"/>
                  <w:noWrap w:val="0"/>
                  <w:vAlign w:val="center"/>
                </w:tcPr>
                <w:p w14:paraId="64DBD443">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pacing w:val="-6"/>
                      <w:sz w:val="21"/>
                      <w:szCs w:val="21"/>
                      <w:highlight w:val="none"/>
                    </w:rPr>
                    <w:t>名称</w:t>
                  </w:r>
                </w:p>
              </w:tc>
              <w:tc>
                <w:tcPr>
                  <w:tcW w:w="269" w:type="dxa"/>
                  <w:noWrap w:val="0"/>
                  <w:vAlign w:val="center"/>
                </w:tcPr>
                <w:p w14:paraId="3B155632">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属性</w:t>
                  </w:r>
                </w:p>
              </w:tc>
              <w:tc>
                <w:tcPr>
                  <w:tcW w:w="666" w:type="dxa"/>
                  <w:noWrap w:val="0"/>
                  <w:vAlign w:val="center"/>
                </w:tcPr>
                <w:p w14:paraId="0BCFDA2C">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hint="eastAsia" w:ascii="Times New Roman" w:hAnsi="Times New Roman" w:eastAsia="宋体" w:cs="Times New Roman"/>
                      <w:b/>
                      <w:bCs/>
                      <w:color w:val="000000"/>
                      <w:sz w:val="21"/>
                      <w:szCs w:val="21"/>
                      <w:highlight w:val="none"/>
                      <w:lang w:val="en-US" w:eastAsia="zh-CN" w:bidi="ar-SA"/>
                    </w:rPr>
                    <w:t>危废编号</w:t>
                  </w:r>
                </w:p>
              </w:tc>
              <w:tc>
                <w:tcPr>
                  <w:tcW w:w="309" w:type="dxa"/>
                  <w:noWrap w:val="0"/>
                  <w:vAlign w:val="center"/>
                </w:tcPr>
                <w:p w14:paraId="4BEA8A5D">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物理</w:t>
                  </w:r>
                </w:p>
                <w:p w14:paraId="75F01753">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性质</w:t>
                  </w:r>
                </w:p>
              </w:tc>
              <w:tc>
                <w:tcPr>
                  <w:tcW w:w="363" w:type="dxa"/>
                  <w:noWrap w:val="0"/>
                  <w:vAlign w:val="center"/>
                </w:tcPr>
                <w:p w14:paraId="16F0A84B">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估算产生量</w:t>
                  </w:r>
                </w:p>
              </w:tc>
              <w:tc>
                <w:tcPr>
                  <w:tcW w:w="476" w:type="dxa"/>
                  <w:noWrap w:val="0"/>
                  <w:vAlign w:val="center"/>
                </w:tcPr>
                <w:p w14:paraId="352D3000">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贮存方式</w:t>
                  </w:r>
                </w:p>
              </w:tc>
              <w:tc>
                <w:tcPr>
                  <w:tcW w:w="989" w:type="dxa"/>
                  <w:noWrap w:val="0"/>
                  <w:vAlign w:val="center"/>
                </w:tcPr>
                <w:p w14:paraId="1EDFD9AF">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利用处置方式和去向</w:t>
                  </w:r>
                </w:p>
              </w:tc>
              <w:tc>
                <w:tcPr>
                  <w:tcW w:w="372" w:type="dxa"/>
                  <w:noWrap w:val="0"/>
                  <w:vAlign w:val="center"/>
                </w:tcPr>
                <w:p w14:paraId="30D4385C">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利用或处置量</w:t>
                  </w:r>
                </w:p>
              </w:tc>
              <w:tc>
                <w:tcPr>
                  <w:tcW w:w="731" w:type="dxa"/>
                  <w:noWrap w:val="0"/>
                  <w:vAlign w:val="center"/>
                </w:tcPr>
                <w:p w14:paraId="42B547D0">
                  <w:pPr>
                    <w:keepNext w:val="0"/>
                    <w:keepLines w:val="0"/>
                    <w:pageBreakBefore w:val="0"/>
                    <w:widowControl w:val="0"/>
                    <w:spacing w:line="240" w:lineRule="auto"/>
                    <w:ind w:left="0" w:right="0" w:firstLine="0"/>
                    <w:jc w:val="center"/>
                    <w:rPr>
                      <w:rFonts w:ascii="Times New Roman" w:hAnsi="Times New Roman" w:eastAsia="宋体" w:cs="Times New Roman"/>
                      <w:b/>
                      <w:bCs/>
                      <w:color w:val="000000"/>
                      <w:sz w:val="21"/>
                      <w:szCs w:val="21"/>
                      <w:highlight w:val="none"/>
                      <w:lang w:val="en-US" w:eastAsia="zh-CN" w:bidi="ar-SA"/>
                    </w:rPr>
                  </w:pPr>
                  <w:r>
                    <w:rPr>
                      <w:rFonts w:ascii="Times New Roman" w:hAnsi="Times New Roman" w:eastAsia="宋体" w:cs="Times New Roman"/>
                      <w:b/>
                      <w:bCs/>
                      <w:color w:val="000000"/>
                      <w:sz w:val="21"/>
                      <w:szCs w:val="21"/>
                      <w:highlight w:val="none"/>
                      <w:lang w:val="en-US" w:eastAsia="zh-CN" w:bidi="ar-SA"/>
                    </w:rPr>
                    <w:t>环境管理要求</w:t>
                  </w:r>
                </w:p>
              </w:tc>
            </w:tr>
            <w:tr w14:paraId="2C0A9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4" w:type="dxa"/>
                  <w:vMerge w:val="restart"/>
                  <w:noWrap w:val="0"/>
                  <w:vAlign w:val="center"/>
                </w:tcPr>
                <w:p w14:paraId="73B5E38D">
                  <w:pPr>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员工生活</w:t>
                  </w:r>
                </w:p>
              </w:tc>
              <w:tc>
                <w:tcPr>
                  <w:tcW w:w="585" w:type="dxa"/>
                  <w:noWrap w:val="0"/>
                  <w:vAlign w:val="center"/>
                </w:tcPr>
                <w:p w14:paraId="7278A489">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生活垃圾</w:t>
                  </w:r>
                </w:p>
              </w:tc>
              <w:tc>
                <w:tcPr>
                  <w:tcW w:w="269" w:type="dxa"/>
                  <w:vMerge w:val="restart"/>
                  <w:noWrap w:val="0"/>
                  <w:vAlign w:val="center"/>
                </w:tcPr>
                <w:p w14:paraId="555F3914">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hint="eastAsia" w:ascii="Times New Roman" w:hAnsi="Times New Roman" w:eastAsia="宋体" w:cs="Times New Roman"/>
                      <w:color w:val="000000"/>
                      <w:spacing w:val="-4"/>
                      <w:sz w:val="21"/>
                      <w:szCs w:val="21"/>
                      <w:highlight w:val="none"/>
                      <w:lang w:val="en-US" w:eastAsia="zh-CN"/>
                    </w:rPr>
                    <w:t>生活固废</w:t>
                  </w:r>
                </w:p>
              </w:tc>
              <w:tc>
                <w:tcPr>
                  <w:tcW w:w="666" w:type="dxa"/>
                  <w:vMerge w:val="restart"/>
                  <w:noWrap w:val="0"/>
                  <w:vAlign w:val="center"/>
                </w:tcPr>
                <w:p w14:paraId="6FD9054F">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w:t>
                  </w:r>
                </w:p>
              </w:tc>
              <w:tc>
                <w:tcPr>
                  <w:tcW w:w="309" w:type="dxa"/>
                  <w:noWrap w:val="0"/>
                  <w:vAlign w:val="center"/>
                </w:tcPr>
                <w:p w14:paraId="2F8810DA">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固态</w:t>
                  </w:r>
                </w:p>
              </w:tc>
              <w:tc>
                <w:tcPr>
                  <w:tcW w:w="363" w:type="dxa"/>
                  <w:noWrap w:val="0"/>
                  <w:vAlign w:val="center"/>
                </w:tcPr>
                <w:p w14:paraId="21810F05">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hint="eastAsia" w:ascii="Times New Roman" w:hAnsi="Times New Roman" w:eastAsia="宋体" w:cs="Times New Roman"/>
                      <w:color w:val="000000"/>
                      <w:spacing w:val="-4"/>
                      <w:sz w:val="21"/>
                      <w:szCs w:val="21"/>
                      <w:highlight w:val="none"/>
                      <w:lang w:val="en-US" w:eastAsia="zh-CN"/>
                    </w:rPr>
                    <w:t>7.5</w:t>
                  </w:r>
                  <w:r>
                    <w:rPr>
                      <w:rFonts w:ascii="Times New Roman" w:hAnsi="Times New Roman" w:eastAsia="宋体" w:cs="Times New Roman"/>
                      <w:color w:val="000000"/>
                      <w:spacing w:val="-4"/>
                      <w:sz w:val="21"/>
                      <w:szCs w:val="21"/>
                      <w:highlight w:val="none"/>
                      <w:lang w:val="en-US" w:eastAsia="zh-CN"/>
                    </w:rPr>
                    <w:t>t/a</w:t>
                  </w:r>
                </w:p>
              </w:tc>
              <w:tc>
                <w:tcPr>
                  <w:tcW w:w="476" w:type="dxa"/>
                  <w:noWrap w:val="0"/>
                  <w:vAlign w:val="center"/>
                </w:tcPr>
                <w:p w14:paraId="4C779D25">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设若干垃圾收集桶</w:t>
                  </w:r>
                </w:p>
              </w:tc>
              <w:tc>
                <w:tcPr>
                  <w:tcW w:w="989" w:type="dxa"/>
                  <w:noWrap w:val="0"/>
                  <w:vAlign w:val="center"/>
                </w:tcPr>
                <w:p w14:paraId="00B8DE0B">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运至附近村庄垃圾收集点集中处置</w:t>
                  </w:r>
                </w:p>
              </w:tc>
              <w:tc>
                <w:tcPr>
                  <w:tcW w:w="372" w:type="dxa"/>
                  <w:noWrap w:val="0"/>
                  <w:vAlign w:val="center"/>
                </w:tcPr>
                <w:p w14:paraId="55DCB7C5">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7.5</w:t>
                  </w:r>
                  <w:r>
                    <w:rPr>
                      <w:rFonts w:ascii="Times New Roman" w:hAnsi="Times New Roman" w:eastAsia="宋体" w:cs="Times New Roman"/>
                      <w:color w:val="000000"/>
                      <w:spacing w:val="-4"/>
                      <w:sz w:val="21"/>
                      <w:szCs w:val="21"/>
                      <w:highlight w:val="none"/>
                      <w:lang w:val="en-US" w:eastAsia="zh-CN"/>
                    </w:rPr>
                    <w:t>t/a</w:t>
                  </w:r>
                </w:p>
              </w:tc>
              <w:tc>
                <w:tcPr>
                  <w:tcW w:w="731" w:type="dxa"/>
                  <w:vMerge w:val="restart"/>
                  <w:noWrap w:val="0"/>
                  <w:vAlign w:val="center"/>
                </w:tcPr>
                <w:p w14:paraId="0E368D60">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《一般工业固体废物贮存和填埋污染控制标准》（GB18599-2020）</w:t>
                  </w:r>
                </w:p>
              </w:tc>
            </w:tr>
            <w:tr w14:paraId="1734C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4" w:type="dxa"/>
                  <w:vMerge w:val="continue"/>
                  <w:noWrap w:val="0"/>
                  <w:vAlign w:val="center"/>
                </w:tcPr>
                <w:p w14:paraId="4DA6E841">
                  <w:pPr>
                    <w:jc w:val="center"/>
                    <w:rPr>
                      <w:rFonts w:ascii="Times New Roman" w:hAnsi="Times New Roman" w:eastAsia="宋体" w:cs="Times New Roman"/>
                      <w:color w:val="000000"/>
                      <w:sz w:val="21"/>
                      <w:szCs w:val="21"/>
                      <w:highlight w:val="none"/>
                      <w:lang w:val="en-US" w:eastAsia="zh-CN"/>
                    </w:rPr>
                  </w:pPr>
                </w:p>
              </w:tc>
              <w:tc>
                <w:tcPr>
                  <w:tcW w:w="585" w:type="dxa"/>
                  <w:noWrap w:val="0"/>
                  <w:vAlign w:val="center"/>
                </w:tcPr>
                <w:p w14:paraId="557B8788">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化粪池污泥</w:t>
                  </w:r>
                </w:p>
              </w:tc>
              <w:tc>
                <w:tcPr>
                  <w:tcW w:w="269" w:type="dxa"/>
                  <w:vMerge w:val="continue"/>
                  <w:noWrap w:val="0"/>
                  <w:vAlign w:val="center"/>
                </w:tcPr>
                <w:p w14:paraId="4E09A40E">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p>
              </w:tc>
              <w:tc>
                <w:tcPr>
                  <w:tcW w:w="666" w:type="dxa"/>
                  <w:vMerge w:val="continue"/>
                  <w:noWrap w:val="0"/>
                  <w:vAlign w:val="center"/>
                </w:tcPr>
                <w:p w14:paraId="7A5AFD7A">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p>
              </w:tc>
              <w:tc>
                <w:tcPr>
                  <w:tcW w:w="309" w:type="dxa"/>
                  <w:noWrap w:val="0"/>
                  <w:vAlign w:val="center"/>
                </w:tcPr>
                <w:p w14:paraId="64F996C5">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固态</w:t>
                  </w:r>
                </w:p>
              </w:tc>
              <w:tc>
                <w:tcPr>
                  <w:tcW w:w="363" w:type="dxa"/>
                  <w:noWrap w:val="0"/>
                  <w:vAlign w:val="center"/>
                </w:tcPr>
                <w:p w14:paraId="4D36EFDB">
                  <w:pPr>
                    <w:keepNext w:val="0"/>
                    <w:keepLines w:val="0"/>
                    <w:pageBreakBefore w:val="0"/>
                    <w:widowControl w:val="0"/>
                    <w:spacing w:line="240" w:lineRule="auto"/>
                    <w:ind w:left="0" w:right="0" w:firstLine="0"/>
                    <w:jc w:val="center"/>
                    <w:rPr>
                      <w:rFonts w:hint="eastAsia" w:ascii="Times New Roman" w:hAnsi="Times New Roman" w:eastAsia="宋体" w:cs="Times New Roman"/>
                      <w:color w:val="000000"/>
                      <w:spacing w:val="-4"/>
                      <w:sz w:val="21"/>
                      <w:szCs w:val="21"/>
                      <w:highlight w:val="none"/>
                      <w:lang w:val="en-US" w:eastAsia="zh-CN"/>
                    </w:rPr>
                  </w:pPr>
                  <w:r>
                    <w:rPr>
                      <w:rFonts w:hint="eastAsia" w:ascii="Times New Roman" w:hAnsi="Times New Roman" w:eastAsia="宋体" w:cs="Times New Roman"/>
                      <w:color w:val="000000"/>
                      <w:spacing w:val="-4"/>
                      <w:sz w:val="21"/>
                      <w:szCs w:val="21"/>
                      <w:highlight w:val="none"/>
                      <w:lang w:val="en-US" w:eastAsia="zh-CN"/>
                    </w:rPr>
                    <w:t>0.09</w:t>
                  </w:r>
                  <w:r>
                    <w:rPr>
                      <w:rFonts w:ascii="Times New Roman" w:hAnsi="Times New Roman" w:eastAsia="宋体" w:cs="Times New Roman"/>
                      <w:color w:val="000000"/>
                      <w:spacing w:val="-4"/>
                      <w:sz w:val="21"/>
                      <w:szCs w:val="21"/>
                      <w:highlight w:val="none"/>
                      <w:lang w:val="en-US" w:eastAsia="zh-CN"/>
                    </w:rPr>
                    <w:t>t/a</w:t>
                  </w:r>
                </w:p>
              </w:tc>
              <w:tc>
                <w:tcPr>
                  <w:tcW w:w="476" w:type="dxa"/>
                  <w:noWrap w:val="0"/>
                  <w:vAlign w:val="center"/>
                </w:tcPr>
                <w:p w14:paraId="714DDA30">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即掏即运</w:t>
                  </w:r>
                </w:p>
              </w:tc>
              <w:tc>
                <w:tcPr>
                  <w:tcW w:w="989" w:type="dxa"/>
                  <w:noWrap w:val="0"/>
                  <w:vAlign w:val="center"/>
                </w:tcPr>
                <w:p w14:paraId="7CE90B81">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定期清掏外运给周边农户做农田肥料，综合利用</w:t>
                  </w:r>
                </w:p>
              </w:tc>
              <w:tc>
                <w:tcPr>
                  <w:tcW w:w="372" w:type="dxa"/>
                  <w:noWrap w:val="0"/>
                  <w:vAlign w:val="center"/>
                </w:tcPr>
                <w:p w14:paraId="60BD0CC8">
                  <w:pPr>
                    <w:keepNext w:val="0"/>
                    <w:keepLines w:val="0"/>
                    <w:pageBreakBefore w:val="0"/>
                    <w:widowControl w:val="0"/>
                    <w:spacing w:line="240" w:lineRule="auto"/>
                    <w:ind w:left="0" w:right="0" w:firstLine="0"/>
                    <w:jc w:val="center"/>
                    <w:rPr>
                      <w:rFonts w:hint="eastAsia"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0.09</w:t>
                  </w:r>
                  <w:r>
                    <w:rPr>
                      <w:rFonts w:ascii="Times New Roman" w:hAnsi="Times New Roman" w:eastAsia="宋体" w:cs="Times New Roman"/>
                      <w:color w:val="000000"/>
                      <w:spacing w:val="-4"/>
                      <w:sz w:val="21"/>
                      <w:szCs w:val="21"/>
                      <w:highlight w:val="none"/>
                      <w:lang w:val="en-US" w:eastAsia="zh-CN"/>
                    </w:rPr>
                    <w:t>t/a</w:t>
                  </w:r>
                </w:p>
              </w:tc>
              <w:tc>
                <w:tcPr>
                  <w:tcW w:w="731" w:type="dxa"/>
                  <w:vMerge w:val="continue"/>
                  <w:noWrap w:val="0"/>
                  <w:vAlign w:val="center"/>
                </w:tcPr>
                <w:p w14:paraId="1CF34475">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p>
              </w:tc>
            </w:tr>
            <w:tr w14:paraId="317F6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234" w:type="dxa"/>
                  <w:vMerge w:val="restart"/>
                  <w:noWrap w:val="0"/>
                  <w:vAlign w:val="center"/>
                </w:tcPr>
                <w:p w14:paraId="3B77009E">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生产</w:t>
                  </w:r>
                </w:p>
              </w:tc>
              <w:tc>
                <w:tcPr>
                  <w:tcW w:w="585" w:type="dxa"/>
                  <w:noWrap w:val="0"/>
                  <w:vAlign w:val="center"/>
                </w:tcPr>
                <w:p w14:paraId="526A488A">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边角料</w:t>
                  </w:r>
                </w:p>
              </w:tc>
              <w:tc>
                <w:tcPr>
                  <w:tcW w:w="269" w:type="dxa"/>
                  <w:vMerge w:val="restart"/>
                  <w:noWrap w:val="0"/>
                  <w:vAlign w:val="center"/>
                </w:tcPr>
                <w:p w14:paraId="3105BB24">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一般固体废物</w:t>
                  </w:r>
                </w:p>
              </w:tc>
              <w:tc>
                <w:tcPr>
                  <w:tcW w:w="666" w:type="dxa"/>
                  <w:vMerge w:val="restart"/>
                  <w:noWrap w:val="0"/>
                  <w:vAlign w:val="center"/>
                </w:tcPr>
                <w:p w14:paraId="1331933F">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w:t>
                  </w:r>
                </w:p>
              </w:tc>
              <w:tc>
                <w:tcPr>
                  <w:tcW w:w="309" w:type="dxa"/>
                  <w:noWrap w:val="0"/>
                  <w:vAlign w:val="center"/>
                </w:tcPr>
                <w:p w14:paraId="673FC5D4">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固态</w:t>
                  </w:r>
                </w:p>
              </w:tc>
              <w:tc>
                <w:tcPr>
                  <w:tcW w:w="363" w:type="dxa"/>
                  <w:noWrap w:val="0"/>
                  <w:vAlign w:val="center"/>
                </w:tcPr>
                <w:p w14:paraId="376A7029">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400t/a</w:t>
                  </w:r>
                </w:p>
              </w:tc>
              <w:tc>
                <w:tcPr>
                  <w:tcW w:w="476" w:type="dxa"/>
                  <w:vMerge w:val="restart"/>
                  <w:noWrap w:val="0"/>
                  <w:vAlign w:val="center"/>
                </w:tcPr>
                <w:p w14:paraId="052C2694">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一般固废暂存间</w:t>
                  </w:r>
                </w:p>
              </w:tc>
              <w:tc>
                <w:tcPr>
                  <w:tcW w:w="989" w:type="dxa"/>
                  <w:vMerge w:val="restart"/>
                  <w:noWrap w:val="0"/>
                  <w:vAlign w:val="center"/>
                </w:tcPr>
                <w:p w14:paraId="10F1A4AA">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外售给生物质燃料厂，综合利用</w:t>
                  </w:r>
                </w:p>
              </w:tc>
              <w:tc>
                <w:tcPr>
                  <w:tcW w:w="372" w:type="dxa"/>
                  <w:noWrap w:val="0"/>
                  <w:vAlign w:val="center"/>
                </w:tcPr>
                <w:p w14:paraId="4442BA96">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400t/a</w:t>
                  </w:r>
                </w:p>
              </w:tc>
              <w:tc>
                <w:tcPr>
                  <w:tcW w:w="731" w:type="dxa"/>
                  <w:vMerge w:val="continue"/>
                  <w:noWrap w:val="0"/>
                  <w:vAlign w:val="center"/>
                </w:tcPr>
                <w:p w14:paraId="0F4DFF7D">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p>
              </w:tc>
            </w:tr>
            <w:tr w14:paraId="3B594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4" w:type="dxa"/>
                  <w:vMerge w:val="continue"/>
                  <w:noWrap w:val="0"/>
                  <w:vAlign w:val="center"/>
                </w:tcPr>
                <w:p w14:paraId="2182F364">
                  <w:pPr>
                    <w:jc w:val="center"/>
                    <w:rPr>
                      <w:rFonts w:ascii="Times New Roman" w:hAnsi="Times New Roman" w:eastAsia="宋体" w:cs="Times New Roman"/>
                      <w:color w:val="000000"/>
                      <w:sz w:val="21"/>
                      <w:szCs w:val="21"/>
                      <w:highlight w:val="none"/>
                      <w:lang w:val="en-US" w:eastAsia="zh-CN" w:bidi="ar-SA"/>
                    </w:rPr>
                  </w:pPr>
                </w:p>
              </w:tc>
              <w:tc>
                <w:tcPr>
                  <w:tcW w:w="585" w:type="dxa"/>
                  <w:noWrap w:val="0"/>
                  <w:vAlign w:val="center"/>
                </w:tcPr>
                <w:p w14:paraId="462DF123">
                  <w:pPr>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不合格产品</w:t>
                  </w:r>
                </w:p>
              </w:tc>
              <w:tc>
                <w:tcPr>
                  <w:tcW w:w="269" w:type="dxa"/>
                  <w:vMerge w:val="continue"/>
                  <w:noWrap w:val="0"/>
                  <w:vAlign w:val="center"/>
                </w:tcPr>
                <w:p w14:paraId="79F0E568">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p>
              </w:tc>
              <w:tc>
                <w:tcPr>
                  <w:tcW w:w="666" w:type="dxa"/>
                  <w:vMerge w:val="continue"/>
                  <w:noWrap w:val="0"/>
                  <w:vAlign w:val="center"/>
                </w:tcPr>
                <w:p w14:paraId="12CCBB21">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p>
              </w:tc>
              <w:tc>
                <w:tcPr>
                  <w:tcW w:w="309" w:type="dxa"/>
                  <w:noWrap w:val="0"/>
                  <w:vAlign w:val="center"/>
                </w:tcPr>
                <w:p w14:paraId="1C288058">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固态</w:t>
                  </w:r>
                </w:p>
              </w:tc>
              <w:tc>
                <w:tcPr>
                  <w:tcW w:w="363" w:type="dxa"/>
                  <w:noWrap w:val="0"/>
                  <w:vAlign w:val="center"/>
                </w:tcPr>
                <w:p w14:paraId="69C84D72">
                  <w:pPr>
                    <w:keepNext w:val="0"/>
                    <w:keepLines w:val="0"/>
                    <w:pageBreakBefore w:val="0"/>
                    <w:widowControl w:val="0"/>
                    <w:spacing w:line="240" w:lineRule="auto"/>
                    <w:ind w:left="0" w:right="0" w:firstLine="0"/>
                    <w:jc w:val="center"/>
                    <w:rPr>
                      <w:rFonts w:hint="eastAsia"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10</w:t>
                  </w:r>
                  <w:r>
                    <w:rPr>
                      <w:rFonts w:ascii="Times New Roman" w:hAnsi="Times New Roman" w:eastAsia="宋体" w:cs="Times New Roman"/>
                      <w:color w:val="000000"/>
                      <w:spacing w:val="-4"/>
                      <w:sz w:val="21"/>
                      <w:szCs w:val="21"/>
                      <w:highlight w:val="none"/>
                      <w:lang w:val="en-US" w:eastAsia="zh-CN"/>
                    </w:rPr>
                    <w:t>t/a</w:t>
                  </w:r>
                </w:p>
              </w:tc>
              <w:tc>
                <w:tcPr>
                  <w:tcW w:w="476" w:type="dxa"/>
                  <w:vMerge w:val="continue"/>
                  <w:noWrap w:val="0"/>
                  <w:vAlign w:val="center"/>
                </w:tcPr>
                <w:p w14:paraId="19A67516">
                  <w:pPr>
                    <w:keepNext w:val="0"/>
                    <w:keepLines w:val="0"/>
                    <w:pageBreakBefore w:val="0"/>
                    <w:widowControl w:val="0"/>
                    <w:spacing w:line="240" w:lineRule="auto"/>
                    <w:ind w:left="0" w:right="0" w:firstLine="0"/>
                    <w:jc w:val="center"/>
                    <w:rPr>
                      <w:rFonts w:hint="eastAsia" w:ascii="Times New Roman" w:hAnsi="Times New Roman" w:eastAsia="宋体" w:cs="Times New Roman"/>
                      <w:color w:val="000000"/>
                      <w:spacing w:val="-4"/>
                      <w:sz w:val="21"/>
                      <w:szCs w:val="21"/>
                      <w:highlight w:val="none"/>
                      <w:lang w:val="en-US" w:eastAsia="zh-CN" w:bidi="ar-SA"/>
                    </w:rPr>
                  </w:pPr>
                </w:p>
              </w:tc>
              <w:tc>
                <w:tcPr>
                  <w:tcW w:w="989" w:type="dxa"/>
                  <w:vMerge w:val="continue"/>
                  <w:noWrap w:val="0"/>
                  <w:vAlign w:val="center"/>
                </w:tcPr>
                <w:p w14:paraId="0DFF2F00">
                  <w:pPr>
                    <w:jc w:val="center"/>
                    <w:rPr>
                      <w:rFonts w:ascii="Times New Roman" w:hAnsi="Times New Roman" w:eastAsia="宋体" w:cs="Times New Roman"/>
                      <w:color w:val="000000"/>
                      <w:sz w:val="21"/>
                      <w:szCs w:val="21"/>
                      <w:highlight w:val="none"/>
                      <w:lang w:val="en-US" w:eastAsia="zh-CN" w:bidi="ar-SA"/>
                    </w:rPr>
                  </w:pPr>
                </w:p>
              </w:tc>
              <w:tc>
                <w:tcPr>
                  <w:tcW w:w="372" w:type="dxa"/>
                  <w:noWrap w:val="0"/>
                  <w:vAlign w:val="center"/>
                </w:tcPr>
                <w:p w14:paraId="4DD37013">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10</w:t>
                  </w:r>
                  <w:r>
                    <w:rPr>
                      <w:rFonts w:ascii="Times New Roman" w:hAnsi="Times New Roman" w:eastAsia="宋体" w:cs="Times New Roman"/>
                      <w:color w:val="000000"/>
                      <w:spacing w:val="-4"/>
                      <w:sz w:val="21"/>
                      <w:szCs w:val="21"/>
                      <w:highlight w:val="none"/>
                      <w:lang w:val="en-US" w:eastAsia="zh-CN"/>
                    </w:rPr>
                    <w:t>t/a</w:t>
                  </w:r>
                </w:p>
              </w:tc>
              <w:tc>
                <w:tcPr>
                  <w:tcW w:w="731" w:type="dxa"/>
                  <w:vMerge w:val="continue"/>
                  <w:noWrap w:val="0"/>
                  <w:vAlign w:val="center"/>
                </w:tcPr>
                <w:p w14:paraId="2B4B0AC1">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p>
              </w:tc>
            </w:tr>
            <w:tr w14:paraId="63E9F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4" w:type="dxa"/>
                  <w:vMerge w:val="continue"/>
                  <w:noWrap w:val="0"/>
                  <w:vAlign w:val="center"/>
                </w:tcPr>
                <w:p w14:paraId="4EDEDB9D">
                  <w:pPr>
                    <w:jc w:val="center"/>
                    <w:rPr>
                      <w:rFonts w:ascii="Times New Roman" w:hAnsi="Times New Roman" w:eastAsia="宋体" w:cs="Times New Roman"/>
                      <w:color w:val="000000"/>
                      <w:sz w:val="21"/>
                      <w:szCs w:val="21"/>
                      <w:highlight w:val="none"/>
                      <w:lang w:val="en-US" w:eastAsia="zh-CN" w:bidi="ar-SA"/>
                    </w:rPr>
                  </w:pPr>
                </w:p>
              </w:tc>
              <w:tc>
                <w:tcPr>
                  <w:tcW w:w="585" w:type="dxa"/>
                  <w:noWrap w:val="0"/>
                  <w:vAlign w:val="center"/>
                </w:tcPr>
                <w:p w14:paraId="005344F1">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除尘灰</w:t>
                  </w:r>
                </w:p>
              </w:tc>
              <w:tc>
                <w:tcPr>
                  <w:tcW w:w="269" w:type="dxa"/>
                  <w:vMerge w:val="continue"/>
                  <w:noWrap w:val="0"/>
                  <w:vAlign w:val="center"/>
                </w:tcPr>
                <w:p w14:paraId="69F615AC">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p>
              </w:tc>
              <w:tc>
                <w:tcPr>
                  <w:tcW w:w="666" w:type="dxa"/>
                  <w:vMerge w:val="continue"/>
                  <w:noWrap w:val="0"/>
                  <w:vAlign w:val="center"/>
                </w:tcPr>
                <w:p w14:paraId="678C490A">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p>
              </w:tc>
              <w:tc>
                <w:tcPr>
                  <w:tcW w:w="309" w:type="dxa"/>
                  <w:noWrap w:val="0"/>
                  <w:vAlign w:val="center"/>
                </w:tcPr>
                <w:p w14:paraId="6AD64CAA">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固态</w:t>
                  </w:r>
                </w:p>
              </w:tc>
              <w:tc>
                <w:tcPr>
                  <w:tcW w:w="363" w:type="dxa"/>
                  <w:noWrap w:val="0"/>
                  <w:vAlign w:val="center"/>
                </w:tcPr>
                <w:p w14:paraId="3D76B4F9">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1.4499t/a</w:t>
                  </w:r>
                </w:p>
              </w:tc>
              <w:tc>
                <w:tcPr>
                  <w:tcW w:w="476" w:type="dxa"/>
                  <w:vMerge w:val="continue"/>
                  <w:noWrap w:val="0"/>
                  <w:vAlign w:val="center"/>
                </w:tcPr>
                <w:p w14:paraId="746270D9">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p>
              </w:tc>
              <w:tc>
                <w:tcPr>
                  <w:tcW w:w="989" w:type="dxa"/>
                  <w:vMerge w:val="continue"/>
                  <w:noWrap w:val="0"/>
                  <w:vAlign w:val="center"/>
                </w:tcPr>
                <w:p w14:paraId="318CB1DD">
                  <w:pPr>
                    <w:jc w:val="center"/>
                    <w:rPr>
                      <w:rFonts w:ascii="Times New Roman" w:hAnsi="Times New Roman" w:eastAsia="宋体" w:cs="Times New Roman"/>
                      <w:color w:val="000000"/>
                      <w:sz w:val="21"/>
                      <w:szCs w:val="21"/>
                      <w:highlight w:val="none"/>
                      <w:lang w:val="en-US" w:eastAsia="zh-CN" w:bidi="ar-SA"/>
                    </w:rPr>
                  </w:pPr>
                </w:p>
              </w:tc>
              <w:tc>
                <w:tcPr>
                  <w:tcW w:w="372" w:type="dxa"/>
                  <w:noWrap w:val="0"/>
                  <w:vAlign w:val="center"/>
                </w:tcPr>
                <w:p w14:paraId="55A7458D">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1.4499t/a</w:t>
                  </w:r>
                </w:p>
              </w:tc>
              <w:tc>
                <w:tcPr>
                  <w:tcW w:w="731" w:type="dxa"/>
                  <w:vMerge w:val="continue"/>
                  <w:noWrap w:val="0"/>
                  <w:vAlign w:val="center"/>
                </w:tcPr>
                <w:p w14:paraId="7FEA35E1">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p>
              </w:tc>
            </w:tr>
            <w:tr w14:paraId="52CA2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4" w:type="dxa"/>
                  <w:vMerge w:val="continue"/>
                  <w:noWrap w:val="0"/>
                  <w:vAlign w:val="center"/>
                </w:tcPr>
                <w:p w14:paraId="44B2FBAD">
                  <w:pPr>
                    <w:jc w:val="center"/>
                    <w:rPr>
                      <w:rFonts w:ascii="Times New Roman" w:hAnsi="Times New Roman" w:eastAsia="宋体" w:cs="Times New Roman"/>
                      <w:color w:val="000000"/>
                      <w:sz w:val="21"/>
                      <w:szCs w:val="21"/>
                      <w:highlight w:val="none"/>
                      <w:lang w:val="en-US" w:eastAsia="zh-CN" w:bidi="ar-SA"/>
                    </w:rPr>
                  </w:pPr>
                </w:p>
              </w:tc>
              <w:tc>
                <w:tcPr>
                  <w:tcW w:w="585" w:type="dxa"/>
                  <w:noWrap w:val="0"/>
                  <w:vAlign w:val="center"/>
                </w:tcPr>
                <w:p w14:paraId="272DD991">
                  <w:pPr>
                    <w:jc w:val="center"/>
                    <w:rPr>
                      <w:rFonts w:ascii="Times New Roman" w:hAnsi="Times New Roman" w:eastAsia="宋体" w:cs="Times New Roman"/>
                      <w:color w:val="FF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灰渣</w:t>
                  </w:r>
                </w:p>
              </w:tc>
              <w:tc>
                <w:tcPr>
                  <w:tcW w:w="269" w:type="dxa"/>
                  <w:vMerge w:val="continue"/>
                  <w:noWrap w:val="0"/>
                  <w:vAlign w:val="center"/>
                </w:tcPr>
                <w:p w14:paraId="776197E5">
                  <w:pPr>
                    <w:keepNext w:val="0"/>
                    <w:keepLines w:val="0"/>
                    <w:pageBreakBefore w:val="0"/>
                    <w:widowControl w:val="0"/>
                    <w:spacing w:line="240" w:lineRule="auto"/>
                    <w:ind w:left="0" w:right="0" w:firstLine="0"/>
                    <w:jc w:val="center"/>
                    <w:rPr>
                      <w:rFonts w:ascii="Times New Roman" w:hAnsi="Times New Roman" w:eastAsia="宋体" w:cs="Times New Roman"/>
                      <w:color w:val="FF0000"/>
                      <w:spacing w:val="-4"/>
                      <w:sz w:val="21"/>
                      <w:szCs w:val="21"/>
                      <w:highlight w:val="none"/>
                      <w:lang w:val="en-US" w:eastAsia="zh-CN" w:bidi="ar-SA"/>
                    </w:rPr>
                  </w:pPr>
                </w:p>
              </w:tc>
              <w:tc>
                <w:tcPr>
                  <w:tcW w:w="666" w:type="dxa"/>
                  <w:vMerge w:val="continue"/>
                  <w:noWrap w:val="0"/>
                  <w:vAlign w:val="center"/>
                </w:tcPr>
                <w:p w14:paraId="21973543">
                  <w:pPr>
                    <w:keepNext w:val="0"/>
                    <w:keepLines w:val="0"/>
                    <w:pageBreakBefore w:val="0"/>
                    <w:widowControl w:val="0"/>
                    <w:spacing w:line="240" w:lineRule="auto"/>
                    <w:ind w:left="0" w:right="0" w:firstLine="0"/>
                    <w:jc w:val="center"/>
                    <w:rPr>
                      <w:rFonts w:ascii="Times New Roman" w:hAnsi="Times New Roman" w:eastAsia="宋体" w:cs="Times New Roman"/>
                      <w:color w:val="FF0000"/>
                      <w:spacing w:val="-4"/>
                      <w:sz w:val="21"/>
                      <w:szCs w:val="21"/>
                      <w:highlight w:val="none"/>
                      <w:lang w:val="en-US" w:eastAsia="zh-CN" w:bidi="ar-SA"/>
                    </w:rPr>
                  </w:pPr>
                </w:p>
              </w:tc>
              <w:tc>
                <w:tcPr>
                  <w:tcW w:w="309" w:type="dxa"/>
                  <w:noWrap w:val="0"/>
                  <w:vAlign w:val="center"/>
                </w:tcPr>
                <w:p w14:paraId="76F1E2DF">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固态</w:t>
                  </w:r>
                </w:p>
              </w:tc>
              <w:tc>
                <w:tcPr>
                  <w:tcW w:w="363" w:type="dxa"/>
                  <w:noWrap w:val="0"/>
                  <w:vAlign w:val="center"/>
                </w:tcPr>
                <w:p w14:paraId="1013A17D">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12</w:t>
                  </w:r>
                  <w:r>
                    <w:rPr>
                      <w:rFonts w:ascii="Times New Roman" w:hAnsi="Times New Roman" w:eastAsia="宋体" w:cs="Times New Roman"/>
                      <w:color w:val="000000"/>
                      <w:spacing w:val="-4"/>
                      <w:sz w:val="21"/>
                      <w:szCs w:val="21"/>
                      <w:highlight w:val="none"/>
                      <w:lang w:val="en-US" w:eastAsia="zh-CN"/>
                    </w:rPr>
                    <w:t>t/a</w:t>
                  </w:r>
                </w:p>
              </w:tc>
              <w:tc>
                <w:tcPr>
                  <w:tcW w:w="476" w:type="dxa"/>
                  <w:vMerge w:val="continue"/>
                  <w:noWrap w:val="0"/>
                  <w:vAlign w:val="center"/>
                </w:tcPr>
                <w:p w14:paraId="7FEE67C8">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p>
              </w:tc>
              <w:tc>
                <w:tcPr>
                  <w:tcW w:w="989" w:type="dxa"/>
                  <w:noWrap w:val="0"/>
                  <w:vAlign w:val="center"/>
                </w:tcPr>
                <w:p w14:paraId="74BB3BE2">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统一外运给周边农户做农田肥料，综合利用</w:t>
                  </w:r>
                </w:p>
              </w:tc>
              <w:tc>
                <w:tcPr>
                  <w:tcW w:w="372" w:type="dxa"/>
                  <w:noWrap w:val="0"/>
                  <w:vAlign w:val="center"/>
                </w:tcPr>
                <w:p w14:paraId="36012C8F">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12</w:t>
                  </w:r>
                  <w:r>
                    <w:rPr>
                      <w:rFonts w:ascii="Times New Roman" w:hAnsi="Times New Roman" w:eastAsia="宋体" w:cs="Times New Roman"/>
                      <w:color w:val="000000"/>
                      <w:spacing w:val="-4"/>
                      <w:sz w:val="21"/>
                      <w:szCs w:val="21"/>
                      <w:highlight w:val="none"/>
                      <w:lang w:val="en-US" w:eastAsia="zh-CN"/>
                    </w:rPr>
                    <w:t>t/a</w:t>
                  </w:r>
                </w:p>
              </w:tc>
              <w:tc>
                <w:tcPr>
                  <w:tcW w:w="731" w:type="dxa"/>
                  <w:vMerge w:val="continue"/>
                  <w:noWrap w:val="0"/>
                  <w:vAlign w:val="center"/>
                </w:tcPr>
                <w:p w14:paraId="3F76A293">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p>
              </w:tc>
            </w:tr>
            <w:tr w14:paraId="47E7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4" w:type="dxa"/>
                  <w:vMerge w:val="continue"/>
                  <w:noWrap w:val="0"/>
                  <w:vAlign w:val="center"/>
                </w:tcPr>
                <w:p w14:paraId="60D7DB21">
                  <w:pPr>
                    <w:jc w:val="center"/>
                    <w:rPr>
                      <w:rFonts w:ascii="Times New Roman" w:hAnsi="Times New Roman" w:eastAsia="宋体" w:cs="Times New Roman"/>
                      <w:color w:val="000000"/>
                      <w:sz w:val="21"/>
                      <w:szCs w:val="21"/>
                      <w:highlight w:val="none"/>
                      <w:lang w:val="en-US" w:eastAsia="zh-CN" w:bidi="ar-SA"/>
                    </w:rPr>
                  </w:pPr>
                </w:p>
              </w:tc>
              <w:tc>
                <w:tcPr>
                  <w:tcW w:w="1624" w:type="dxa"/>
                  <w:noWrap w:val="0"/>
                  <w:vAlign w:val="center"/>
                </w:tcPr>
                <w:p w14:paraId="05D0F7C1">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废包装袋</w:t>
                  </w:r>
                </w:p>
              </w:tc>
              <w:tc>
                <w:tcPr>
                  <w:tcW w:w="269" w:type="dxa"/>
                  <w:vMerge w:val="continue"/>
                  <w:noWrap w:val="0"/>
                  <w:vAlign w:val="center"/>
                </w:tcPr>
                <w:p w14:paraId="36BA2CB4">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p>
              </w:tc>
              <w:tc>
                <w:tcPr>
                  <w:tcW w:w="666" w:type="dxa"/>
                  <w:vMerge w:val="continue"/>
                  <w:noWrap w:val="0"/>
                  <w:vAlign w:val="center"/>
                </w:tcPr>
                <w:p w14:paraId="0E8FAFEE">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p>
              </w:tc>
              <w:tc>
                <w:tcPr>
                  <w:tcW w:w="309" w:type="dxa"/>
                  <w:noWrap w:val="0"/>
                  <w:vAlign w:val="center"/>
                </w:tcPr>
                <w:p w14:paraId="046A8733">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ascii="Times New Roman" w:hAnsi="Times New Roman" w:eastAsia="宋体" w:cs="Times New Roman"/>
                      <w:color w:val="000000"/>
                      <w:spacing w:val="-4"/>
                      <w:sz w:val="21"/>
                      <w:szCs w:val="21"/>
                      <w:highlight w:val="none"/>
                      <w:lang w:val="en-US" w:eastAsia="zh-CN"/>
                    </w:rPr>
                    <w:t>固态</w:t>
                  </w:r>
                </w:p>
              </w:tc>
              <w:tc>
                <w:tcPr>
                  <w:tcW w:w="363" w:type="dxa"/>
                  <w:noWrap w:val="0"/>
                  <w:vAlign w:val="center"/>
                </w:tcPr>
                <w:p w14:paraId="66E66CE4">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0.01</w:t>
                  </w:r>
                  <w:r>
                    <w:rPr>
                      <w:rFonts w:ascii="Times New Roman" w:hAnsi="Times New Roman" w:eastAsia="宋体" w:cs="Times New Roman"/>
                      <w:color w:val="000000"/>
                      <w:spacing w:val="-4"/>
                      <w:sz w:val="21"/>
                      <w:szCs w:val="21"/>
                      <w:highlight w:val="none"/>
                      <w:lang w:val="en-US" w:eastAsia="zh-CN"/>
                    </w:rPr>
                    <w:t>t/a</w:t>
                  </w:r>
                </w:p>
              </w:tc>
              <w:tc>
                <w:tcPr>
                  <w:tcW w:w="476" w:type="dxa"/>
                  <w:vMerge w:val="continue"/>
                  <w:noWrap w:val="0"/>
                  <w:vAlign w:val="center"/>
                </w:tcPr>
                <w:p w14:paraId="555EEB42">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p>
              </w:tc>
              <w:tc>
                <w:tcPr>
                  <w:tcW w:w="2746" w:type="dxa"/>
                  <w:noWrap w:val="0"/>
                  <w:vAlign w:val="center"/>
                </w:tcPr>
                <w:p w14:paraId="010579F2">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定期</w:t>
                  </w:r>
                  <w:r>
                    <w:rPr>
                      <w:rFonts w:hint="eastAsia" w:ascii="Times New Roman" w:hAnsi="Times New Roman" w:eastAsia="宋体" w:cs="Times New Roman"/>
                      <w:color w:val="000000"/>
                      <w:sz w:val="21"/>
                      <w:szCs w:val="21"/>
                      <w:highlight w:val="none"/>
                      <w:lang w:val="en-US" w:eastAsia="zh-CN" w:bidi="ar-SA"/>
                    </w:rPr>
                    <w:t>外售</w:t>
                  </w:r>
                  <w:r>
                    <w:rPr>
                      <w:rFonts w:ascii="Times New Roman" w:hAnsi="Times New Roman" w:eastAsia="宋体" w:cs="Times New Roman"/>
                      <w:color w:val="000000"/>
                      <w:sz w:val="21"/>
                      <w:szCs w:val="21"/>
                      <w:highlight w:val="none"/>
                      <w:lang w:val="en-US" w:eastAsia="zh-CN" w:bidi="ar-SA"/>
                    </w:rPr>
                    <w:t>给</w:t>
                  </w:r>
                  <w:r>
                    <w:rPr>
                      <w:rFonts w:hint="eastAsia" w:ascii="Times New Roman" w:hAnsi="Times New Roman" w:eastAsia="宋体" w:cs="Times New Roman"/>
                      <w:color w:val="000000"/>
                      <w:sz w:val="21"/>
                      <w:szCs w:val="21"/>
                      <w:highlight w:val="none"/>
                      <w:lang w:val="en-US" w:eastAsia="zh-CN" w:bidi="ar-SA"/>
                    </w:rPr>
                    <w:t>废品收购站</w:t>
                  </w:r>
                  <w:r>
                    <w:rPr>
                      <w:rFonts w:ascii="Times New Roman" w:hAnsi="Times New Roman" w:eastAsia="宋体" w:cs="Times New Roman"/>
                      <w:color w:val="000000"/>
                      <w:sz w:val="21"/>
                      <w:szCs w:val="21"/>
                      <w:highlight w:val="none"/>
                      <w:lang w:val="en-US" w:eastAsia="zh-CN" w:bidi="ar-SA"/>
                    </w:rPr>
                    <w:t>，综合利用</w:t>
                  </w:r>
                </w:p>
              </w:tc>
              <w:tc>
                <w:tcPr>
                  <w:tcW w:w="1034" w:type="dxa"/>
                  <w:noWrap w:val="0"/>
                  <w:vAlign w:val="center"/>
                </w:tcPr>
                <w:p w14:paraId="371010FE">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0.01</w:t>
                  </w:r>
                  <w:r>
                    <w:rPr>
                      <w:rFonts w:ascii="Times New Roman" w:hAnsi="Times New Roman" w:eastAsia="宋体" w:cs="Times New Roman"/>
                      <w:color w:val="000000"/>
                      <w:spacing w:val="-4"/>
                      <w:sz w:val="21"/>
                      <w:szCs w:val="21"/>
                      <w:highlight w:val="none"/>
                      <w:lang w:val="en-US" w:eastAsia="zh-CN"/>
                    </w:rPr>
                    <w:t>t/a</w:t>
                  </w:r>
                </w:p>
              </w:tc>
              <w:tc>
                <w:tcPr>
                  <w:tcW w:w="731" w:type="dxa"/>
                  <w:vMerge w:val="continue"/>
                  <w:noWrap w:val="0"/>
                  <w:vAlign w:val="center"/>
                </w:tcPr>
                <w:p w14:paraId="74E5B1E9">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p>
              </w:tc>
            </w:tr>
            <w:tr w14:paraId="58D7E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234" w:type="dxa"/>
                  <w:vMerge w:val="continue"/>
                  <w:noWrap w:val="0"/>
                  <w:vAlign w:val="center"/>
                </w:tcPr>
                <w:p w14:paraId="31D7E432">
                  <w:pPr>
                    <w:jc w:val="center"/>
                    <w:rPr>
                      <w:rFonts w:ascii="Times New Roman" w:hAnsi="Times New Roman" w:eastAsia="宋体" w:cs="Times New Roman"/>
                      <w:color w:val="000000"/>
                      <w:sz w:val="21"/>
                      <w:szCs w:val="21"/>
                      <w:highlight w:val="none"/>
                      <w:lang w:val="en-US" w:eastAsia="zh-CN" w:bidi="ar-SA"/>
                    </w:rPr>
                  </w:pPr>
                </w:p>
              </w:tc>
              <w:tc>
                <w:tcPr>
                  <w:tcW w:w="1624" w:type="dxa"/>
                  <w:noWrap w:val="0"/>
                  <w:vAlign w:val="center"/>
                </w:tcPr>
                <w:p w14:paraId="366CB6B6">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废活性炭</w:t>
                  </w:r>
                </w:p>
              </w:tc>
              <w:tc>
                <w:tcPr>
                  <w:tcW w:w="269" w:type="dxa"/>
                  <w:vMerge w:val="restart"/>
                  <w:noWrap w:val="0"/>
                  <w:vAlign w:val="center"/>
                </w:tcPr>
                <w:p w14:paraId="68EE984F">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危险废物</w:t>
                  </w:r>
                </w:p>
              </w:tc>
              <w:tc>
                <w:tcPr>
                  <w:tcW w:w="666" w:type="dxa"/>
                  <w:noWrap w:val="0"/>
                  <w:vAlign w:val="center"/>
                </w:tcPr>
                <w:p w14:paraId="2A71D01B">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HW49 900-039-49</w:t>
                  </w:r>
                </w:p>
              </w:tc>
              <w:tc>
                <w:tcPr>
                  <w:tcW w:w="309" w:type="dxa"/>
                  <w:noWrap w:val="0"/>
                  <w:vAlign w:val="center"/>
                </w:tcPr>
                <w:p w14:paraId="42086852">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ascii="Times New Roman" w:hAnsi="Times New Roman" w:eastAsia="宋体" w:cs="Times New Roman"/>
                      <w:color w:val="000000"/>
                      <w:spacing w:val="-4"/>
                      <w:sz w:val="21"/>
                      <w:szCs w:val="21"/>
                      <w:highlight w:val="none"/>
                      <w:lang w:val="en-US" w:eastAsia="zh-CN"/>
                    </w:rPr>
                    <w:t>固态</w:t>
                  </w:r>
                </w:p>
              </w:tc>
              <w:tc>
                <w:tcPr>
                  <w:tcW w:w="363" w:type="dxa"/>
                  <w:noWrap w:val="0"/>
                  <w:vAlign w:val="center"/>
                </w:tcPr>
                <w:p w14:paraId="5DC8548E">
                  <w:pPr>
                    <w:keepNext w:val="0"/>
                    <w:keepLines w:val="0"/>
                    <w:pageBreakBefore w:val="0"/>
                    <w:widowControl w:val="0"/>
                    <w:spacing w:line="240" w:lineRule="auto"/>
                    <w:ind w:left="0" w:right="0" w:firstLine="0"/>
                    <w:jc w:val="center"/>
                    <w:rPr>
                      <w:rFonts w:hint="eastAsia" w:ascii="Times New Roman" w:hAnsi="Times New Roman" w:eastAsia="宋体" w:cs="Times New Roman"/>
                      <w:color w:val="000000"/>
                      <w:spacing w:val="-4"/>
                      <w:sz w:val="21"/>
                      <w:szCs w:val="21"/>
                      <w:highlight w:val="none"/>
                      <w:lang w:val="en-US" w:eastAsia="zh-CN"/>
                    </w:rPr>
                  </w:pPr>
                  <w:r>
                    <w:rPr>
                      <w:rFonts w:hint="eastAsia" w:ascii="Times New Roman" w:hAnsi="Times New Roman" w:eastAsia="宋体" w:cs="Times New Roman"/>
                      <w:color w:val="000000"/>
                      <w:spacing w:val="-4"/>
                      <w:sz w:val="21"/>
                      <w:szCs w:val="21"/>
                      <w:highlight w:val="none"/>
                      <w:lang w:val="en-US" w:eastAsia="zh-CN"/>
                    </w:rPr>
                    <w:t>0.0039</w:t>
                  </w:r>
                  <w:r>
                    <w:rPr>
                      <w:rFonts w:ascii="Times New Roman" w:hAnsi="Times New Roman" w:eastAsia="宋体" w:cs="Times New Roman"/>
                      <w:color w:val="000000"/>
                      <w:spacing w:val="-4"/>
                      <w:sz w:val="21"/>
                      <w:szCs w:val="21"/>
                      <w:highlight w:val="none"/>
                      <w:lang w:val="en-US" w:eastAsia="zh-CN"/>
                    </w:rPr>
                    <w:t>t/a</w:t>
                  </w:r>
                </w:p>
              </w:tc>
              <w:tc>
                <w:tcPr>
                  <w:tcW w:w="476" w:type="dxa"/>
                  <w:vMerge w:val="restart"/>
                  <w:noWrap w:val="0"/>
                  <w:vAlign w:val="center"/>
                </w:tcPr>
                <w:p w14:paraId="35638747">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hint="eastAsia" w:ascii="Times New Roman" w:hAnsi="Times New Roman" w:eastAsia="宋体" w:cs="Times New Roman"/>
                      <w:color w:val="000000"/>
                      <w:spacing w:val="-4"/>
                      <w:sz w:val="21"/>
                      <w:szCs w:val="21"/>
                      <w:highlight w:val="none"/>
                      <w:lang w:val="en-US" w:eastAsia="zh-CN"/>
                    </w:rPr>
                    <w:t>危险废物暂存间</w:t>
                  </w:r>
                </w:p>
              </w:tc>
              <w:tc>
                <w:tcPr>
                  <w:tcW w:w="989" w:type="dxa"/>
                  <w:vMerge w:val="restart"/>
                  <w:noWrap w:val="0"/>
                  <w:vAlign w:val="center"/>
                </w:tcPr>
                <w:p w14:paraId="6B83622B">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委托有资质的单位定期清运处置</w:t>
                  </w:r>
                </w:p>
              </w:tc>
              <w:tc>
                <w:tcPr>
                  <w:tcW w:w="372" w:type="dxa"/>
                  <w:noWrap w:val="0"/>
                  <w:vAlign w:val="center"/>
                </w:tcPr>
                <w:p w14:paraId="5434DCA9">
                  <w:pPr>
                    <w:keepNext w:val="0"/>
                    <w:keepLines w:val="0"/>
                    <w:pageBreakBefore w:val="0"/>
                    <w:widowControl w:val="0"/>
                    <w:spacing w:line="240" w:lineRule="auto"/>
                    <w:ind w:left="0" w:right="0" w:firstLine="0"/>
                    <w:jc w:val="center"/>
                    <w:rPr>
                      <w:rFonts w:hint="eastAsia" w:ascii="Times New Roman" w:hAnsi="Times New Roman" w:eastAsia="宋体" w:cs="Times New Roman"/>
                      <w:color w:val="000000"/>
                      <w:spacing w:val="-4"/>
                      <w:sz w:val="21"/>
                      <w:szCs w:val="21"/>
                      <w:highlight w:val="none"/>
                      <w:lang w:val="en-US" w:eastAsia="zh-CN"/>
                    </w:rPr>
                  </w:pPr>
                  <w:r>
                    <w:rPr>
                      <w:rFonts w:hint="eastAsia" w:ascii="Times New Roman" w:hAnsi="Times New Roman" w:eastAsia="宋体" w:cs="Times New Roman"/>
                      <w:color w:val="000000"/>
                      <w:spacing w:val="-4"/>
                      <w:sz w:val="21"/>
                      <w:szCs w:val="21"/>
                      <w:highlight w:val="none"/>
                      <w:lang w:val="en-US" w:eastAsia="zh-CN"/>
                    </w:rPr>
                    <w:t>0.0039</w:t>
                  </w:r>
                  <w:r>
                    <w:rPr>
                      <w:rFonts w:ascii="Times New Roman" w:hAnsi="Times New Roman" w:eastAsia="宋体" w:cs="Times New Roman"/>
                      <w:color w:val="000000"/>
                      <w:spacing w:val="-4"/>
                      <w:sz w:val="21"/>
                      <w:szCs w:val="21"/>
                      <w:highlight w:val="none"/>
                      <w:lang w:val="en-US" w:eastAsia="zh-CN"/>
                    </w:rPr>
                    <w:t>t/a</w:t>
                  </w:r>
                </w:p>
              </w:tc>
              <w:tc>
                <w:tcPr>
                  <w:tcW w:w="731" w:type="dxa"/>
                  <w:vMerge w:val="restart"/>
                  <w:noWrap w:val="0"/>
                  <w:vAlign w:val="center"/>
                </w:tcPr>
                <w:p w14:paraId="54021027">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宋体" w:hAnsi="宋体" w:eastAsia="宋体" w:cs="宋体"/>
                      <w:color w:val="000000"/>
                      <w:sz w:val="21"/>
                      <w:szCs w:val="21"/>
                      <w:lang w:val="en-US" w:eastAsia="zh-CN" w:bidi="ar"/>
                    </w:rPr>
                    <w:t>《危险废物贮存污染控制标准》（</w:t>
                  </w:r>
                  <w:r>
                    <w:rPr>
                      <w:rFonts w:ascii="Times New Roman" w:hAnsi="Times New Roman" w:eastAsia="宋体" w:cs="Times New Roman"/>
                      <w:color w:val="000000"/>
                      <w:sz w:val="21"/>
                      <w:szCs w:val="21"/>
                      <w:lang w:val="en-US" w:eastAsia="zh-CN" w:bidi="ar"/>
                    </w:rPr>
                    <w:t>GB18597-2001</w:t>
                  </w:r>
                  <w:r>
                    <w:rPr>
                      <w:rFonts w:hint="eastAsia" w:ascii="宋体" w:hAnsi="宋体" w:eastAsia="宋体" w:cs="宋体"/>
                      <w:color w:val="000000"/>
                      <w:sz w:val="21"/>
                      <w:szCs w:val="21"/>
                      <w:lang w:val="en-US" w:eastAsia="zh-CN" w:bidi="ar"/>
                    </w:rPr>
                    <w:t>）及其</w:t>
                  </w:r>
                  <w:r>
                    <w:rPr>
                      <w:rFonts w:ascii="Times New Roman" w:hAnsi="Times New Roman" w:eastAsia="宋体" w:cs="Times New Roman"/>
                      <w:color w:val="000000"/>
                      <w:sz w:val="21"/>
                      <w:szCs w:val="21"/>
                      <w:lang w:val="en-US" w:eastAsia="zh-CN" w:bidi="ar"/>
                    </w:rPr>
                    <w:t>2013</w:t>
                  </w:r>
                  <w:r>
                    <w:rPr>
                      <w:rFonts w:hint="eastAsia" w:ascii="宋体" w:hAnsi="宋体" w:eastAsia="宋体" w:cs="宋体"/>
                      <w:color w:val="000000"/>
                      <w:sz w:val="21"/>
                      <w:szCs w:val="21"/>
                      <w:lang w:val="en-US" w:eastAsia="zh-CN" w:bidi="ar"/>
                    </w:rPr>
                    <w:t>年修改单中的要求。</w:t>
                  </w:r>
                </w:p>
              </w:tc>
            </w:tr>
            <w:tr w14:paraId="77D8C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4" w:type="dxa"/>
                  <w:vMerge w:val="continue"/>
                  <w:noWrap w:val="0"/>
                  <w:vAlign w:val="center"/>
                </w:tcPr>
                <w:p w14:paraId="46237AAD">
                  <w:pPr>
                    <w:jc w:val="center"/>
                    <w:rPr>
                      <w:rFonts w:ascii="Times New Roman" w:hAnsi="Times New Roman" w:eastAsia="宋体" w:cs="Times New Roman"/>
                      <w:color w:val="000000"/>
                      <w:sz w:val="21"/>
                      <w:szCs w:val="21"/>
                      <w:highlight w:val="none"/>
                      <w:lang w:val="en-US" w:eastAsia="zh-CN" w:bidi="ar-SA"/>
                    </w:rPr>
                  </w:pPr>
                </w:p>
              </w:tc>
              <w:tc>
                <w:tcPr>
                  <w:tcW w:w="1624" w:type="dxa"/>
                  <w:noWrap w:val="0"/>
                  <w:vAlign w:val="center"/>
                </w:tcPr>
                <w:p w14:paraId="47F03429">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废机油</w:t>
                  </w:r>
                </w:p>
              </w:tc>
              <w:tc>
                <w:tcPr>
                  <w:tcW w:w="269" w:type="dxa"/>
                  <w:vMerge w:val="continue"/>
                  <w:noWrap w:val="0"/>
                  <w:vAlign w:val="center"/>
                </w:tcPr>
                <w:p w14:paraId="6376D423">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p>
              </w:tc>
              <w:tc>
                <w:tcPr>
                  <w:tcW w:w="666" w:type="dxa"/>
                  <w:noWrap w:val="0"/>
                  <w:vAlign w:val="center"/>
                </w:tcPr>
                <w:p w14:paraId="139C8CFC">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HW08 900-214-08</w:t>
                  </w:r>
                </w:p>
              </w:tc>
              <w:tc>
                <w:tcPr>
                  <w:tcW w:w="309" w:type="dxa"/>
                  <w:noWrap w:val="0"/>
                  <w:vAlign w:val="center"/>
                </w:tcPr>
                <w:p w14:paraId="16B8A6B5">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r>
                    <w:rPr>
                      <w:rFonts w:hint="eastAsia" w:ascii="Times New Roman" w:hAnsi="Times New Roman" w:eastAsia="宋体" w:cs="Times New Roman"/>
                      <w:color w:val="000000"/>
                      <w:spacing w:val="-4"/>
                      <w:sz w:val="21"/>
                      <w:szCs w:val="21"/>
                      <w:highlight w:val="none"/>
                      <w:lang w:val="en-US" w:eastAsia="zh-CN"/>
                    </w:rPr>
                    <w:t>液态</w:t>
                  </w:r>
                </w:p>
              </w:tc>
              <w:tc>
                <w:tcPr>
                  <w:tcW w:w="363" w:type="dxa"/>
                  <w:noWrap w:val="0"/>
                  <w:vAlign w:val="center"/>
                </w:tcPr>
                <w:p w14:paraId="096F9BB7">
                  <w:pPr>
                    <w:keepNext w:val="0"/>
                    <w:keepLines w:val="0"/>
                    <w:pageBreakBefore w:val="0"/>
                    <w:widowControl w:val="0"/>
                    <w:spacing w:line="240" w:lineRule="auto"/>
                    <w:ind w:left="0" w:right="0" w:firstLine="0"/>
                    <w:jc w:val="center"/>
                    <w:rPr>
                      <w:rFonts w:hint="eastAsia" w:ascii="Times New Roman" w:hAnsi="Times New Roman" w:eastAsia="宋体" w:cs="Times New Roman"/>
                      <w:color w:val="000000"/>
                      <w:spacing w:val="-4"/>
                      <w:sz w:val="21"/>
                      <w:szCs w:val="21"/>
                      <w:highlight w:val="none"/>
                      <w:lang w:val="en-US" w:eastAsia="zh-CN"/>
                    </w:rPr>
                  </w:pPr>
                  <w:r>
                    <w:rPr>
                      <w:rFonts w:hint="eastAsia" w:ascii="Times New Roman" w:hAnsi="Times New Roman" w:eastAsia="宋体" w:cs="Times New Roman"/>
                      <w:color w:val="000000"/>
                      <w:spacing w:val="-4"/>
                      <w:sz w:val="21"/>
                      <w:szCs w:val="21"/>
                      <w:highlight w:val="none"/>
                      <w:lang w:val="en-US" w:eastAsia="zh-CN"/>
                    </w:rPr>
                    <w:t>0.1</w:t>
                  </w:r>
                  <w:r>
                    <w:rPr>
                      <w:rFonts w:ascii="Times New Roman" w:hAnsi="Times New Roman" w:eastAsia="宋体" w:cs="Times New Roman"/>
                      <w:color w:val="000000"/>
                      <w:spacing w:val="-4"/>
                      <w:sz w:val="21"/>
                      <w:szCs w:val="21"/>
                      <w:highlight w:val="none"/>
                      <w:lang w:val="en-US" w:eastAsia="zh-CN"/>
                    </w:rPr>
                    <w:t>t/a</w:t>
                  </w:r>
                </w:p>
              </w:tc>
              <w:tc>
                <w:tcPr>
                  <w:tcW w:w="476" w:type="dxa"/>
                  <w:vMerge w:val="continue"/>
                  <w:noWrap w:val="0"/>
                  <w:vAlign w:val="center"/>
                </w:tcPr>
                <w:p w14:paraId="22AA7B6D">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rPr>
                  </w:pPr>
                </w:p>
              </w:tc>
              <w:tc>
                <w:tcPr>
                  <w:tcW w:w="989" w:type="dxa"/>
                  <w:vMerge w:val="continue"/>
                  <w:noWrap w:val="0"/>
                  <w:vAlign w:val="center"/>
                </w:tcPr>
                <w:p w14:paraId="7E2A72EB">
                  <w:pPr>
                    <w:jc w:val="center"/>
                    <w:rPr>
                      <w:rFonts w:ascii="Times New Roman" w:hAnsi="Times New Roman" w:eastAsia="宋体" w:cs="Times New Roman"/>
                      <w:color w:val="000000"/>
                      <w:sz w:val="21"/>
                      <w:szCs w:val="21"/>
                      <w:highlight w:val="none"/>
                      <w:lang w:val="en-US" w:eastAsia="zh-CN" w:bidi="ar-SA"/>
                    </w:rPr>
                  </w:pPr>
                </w:p>
              </w:tc>
              <w:tc>
                <w:tcPr>
                  <w:tcW w:w="372" w:type="dxa"/>
                  <w:noWrap w:val="0"/>
                  <w:vAlign w:val="center"/>
                </w:tcPr>
                <w:p w14:paraId="56D3EE7D">
                  <w:pPr>
                    <w:keepNext w:val="0"/>
                    <w:keepLines w:val="0"/>
                    <w:pageBreakBefore w:val="0"/>
                    <w:widowControl w:val="0"/>
                    <w:spacing w:line="240" w:lineRule="auto"/>
                    <w:ind w:left="0" w:right="0" w:firstLine="0"/>
                    <w:jc w:val="center"/>
                    <w:rPr>
                      <w:rFonts w:hint="eastAsia" w:ascii="Times New Roman" w:hAnsi="Times New Roman" w:eastAsia="宋体" w:cs="Times New Roman"/>
                      <w:color w:val="000000"/>
                      <w:spacing w:val="-4"/>
                      <w:sz w:val="21"/>
                      <w:szCs w:val="21"/>
                      <w:highlight w:val="none"/>
                      <w:lang w:val="en-US" w:eastAsia="zh-CN"/>
                    </w:rPr>
                  </w:pPr>
                  <w:r>
                    <w:rPr>
                      <w:rFonts w:hint="eastAsia" w:ascii="Times New Roman" w:hAnsi="Times New Roman" w:eastAsia="宋体" w:cs="Times New Roman"/>
                      <w:color w:val="000000"/>
                      <w:spacing w:val="-4"/>
                      <w:sz w:val="21"/>
                      <w:szCs w:val="21"/>
                      <w:highlight w:val="none"/>
                      <w:lang w:val="en-US" w:eastAsia="zh-CN"/>
                    </w:rPr>
                    <w:t>0.1</w:t>
                  </w:r>
                  <w:r>
                    <w:rPr>
                      <w:rFonts w:ascii="Times New Roman" w:hAnsi="Times New Roman" w:eastAsia="宋体" w:cs="Times New Roman"/>
                      <w:color w:val="000000"/>
                      <w:spacing w:val="-4"/>
                      <w:sz w:val="21"/>
                      <w:szCs w:val="21"/>
                      <w:highlight w:val="none"/>
                      <w:lang w:val="en-US" w:eastAsia="zh-CN"/>
                    </w:rPr>
                    <w:t>t/a</w:t>
                  </w:r>
                </w:p>
              </w:tc>
              <w:tc>
                <w:tcPr>
                  <w:tcW w:w="731" w:type="dxa"/>
                  <w:vMerge w:val="continue"/>
                  <w:noWrap w:val="0"/>
                  <w:vAlign w:val="center"/>
                </w:tcPr>
                <w:p w14:paraId="396E0902">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p>
              </w:tc>
            </w:tr>
          </w:tbl>
          <w:p w14:paraId="691FDD52">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eastAsia="zh-CN"/>
              </w:rPr>
            </w:pPr>
          </w:p>
          <w:p w14:paraId="21A952EB">
            <w:pPr>
              <w:keepNext w:val="0"/>
              <w:keepLines w:val="0"/>
              <w:pageBreakBefore w:val="0"/>
              <w:widowControl w:val="0"/>
              <w:spacing w:line="360" w:lineRule="auto"/>
              <w:ind w:firstLine="480"/>
              <w:jc w:val="both"/>
              <w:rPr>
                <w:rFonts w:ascii="Times New Roman" w:hAnsi="Times New Roman" w:eastAsia="宋体" w:cs="Times New Roman"/>
                <w:color w:val="000000"/>
                <w:sz w:val="24"/>
                <w:szCs w:val="24"/>
                <w:highlight w:val="none"/>
                <w:lang w:eastAsia="zh-CN"/>
              </w:rPr>
            </w:pPr>
            <w:r>
              <w:rPr>
                <w:rFonts w:ascii="Times New Roman" w:hAnsi="Times New Roman" w:eastAsia="宋体" w:cs="Times New Roman"/>
                <w:color w:val="000000"/>
                <w:sz w:val="24"/>
                <w:szCs w:val="24"/>
                <w:highlight w:val="none"/>
                <w:lang w:eastAsia="zh-CN"/>
              </w:rPr>
              <w:t xml:space="preserve"> </w:t>
            </w:r>
          </w:p>
        </w:tc>
      </w:tr>
    </w:tbl>
    <w:p w14:paraId="3263E6AF">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p>
    <w:p w14:paraId="59CC87AB">
      <w:pPr>
        <w:pStyle w:val="197"/>
        <w:rPr>
          <w:rFonts w:ascii="Times New Roman" w:hAnsi="Times New Roman" w:eastAsia="宋体" w:cs="Times New Roman"/>
          <w:color w:val="000000"/>
        </w:rPr>
        <w:sectPr>
          <w:pgSz w:w="16840" w:h="11907"/>
          <w:pgMar w:top="1134" w:right="1134" w:bottom="1134" w:left="1134" w:header="851" w:footer="851" w:gutter="0"/>
          <w:pgNumType w:start="1"/>
          <w:cols w:space="1701" w:num="1"/>
        </w:sectPr>
      </w:pPr>
    </w:p>
    <w:tbl>
      <w:tblPr>
        <w:tblStyle w:val="29"/>
        <w:tblW w:w="978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28" w:type="dxa"/>
          <w:bottom w:w="0" w:type="dxa"/>
          <w:right w:w="28" w:type="dxa"/>
        </w:tblCellMar>
      </w:tblPr>
      <w:tblGrid>
        <w:gridCol w:w="534"/>
        <w:gridCol w:w="9255"/>
      </w:tblGrid>
      <w:tr w14:paraId="79BEBC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534" w:type="dxa"/>
            <w:noWrap w:val="0"/>
            <w:tcMar>
              <w:left w:w="28" w:type="dxa"/>
              <w:right w:w="28" w:type="dxa"/>
            </w:tcMar>
            <w:vAlign w:val="center"/>
          </w:tcPr>
          <w:p w14:paraId="4F034B80">
            <w:pPr>
              <w:pStyle w:val="234"/>
              <w:keepNext w:val="0"/>
              <w:keepLines w:val="0"/>
              <w:pageBreakBefore w:val="0"/>
              <w:widowControl w:val="0"/>
              <w:ind w:firstLine="0"/>
              <w:jc w:val="center"/>
              <w:rPr>
                <w:rFonts w:ascii="Times New Roman" w:hAnsi="Times New Roman" w:eastAsia="宋体" w:cs="Times New Roman"/>
                <w:color w:val="000000"/>
                <w:highlight w:val="none"/>
              </w:rPr>
            </w:pPr>
            <w:r>
              <w:rPr>
                <w:rFonts w:ascii="Times New Roman" w:hAnsi="Times New Roman" w:eastAsia="宋体" w:cs="Times New Roman"/>
                <w:b/>
                <w:bCs/>
                <w:color w:val="000000"/>
                <w:sz w:val="28"/>
                <w:szCs w:val="28"/>
                <w:highlight w:val="none"/>
              </w:rPr>
              <w:t>运营期环境影响和保护措施</w:t>
            </w:r>
          </w:p>
        </w:tc>
        <w:tc>
          <w:tcPr>
            <w:tcW w:w="9255" w:type="dxa"/>
            <w:noWrap w:val="0"/>
            <w:vAlign w:val="center"/>
          </w:tcPr>
          <w:p w14:paraId="47E2C006">
            <w:pPr>
              <w:keepNext w:val="0"/>
              <w:keepLines w:val="0"/>
              <w:pageBreakBefore w:val="0"/>
              <w:widowControl w:val="0"/>
              <w:spacing w:before="157"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2、固废影响分析</w:t>
            </w:r>
          </w:p>
          <w:p w14:paraId="3A73A79A">
            <w:pPr>
              <w:keepNext w:val="0"/>
              <w:keepLines w:val="0"/>
              <w:pageBreakBefore w:val="0"/>
              <w:widowControl w:val="0"/>
              <w:spacing w:line="360" w:lineRule="auto"/>
              <w:ind w:left="0" w:right="0" w:firstLine="480"/>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项目运营期产生的固体废物</w:t>
            </w:r>
            <w:r>
              <w:rPr>
                <w:rFonts w:hint="eastAsia" w:ascii="Times New Roman" w:hAnsi="Times New Roman" w:eastAsia="宋体" w:cs="Times New Roman"/>
                <w:b w:val="0"/>
                <w:bCs w:val="0"/>
                <w:color w:val="000000"/>
                <w:sz w:val="24"/>
                <w:szCs w:val="24"/>
                <w:highlight w:val="none"/>
                <w:lang w:val="en-US" w:eastAsia="zh-CN"/>
              </w:rPr>
              <w:t>较少</w:t>
            </w:r>
            <w:r>
              <w:rPr>
                <w:rFonts w:ascii="Times New Roman" w:hAnsi="Times New Roman" w:eastAsia="宋体" w:cs="Times New Roman"/>
                <w:b w:val="0"/>
                <w:bCs w:val="0"/>
                <w:color w:val="000000"/>
                <w:sz w:val="24"/>
                <w:szCs w:val="24"/>
                <w:highlight w:val="none"/>
                <w:lang w:val="en-US" w:eastAsia="zh-CN"/>
              </w:rPr>
              <w:t>，处置率100%，实现“零”排放，固废环境保护措施可行，对环境不会产生二次污染，对环境影响不大。</w:t>
            </w:r>
          </w:p>
          <w:p w14:paraId="72934D86">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项目设置一间一般固废暂存间及一间危险废物暂存间，分别</w:t>
            </w:r>
            <w:r>
              <w:rPr>
                <w:rFonts w:ascii="Times New Roman" w:hAnsi="Times New Roman" w:eastAsia="宋体" w:cs="Times New Roman"/>
                <w:b w:val="0"/>
                <w:bCs w:val="0"/>
                <w:color w:val="000000"/>
                <w:sz w:val="24"/>
                <w:szCs w:val="24"/>
                <w:highlight w:val="none"/>
                <w:lang w:val="en-US" w:eastAsia="zh-CN"/>
              </w:rPr>
              <w:t>按照《一般工业固体废物贮存和填埋污染控制标准》（GB18599-2020）</w:t>
            </w:r>
            <w:r>
              <w:rPr>
                <w:rFonts w:hint="eastAsia" w:ascii="Times New Roman" w:hAnsi="Times New Roman" w:eastAsia="宋体" w:cs="Times New Roman"/>
                <w:b w:val="0"/>
                <w:bCs w:val="0"/>
                <w:color w:val="000000"/>
                <w:sz w:val="24"/>
                <w:szCs w:val="24"/>
                <w:highlight w:val="none"/>
                <w:lang w:val="en-US" w:eastAsia="zh-CN"/>
              </w:rPr>
              <w:t>和</w:t>
            </w:r>
            <w:r>
              <w:rPr>
                <w:rFonts w:hint="eastAsia" w:ascii="宋体" w:hAnsi="宋体" w:eastAsia="宋体" w:cs="宋体"/>
                <w:color w:val="000000"/>
                <w:sz w:val="24"/>
                <w:szCs w:val="24"/>
                <w:lang w:val="en-US" w:eastAsia="zh-CN" w:bidi="ar"/>
              </w:rPr>
              <w:t>《危险废物贮存污染控制标准》（</w:t>
            </w:r>
            <w:r>
              <w:rPr>
                <w:rFonts w:ascii="Times New Roman" w:hAnsi="Times New Roman" w:eastAsia="宋体" w:cs="Times New Roman"/>
                <w:color w:val="000000"/>
                <w:sz w:val="24"/>
                <w:szCs w:val="24"/>
                <w:lang w:val="en-US" w:eastAsia="zh-CN" w:bidi="ar"/>
              </w:rPr>
              <w:t>GB18597-2001</w:t>
            </w:r>
            <w:r>
              <w:rPr>
                <w:rFonts w:hint="eastAsia" w:ascii="宋体" w:hAnsi="宋体" w:eastAsia="宋体" w:cs="宋体"/>
                <w:color w:val="000000"/>
                <w:sz w:val="24"/>
                <w:szCs w:val="24"/>
                <w:lang w:val="en-US" w:eastAsia="zh-CN" w:bidi="ar"/>
              </w:rPr>
              <w:t>）及其</w:t>
            </w:r>
            <w:r>
              <w:rPr>
                <w:rFonts w:ascii="Times New Roman" w:hAnsi="Times New Roman" w:eastAsia="宋体" w:cs="Times New Roman"/>
                <w:color w:val="000000"/>
                <w:sz w:val="24"/>
                <w:szCs w:val="24"/>
                <w:lang w:val="en-US" w:eastAsia="zh-CN" w:bidi="ar"/>
              </w:rPr>
              <w:t>2013</w:t>
            </w:r>
            <w:r>
              <w:rPr>
                <w:rFonts w:hint="eastAsia" w:ascii="宋体" w:hAnsi="宋体" w:eastAsia="宋体" w:cs="宋体"/>
                <w:color w:val="000000"/>
                <w:sz w:val="24"/>
                <w:szCs w:val="24"/>
                <w:lang w:val="en-US" w:eastAsia="zh-CN" w:bidi="ar"/>
              </w:rPr>
              <w:t>年修改单中的要求，</w:t>
            </w:r>
            <w:r>
              <w:rPr>
                <w:rFonts w:ascii="Times New Roman" w:hAnsi="Times New Roman" w:eastAsia="宋体" w:cs="Times New Roman"/>
                <w:b w:val="0"/>
                <w:bCs w:val="0"/>
                <w:color w:val="000000"/>
                <w:sz w:val="24"/>
                <w:szCs w:val="24"/>
                <w:highlight w:val="none"/>
                <w:lang w:val="en-US" w:eastAsia="zh-CN"/>
              </w:rPr>
              <w:t>进行设计、施工，做到防渗漏、防雨淋、防散失处理，避免对环境造成二次污染。建设单位应严格按照《中华人民共和国固体废物污染环境防治法》要求，建立健全一般工业固废</w:t>
            </w:r>
            <w:r>
              <w:rPr>
                <w:rFonts w:hint="eastAsia" w:ascii="Times New Roman" w:hAnsi="Times New Roman" w:eastAsia="宋体" w:cs="Times New Roman"/>
                <w:b w:val="0"/>
                <w:bCs w:val="0"/>
                <w:color w:val="000000"/>
                <w:sz w:val="24"/>
                <w:szCs w:val="24"/>
                <w:highlight w:val="none"/>
                <w:lang w:val="en-US" w:eastAsia="zh-CN"/>
              </w:rPr>
              <w:t>和危险废物的</w:t>
            </w:r>
            <w:r>
              <w:rPr>
                <w:rFonts w:ascii="Times New Roman" w:hAnsi="Times New Roman" w:eastAsia="宋体" w:cs="Times New Roman"/>
                <w:b w:val="0"/>
                <w:bCs w:val="0"/>
                <w:color w:val="000000"/>
                <w:sz w:val="24"/>
                <w:szCs w:val="24"/>
                <w:highlight w:val="none"/>
                <w:lang w:val="en-US" w:eastAsia="zh-CN"/>
              </w:rPr>
              <w:t>产生、收集、贮存、运输、利用、处置全过程的污染环境防治责任制度，建立工业固体废物管理台账，如实记录产生一般工业固废的种类、数量、流向、贮存、利用、处置等信息，实现一般工业固体废物可追溯、可查询。</w:t>
            </w:r>
          </w:p>
          <w:p w14:paraId="5B1E0215">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p>
          <w:p w14:paraId="7A44C81C">
            <w:pPr>
              <w:pStyle w:val="2"/>
              <w:rPr>
                <w:rFonts w:ascii="Times New Roman" w:hAnsi="Times New Roman" w:eastAsia="宋体" w:cs="Times New Roman"/>
                <w:b/>
                <w:bCs/>
                <w:color w:val="000000"/>
                <w:sz w:val="24"/>
                <w:szCs w:val="24"/>
                <w:highlight w:val="none"/>
                <w:lang w:val="en-US" w:eastAsia="zh-CN"/>
              </w:rPr>
            </w:pPr>
          </w:p>
          <w:p w14:paraId="6E285217">
            <w:pPr>
              <w:rPr>
                <w:rFonts w:ascii="Times New Roman" w:hAnsi="Times New Roman" w:eastAsia="宋体" w:cs="Times New Roman"/>
                <w:b/>
                <w:bCs/>
                <w:color w:val="000000"/>
                <w:sz w:val="24"/>
                <w:szCs w:val="24"/>
                <w:highlight w:val="none"/>
                <w:lang w:val="en-US" w:eastAsia="zh-CN"/>
              </w:rPr>
            </w:pPr>
          </w:p>
          <w:p w14:paraId="1C47138B">
            <w:pPr>
              <w:pStyle w:val="2"/>
              <w:rPr>
                <w:rFonts w:ascii="Times New Roman" w:hAnsi="Times New Roman" w:eastAsia="宋体" w:cs="Times New Roman"/>
                <w:b/>
                <w:bCs/>
                <w:color w:val="000000"/>
                <w:sz w:val="24"/>
                <w:szCs w:val="24"/>
                <w:highlight w:val="none"/>
                <w:lang w:val="en-US" w:eastAsia="zh-CN"/>
              </w:rPr>
            </w:pPr>
          </w:p>
          <w:p w14:paraId="126B0D84">
            <w:pPr>
              <w:rPr>
                <w:rFonts w:ascii="Times New Roman" w:hAnsi="Times New Roman" w:eastAsia="宋体" w:cs="Times New Roman"/>
                <w:b/>
                <w:bCs/>
                <w:color w:val="000000"/>
                <w:sz w:val="24"/>
                <w:szCs w:val="24"/>
                <w:highlight w:val="none"/>
                <w:lang w:val="en-US" w:eastAsia="zh-CN"/>
              </w:rPr>
            </w:pPr>
          </w:p>
          <w:p w14:paraId="2031C5FF">
            <w:pPr>
              <w:pStyle w:val="2"/>
              <w:rPr>
                <w:rFonts w:ascii="Times New Roman" w:hAnsi="Times New Roman" w:eastAsia="宋体" w:cs="Times New Roman"/>
                <w:b/>
                <w:bCs/>
                <w:color w:val="000000"/>
                <w:sz w:val="24"/>
                <w:szCs w:val="24"/>
                <w:highlight w:val="none"/>
                <w:lang w:val="en-US" w:eastAsia="zh-CN"/>
              </w:rPr>
            </w:pPr>
          </w:p>
          <w:p w14:paraId="64453C15">
            <w:pPr>
              <w:rPr>
                <w:rFonts w:ascii="Times New Roman" w:hAnsi="Times New Roman" w:eastAsia="宋体" w:cs="Times New Roman"/>
                <w:b/>
                <w:bCs/>
                <w:color w:val="000000"/>
                <w:sz w:val="24"/>
                <w:szCs w:val="24"/>
                <w:highlight w:val="none"/>
                <w:lang w:val="en-US" w:eastAsia="zh-CN"/>
              </w:rPr>
            </w:pPr>
          </w:p>
          <w:p w14:paraId="704699E9">
            <w:pPr>
              <w:pStyle w:val="2"/>
              <w:rPr>
                <w:rFonts w:ascii="Times New Roman" w:hAnsi="Times New Roman" w:eastAsia="宋体" w:cs="Times New Roman"/>
                <w:b/>
                <w:bCs/>
                <w:color w:val="000000"/>
                <w:sz w:val="24"/>
                <w:szCs w:val="24"/>
                <w:highlight w:val="none"/>
                <w:lang w:val="en-US" w:eastAsia="zh-CN"/>
              </w:rPr>
            </w:pPr>
          </w:p>
          <w:p w14:paraId="26B83073">
            <w:pPr>
              <w:rPr>
                <w:rFonts w:ascii="Times New Roman" w:hAnsi="Times New Roman" w:eastAsia="宋体" w:cs="Times New Roman"/>
                <w:b/>
                <w:bCs/>
                <w:color w:val="000000"/>
                <w:sz w:val="24"/>
                <w:szCs w:val="24"/>
                <w:highlight w:val="none"/>
                <w:lang w:val="en-US" w:eastAsia="zh-CN"/>
              </w:rPr>
            </w:pPr>
          </w:p>
          <w:p w14:paraId="522EDA0F">
            <w:pPr>
              <w:pStyle w:val="2"/>
              <w:rPr>
                <w:rFonts w:ascii="Times New Roman" w:hAnsi="Times New Roman" w:eastAsia="宋体" w:cs="Times New Roman"/>
                <w:b/>
                <w:bCs/>
                <w:color w:val="000000"/>
                <w:sz w:val="24"/>
                <w:szCs w:val="24"/>
                <w:highlight w:val="none"/>
                <w:lang w:val="en-US" w:eastAsia="zh-CN"/>
              </w:rPr>
            </w:pPr>
          </w:p>
          <w:p w14:paraId="336A4D47">
            <w:pPr>
              <w:rPr>
                <w:rFonts w:ascii="Times New Roman" w:hAnsi="Times New Roman" w:eastAsia="宋体" w:cs="Times New Roman"/>
                <w:b/>
                <w:bCs/>
                <w:color w:val="000000"/>
                <w:sz w:val="24"/>
                <w:szCs w:val="24"/>
                <w:highlight w:val="none"/>
                <w:lang w:val="en-US" w:eastAsia="zh-CN"/>
              </w:rPr>
            </w:pPr>
          </w:p>
          <w:p w14:paraId="311B9355">
            <w:pPr>
              <w:pStyle w:val="2"/>
              <w:rPr>
                <w:rFonts w:ascii="Times New Roman" w:hAnsi="Times New Roman" w:eastAsia="宋体" w:cs="Times New Roman"/>
                <w:b/>
                <w:bCs/>
                <w:color w:val="000000"/>
                <w:sz w:val="24"/>
                <w:szCs w:val="24"/>
                <w:highlight w:val="none"/>
                <w:lang w:val="en-US" w:eastAsia="zh-CN"/>
              </w:rPr>
            </w:pPr>
          </w:p>
          <w:p w14:paraId="725D7963">
            <w:pPr>
              <w:rPr>
                <w:rFonts w:ascii="Times New Roman" w:hAnsi="Times New Roman" w:eastAsia="宋体" w:cs="Times New Roman"/>
                <w:b/>
                <w:bCs/>
                <w:color w:val="000000"/>
                <w:sz w:val="24"/>
                <w:szCs w:val="24"/>
                <w:highlight w:val="none"/>
                <w:lang w:val="en-US" w:eastAsia="zh-CN"/>
              </w:rPr>
            </w:pPr>
          </w:p>
          <w:p w14:paraId="19A4F484">
            <w:pPr>
              <w:pStyle w:val="2"/>
              <w:rPr>
                <w:rFonts w:ascii="Times New Roman" w:hAnsi="Times New Roman" w:eastAsia="宋体" w:cs="Times New Roman"/>
                <w:b/>
                <w:bCs/>
                <w:color w:val="000000"/>
                <w:sz w:val="24"/>
                <w:szCs w:val="24"/>
                <w:highlight w:val="none"/>
                <w:lang w:val="en-US" w:eastAsia="zh-CN"/>
              </w:rPr>
            </w:pPr>
          </w:p>
          <w:p w14:paraId="7010A638">
            <w:pPr>
              <w:rPr>
                <w:rFonts w:ascii="Times New Roman" w:hAnsi="Times New Roman" w:eastAsia="宋体" w:cs="Times New Roman"/>
                <w:b/>
                <w:bCs/>
                <w:color w:val="000000"/>
                <w:sz w:val="24"/>
                <w:szCs w:val="24"/>
                <w:highlight w:val="none"/>
                <w:lang w:val="en-US" w:eastAsia="zh-CN"/>
              </w:rPr>
            </w:pPr>
          </w:p>
          <w:p w14:paraId="1E93D826">
            <w:pPr>
              <w:pStyle w:val="2"/>
              <w:rPr>
                <w:rFonts w:ascii="Times New Roman" w:hAnsi="Times New Roman" w:eastAsia="宋体" w:cs="Times New Roman"/>
                <w:b/>
                <w:bCs/>
                <w:color w:val="000000"/>
                <w:sz w:val="24"/>
                <w:szCs w:val="24"/>
                <w:highlight w:val="none"/>
                <w:lang w:val="en-US" w:eastAsia="zh-CN"/>
              </w:rPr>
            </w:pPr>
          </w:p>
          <w:p w14:paraId="143A4EBC">
            <w:pPr>
              <w:rPr>
                <w:rFonts w:ascii="Times New Roman" w:hAnsi="Times New Roman" w:eastAsia="宋体" w:cs="Times New Roman"/>
                <w:b/>
                <w:bCs/>
                <w:color w:val="000000"/>
                <w:sz w:val="24"/>
                <w:szCs w:val="24"/>
                <w:highlight w:val="none"/>
                <w:lang w:val="en-US" w:eastAsia="zh-CN"/>
              </w:rPr>
            </w:pPr>
          </w:p>
          <w:p w14:paraId="5B070431">
            <w:pPr>
              <w:pStyle w:val="2"/>
              <w:rPr>
                <w:rFonts w:ascii="Times New Roman" w:hAnsi="Times New Roman" w:eastAsia="宋体" w:cs="Times New Roman"/>
                <w:b/>
                <w:bCs/>
                <w:color w:val="000000"/>
                <w:sz w:val="24"/>
                <w:szCs w:val="24"/>
                <w:highlight w:val="none"/>
                <w:lang w:val="en-US" w:eastAsia="zh-CN"/>
              </w:rPr>
            </w:pPr>
          </w:p>
          <w:p w14:paraId="4205A6A7">
            <w:pPr>
              <w:rPr>
                <w:rFonts w:ascii="Times New Roman" w:hAnsi="Times New Roman" w:eastAsia="宋体" w:cs="Times New Roman"/>
                <w:b/>
                <w:bCs/>
                <w:color w:val="000000"/>
                <w:sz w:val="24"/>
                <w:szCs w:val="24"/>
                <w:highlight w:val="none"/>
                <w:lang w:val="en-US" w:eastAsia="zh-CN"/>
              </w:rPr>
            </w:pPr>
          </w:p>
          <w:p w14:paraId="2FB135D9">
            <w:pPr>
              <w:pStyle w:val="2"/>
              <w:rPr>
                <w:rFonts w:ascii="Times New Roman" w:hAnsi="Times New Roman" w:eastAsia="宋体" w:cs="Times New Roman"/>
                <w:b/>
                <w:bCs/>
                <w:color w:val="000000"/>
                <w:sz w:val="24"/>
                <w:szCs w:val="24"/>
                <w:highlight w:val="none"/>
                <w:lang w:val="en-US" w:eastAsia="zh-CN"/>
              </w:rPr>
            </w:pPr>
          </w:p>
          <w:p w14:paraId="6A699655">
            <w:pPr>
              <w:rPr>
                <w:rFonts w:ascii="Times New Roman" w:hAnsi="Times New Roman" w:eastAsia="宋体" w:cs="Times New Roman"/>
                <w:b/>
                <w:bCs/>
                <w:color w:val="000000"/>
                <w:sz w:val="24"/>
                <w:szCs w:val="24"/>
                <w:highlight w:val="none"/>
                <w:lang w:val="en-US" w:eastAsia="zh-CN"/>
              </w:rPr>
            </w:pPr>
          </w:p>
          <w:p w14:paraId="372BB800">
            <w:pPr>
              <w:pStyle w:val="2"/>
              <w:rPr>
                <w:rFonts w:ascii="Times New Roman" w:hAnsi="Times New Roman" w:eastAsia="宋体" w:cs="Times New Roman"/>
                <w:b/>
                <w:bCs/>
                <w:color w:val="000000"/>
                <w:sz w:val="24"/>
                <w:szCs w:val="24"/>
                <w:highlight w:val="none"/>
                <w:lang w:val="en-US" w:eastAsia="zh-CN"/>
              </w:rPr>
            </w:pPr>
          </w:p>
          <w:p w14:paraId="6ABA06A7">
            <w:pPr>
              <w:rPr>
                <w:rFonts w:ascii="Times New Roman" w:hAnsi="Times New Roman" w:eastAsia="宋体" w:cs="Times New Roman"/>
                <w:b/>
                <w:bCs/>
                <w:color w:val="000000"/>
                <w:sz w:val="24"/>
                <w:szCs w:val="24"/>
                <w:highlight w:val="none"/>
                <w:lang w:val="en-US" w:eastAsia="zh-CN"/>
              </w:rPr>
            </w:pPr>
          </w:p>
          <w:p w14:paraId="33214D23">
            <w:pPr>
              <w:pStyle w:val="2"/>
              <w:rPr>
                <w:rFonts w:ascii="Times New Roman" w:hAnsi="Times New Roman" w:eastAsia="宋体" w:cs="Times New Roman"/>
                <w:b/>
                <w:bCs/>
                <w:color w:val="000000"/>
                <w:sz w:val="24"/>
                <w:szCs w:val="24"/>
                <w:highlight w:val="none"/>
                <w:lang w:val="en-US" w:eastAsia="zh-CN"/>
              </w:rPr>
            </w:pPr>
          </w:p>
          <w:p w14:paraId="7568BBB6">
            <w:pPr>
              <w:rPr>
                <w:rFonts w:ascii="Times New Roman" w:hAnsi="Times New Roman" w:eastAsia="宋体" w:cs="Times New Roman"/>
                <w:b/>
                <w:bCs/>
                <w:color w:val="000000"/>
                <w:sz w:val="24"/>
                <w:szCs w:val="24"/>
                <w:highlight w:val="none"/>
                <w:lang w:val="en-US" w:eastAsia="zh-CN"/>
              </w:rPr>
            </w:pPr>
          </w:p>
          <w:p w14:paraId="58FBBF14">
            <w:pPr>
              <w:pStyle w:val="2"/>
              <w:rPr>
                <w:rFonts w:ascii="Times New Roman" w:hAnsi="Times New Roman" w:eastAsia="宋体" w:cs="Times New Roman"/>
                <w:b/>
                <w:bCs/>
                <w:color w:val="000000"/>
                <w:sz w:val="24"/>
                <w:szCs w:val="24"/>
                <w:highlight w:val="none"/>
                <w:lang w:val="en-US" w:eastAsia="zh-CN"/>
              </w:rPr>
            </w:pPr>
          </w:p>
          <w:p w14:paraId="072D0E6C">
            <w:pPr>
              <w:rPr>
                <w:rFonts w:ascii="Times New Roman" w:hAnsi="Times New Roman" w:eastAsia="宋体" w:cs="Times New Roman"/>
                <w:b/>
                <w:bCs/>
                <w:color w:val="000000"/>
                <w:sz w:val="24"/>
                <w:szCs w:val="24"/>
                <w:highlight w:val="none"/>
                <w:lang w:val="en-US" w:eastAsia="zh-CN"/>
              </w:rPr>
            </w:pPr>
          </w:p>
          <w:p w14:paraId="2E76276A">
            <w:pPr>
              <w:pStyle w:val="2"/>
              <w:rPr>
                <w:rFonts w:ascii="Times New Roman" w:hAnsi="Times New Roman" w:eastAsia="宋体" w:cs="Times New Roman"/>
                <w:b/>
                <w:bCs/>
                <w:color w:val="000000"/>
                <w:sz w:val="24"/>
                <w:szCs w:val="24"/>
                <w:highlight w:val="none"/>
                <w:lang w:val="en-US" w:eastAsia="zh-CN"/>
              </w:rPr>
            </w:pPr>
          </w:p>
          <w:p w14:paraId="144ED578">
            <w:pPr>
              <w:rPr>
                <w:rFonts w:ascii="Times New Roman" w:hAnsi="Times New Roman" w:eastAsia="宋体" w:cs="Times New Roman"/>
                <w:b/>
                <w:bCs/>
                <w:color w:val="000000"/>
                <w:sz w:val="24"/>
                <w:szCs w:val="24"/>
                <w:highlight w:val="none"/>
                <w:lang w:val="en-US" w:eastAsia="zh-CN"/>
              </w:rPr>
            </w:pPr>
          </w:p>
          <w:p w14:paraId="711D7AB1">
            <w:pPr>
              <w:pStyle w:val="2"/>
              <w:rPr>
                <w:rFonts w:ascii="Times New Roman" w:hAnsi="Times New Roman" w:eastAsia="宋体" w:cs="Times New Roman"/>
                <w:b/>
                <w:bCs/>
                <w:color w:val="000000"/>
                <w:sz w:val="24"/>
                <w:szCs w:val="24"/>
                <w:highlight w:val="none"/>
                <w:lang w:val="en-US" w:eastAsia="zh-CN"/>
              </w:rPr>
            </w:pPr>
          </w:p>
          <w:p w14:paraId="31013FD8">
            <w:pPr>
              <w:rPr>
                <w:rFonts w:ascii="Times New Roman" w:hAnsi="Times New Roman" w:eastAsia="宋体" w:cs="Times New Roman"/>
                <w:b/>
                <w:bCs/>
                <w:color w:val="000000"/>
                <w:sz w:val="24"/>
                <w:szCs w:val="24"/>
                <w:highlight w:val="none"/>
                <w:lang w:val="en-US" w:eastAsia="zh-CN"/>
              </w:rPr>
            </w:pPr>
          </w:p>
          <w:p w14:paraId="3674A362">
            <w:pPr>
              <w:pStyle w:val="2"/>
              <w:rPr>
                <w:lang w:val="en-US" w:eastAsia="zh-CN"/>
              </w:rPr>
            </w:pPr>
          </w:p>
          <w:p w14:paraId="1DB53A68">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（五）环境风险</w:t>
            </w:r>
          </w:p>
          <w:p w14:paraId="11024563">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本项目为</w:t>
            </w:r>
            <w:r>
              <w:rPr>
                <w:rFonts w:hint="eastAsia" w:ascii="Times New Roman" w:hAnsi="Times New Roman" w:eastAsia="宋体" w:cs="Times New Roman"/>
                <w:b w:val="0"/>
                <w:bCs w:val="0"/>
                <w:color w:val="000000"/>
                <w:sz w:val="24"/>
                <w:szCs w:val="24"/>
                <w:highlight w:val="none"/>
                <w:lang w:val="en-US" w:eastAsia="zh-CN"/>
              </w:rPr>
              <w:t>胶合板制造</w:t>
            </w:r>
            <w:r>
              <w:rPr>
                <w:rFonts w:ascii="Times New Roman" w:hAnsi="Times New Roman" w:eastAsia="宋体" w:cs="Times New Roman"/>
                <w:b w:val="0"/>
                <w:bCs w:val="0"/>
                <w:color w:val="000000"/>
                <w:sz w:val="24"/>
                <w:szCs w:val="24"/>
                <w:highlight w:val="none"/>
                <w:lang w:val="en-US" w:eastAsia="zh-CN"/>
              </w:rPr>
              <w:t>项目，其环境风险主要来源于原</w:t>
            </w:r>
            <w:r>
              <w:rPr>
                <w:rFonts w:hint="eastAsia" w:ascii="Times New Roman" w:hAnsi="Times New Roman" w:eastAsia="宋体" w:cs="Times New Roman"/>
                <w:b w:val="0"/>
                <w:bCs w:val="0"/>
                <w:color w:val="000000"/>
                <w:sz w:val="24"/>
                <w:szCs w:val="24"/>
                <w:highlight w:val="none"/>
                <w:lang w:val="en-US" w:eastAsia="zh-CN"/>
              </w:rPr>
              <w:t>辅</w:t>
            </w:r>
            <w:r>
              <w:rPr>
                <w:rFonts w:ascii="Times New Roman" w:hAnsi="Times New Roman" w:eastAsia="宋体" w:cs="Times New Roman"/>
                <w:b w:val="0"/>
                <w:bCs w:val="0"/>
                <w:color w:val="000000"/>
                <w:sz w:val="24"/>
                <w:szCs w:val="24"/>
                <w:highlight w:val="none"/>
                <w:lang w:val="en-US" w:eastAsia="zh-CN"/>
              </w:rPr>
              <w:t>料及产品发生火灾</w:t>
            </w:r>
            <w:r>
              <w:rPr>
                <w:rFonts w:hint="eastAsia" w:ascii="Times New Roman" w:hAnsi="Times New Roman" w:eastAsia="宋体" w:cs="Times New Roman"/>
                <w:b w:val="0"/>
                <w:bCs w:val="0"/>
                <w:color w:val="000000"/>
                <w:sz w:val="24"/>
                <w:szCs w:val="24"/>
                <w:highlight w:val="none"/>
                <w:lang w:val="en-US" w:eastAsia="zh-CN"/>
              </w:rPr>
              <w:t>、危险废物泄露等</w:t>
            </w:r>
            <w:r>
              <w:rPr>
                <w:rFonts w:ascii="Times New Roman" w:hAnsi="Times New Roman" w:eastAsia="宋体" w:cs="Times New Roman"/>
                <w:b w:val="0"/>
                <w:bCs w:val="0"/>
                <w:color w:val="000000"/>
                <w:sz w:val="24"/>
                <w:szCs w:val="24"/>
                <w:highlight w:val="none"/>
                <w:lang w:val="en-US" w:eastAsia="zh-CN"/>
              </w:rPr>
              <w:t>。由于原</w:t>
            </w:r>
            <w:r>
              <w:rPr>
                <w:rFonts w:hint="eastAsia" w:ascii="Times New Roman" w:hAnsi="Times New Roman" w:eastAsia="宋体" w:cs="Times New Roman"/>
                <w:b w:val="0"/>
                <w:bCs w:val="0"/>
                <w:color w:val="000000"/>
                <w:sz w:val="24"/>
                <w:szCs w:val="24"/>
                <w:highlight w:val="none"/>
                <w:lang w:val="en-US" w:eastAsia="zh-CN"/>
              </w:rPr>
              <w:t>辅</w:t>
            </w:r>
            <w:r>
              <w:rPr>
                <w:rFonts w:ascii="Times New Roman" w:hAnsi="Times New Roman" w:eastAsia="宋体" w:cs="Times New Roman"/>
                <w:b w:val="0"/>
                <w:bCs w:val="0"/>
                <w:color w:val="000000"/>
                <w:sz w:val="24"/>
                <w:szCs w:val="24"/>
                <w:highlight w:val="none"/>
                <w:lang w:val="en-US" w:eastAsia="zh-CN"/>
              </w:rPr>
              <w:t>料及产品发生火灾等风险，从而产生火灾等次生污染物，并可能会导致消防事故废水渗透进土壤，进而对土壤及地下水水质造成影响。</w:t>
            </w:r>
          </w:p>
          <w:p w14:paraId="27A06D6A">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如上述事故发生，则会导致建筑物被破坏、危及人身安全、污染周围空气等影响。该风险发生的概率很低。一旦发生事故，则要根据具体情况采取应急措施，切断火源，控制事故扩大，立即报警，采取紧急措施，并立即向社会求援。</w:t>
            </w:r>
          </w:p>
          <w:p w14:paraId="150E69A6">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为减少事故发生，必须增加管理力度，严格按照原料及产品储存标准，加强员工的操作意识，尽量杜绝因人为因素造成原料及产品燃烧。加强用电设备管理，电线线路及设备线路定期进行检查，加强管理和安全知识教育，增强防范意识，认真落实应急预案，提高企业应急能力，从而确保生产安全。</w:t>
            </w:r>
          </w:p>
          <w:p w14:paraId="60C9F389">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评价遵照国家环保总局环发[2005]152号文《关于防范环境风险加强环境影响评价管理的通知》的精神，以《建设项目环境风险评价技术导则》（HJ169-2018）为指导，通过对本项目进行风险识别和源项分析，进行风险评价，提出减缓风险的措施和应急预案，为环境管理提供资料和依据，达到降低危险、减少危害的目的。</w:t>
            </w:r>
          </w:p>
          <w:p w14:paraId="4D2612C0">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1、</w:t>
            </w:r>
            <w:r>
              <w:rPr>
                <w:rFonts w:ascii="Times New Roman" w:hAnsi="Times New Roman" w:eastAsia="宋体" w:cs="Times New Roman"/>
                <w:b/>
                <w:bCs/>
                <w:color w:val="000000"/>
                <w:sz w:val="24"/>
                <w:szCs w:val="24"/>
                <w:highlight w:val="none"/>
                <w:lang w:val="en-US" w:eastAsia="zh-CN"/>
              </w:rPr>
              <w:t>风险调查</w:t>
            </w:r>
          </w:p>
          <w:p w14:paraId="39AD84E6">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本项目运营期使用的原</w:t>
            </w:r>
            <w:r>
              <w:rPr>
                <w:rFonts w:hint="eastAsia" w:ascii="Times New Roman" w:hAnsi="Times New Roman" w:eastAsia="宋体" w:cs="Times New Roman"/>
                <w:b w:val="0"/>
                <w:bCs w:val="0"/>
                <w:color w:val="000000"/>
                <w:sz w:val="24"/>
                <w:szCs w:val="24"/>
                <w:highlight w:val="none"/>
                <w:lang w:val="en-US" w:eastAsia="zh-CN"/>
              </w:rPr>
              <w:t>辅</w:t>
            </w:r>
            <w:r>
              <w:rPr>
                <w:rFonts w:ascii="Times New Roman" w:hAnsi="Times New Roman" w:eastAsia="宋体" w:cs="Times New Roman"/>
                <w:b w:val="0"/>
                <w:bCs w:val="0"/>
                <w:color w:val="000000"/>
                <w:sz w:val="24"/>
                <w:szCs w:val="24"/>
                <w:highlight w:val="none"/>
                <w:lang w:val="en-US" w:eastAsia="zh-CN"/>
              </w:rPr>
              <w:t>料及产品均</w:t>
            </w:r>
            <w:r>
              <w:rPr>
                <w:rFonts w:hint="eastAsia" w:ascii="Times New Roman" w:hAnsi="Times New Roman" w:eastAsia="宋体" w:cs="Times New Roman"/>
                <w:b w:val="0"/>
                <w:bCs w:val="0"/>
                <w:color w:val="000000"/>
                <w:sz w:val="24"/>
                <w:szCs w:val="24"/>
                <w:highlight w:val="none"/>
                <w:lang w:val="en-US" w:eastAsia="zh-CN"/>
              </w:rPr>
              <w:t>为木材，</w:t>
            </w:r>
            <w:r>
              <w:rPr>
                <w:rFonts w:ascii="Times New Roman" w:hAnsi="Times New Roman" w:eastAsia="宋体" w:cs="Times New Roman"/>
                <w:b w:val="0"/>
                <w:bCs w:val="0"/>
                <w:color w:val="000000"/>
                <w:sz w:val="24"/>
                <w:szCs w:val="24"/>
                <w:highlight w:val="none"/>
                <w:lang w:val="en-US" w:eastAsia="zh-CN"/>
              </w:rPr>
              <w:t>属于易燃品，在运输、贮存、使用过程中都有发生燃烧的可能。</w:t>
            </w:r>
          </w:p>
          <w:p w14:paraId="44C551E6">
            <w:pPr>
              <w:spacing w:line="360" w:lineRule="auto"/>
              <w:ind w:firstLine="482"/>
              <w:rPr>
                <w:b/>
                <w:bCs/>
                <w:color w:val="000000"/>
                <w:sz w:val="24"/>
              </w:rPr>
            </w:pPr>
            <w:r>
              <w:rPr>
                <w:rFonts w:hint="eastAsia"/>
                <w:b/>
                <w:bCs/>
                <w:color w:val="000000"/>
                <w:sz w:val="24"/>
                <w:lang w:val="en-US" w:eastAsia="zh-CN"/>
              </w:rPr>
              <w:t>2</w:t>
            </w:r>
            <w:r>
              <w:rPr>
                <w:b/>
                <w:bCs/>
                <w:color w:val="000000"/>
                <w:sz w:val="24"/>
              </w:rPr>
              <w:t>、环境风险识别</w:t>
            </w:r>
          </w:p>
          <w:p w14:paraId="716A4474">
            <w:pPr>
              <w:spacing w:line="360" w:lineRule="auto"/>
              <w:ind w:firstLine="480"/>
              <w:rPr>
                <w:color w:val="000000"/>
                <w:sz w:val="24"/>
              </w:rPr>
            </w:pPr>
            <w:r>
              <w:rPr>
                <w:color w:val="000000"/>
                <w:sz w:val="24"/>
              </w:rPr>
              <w:t>本项目可能产生的环境风险类型有危险物质泄漏，以及火灾引发的伴生/次生污染物排放。项目环境风险识别结果见下表。</w:t>
            </w:r>
          </w:p>
          <w:p w14:paraId="70FAEE24">
            <w:pPr>
              <w:pStyle w:val="197"/>
              <w:spacing w:line="240" w:lineRule="auto"/>
              <w:ind w:right="-45"/>
              <w:jc w:val="center"/>
              <w:rPr>
                <w:rFonts w:ascii="Times New Roman" w:hAnsi="Times New Roman"/>
                <w:b/>
                <w:color w:val="000000"/>
                <w:sz w:val="24"/>
                <w:szCs w:val="24"/>
              </w:rPr>
            </w:pPr>
            <w:r>
              <w:rPr>
                <w:rFonts w:ascii="Times New Roman" w:hAnsi="Times New Roman"/>
                <w:b/>
                <w:color w:val="000000"/>
                <w:sz w:val="24"/>
                <w:szCs w:val="24"/>
              </w:rPr>
              <w:t>表4-</w:t>
            </w:r>
            <w:r>
              <w:rPr>
                <w:rFonts w:hint="eastAsia" w:ascii="Times New Roman" w:hAnsi="Times New Roman"/>
                <w:b/>
                <w:color w:val="000000"/>
                <w:sz w:val="24"/>
                <w:szCs w:val="24"/>
                <w:lang w:val="en-US" w:eastAsia="zh-CN"/>
              </w:rPr>
              <w:t>8</w:t>
            </w:r>
            <w:r>
              <w:rPr>
                <w:rFonts w:ascii="Times New Roman" w:hAnsi="Times New Roman"/>
                <w:b/>
                <w:color w:val="000000"/>
                <w:sz w:val="24"/>
                <w:szCs w:val="24"/>
              </w:rPr>
              <w:t xml:space="preserve">  项目环境风险识别表</w:t>
            </w:r>
          </w:p>
          <w:tbl>
            <w:tblPr>
              <w:tblStyle w:val="29"/>
              <w:tblW w:w="901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483"/>
              <w:gridCol w:w="1172"/>
              <w:gridCol w:w="810"/>
              <w:gridCol w:w="1828"/>
              <w:gridCol w:w="1203"/>
              <w:gridCol w:w="2252"/>
              <w:gridCol w:w="1271"/>
            </w:tblGrid>
            <w:tr w14:paraId="5D6FA8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83" w:type="dxa"/>
                  <w:noWrap w:val="0"/>
                  <w:vAlign w:val="center"/>
                </w:tcPr>
                <w:p w14:paraId="748A30EC">
                  <w:pPr>
                    <w:widowControl/>
                    <w:ind w:left="105" w:right="105"/>
                    <w:jc w:val="center"/>
                    <w:rPr>
                      <w:b/>
                      <w:bCs/>
                      <w:color w:val="000000"/>
                      <w:szCs w:val="21"/>
                    </w:rPr>
                  </w:pPr>
                  <w:r>
                    <w:rPr>
                      <w:b/>
                      <w:bCs/>
                      <w:color w:val="000000"/>
                      <w:szCs w:val="21"/>
                    </w:rPr>
                    <w:t>序号</w:t>
                  </w:r>
                </w:p>
              </w:tc>
              <w:tc>
                <w:tcPr>
                  <w:tcW w:w="1172" w:type="dxa"/>
                  <w:noWrap w:val="0"/>
                  <w:vAlign w:val="center"/>
                </w:tcPr>
                <w:p w14:paraId="00EA383C">
                  <w:pPr>
                    <w:widowControl/>
                    <w:ind w:left="105" w:right="105"/>
                    <w:jc w:val="center"/>
                    <w:rPr>
                      <w:b/>
                      <w:bCs/>
                      <w:color w:val="000000"/>
                      <w:szCs w:val="21"/>
                    </w:rPr>
                  </w:pPr>
                  <w:r>
                    <w:rPr>
                      <w:b/>
                      <w:bCs/>
                      <w:color w:val="000000"/>
                      <w:szCs w:val="21"/>
                    </w:rPr>
                    <w:t>风险源</w:t>
                  </w:r>
                </w:p>
              </w:tc>
              <w:tc>
                <w:tcPr>
                  <w:tcW w:w="810" w:type="dxa"/>
                  <w:noWrap w:val="0"/>
                  <w:vAlign w:val="center"/>
                </w:tcPr>
                <w:p w14:paraId="35FB6E0A">
                  <w:pPr>
                    <w:widowControl/>
                    <w:ind w:left="105" w:right="105"/>
                    <w:jc w:val="center"/>
                    <w:rPr>
                      <w:b/>
                      <w:bCs/>
                      <w:color w:val="000000"/>
                      <w:szCs w:val="21"/>
                    </w:rPr>
                  </w:pPr>
                  <w:r>
                    <w:rPr>
                      <w:b/>
                      <w:bCs/>
                      <w:color w:val="000000"/>
                      <w:szCs w:val="21"/>
                    </w:rPr>
                    <w:t>主要危险物质</w:t>
                  </w:r>
                </w:p>
              </w:tc>
              <w:tc>
                <w:tcPr>
                  <w:tcW w:w="1828" w:type="dxa"/>
                  <w:noWrap w:val="0"/>
                  <w:vAlign w:val="center"/>
                </w:tcPr>
                <w:p w14:paraId="4B442F76">
                  <w:pPr>
                    <w:widowControl/>
                    <w:ind w:left="105" w:right="105"/>
                    <w:jc w:val="center"/>
                    <w:rPr>
                      <w:b/>
                      <w:bCs/>
                      <w:color w:val="000000"/>
                      <w:szCs w:val="21"/>
                    </w:rPr>
                  </w:pPr>
                  <w:r>
                    <w:rPr>
                      <w:b/>
                      <w:bCs/>
                      <w:color w:val="000000"/>
                      <w:szCs w:val="21"/>
                    </w:rPr>
                    <w:t>环境风险类型</w:t>
                  </w:r>
                </w:p>
              </w:tc>
              <w:tc>
                <w:tcPr>
                  <w:tcW w:w="1203" w:type="dxa"/>
                  <w:noWrap w:val="0"/>
                  <w:vAlign w:val="center"/>
                </w:tcPr>
                <w:p w14:paraId="2DF78CDB">
                  <w:pPr>
                    <w:widowControl/>
                    <w:ind w:left="105" w:right="105"/>
                    <w:jc w:val="center"/>
                    <w:rPr>
                      <w:b/>
                      <w:bCs/>
                      <w:color w:val="000000"/>
                      <w:szCs w:val="21"/>
                    </w:rPr>
                  </w:pPr>
                  <w:r>
                    <w:rPr>
                      <w:rFonts w:hint="eastAsia"/>
                      <w:b/>
                      <w:bCs/>
                      <w:color w:val="000000"/>
                      <w:szCs w:val="21"/>
                    </w:rPr>
                    <w:t>引发风险故事的原因</w:t>
                  </w:r>
                </w:p>
              </w:tc>
              <w:tc>
                <w:tcPr>
                  <w:tcW w:w="2252" w:type="dxa"/>
                  <w:noWrap w:val="0"/>
                  <w:vAlign w:val="center"/>
                </w:tcPr>
                <w:p w14:paraId="0CCF95D3">
                  <w:pPr>
                    <w:widowControl/>
                    <w:ind w:left="105" w:right="105"/>
                    <w:jc w:val="center"/>
                    <w:rPr>
                      <w:b/>
                      <w:bCs/>
                      <w:color w:val="000000"/>
                      <w:szCs w:val="21"/>
                    </w:rPr>
                  </w:pPr>
                  <w:r>
                    <w:rPr>
                      <w:b/>
                      <w:bCs/>
                      <w:color w:val="000000"/>
                      <w:szCs w:val="21"/>
                    </w:rPr>
                    <w:t>可能影响环境的途径</w:t>
                  </w:r>
                </w:p>
              </w:tc>
              <w:tc>
                <w:tcPr>
                  <w:tcW w:w="1271" w:type="dxa"/>
                  <w:noWrap w:val="0"/>
                  <w:vAlign w:val="center"/>
                </w:tcPr>
                <w:p w14:paraId="5FCFF8F6">
                  <w:pPr>
                    <w:widowControl/>
                    <w:ind w:left="105" w:right="105"/>
                    <w:jc w:val="center"/>
                    <w:rPr>
                      <w:b/>
                      <w:bCs/>
                      <w:color w:val="000000"/>
                      <w:szCs w:val="21"/>
                    </w:rPr>
                  </w:pPr>
                  <w:r>
                    <w:rPr>
                      <w:b/>
                      <w:bCs/>
                      <w:color w:val="000000"/>
                      <w:szCs w:val="21"/>
                    </w:rPr>
                    <w:t>可能受影响的环境敏感目标</w:t>
                  </w:r>
                </w:p>
              </w:tc>
            </w:tr>
            <w:tr w14:paraId="347CD1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83" w:type="dxa"/>
                  <w:noWrap w:val="0"/>
                  <w:vAlign w:val="center"/>
                </w:tcPr>
                <w:p w14:paraId="7BAFF5F4">
                  <w:pPr>
                    <w:widowControl/>
                    <w:ind w:left="105" w:right="105"/>
                    <w:jc w:val="center"/>
                    <w:rPr>
                      <w:color w:val="000000"/>
                      <w:sz w:val="21"/>
                      <w:szCs w:val="21"/>
                      <w:lang w:val="en-US" w:eastAsia="zh-CN" w:bidi="ar-SA"/>
                    </w:rPr>
                  </w:pPr>
                  <w:r>
                    <w:rPr>
                      <w:rFonts w:hint="eastAsia"/>
                      <w:color w:val="000000"/>
                      <w:sz w:val="21"/>
                      <w:szCs w:val="21"/>
                      <w:lang w:val="en-US" w:eastAsia="zh-CN" w:bidi="ar-SA"/>
                    </w:rPr>
                    <w:t>1</w:t>
                  </w:r>
                </w:p>
              </w:tc>
              <w:tc>
                <w:tcPr>
                  <w:tcW w:w="1172" w:type="dxa"/>
                  <w:noWrap w:val="0"/>
                  <w:vAlign w:val="center"/>
                </w:tcPr>
                <w:p w14:paraId="640F44FF">
                  <w:pPr>
                    <w:widowControl/>
                    <w:ind w:left="105" w:right="105"/>
                    <w:jc w:val="center"/>
                    <w:rPr>
                      <w:rFonts w:hint="eastAsia" w:eastAsia="宋体"/>
                      <w:color w:val="000000"/>
                      <w:szCs w:val="21"/>
                      <w:lang w:val="en-US" w:eastAsia="zh-CN"/>
                    </w:rPr>
                  </w:pPr>
                  <w:r>
                    <w:rPr>
                      <w:rFonts w:hint="eastAsia"/>
                      <w:color w:val="000000"/>
                      <w:szCs w:val="21"/>
                      <w:lang w:val="en-US" w:eastAsia="zh-CN"/>
                    </w:rPr>
                    <w:t>除尘器</w:t>
                  </w:r>
                </w:p>
              </w:tc>
              <w:tc>
                <w:tcPr>
                  <w:tcW w:w="810" w:type="dxa"/>
                  <w:noWrap w:val="0"/>
                  <w:vAlign w:val="center"/>
                </w:tcPr>
                <w:p w14:paraId="415AB91D">
                  <w:pPr>
                    <w:pStyle w:val="261"/>
                    <w:ind w:firstLine="0"/>
                    <w:jc w:val="center"/>
                    <w:rPr>
                      <w:rFonts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粉尘</w:t>
                  </w:r>
                </w:p>
              </w:tc>
              <w:tc>
                <w:tcPr>
                  <w:tcW w:w="1828" w:type="dxa"/>
                  <w:noWrap w:val="0"/>
                  <w:vAlign w:val="center"/>
                </w:tcPr>
                <w:p w14:paraId="4BFB2FE7">
                  <w:pPr>
                    <w:widowControl/>
                    <w:ind w:left="105" w:right="105"/>
                    <w:jc w:val="center"/>
                    <w:rPr>
                      <w:rFonts w:hint="eastAsia"/>
                      <w:color w:val="000000"/>
                      <w:szCs w:val="21"/>
                    </w:rPr>
                  </w:pPr>
                  <w:r>
                    <w:rPr>
                      <w:rFonts w:hint="eastAsia"/>
                      <w:color w:val="000000"/>
                      <w:szCs w:val="21"/>
                    </w:rPr>
                    <w:t>生产</w:t>
                  </w:r>
                  <w:r>
                    <w:rPr>
                      <w:rFonts w:hint="eastAsia"/>
                      <w:color w:val="000000"/>
                      <w:szCs w:val="21"/>
                      <w:lang w:val="en-US" w:eastAsia="zh-CN"/>
                    </w:rPr>
                    <w:t>厂房</w:t>
                  </w:r>
                  <w:r>
                    <w:rPr>
                      <w:rFonts w:hint="eastAsia"/>
                      <w:color w:val="000000"/>
                      <w:szCs w:val="21"/>
                    </w:rPr>
                    <w:t>内粉尘浓度超过爆炸下限为40g/m</w:t>
                  </w:r>
                  <w:r>
                    <w:rPr>
                      <w:rFonts w:hint="eastAsia"/>
                      <w:color w:val="000000"/>
                      <w:szCs w:val="21"/>
                      <w:vertAlign w:val="superscript"/>
                    </w:rPr>
                    <w:t>3</w:t>
                  </w:r>
                  <w:r>
                    <w:rPr>
                      <w:rFonts w:hint="eastAsia"/>
                      <w:color w:val="000000"/>
                      <w:szCs w:val="21"/>
                    </w:rPr>
                    <w:t>，设备内的摩擦撞击火花或操作工人点火使木屑粉尘燃烧达到自然点430℃，发生尘爆。</w:t>
                  </w:r>
                </w:p>
              </w:tc>
              <w:tc>
                <w:tcPr>
                  <w:tcW w:w="1203" w:type="dxa"/>
                  <w:noWrap w:val="0"/>
                  <w:vAlign w:val="center"/>
                </w:tcPr>
                <w:p w14:paraId="5DAF36DB">
                  <w:pPr>
                    <w:widowControl/>
                    <w:ind w:left="105" w:right="105"/>
                    <w:jc w:val="center"/>
                    <w:rPr>
                      <w:rFonts w:hint="eastAsia"/>
                      <w:color w:val="000000"/>
                      <w:szCs w:val="21"/>
                    </w:rPr>
                  </w:pPr>
                  <w:r>
                    <w:rPr>
                      <w:rFonts w:hint="eastAsia"/>
                      <w:color w:val="000000"/>
                      <w:szCs w:val="21"/>
                    </w:rPr>
                    <w:t>生产设备或除尘设施发生故障</w:t>
                  </w:r>
                </w:p>
              </w:tc>
              <w:tc>
                <w:tcPr>
                  <w:tcW w:w="2252" w:type="dxa"/>
                  <w:noWrap w:val="0"/>
                  <w:vAlign w:val="center"/>
                </w:tcPr>
                <w:p w14:paraId="59563968">
                  <w:pPr>
                    <w:widowControl/>
                    <w:ind w:left="105" w:right="105"/>
                    <w:jc w:val="center"/>
                    <w:rPr>
                      <w:rFonts w:hint="eastAsia"/>
                      <w:color w:val="000000"/>
                      <w:szCs w:val="21"/>
                    </w:rPr>
                  </w:pPr>
                  <w:r>
                    <w:rPr>
                      <w:rFonts w:hint="eastAsia"/>
                      <w:color w:val="000000"/>
                      <w:szCs w:val="21"/>
                    </w:rPr>
                    <w:t>粉尘爆炸时会分解产生CO、CO</w:t>
                  </w:r>
                  <w:r>
                    <w:rPr>
                      <w:rFonts w:hint="eastAsia"/>
                      <w:color w:val="000000"/>
                      <w:szCs w:val="21"/>
                      <w:vertAlign w:val="subscript"/>
                    </w:rPr>
                    <w:t>2</w:t>
                  </w:r>
                  <w:r>
                    <w:rPr>
                      <w:rFonts w:hint="eastAsia"/>
                      <w:color w:val="000000"/>
                      <w:szCs w:val="21"/>
                    </w:rPr>
                    <w:t>，同时大量颗粒物逸散到空气中，将对大气环境造成极大影响。</w:t>
                  </w:r>
                </w:p>
              </w:tc>
              <w:tc>
                <w:tcPr>
                  <w:tcW w:w="1271" w:type="dxa"/>
                  <w:noWrap w:val="0"/>
                  <w:vAlign w:val="center"/>
                </w:tcPr>
                <w:p w14:paraId="5819F991">
                  <w:pPr>
                    <w:widowControl/>
                    <w:ind w:left="105" w:right="105"/>
                    <w:jc w:val="center"/>
                    <w:rPr>
                      <w:rFonts w:hint="eastAsia" w:eastAsia="宋体"/>
                      <w:color w:val="000000"/>
                      <w:szCs w:val="21"/>
                      <w:lang w:val="en-US" w:eastAsia="zh-CN"/>
                    </w:rPr>
                  </w:pPr>
                  <w:r>
                    <w:rPr>
                      <w:rFonts w:hint="eastAsia"/>
                      <w:color w:val="000000"/>
                      <w:szCs w:val="21"/>
                      <w:lang w:val="en-US" w:eastAsia="zh-CN"/>
                    </w:rPr>
                    <w:t>大气环境</w:t>
                  </w:r>
                </w:p>
              </w:tc>
            </w:tr>
            <w:tr w14:paraId="349E2B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83" w:type="dxa"/>
                  <w:noWrap w:val="0"/>
                  <w:vAlign w:val="center"/>
                </w:tcPr>
                <w:p w14:paraId="6771B99E">
                  <w:pPr>
                    <w:widowControl/>
                    <w:ind w:left="105" w:right="105"/>
                    <w:jc w:val="center"/>
                    <w:rPr>
                      <w:color w:val="000000"/>
                      <w:sz w:val="21"/>
                      <w:szCs w:val="21"/>
                      <w:lang w:val="en-US" w:eastAsia="zh-CN" w:bidi="ar-SA"/>
                    </w:rPr>
                  </w:pPr>
                  <w:r>
                    <w:rPr>
                      <w:rFonts w:hint="eastAsia"/>
                      <w:color w:val="000000"/>
                      <w:sz w:val="21"/>
                      <w:szCs w:val="21"/>
                      <w:lang w:val="en-US" w:eastAsia="zh-CN" w:bidi="ar-SA"/>
                    </w:rPr>
                    <w:t>2</w:t>
                  </w:r>
                </w:p>
              </w:tc>
              <w:tc>
                <w:tcPr>
                  <w:tcW w:w="1172" w:type="dxa"/>
                  <w:noWrap w:val="0"/>
                  <w:vAlign w:val="center"/>
                </w:tcPr>
                <w:p w14:paraId="55244A2C">
                  <w:pPr>
                    <w:widowControl/>
                    <w:ind w:left="105" w:right="105"/>
                    <w:jc w:val="center"/>
                    <w:rPr>
                      <w:color w:val="000000"/>
                      <w:szCs w:val="21"/>
                      <w:lang w:val="en-US" w:eastAsia="zh-CN"/>
                    </w:rPr>
                  </w:pPr>
                  <w:r>
                    <w:rPr>
                      <w:rFonts w:hint="eastAsia"/>
                      <w:color w:val="000000"/>
                      <w:szCs w:val="21"/>
                      <w:lang w:val="en-US" w:eastAsia="zh-CN"/>
                    </w:rPr>
                    <w:t>原料、成品暂存区域</w:t>
                  </w:r>
                </w:p>
              </w:tc>
              <w:tc>
                <w:tcPr>
                  <w:tcW w:w="810" w:type="dxa"/>
                  <w:noWrap w:val="0"/>
                  <w:vAlign w:val="center"/>
                </w:tcPr>
                <w:p w14:paraId="200B3BF3">
                  <w:pPr>
                    <w:pStyle w:val="261"/>
                    <w:ind w:firstLine="0"/>
                    <w:jc w:val="center"/>
                    <w:rPr>
                      <w:rFonts w:hint="eastAsia" w:ascii="Times New Roman" w:hAnsi="Times New Roman" w:cs="Times New Roman"/>
                      <w:color w:val="000000"/>
                      <w:sz w:val="21"/>
                      <w:szCs w:val="21"/>
                      <w:lang w:val="en-US" w:eastAsia="zh-CN"/>
                    </w:rPr>
                  </w:pPr>
                  <w:r>
                    <w:rPr>
                      <w:rFonts w:hint="eastAsia"/>
                      <w:color w:val="000000"/>
                      <w:sz w:val="21"/>
                      <w:szCs w:val="21"/>
                      <w:lang w:val="en-US" w:eastAsia="zh-CN"/>
                    </w:rPr>
                    <w:t>原料、成品</w:t>
                  </w:r>
                </w:p>
              </w:tc>
              <w:tc>
                <w:tcPr>
                  <w:tcW w:w="1828" w:type="dxa"/>
                  <w:noWrap w:val="0"/>
                  <w:vAlign w:val="center"/>
                </w:tcPr>
                <w:p w14:paraId="6FECB5E9">
                  <w:pPr>
                    <w:widowControl/>
                    <w:ind w:left="105" w:right="105"/>
                    <w:jc w:val="center"/>
                    <w:rPr>
                      <w:rFonts w:hint="eastAsia"/>
                      <w:color w:val="000000"/>
                      <w:szCs w:val="21"/>
                    </w:rPr>
                  </w:pPr>
                  <w:r>
                    <w:rPr>
                      <w:rFonts w:hint="eastAsia"/>
                      <w:color w:val="000000"/>
                      <w:szCs w:val="21"/>
                    </w:rPr>
                    <w:t>遇明火可燃的伴生/次生污染物排放</w:t>
                  </w:r>
                </w:p>
              </w:tc>
              <w:tc>
                <w:tcPr>
                  <w:tcW w:w="1203" w:type="dxa"/>
                  <w:noWrap w:val="0"/>
                  <w:vAlign w:val="center"/>
                </w:tcPr>
                <w:p w14:paraId="3EF00671">
                  <w:pPr>
                    <w:widowControl/>
                    <w:ind w:left="105" w:right="105"/>
                    <w:jc w:val="center"/>
                    <w:rPr>
                      <w:rFonts w:hint="eastAsia"/>
                      <w:color w:val="000000"/>
                      <w:szCs w:val="21"/>
                    </w:rPr>
                  </w:pPr>
                  <w:r>
                    <w:rPr>
                      <w:rFonts w:hint="eastAsia"/>
                      <w:color w:val="000000"/>
                      <w:szCs w:val="21"/>
                    </w:rPr>
                    <w:t>遇明火可燃</w:t>
                  </w:r>
                </w:p>
              </w:tc>
              <w:tc>
                <w:tcPr>
                  <w:tcW w:w="2252" w:type="dxa"/>
                  <w:noWrap w:val="0"/>
                  <w:vAlign w:val="center"/>
                </w:tcPr>
                <w:p w14:paraId="23D65AB5">
                  <w:pPr>
                    <w:widowControl/>
                    <w:ind w:left="105" w:right="105"/>
                    <w:jc w:val="center"/>
                    <w:rPr>
                      <w:rFonts w:hint="eastAsia"/>
                      <w:color w:val="000000"/>
                      <w:szCs w:val="21"/>
                    </w:rPr>
                  </w:pPr>
                  <w:r>
                    <w:rPr>
                      <w:rFonts w:hint="eastAsia"/>
                      <w:color w:val="000000"/>
                      <w:szCs w:val="21"/>
                    </w:rPr>
                    <w:t>如发生火灾，将会放出大量热辐射，危及火区周围人员的生命及财产安全，而燃烧散发出的大量浓烟也将对区域大气环境质量造成污染。</w:t>
                  </w:r>
                </w:p>
              </w:tc>
              <w:tc>
                <w:tcPr>
                  <w:tcW w:w="1271" w:type="dxa"/>
                  <w:noWrap w:val="0"/>
                  <w:vAlign w:val="center"/>
                </w:tcPr>
                <w:p w14:paraId="4F686297">
                  <w:pPr>
                    <w:widowControl/>
                    <w:ind w:left="105" w:right="105"/>
                    <w:jc w:val="center"/>
                    <w:rPr>
                      <w:rFonts w:hint="eastAsia"/>
                      <w:color w:val="000000"/>
                      <w:szCs w:val="21"/>
                      <w:lang w:val="en-US" w:eastAsia="zh-CN"/>
                    </w:rPr>
                  </w:pPr>
                  <w:r>
                    <w:rPr>
                      <w:rFonts w:hint="eastAsia"/>
                      <w:color w:val="000000"/>
                      <w:szCs w:val="21"/>
                      <w:lang w:val="en-US" w:eastAsia="zh-CN"/>
                    </w:rPr>
                    <w:t>大气环境、</w:t>
                  </w:r>
                  <w:r>
                    <w:rPr>
                      <w:rFonts w:hint="eastAsia"/>
                      <w:color w:val="000000"/>
                      <w:szCs w:val="21"/>
                    </w:rPr>
                    <w:t>周围人员的生命及财产安全</w:t>
                  </w:r>
                </w:p>
              </w:tc>
            </w:tr>
            <w:tr w14:paraId="2086B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83" w:type="dxa"/>
                  <w:noWrap w:val="0"/>
                  <w:vAlign w:val="center"/>
                </w:tcPr>
                <w:p w14:paraId="45F25143">
                  <w:pPr>
                    <w:widowControl/>
                    <w:ind w:left="105" w:right="105"/>
                    <w:jc w:val="center"/>
                    <w:rPr>
                      <w:color w:val="000000"/>
                      <w:sz w:val="21"/>
                      <w:szCs w:val="21"/>
                      <w:lang w:val="en-US" w:eastAsia="zh-CN" w:bidi="ar-SA"/>
                    </w:rPr>
                  </w:pPr>
                  <w:r>
                    <w:rPr>
                      <w:rFonts w:hint="eastAsia"/>
                      <w:color w:val="000000"/>
                      <w:sz w:val="21"/>
                      <w:szCs w:val="21"/>
                      <w:lang w:val="en-US" w:eastAsia="zh-CN" w:bidi="ar-SA"/>
                    </w:rPr>
                    <w:t>3</w:t>
                  </w:r>
                </w:p>
              </w:tc>
              <w:tc>
                <w:tcPr>
                  <w:tcW w:w="1172" w:type="dxa"/>
                  <w:noWrap w:val="0"/>
                  <w:vAlign w:val="center"/>
                </w:tcPr>
                <w:p w14:paraId="62EC0518">
                  <w:pPr>
                    <w:widowControl/>
                    <w:ind w:left="105" w:right="105"/>
                    <w:jc w:val="center"/>
                    <w:rPr>
                      <w:color w:val="000000"/>
                      <w:szCs w:val="21"/>
                      <w:lang w:val="en-US" w:eastAsia="zh-CN"/>
                    </w:rPr>
                  </w:pPr>
                  <w:r>
                    <w:rPr>
                      <w:rFonts w:hint="eastAsia"/>
                      <w:color w:val="000000"/>
                      <w:szCs w:val="21"/>
                      <w:lang w:val="en-US" w:eastAsia="zh-CN"/>
                    </w:rPr>
                    <w:t>废气处理设施</w:t>
                  </w:r>
                </w:p>
              </w:tc>
              <w:tc>
                <w:tcPr>
                  <w:tcW w:w="810" w:type="dxa"/>
                  <w:noWrap w:val="0"/>
                  <w:vAlign w:val="center"/>
                </w:tcPr>
                <w:p w14:paraId="4B061089">
                  <w:pPr>
                    <w:pStyle w:val="261"/>
                    <w:ind w:firstLine="0"/>
                    <w:jc w:val="center"/>
                    <w:rPr>
                      <w:color w:val="000000"/>
                      <w:szCs w:val="21"/>
                      <w:lang w:val="en-US" w:eastAsia="zh-CN"/>
                    </w:rPr>
                  </w:pPr>
                  <w:r>
                    <w:rPr>
                      <w:rFonts w:hint="eastAsia"/>
                      <w:color w:val="000000"/>
                      <w:sz w:val="21"/>
                      <w:szCs w:val="21"/>
                      <w:lang w:val="en-US" w:eastAsia="zh-CN"/>
                    </w:rPr>
                    <w:t>甲醛、非甲烷总烃</w:t>
                  </w:r>
                </w:p>
              </w:tc>
              <w:tc>
                <w:tcPr>
                  <w:tcW w:w="1828" w:type="dxa"/>
                  <w:noWrap w:val="0"/>
                  <w:vAlign w:val="center"/>
                </w:tcPr>
                <w:p w14:paraId="4EEB568F">
                  <w:pPr>
                    <w:widowControl/>
                    <w:ind w:left="105" w:right="105"/>
                    <w:jc w:val="center"/>
                    <w:rPr>
                      <w:rFonts w:eastAsia="宋体"/>
                      <w:color w:val="000000"/>
                      <w:szCs w:val="21"/>
                      <w:lang w:val="en-US" w:eastAsia="zh-CN"/>
                    </w:rPr>
                  </w:pPr>
                  <w:r>
                    <w:rPr>
                      <w:rFonts w:hint="eastAsia"/>
                      <w:color w:val="000000"/>
                      <w:szCs w:val="21"/>
                      <w:lang w:val="en-US" w:eastAsia="zh-CN"/>
                    </w:rPr>
                    <w:t>对人体有害气体</w:t>
                  </w:r>
                </w:p>
              </w:tc>
              <w:tc>
                <w:tcPr>
                  <w:tcW w:w="1203" w:type="dxa"/>
                  <w:noWrap w:val="0"/>
                  <w:vAlign w:val="center"/>
                </w:tcPr>
                <w:p w14:paraId="2ABF2725">
                  <w:pPr>
                    <w:widowControl/>
                    <w:ind w:left="105" w:right="105"/>
                    <w:jc w:val="center"/>
                    <w:rPr>
                      <w:rFonts w:hint="eastAsia"/>
                      <w:color w:val="000000"/>
                      <w:szCs w:val="21"/>
                    </w:rPr>
                  </w:pPr>
                  <w:r>
                    <w:rPr>
                      <w:rFonts w:hint="eastAsia"/>
                      <w:color w:val="000000"/>
                      <w:szCs w:val="21"/>
                    </w:rPr>
                    <w:t>生产设备或</w:t>
                  </w:r>
                  <w:r>
                    <w:rPr>
                      <w:rFonts w:hint="eastAsia"/>
                      <w:color w:val="000000"/>
                      <w:szCs w:val="21"/>
                      <w:lang w:val="en-US" w:eastAsia="zh-CN"/>
                    </w:rPr>
                    <w:t>环保</w:t>
                  </w:r>
                  <w:r>
                    <w:rPr>
                      <w:rFonts w:hint="eastAsia"/>
                      <w:color w:val="000000"/>
                      <w:szCs w:val="21"/>
                    </w:rPr>
                    <w:t>设施发生故障</w:t>
                  </w:r>
                </w:p>
              </w:tc>
              <w:tc>
                <w:tcPr>
                  <w:tcW w:w="2252" w:type="dxa"/>
                  <w:noWrap w:val="0"/>
                  <w:vAlign w:val="center"/>
                </w:tcPr>
                <w:p w14:paraId="327C8152">
                  <w:pPr>
                    <w:widowControl/>
                    <w:ind w:left="105" w:right="105"/>
                    <w:jc w:val="center"/>
                    <w:rPr>
                      <w:rFonts w:hint="eastAsia"/>
                      <w:color w:val="000000"/>
                      <w:szCs w:val="21"/>
                    </w:rPr>
                  </w:pPr>
                  <w:r>
                    <w:rPr>
                      <w:rFonts w:hint="eastAsia"/>
                      <w:color w:val="000000"/>
                      <w:szCs w:val="21"/>
                      <w:lang w:val="en-US" w:eastAsia="zh-CN"/>
                    </w:rPr>
                    <w:t>甲醛、非甲烷总烃大量扩散</w:t>
                  </w:r>
                  <w:r>
                    <w:rPr>
                      <w:rFonts w:hint="eastAsia"/>
                      <w:color w:val="000000"/>
                      <w:szCs w:val="21"/>
                    </w:rPr>
                    <w:t>将对大气环境造成极大影响。</w:t>
                  </w:r>
                </w:p>
              </w:tc>
              <w:tc>
                <w:tcPr>
                  <w:tcW w:w="1271" w:type="dxa"/>
                  <w:noWrap w:val="0"/>
                  <w:vAlign w:val="center"/>
                </w:tcPr>
                <w:p w14:paraId="467438FF">
                  <w:pPr>
                    <w:widowControl/>
                    <w:ind w:left="105" w:right="105"/>
                    <w:jc w:val="center"/>
                    <w:rPr>
                      <w:rFonts w:hint="eastAsia"/>
                      <w:color w:val="000000"/>
                      <w:szCs w:val="21"/>
                      <w:lang w:val="en-US" w:eastAsia="zh-CN"/>
                    </w:rPr>
                  </w:pPr>
                  <w:r>
                    <w:rPr>
                      <w:rFonts w:hint="eastAsia"/>
                      <w:color w:val="000000"/>
                      <w:szCs w:val="21"/>
                      <w:lang w:val="en-US" w:eastAsia="zh-CN"/>
                    </w:rPr>
                    <w:t>大气环境</w:t>
                  </w:r>
                </w:p>
              </w:tc>
            </w:tr>
            <w:tr w14:paraId="1682D5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83" w:type="dxa"/>
                  <w:noWrap w:val="0"/>
                  <w:vAlign w:val="center"/>
                </w:tcPr>
                <w:p w14:paraId="574FE3B3">
                  <w:pPr>
                    <w:widowControl/>
                    <w:ind w:left="105" w:right="105"/>
                    <w:jc w:val="center"/>
                    <w:rPr>
                      <w:color w:val="000000"/>
                      <w:sz w:val="21"/>
                      <w:szCs w:val="21"/>
                      <w:lang w:val="en-US" w:eastAsia="zh-CN" w:bidi="ar-SA"/>
                    </w:rPr>
                  </w:pPr>
                  <w:r>
                    <w:rPr>
                      <w:rFonts w:hint="eastAsia"/>
                      <w:color w:val="000000"/>
                      <w:sz w:val="21"/>
                      <w:szCs w:val="21"/>
                      <w:lang w:val="en-US" w:eastAsia="zh-CN" w:bidi="ar-SA"/>
                    </w:rPr>
                    <w:t>4</w:t>
                  </w:r>
                </w:p>
              </w:tc>
              <w:tc>
                <w:tcPr>
                  <w:tcW w:w="1172" w:type="dxa"/>
                  <w:noWrap w:val="0"/>
                  <w:vAlign w:val="center"/>
                </w:tcPr>
                <w:p w14:paraId="28164E05">
                  <w:pPr>
                    <w:widowControl/>
                    <w:ind w:left="105" w:right="105"/>
                    <w:jc w:val="center"/>
                    <w:rPr>
                      <w:color w:val="000000"/>
                      <w:szCs w:val="21"/>
                      <w:lang w:val="en-US" w:eastAsia="zh-CN"/>
                    </w:rPr>
                  </w:pPr>
                  <w:r>
                    <w:rPr>
                      <w:rFonts w:hint="eastAsia"/>
                      <w:color w:val="000000"/>
                      <w:szCs w:val="21"/>
                      <w:lang w:val="en-US" w:eastAsia="zh-CN"/>
                    </w:rPr>
                    <w:t>废机油</w:t>
                  </w:r>
                </w:p>
              </w:tc>
              <w:tc>
                <w:tcPr>
                  <w:tcW w:w="810" w:type="dxa"/>
                  <w:noWrap w:val="0"/>
                  <w:vAlign w:val="center"/>
                </w:tcPr>
                <w:p w14:paraId="4357216C">
                  <w:pPr>
                    <w:pStyle w:val="261"/>
                    <w:ind w:firstLine="0"/>
                    <w:jc w:val="center"/>
                    <w:rPr>
                      <w:rFonts w:hint="eastAsia"/>
                      <w:color w:val="000000"/>
                      <w:szCs w:val="21"/>
                      <w:lang w:val="en-US" w:eastAsia="zh-CN"/>
                    </w:rPr>
                  </w:pPr>
                  <w:r>
                    <w:rPr>
                      <w:rFonts w:hint="eastAsia"/>
                      <w:color w:val="000000"/>
                      <w:sz w:val="21"/>
                      <w:szCs w:val="21"/>
                      <w:lang w:val="en-US" w:eastAsia="zh-CN"/>
                    </w:rPr>
                    <w:t>废机油</w:t>
                  </w:r>
                </w:p>
              </w:tc>
              <w:tc>
                <w:tcPr>
                  <w:tcW w:w="1828" w:type="dxa"/>
                  <w:noWrap w:val="0"/>
                  <w:vAlign w:val="center"/>
                </w:tcPr>
                <w:p w14:paraId="760BA0FA">
                  <w:pPr>
                    <w:widowControl/>
                    <w:ind w:left="105" w:right="105"/>
                    <w:jc w:val="center"/>
                    <w:rPr>
                      <w:rFonts w:hint="eastAsia"/>
                      <w:color w:val="000000"/>
                      <w:szCs w:val="21"/>
                      <w:lang w:val="en-US" w:eastAsia="zh-CN"/>
                    </w:rPr>
                  </w:pPr>
                  <w:r>
                    <w:rPr>
                      <w:rFonts w:hint="eastAsia"/>
                      <w:color w:val="000000"/>
                      <w:szCs w:val="21"/>
                    </w:rPr>
                    <w:t>遇明火可燃的伴生/次生污染物排放</w:t>
                  </w:r>
                </w:p>
              </w:tc>
              <w:tc>
                <w:tcPr>
                  <w:tcW w:w="1203" w:type="dxa"/>
                  <w:noWrap w:val="0"/>
                  <w:vAlign w:val="center"/>
                </w:tcPr>
                <w:p w14:paraId="0511DC75">
                  <w:pPr>
                    <w:widowControl/>
                    <w:ind w:left="105" w:right="105"/>
                    <w:jc w:val="center"/>
                    <w:rPr>
                      <w:rFonts w:eastAsia="宋体"/>
                      <w:color w:val="000000"/>
                      <w:szCs w:val="21"/>
                      <w:lang w:val="en-US" w:eastAsia="zh-CN"/>
                    </w:rPr>
                  </w:pPr>
                  <w:r>
                    <w:rPr>
                      <w:rFonts w:hint="eastAsia"/>
                      <w:color w:val="000000"/>
                      <w:szCs w:val="21"/>
                      <w:lang w:val="en-US" w:eastAsia="zh-CN"/>
                    </w:rPr>
                    <w:t>储存设施故障</w:t>
                  </w:r>
                </w:p>
              </w:tc>
              <w:tc>
                <w:tcPr>
                  <w:tcW w:w="2252" w:type="dxa"/>
                  <w:noWrap w:val="0"/>
                  <w:vAlign w:val="center"/>
                </w:tcPr>
                <w:p w14:paraId="56982C57">
                  <w:pPr>
                    <w:widowControl/>
                    <w:ind w:left="105" w:right="105"/>
                    <w:jc w:val="center"/>
                    <w:rPr>
                      <w:rFonts w:eastAsia="宋体"/>
                      <w:color w:val="000000"/>
                      <w:szCs w:val="21"/>
                      <w:lang w:val="en-US" w:eastAsia="zh-CN"/>
                    </w:rPr>
                  </w:pPr>
                  <w:r>
                    <w:rPr>
                      <w:rFonts w:hint="eastAsia"/>
                      <w:color w:val="000000"/>
                      <w:szCs w:val="21"/>
                    </w:rPr>
                    <w:t>如发生火灾，将会放出大量热辐射，危及火区周围人员的生命及财产安全，而燃烧散发出的大量浓烟也将对区域大气环境质量造成污染。</w:t>
                  </w:r>
                  <w:r>
                    <w:rPr>
                      <w:rFonts w:hint="eastAsia"/>
                      <w:color w:val="000000"/>
                      <w:szCs w:val="21"/>
                      <w:lang w:val="en-US" w:eastAsia="zh-CN"/>
                    </w:rPr>
                    <w:t>若发生泄漏会对地表水、地下水造成污染。</w:t>
                  </w:r>
                </w:p>
              </w:tc>
              <w:tc>
                <w:tcPr>
                  <w:tcW w:w="1271" w:type="dxa"/>
                  <w:noWrap w:val="0"/>
                  <w:vAlign w:val="center"/>
                </w:tcPr>
                <w:p w14:paraId="7CE7D8B3">
                  <w:pPr>
                    <w:widowControl/>
                    <w:ind w:left="105" w:right="105"/>
                    <w:jc w:val="center"/>
                    <w:rPr>
                      <w:color w:val="000000"/>
                      <w:szCs w:val="21"/>
                      <w:lang w:val="en-US" w:eastAsia="zh-CN"/>
                    </w:rPr>
                  </w:pPr>
                  <w:r>
                    <w:rPr>
                      <w:rFonts w:hint="eastAsia"/>
                      <w:color w:val="000000"/>
                      <w:szCs w:val="21"/>
                      <w:lang w:val="en-US" w:eastAsia="zh-CN"/>
                    </w:rPr>
                    <w:t>大气环境、水环境</w:t>
                  </w:r>
                </w:p>
              </w:tc>
            </w:tr>
          </w:tbl>
          <w:p w14:paraId="4A5DB941">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3、</w:t>
            </w:r>
            <w:r>
              <w:rPr>
                <w:b/>
                <w:bCs/>
                <w:color w:val="000000"/>
                <w:sz w:val="24"/>
              </w:rPr>
              <w:t>环境风险分析</w:t>
            </w:r>
          </w:p>
          <w:p w14:paraId="777FC9E8">
            <w:pPr>
              <w:spacing w:line="360" w:lineRule="auto"/>
              <w:ind w:firstLine="480"/>
              <w:rPr>
                <w:rFonts w:hint="eastAsia"/>
                <w:b w:val="0"/>
                <w:bCs w:val="0"/>
                <w:color w:val="000000"/>
                <w:sz w:val="24"/>
                <w:lang w:val="en-US" w:eastAsia="zh-CN"/>
              </w:rPr>
            </w:pPr>
            <w:r>
              <w:rPr>
                <w:b w:val="0"/>
                <w:bCs w:val="0"/>
                <w:color w:val="000000"/>
                <w:sz w:val="24"/>
              </w:rPr>
              <w:t>（1）</w:t>
            </w:r>
            <w:r>
              <w:rPr>
                <w:rFonts w:hint="eastAsia"/>
                <w:b w:val="0"/>
                <w:bCs w:val="0"/>
                <w:color w:val="000000"/>
                <w:sz w:val="24"/>
                <w:lang w:val="en-US" w:eastAsia="zh-CN"/>
              </w:rPr>
              <w:t>项目区粉尘非正常排放，造成区域粉尘浓度超过爆炸下限，粉尘爆炸时会分解产生CO、CO</w:t>
            </w:r>
            <w:r>
              <w:rPr>
                <w:rFonts w:hint="eastAsia"/>
                <w:b w:val="0"/>
                <w:bCs w:val="0"/>
                <w:color w:val="000000"/>
                <w:sz w:val="24"/>
                <w:vertAlign w:val="subscript"/>
                <w:lang w:val="en-US" w:eastAsia="zh-CN"/>
              </w:rPr>
              <w:t>2</w:t>
            </w:r>
            <w:r>
              <w:rPr>
                <w:rFonts w:hint="eastAsia"/>
                <w:b w:val="0"/>
                <w:bCs w:val="0"/>
                <w:color w:val="000000"/>
                <w:sz w:val="24"/>
                <w:lang w:val="en-US" w:eastAsia="zh-CN"/>
              </w:rPr>
              <w:t>，同时大量颗粒物逸散到空气中，将对大气环境造成极大影响。</w:t>
            </w:r>
          </w:p>
          <w:p w14:paraId="12358358">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hint="eastAsia"/>
                <w:b w:val="0"/>
                <w:bCs w:val="0"/>
                <w:color w:val="000000"/>
                <w:sz w:val="24"/>
                <w:lang w:val="en-US" w:eastAsia="zh-CN"/>
              </w:rPr>
              <w:t>（2）原料、成品、危险废物</w:t>
            </w:r>
            <w:r>
              <w:rPr>
                <w:b w:val="0"/>
                <w:bCs w:val="0"/>
                <w:color w:val="000000"/>
                <w:sz w:val="24"/>
              </w:rPr>
              <w:t>遇明火，发生火灾事故会伴生/次生CO、SO</w:t>
            </w:r>
            <w:r>
              <w:rPr>
                <w:b w:val="0"/>
                <w:bCs w:val="0"/>
                <w:color w:val="000000"/>
                <w:sz w:val="24"/>
                <w:vertAlign w:val="subscript"/>
              </w:rPr>
              <w:t>2</w:t>
            </w:r>
            <w:r>
              <w:rPr>
                <w:b w:val="0"/>
                <w:bCs w:val="0"/>
                <w:color w:val="000000"/>
                <w:sz w:val="24"/>
              </w:rPr>
              <w:t>等废气污染物，扩散至周围大气环境，可能对周边大气环境敏感目标的空气质量产生影响。</w:t>
            </w:r>
            <w:r>
              <w:rPr>
                <w:rFonts w:hint="eastAsia"/>
                <w:b w:val="0"/>
                <w:bCs w:val="0"/>
                <w:color w:val="000000"/>
                <w:sz w:val="24"/>
                <w:lang w:val="en-US" w:eastAsia="zh-CN"/>
              </w:rPr>
              <w:t xml:space="preserve"> </w:t>
            </w:r>
          </w:p>
          <w:p w14:paraId="29E28B7F">
            <w:pPr>
              <w:keepNext w:val="0"/>
              <w:keepLines w:val="0"/>
              <w:pageBreakBefore w:val="0"/>
              <w:widowControl w:val="0"/>
              <w:spacing w:line="360" w:lineRule="auto"/>
              <w:ind w:left="0" w:right="0" w:firstLine="480"/>
              <w:jc w:val="both"/>
              <w:rPr>
                <w:rFonts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（3）废机油发生泄漏，会对周边地表水、地下水及土壤造成影响。</w:t>
            </w:r>
          </w:p>
          <w:p w14:paraId="63C438D6">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4、</w:t>
            </w:r>
            <w:r>
              <w:rPr>
                <w:rFonts w:ascii="Times New Roman" w:hAnsi="Times New Roman" w:eastAsia="宋体" w:cs="Times New Roman"/>
                <w:b/>
                <w:bCs/>
                <w:color w:val="000000"/>
                <w:sz w:val="24"/>
                <w:szCs w:val="24"/>
                <w:highlight w:val="none"/>
                <w:lang w:val="en-US" w:eastAsia="zh-CN"/>
              </w:rPr>
              <w:t>环境风险防范措施</w:t>
            </w:r>
          </w:p>
          <w:p w14:paraId="52EFA9BF">
            <w:pPr>
              <w:spacing w:line="360" w:lineRule="auto"/>
              <w:ind w:firstLine="482"/>
              <w:rPr>
                <w:b/>
                <w:bCs/>
                <w:color w:val="000000"/>
                <w:sz w:val="24"/>
              </w:rPr>
            </w:pPr>
            <w:r>
              <w:rPr>
                <w:b/>
                <w:bCs/>
                <w:color w:val="000000"/>
                <w:sz w:val="24"/>
              </w:rPr>
              <w:t>（</w:t>
            </w:r>
            <w:r>
              <w:rPr>
                <w:rFonts w:hint="eastAsia"/>
                <w:b/>
                <w:bCs/>
                <w:color w:val="000000"/>
                <w:sz w:val="24"/>
                <w:lang w:val="en-US" w:eastAsia="zh-CN"/>
              </w:rPr>
              <w:t>1</w:t>
            </w:r>
            <w:r>
              <w:rPr>
                <w:b/>
                <w:bCs/>
                <w:color w:val="000000"/>
                <w:sz w:val="24"/>
              </w:rPr>
              <w:t>）火灾事故风险防范措施</w:t>
            </w:r>
          </w:p>
          <w:p w14:paraId="53579801">
            <w:pPr>
              <w:spacing w:line="360" w:lineRule="auto"/>
              <w:ind w:firstLine="480"/>
              <w:rPr>
                <w:rFonts w:hint="eastAsia"/>
                <w:color w:val="000000"/>
                <w:sz w:val="24"/>
              </w:rPr>
            </w:pPr>
            <w:r>
              <w:rPr>
                <w:rFonts w:hint="eastAsia"/>
                <w:color w:val="000000"/>
                <w:sz w:val="24"/>
              </w:rPr>
              <w:t>①生产厂房易燃物品贮存区须确保通风良好、配备相应品种和数量的消防器材、设置必要的防火防爆与降温技术措施、按安全部门要求预留必要的安全间距，远离火种和热源。</w:t>
            </w:r>
          </w:p>
          <w:p w14:paraId="6C3C6F14">
            <w:pPr>
              <w:spacing w:line="360" w:lineRule="auto"/>
              <w:ind w:firstLine="480"/>
              <w:rPr>
                <w:rFonts w:hint="eastAsia"/>
                <w:color w:val="000000"/>
                <w:sz w:val="24"/>
              </w:rPr>
            </w:pPr>
            <w:r>
              <w:rPr>
                <w:rFonts w:hint="eastAsia"/>
                <w:color w:val="000000"/>
                <w:sz w:val="24"/>
              </w:rPr>
              <w:t>②生产车间和易燃物品贮存区禁止明火进入，禁止使用易产生火花的设备与工具，其照明、通风、空调、报警设施及相关用电设备均应采用防爆型装置。</w:t>
            </w:r>
          </w:p>
          <w:p w14:paraId="14949632">
            <w:pPr>
              <w:spacing w:line="360" w:lineRule="auto"/>
              <w:ind w:firstLine="480"/>
              <w:rPr>
                <w:rFonts w:hint="eastAsia"/>
                <w:color w:val="000000"/>
                <w:sz w:val="24"/>
              </w:rPr>
            </w:pPr>
            <w:r>
              <w:rPr>
                <w:rFonts w:hint="eastAsia"/>
                <w:color w:val="000000"/>
                <w:sz w:val="24"/>
              </w:rPr>
              <w:t>③按规范使用各类电器设备，避免漏电、短路、过流、过载、过热等而造成的绝缘失效或线路着火，定期检查厂房内的电源、线路，对老化电线及时更换。</w:t>
            </w:r>
          </w:p>
          <w:p w14:paraId="5909DF56">
            <w:pPr>
              <w:spacing w:line="360" w:lineRule="auto"/>
              <w:ind w:firstLine="480"/>
              <w:rPr>
                <w:rFonts w:hint="eastAsia"/>
                <w:color w:val="000000"/>
                <w:sz w:val="24"/>
              </w:rPr>
            </w:pPr>
            <w:r>
              <w:rPr>
                <w:rFonts w:hint="eastAsia"/>
                <w:color w:val="000000"/>
                <w:sz w:val="24"/>
              </w:rPr>
              <w:t>④禁止在生产车间和原料</w:t>
            </w:r>
            <w:r>
              <w:rPr>
                <w:rFonts w:hint="eastAsia"/>
                <w:color w:val="000000"/>
                <w:sz w:val="24"/>
                <w:lang w:val="en-US" w:eastAsia="zh-CN"/>
              </w:rPr>
              <w:t>暂存区</w:t>
            </w:r>
            <w:r>
              <w:rPr>
                <w:rFonts w:hint="eastAsia"/>
                <w:color w:val="000000"/>
                <w:sz w:val="24"/>
              </w:rPr>
              <w:t>、成品</w:t>
            </w:r>
            <w:r>
              <w:rPr>
                <w:rFonts w:hint="eastAsia"/>
                <w:color w:val="000000"/>
                <w:sz w:val="24"/>
                <w:lang w:val="en-US" w:eastAsia="zh-CN"/>
              </w:rPr>
              <w:t>暂存区</w:t>
            </w:r>
            <w:r>
              <w:rPr>
                <w:rFonts w:hint="eastAsia"/>
                <w:color w:val="000000"/>
                <w:sz w:val="24"/>
              </w:rPr>
              <w:t>等存放处有明火、吸烟、焊接等，厂区内生产车间及仓库应在显眼位置设置禁火标识。</w:t>
            </w:r>
          </w:p>
          <w:p w14:paraId="2343CF12">
            <w:pPr>
              <w:spacing w:line="360" w:lineRule="auto"/>
              <w:ind w:firstLine="480"/>
              <w:rPr>
                <w:color w:val="000000"/>
                <w:sz w:val="24"/>
              </w:rPr>
            </w:pPr>
            <w:r>
              <w:rPr>
                <w:rFonts w:hint="eastAsia"/>
                <w:color w:val="000000"/>
                <w:sz w:val="24"/>
              </w:rPr>
              <w:t>⑤定期对操作人员进行安全生产与安全知识培训，并制定严格的安全操作规程，切实加强生产过程中的安全控制，保证劳动安全，防止意外事故的发生。</w:t>
            </w:r>
          </w:p>
          <w:p w14:paraId="16105D1C">
            <w:pPr>
              <w:spacing w:line="360" w:lineRule="auto"/>
              <w:ind w:firstLine="482"/>
              <w:rPr>
                <w:rFonts w:hint="eastAsia"/>
                <w:b/>
                <w:bCs/>
                <w:color w:val="000000"/>
                <w:sz w:val="24"/>
              </w:rPr>
            </w:pPr>
            <w:r>
              <w:rPr>
                <w:rFonts w:hint="eastAsia"/>
                <w:b/>
                <w:bCs/>
                <w:color w:val="000000"/>
                <w:sz w:val="24"/>
              </w:rPr>
              <w:t>（</w:t>
            </w:r>
            <w:r>
              <w:rPr>
                <w:rFonts w:hint="eastAsia"/>
                <w:b/>
                <w:bCs/>
                <w:color w:val="000000"/>
                <w:sz w:val="24"/>
                <w:lang w:val="en-US" w:eastAsia="zh-CN"/>
              </w:rPr>
              <w:t>2</w:t>
            </w:r>
            <w:r>
              <w:rPr>
                <w:rFonts w:hint="eastAsia"/>
                <w:b/>
                <w:bCs/>
                <w:color w:val="000000"/>
                <w:sz w:val="24"/>
              </w:rPr>
              <w:t>）</w:t>
            </w:r>
            <w:r>
              <w:rPr>
                <w:rFonts w:hint="eastAsia"/>
                <w:b/>
                <w:bCs/>
                <w:color w:val="000000"/>
                <w:sz w:val="24"/>
                <w:lang w:val="en-US" w:eastAsia="zh-CN"/>
              </w:rPr>
              <w:t>环保</w:t>
            </w:r>
            <w:r>
              <w:rPr>
                <w:rFonts w:hint="eastAsia"/>
                <w:b/>
                <w:bCs/>
                <w:color w:val="000000"/>
                <w:sz w:val="24"/>
              </w:rPr>
              <w:t>设备防损措施</w:t>
            </w:r>
          </w:p>
          <w:p w14:paraId="64CD49AE">
            <w:pPr>
              <w:spacing w:line="360" w:lineRule="auto"/>
              <w:ind w:firstLine="480"/>
              <w:rPr>
                <w:rFonts w:hint="eastAsia"/>
                <w:color w:val="000000"/>
                <w:sz w:val="24"/>
              </w:rPr>
            </w:pPr>
            <w:r>
              <w:rPr>
                <w:rFonts w:hint="eastAsia"/>
                <w:color w:val="000000"/>
                <w:sz w:val="24"/>
              </w:rPr>
              <w:t>①加强设备日常的维护和管理，定期对</w:t>
            </w:r>
            <w:r>
              <w:rPr>
                <w:rFonts w:hint="eastAsia"/>
                <w:color w:val="000000"/>
                <w:sz w:val="24"/>
                <w:lang w:val="en-US" w:eastAsia="zh-CN"/>
              </w:rPr>
              <w:t>环保设施</w:t>
            </w:r>
            <w:r>
              <w:rPr>
                <w:rFonts w:hint="eastAsia"/>
                <w:color w:val="000000"/>
                <w:sz w:val="24"/>
              </w:rPr>
              <w:t>的各类设备进行保养、检查和维修，确保集气系统</w:t>
            </w:r>
            <w:r>
              <w:rPr>
                <w:rFonts w:hint="eastAsia"/>
                <w:color w:val="000000"/>
                <w:sz w:val="24"/>
                <w:lang w:eastAsia="zh-CN"/>
              </w:rPr>
              <w:t>、</w:t>
            </w:r>
            <w:r>
              <w:rPr>
                <w:rFonts w:hint="eastAsia"/>
                <w:color w:val="000000"/>
                <w:sz w:val="24"/>
                <w:lang w:val="en-US" w:eastAsia="zh-CN"/>
              </w:rPr>
              <w:t>除尘</w:t>
            </w:r>
            <w:r>
              <w:rPr>
                <w:rFonts w:hint="eastAsia"/>
                <w:color w:val="000000"/>
                <w:sz w:val="24"/>
              </w:rPr>
              <w:t>系统</w:t>
            </w:r>
            <w:r>
              <w:rPr>
                <w:rFonts w:hint="eastAsia"/>
                <w:color w:val="000000"/>
                <w:sz w:val="24"/>
                <w:lang w:eastAsia="zh-CN"/>
              </w:rPr>
              <w:t>、</w:t>
            </w:r>
            <w:r>
              <w:rPr>
                <w:rFonts w:hint="eastAsia"/>
                <w:color w:val="000000"/>
                <w:sz w:val="24"/>
                <w:lang w:val="en-US" w:eastAsia="zh-CN"/>
              </w:rPr>
              <w:t>吸附系统</w:t>
            </w:r>
            <w:r>
              <w:rPr>
                <w:rFonts w:hint="eastAsia"/>
                <w:color w:val="000000"/>
                <w:sz w:val="24"/>
              </w:rPr>
              <w:t>的正常运行。</w:t>
            </w:r>
          </w:p>
          <w:p w14:paraId="6491BE03">
            <w:pPr>
              <w:spacing w:line="360" w:lineRule="auto"/>
              <w:ind w:firstLine="480"/>
              <w:rPr>
                <w:rFonts w:hint="eastAsia"/>
                <w:color w:val="000000"/>
                <w:sz w:val="24"/>
              </w:rPr>
            </w:pPr>
            <w:r>
              <w:rPr>
                <w:rFonts w:hint="eastAsia"/>
                <w:color w:val="000000"/>
                <w:sz w:val="24"/>
              </w:rPr>
              <w:t>②进行安全化管理来改善设备的安全性、改进工艺的安全性；完善标准及操作规程，定期进行安全检查。</w:t>
            </w:r>
          </w:p>
          <w:p w14:paraId="11C5B6C9">
            <w:pPr>
              <w:spacing w:line="360" w:lineRule="auto"/>
              <w:ind w:firstLine="480"/>
              <w:rPr>
                <w:rFonts w:ascii="Times New Roman" w:hAnsi="Times New Roman" w:eastAsia="宋体" w:cs="Times New Roman"/>
                <w:b w:val="0"/>
                <w:bCs w:val="0"/>
                <w:color w:val="000000"/>
                <w:sz w:val="24"/>
                <w:szCs w:val="24"/>
                <w:highlight w:val="none"/>
                <w:lang w:val="en-US" w:eastAsia="zh-CN"/>
              </w:rPr>
            </w:pPr>
            <w:r>
              <w:rPr>
                <w:rFonts w:hint="eastAsia"/>
                <w:color w:val="000000"/>
                <w:sz w:val="24"/>
              </w:rPr>
              <w:t>③进一步加强职工的岗位操作培训，提高职工的安全意识和风险防范能力，规范操作，将安全隐患降到最低。</w:t>
            </w:r>
          </w:p>
          <w:p w14:paraId="75381B31">
            <w:pPr>
              <w:spacing w:line="360" w:lineRule="auto"/>
              <w:ind w:firstLine="482"/>
              <w:rPr>
                <w:b/>
                <w:bCs/>
                <w:color w:val="000000"/>
                <w:sz w:val="24"/>
              </w:rPr>
            </w:pPr>
            <w:r>
              <w:rPr>
                <w:rFonts w:hint="eastAsia"/>
                <w:b/>
                <w:bCs/>
                <w:color w:val="000000"/>
                <w:sz w:val="24"/>
                <w:lang w:val="en-US" w:eastAsia="zh-CN"/>
              </w:rPr>
              <w:t>5</w:t>
            </w:r>
            <w:r>
              <w:rPr>
                <w:b/>
                <w:bCs/>
                <w:color w:val="000000"/>
                <w:sz w:val="24"/>
              </w:rPr>
              <w:t>、应急措施</w:t>
            </w:r>
          </w:p>
          <w:p w14:paraId="67934215">
            <w:pPr>
              <w:spacing w:line="360" w:lineRule="auto"/>
              <w:ind w:firstLine="482"/>
              <w:rPr>
                <w:b/>
                <w:bCs/>
                <w:color w:val="000000"/>
                <w:sz w:val="24"/>
              </w:rPr>
            </w:pPr>
            <w:r>
              <w:rPr>
                <w:b/>
                <w:bCs/>
                <w:color w:val="000000"/>
                <w:sz w:val="24"/>
              </w:rPr>
              <w:t>（</w:t>
            </w:r>
            <w:r>
              <w:rPr>
                <w:rFonts w:hint="eastAsia"/>
                <w:b/>
                <w:bCs/>
                <w:color w:val="000000"/>
                <w:sz w:val="24"/>
                <w:lang w:val="en-US" w:eastAsia="zh-CN"/>
              </w:rPr>
              <w:t>1</w:t>
            </w:r>
            <w:r>
              <w:rPr>
                <w:b/>
                <w:bCs/>
                <w:color w:val="000000"/>
                <w:sz w:val="24"/>
              </w:rPr>
              <w:t>）火灾事故应急措施</w:t>
            </w:r>
          </w:p>
          <w:p w14:paraId="6FAAFCAF">
            <w:pPr>
              <w:spacing w:line="360" w:lineRule="auto"/>
              <w:ind w:firstLine="480"/>
              <w:rPr>
                <w:color w:val="000000"/>
                <w:sz w:val="24"/>
              </w:rPr>
            </w:pPr>
            <w:r>
              <w:rPr>
                <w:color w:val="000000"/>
                <w:sz w:val="24"/>
              </w:rPr>
              <w:t>①在保证安全情况下将人员转移至安全地带，并将其他易燃易爆物品及时移到安全位置。并第一时间通知周边村民，必要是让村民疏散至安全地带。</w:t>
            </w:r>
          </w:p>
          <w:p w14:paraId="0ED11298">
            <w:pPr>
              <w:spacing w:line="360" w:lineRule="auto"/>
              <w:ind w:firstLine="480"/>
              <w:rPr>
                <w:color w:val="000000"/>
                <w:sz w:val="24"/>
              </w:rPr>
            </w:pPr>
            <w:r>
              <w:rPr>
                <w:color w:val="000000"/>
                <w:sz w:val="24"/>
              </w:rPr>
              <w:t>②使用厂区消防器材进行灭火，尽量将火势控制在一定范围内，防止其蔓延。</w:t>
            </w:r>
          </w:p>
          <w:p w14:paraId="1ECBF145">
            <w:pPr>
              <w:spacing w:line="360" w:lineRule="auto"/>
              <w:ind w:firstLine="480"/>
              <w:rPr>
                <w:color w:val="000000"/>
                <w:sz w:val="24"/>
              </w:rPr>
            </w:pPr>
            <w:r>
              <w:rPr>
                <w:color w:val="000000"/>
                <w:sz w:val="24"/>
              </w:rPr>
              <w:t>③事故处理过程中对事故区域设置围堰收容泄漏的消防废水和废物，采用抽水泵、水管联合作业将围堵的消防废水收集引流或收集至应急事故池内。</w:t>
            </w:r>
          </w:p>
          <w:p w14:paraId="49C18304">
            <w:pPr>
              <w:spacing w:line="360" w:lineRule="auto"/>
              <w:ind w:firstLine="480"/>
              <w:rPr>
                <w:color w:val="000000"/>
                <w:sz w:val="24"/>
              </w:rPr>
            </w:pPr>
            <w:r>
              <w:rPr>
                <w:color w:val="000000"/>
                <w:sz w:val="24"/>
              </w:rPr>
              <w:t>④事故处置完毕后，对处置过程中产生的消防废水、废物进行收集存储，后期交由资质单位进行集中处置。</w:t>
            </w:r>
          </w:p>
          <w:p w14:paraId="782ECA72">
            <w:pPr>
              <w:spacing w:line="360" w:lineRule="auto"/>
              <w:ind w:firstLine="482"/>
              <w:rPr>
                <w:rFonts w:hint="eastAsia" w:eastAsia="宋体"/>
                <w:b/>
                <w:bCs/>
                <w:color w:val="000000"/>
                <w:sz w:val="24"/>
                <w:lang w:val="en-US" w:eastAsia="zh-CN"/>
              </w:rPr>
            </w:pPr>
            <w:r>
              <w:rPr>
                <w:rFonts w:hint="eastAsia"/>
                <w:b/>
                <w:bCs/>
                <w:color w:val="000000"/>
                <w:sz w:val="24"/>
              </w:rPr>
              <w:t>（</w:t>
            </w:r>
            <w:r>
              <w:rPr>
                <w:rFonts w:hint="eastAsia"/>
                <w:b/>
                <w:bCs/>
                <w:color w:val="000000"/>
                <w:sz w:val="24"/>
                <w:lang w:val="en-US" w:eastAsia="zh-CN"/>
              </w:rPr>
              <w:t>2</w:t>
            </w:r>
            <w:r>
              <w:rPr>
                <w:rFonts w:hint="eastAsia"/>
                <w:b/>
                <w:bCs/>
                <w:color w:val="000000"/>
                <w:sz w:val="24"/>
              </w:rPr>
              <w:t>）</w:t>
            </w:r>
            <w:r>
              <w:rPr>
                <w:rFonts w:hint="eastAsia"/>
                <w:b/>
                <w:bCs/>
                <w:color w:val="000000"/>
                <w:sz w:val="24"/>
                <w:lang w:val="en-US" w:eastAsia="zh-CN"/>
              </w:rPr>
              <w:t>环保</w:t>
            </w:r>
            <w:r>
              <w:rPr>
                <w:rFonts w:hint="eastAsia"/>
                <w:b/>
                <w:bCs/>
                <w:color w:val="000000"/>
                <w:sz w:val="24"/>
              </w:rPr>
              <w:t>设备</w:t>
            </w:r>
            <w:r>
              <w:rPr>
                <w:rFonts w:hint="eastAsia"/>
                <w:b/>
                <w:bCs/>
                <w:color w:val="000000"/>
                <w:sz w:val="24"/>
                <w:lang w:val="en-US" w:eastAsia="zh-CN"/>
              </w:rPr>
              <w:t>损坏</w:t>
            </w:r>
            <w:r>
              <w:rPr>
                <w:b/>
                <w:bCs/>
                <w:color w:val="000000"/>
                <w:sz w:val="24"/>
              </w:rPr>
              <w:t>应急措施</w:t>
            </w:r>
          </w:p>
          <w:p w14:paraId="0F1E75F1">
            <w:pPr>
              <w:spacing w:line="360" w:lineRule="auto"/>
              <w:ind w:firstLine="480"/>
              <w:rPr>
                <w:rFonts w:hint="eastAsia" w:ascii="Times New Roman" w:hAnsi="Times New Roman" w:eastAsia="宋体" w:cs="Times New Roman"/>
                <w:b/>
                <w:bCs/>
                <w:color w:val="000000"/>
                <w:sz w:val="24"/>
                <w:szCs w:val="24"/>
                <w:highlight w:val="none"/>
                <w:lang w:val="en-US" w:eastAsia="zh-CN"/>
              </w:rPr>
            </w:pPr>
            <w:r>
              <w:rPr>
                <w:rFonts w:hint="eastAsia"/>
                <w:b w:val="0"/>
                <w:bCs w:val="0"/>
                <w:color w:val="000000"/>
                <w:sz w:val="24"/>
                <w:lang w:val="en-US" w:eastAsia="zh-CN"/>
              </w:rPr>
              <w:t>若</w:t>
            </w:r>
            <w:r>
              <w:rPr>
                <w:rFonts w:hint="eastAsia"/>
                <w:color w:val="000000"/>
                <w:sz w:val="24"/>
              </w:rPr>
              <w:t>出现</w:t>
            </w:r>
            <w:r>
              <w:rPr>
                <w:rFonts w:hint="eastAsia"/>
                <w:color w:val="000000"/>
                <w:sz w:val="24"/>
                <w:lang w:val="en-US" w:eastAsia="zh-CN"/>
              </w:rPr>
              <w:t>环保设施</w:t>
            </w:r>
            <w:r>
              <w:rPr>
                <w:rFonts w:hint="eastAsia"/>
                <w:color w:val="000000"/>
                <w:sz w:val="24"/>
              </w:rPr>
              <w:t>彻底失效或备用风机也无法正常运行等严重的污染事故，应停止生产，待设备修复正常后再恢复生产。</w:t>
            </w:r>
          </w:p>
          <w:p w14:paraId="1825EF1D">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6、</w:t>
            </w:r>
            <w:r>
              <w:rPr>
                <w:rFonts w:ascii="Times New Roman" w:hAnsi="Times New Roman" w:eastAsia="宋体" w:cs="Times New Roman"/>
                <w:b/>
                <w:bCs/>
                <w:color w:val="000000"/>
                <w:sz w:val="24"/>
                <w:szCs w:val="24"/>
                <w:highlight w:val="none"/>
                <w:lang w:val="en-US" w:eastAsia="zh-CN"/>
              </w:rPr>
              <w:t>分析结论</w:t>
            </w:r>
          </w:p>
          <w:p w14:paraId="6EA6F9B1">
            <w:pPr>
              <w:keepNext w:val="0"/>
              <w:keepLines w:val="0"/>
              <w:pageBreakBefore w:val="0"/>
              <w:widowControl/>
              <w:suppressLineNumbers w:val="0"/>
              <w:spacing w:line="360" w:lineRule="auto"/>
              <w:ind w:left="0" w:firstLine="480"/>
              <w:jc w:val="left"/>
              <w:rPr>
                <w:rFonts w:ascii="Times New Roman" w:hAnsi="Times New Roman" w:eastAsia="宋体" w:cs="Times New Roman"/>
                <w:color w:val="000000"/>
                <w:sz w:val="24"/>
              </w:rPr>
            </w:pPr>
            <w:r>
              <w:rPr>
                <w:rFonts w:ascii="Times New Roman" w:hAnsi="Times New Roman" w:eastAsia="宋体" w:cs="Times New Roman"/>
                <w:b w:val="0"/>
                <w:bCs w:val="0"/>
                <w:color w:val="000000"/>
                <w:sz w:val="24"/>
                <w:szCs w:val="24"/>
                <w:highlight w:val="none"/>
                <w:lang w:val="en-US" w:eastAsia="zh-CN"/>
              </w:rPr>
              <w:t>综上所述，项目环境风险潜势为Ⅰ级，环境风险影响范围较小，影响程度轻微，在采取相应风险管理防范措施的情况下，项目环境风险影响可控。</w:t>
            </w:r>
          </w:p>
          <w:p w14:paraId="4BBB48E5">
            <w:pPr>
              <w:keepNext w:val="0"/>
              <w:keepLines w:val="0"/>
              <w:pageBreakBefore w:val="0"/>
              <w:widowControl/>
              <w:suppressLineNumbers w:val="0"/>
              <w:spacing w:line="360" w:lineRule="auto"/>
              <w:ind w:left="0" w:firstLine="480"/>
              <w:jc w:val="left"/>
              <w:rPr>
                <w:rFonts w:ascii="Times New Roman" w:hAnsi="Times New Roman" w:eastAsia="宋体" w:cs="Times New Roman"/>
                <w:color w:val="000000"/>
              </w:rPr>
            </w:pPr>
            <w:r>
              <w:rPr>
                <w:rFonts w:ascii="Times New Roman" w:hAnsi="Times New Roman" w:eastAsia="宋体" w:cs="Times New Roman"/>
                <w:color w:val="000000"/>
                <w:sz w:val="24"/>
                <w:szCs w:val="24"/>
                <w:lang w:val="en-US" w:eastAsia="zh-CN" w:bidi="ar"/>
              </w:rPr>
              <w:t>建设项目环境风险简单分析内容详见下表。</w:t>
            </w:r>
          </w:p>
          <w:p w14:paraId="10B84A4B">
            <w:pPr>
              <w:keepNext w:val="0"/>
              <w:keepLines w:val="0"/>
              <w:suppressLineNumbers w:val="0"/>
              <w:spacing w:before="0" w:beforeAutospacing="0" w:after="0" w:afterAutospacing="0" w:line="240" w:lineRule="auto"/>
              <w:ind w:left="0" w:right="0"/>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表</w:t>
            </w:r>
            <w:r>
              <w:rPr>
                <w:rFonts w:ascii="Times New Roman" w:hAnsi="Times New Roman" w:eastAsia="宋体" w:cs="Times New Roman"/>
                <w:b/>
                <w:bCs/>
                <w:color w:val="000000"/>
                <w:sz w:val="24"/>
                <w:szCs w:val="24"/>
                <w:lang w:val="en-US" w:eastAsia="zh-CN"/>
              </w:rPr>
              <w:t>4-</w:t>
            </w:r>
            <w:r>
              <w:rPr>
                <w:rFonts w:hint="eastAsia" w:ascii="Times New Roman" w:hAnsi="Times New Roman" w:eastAsia="宋体" w:cs="Times New Roman"/>
                <w:b/>
                <w:bCs/>
                <w:color w:val="000000"/>
                <w:sz w:val="24"/>
                <w:szCs w:val="24"/>
                <w:lang w:val="en-US" w:eastAsia="zh-CN"/>
              </w:rPr>
              <w:t>9</w:t>
            </w:r>
            <w:r>
              <w:rPr>
                <w:rFonts w:ascii="Times New Roman" w:hAnsi="Times New Roman" w:eastAsia="宋体" w:cs="Times New Roman"/>
                <w:b/>
                <w:bCs/>
                <w:color w:val="000000"/>
                <w:sz w:val="24"/>
                <w:szCs w:val="24"/>
                <w:lang w:val="en-US" w:eastAsia="zh-CN"/>
              </w:rPr>
              <w:t xml:space="preserve"> </w:t>
            </w:r>
            <w:r>
              <w:rPr>
                <w:rFonts w:ascii="Times New Roman" w:hAnsi="Times New Roman" w:eastAsia="宋体" w:cs="Times New Roman"/>
                <w:b/>
                <w:bCs/>
                <w:color w:val="000000"/>
                <w:sz w:val="24"/>
                <w:szCs w:val="24"/>
              </w:rPr>
              <w:t xml:space="preserve"> 建设项目环境风险简单分析内容表</w:t>
            </w:r>
          </w:p>
          <w:tbl>
            <w:tblPr>
              <w:tblStyle w:val="2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5"/>
              <w:gridCol w:w="8258"/>
            </w:tblGrid>
            <w:tr w14:paraId="3FF4F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 w:type="dxa"/>
                  <w:noWrap w:val="0"/>
                  <w:vAlign w:val="center"/>
                </w:tcPr>
                <w:p w14:paraId="32FABB7A">
                  <w:pPr>
                    <w:keepNext w:val="0"/>
                    <w:keepLines w:val="0"/>
                    <w:suppressLineNumbers w:val="0"/>
                    <w:spacing w:before="0" w:beforeAutospacing="0" w:after="0" w:afterAutospacing="0" w:line="240" w:lineRule="auto"/>
                    <w:ind w:left="0" w:right="0"/>
                    <w:jc w:val="center"/>
                    <w:rPr>
                      <w:rFonts w:ascii="Times New Roman" w:hAnsi="Times New Roman" w:eastAsia="宋体" w:cs="Times New Roman"/>
                      <w:b/>
                      <w:bCs/>
                      <w:color w:val="000000"/>
                      <w:sz w:val="21"/>
                      <w:szCs w:val="21"/>
                      <w:lang w:bidi="en-US"/>
                    </w:rPr>
                  </w:pPr>
                  <w:r>
                    <w:rPr>
                      <w:rFonts w:ascii="Times New Roman" w:hAnsi="Times New Roman" w:eastAsia="宋体" w:cs="Times New Roman"/>
                      <w:b/>
                      <w:bCs/>
                      <w:color w:val="000000"/>
                      <w:sz w:val="21"/>
                      <w:szCs w:val="21"/>
                      <w:lang w:bidi="en-US"/>
                    </w:rPr>
                    <w:t>建设项目名称</w:t>
                  </w:r>
                </w:p>
              </w:tc>
              <w:tc>
                <w:tcPr>
                  <w:tcW w:w="4090" w:type="dxa"/>
                  <w:noWrap w:val="0"/>
                  <w:vAlign w:val="center"/>
                </w:tcPr>
                <w:p w14:paraId="663D7CD1">
                  <w:pPr>
                    <w:keepNext w:val="0"/>
                    <w:keepLines w:val="0"/>
                    <w:pageBreakBefore w:val="0"/>
                    <w:widowControl w:val="0"/>
                    <w:suppressLineNumbers w:val="0"/>
                    <w:spacing w:before="0" w:beforeAutospacing="0" w:after="0" w:afterAutospacing="0" w:line="240" w:lineRule="auto"/>
                    <w:ind w:left="0" w:right="0" w:firstLine="0"/>
                    <w:jc w:val="center"/>
                    <w:rPr>
                      <w:rFonts w:hint="eastAsia" w:ascii="Times New Roman" w:hAnsi="Times New Roman" w:eastAsia="宋体" w:cs="Times New Roman"/>
                      <w:b w:val="0"/>
                      <w:bCs w:val="0"/>
                      <w:color w:val="000000"/>
                      <w:sz w:val="21"/>
                      <w:szCs w:val="21"/>
                      <w:lang w:eastAsia="zh-CN" w:bidi="en-US"/>
                    </w:rPr>
                  </w:pPr>
                  <w:r>
                    <w:rPr>
                      <w:rFonts w:hint="eastAsia" w:ascii="Times New Roman" w:hAnsi="Times New Roman" w:eastAsia="宋体" w:cs="Times New Roman"/>
                      <w:color w:val="000000"/>
                      <w:sz w:val="21"/>
                      <w:szCs w:val="21"/>
                      <w:highlight w:val="none"/>
                      <w:lang w:val="en-US" w:eastAsia="zh-CN"/>
                    </w:rPr>
                    <w:t>芒市杰顺木业有限公司木材厂建设项目</w:t>
                  </w:r>
                </w:p>
              </w:tc>
            </w:tr>
            <w:tr w14:paraId="344BB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 w:type="dxa"/>
                  <w:noWrap w:val="0"/>
                  <w:vAlign w:val="center"/>
                </w:tcPr>
                <w:p w14:paraId="343F40E5">
                  <w:pPr>
                    <w:keepNext w:val="0"/>
                    <w:keepLines w:val="0"/>
                    <w:suppressLineNumbers w:val="0"/>
                    <w:spacing w:before="0" w:beforeAutospacing="0" w:after="0" w:afterAutospacing="0" w:line="240" w:lineRule="auto"/>
                    <w:ind w:left="0" w:right="0"/>
                    <w:jc w:val="center"/>
                    <w:rPr>
                      <w:rFonts w:ascii="Times New Roman" w:hAnsi="Times New Roman" w:eastAsia="宋体" w:cs="Times New Roman"/>
                      <w:b/>
                      <w:bCs/>
                      <w:color w:val="000000"/>
                      <w:sz w:val="21"/>
                      <w:szCs w:val="21"/>
                      <w:lang w:bidi="en-US"/>
                    </w:rPr>
                  </w:pPr>
                  <w:r>
                    <w:rPr>
                      <w:rFonts w:ascii="Times New Roman" w:hAnsi="Times New Roman" w:eastAsia="宋体" w:cs="Times New Roman"/>
                      <w:b/>
                      <w:bCs/>
                      <w:color w:val="000000"/>
                      <w:sz w:val="21"/>
                      <w:szCs w:val="21"/>
                      <w:lang w:bidi="en-US"/>
                    </w:rPr>
                    <w:t>建设地点</w:t>
                  </w:r>
                </w:p>
              </w:tc>
              <w:tc>
                <w:tcPr>
                  <w:tcW w:w="4090" w:type="dxa"/>
                  <w:noWrap w:val="0"/>
                  <w:vAlign w:val="center"/>
                </w:tcPr>
                <w:p w14:paraId="64917D72">
                  <w:pPr>
                    <w:keepNext w:val="0"/>
                    <w:keepLines w:val="0"/>
                    <w:pageBreakBefore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b w:val="0"/>
                      <w:bCs w:val="0"/>
                      <w:color w:val="000000"/>
                      <w:sz w:val="21"/>
                      <w:szCs w:val="21"/>
                      <w:lang w:val="en-US" w:eastAsia="zh-CN" w:bidi="en-US"/>
                    </w:rPr>
                  </w:pPr>
                  <w:r>
                    <w:rPr>
                      <w:rFonts w:ascii="Times New Roman" w:hAnsi="Times New Roman" w:eastAsia="宋体" w:cs="Times New Roman"/>
                      <w:b w:val="0"/>
                      <w:bCs w:val="0"/>
                      <w:color w:val="000000"/>
                      <w:sz w:val="21"/>
                      <w:szCs w:val="21"/>
                      <w:lang w:val="en-US" w:eastAsia="zh-CN" w:bidi="en-US"/>
                    </w:rPr>
                    <w:t>云南省德宏州</w:t>
                  </w:r>
                  <w:r>
                    <w:rPr>
                      <w:rFonts w:hint="eastAsia" w:ascii="Times New Roman" w:hAnsi="Times New Roman" w:eastAsia="宋体" w:cs="Times New Roman"/>
                      <w:b w:val="0"/>
                      <w:bCs w:val="0"/>
                      <w:color w:val="000000"/>
                      <w:sz w:val="21"/>
                      <w:szCs w:val="21"/>
                      <w:lang w:val="en-US" w:eastAsia="zh-CN" w:bidi="en-US"/>
                    </w:rPr>
                    <w:t>云南省德宏州芒市风平镇帕底村芒市糖厂</w:t>
                  </w:r>
                </w:p>
              </w:tc>
            </w:tr>
            <w:tr w14:paraId="0D5CF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 w:type="dxa"/>
                  <w:noWrap w:val="0"/>
                  <w:vAlign w:val="center"/>
                </w:tcPr>
                <w:p w14:paraId="29EB076E">
                  <w:pPr>
                    <w:keepNext w:val="0"/>
                    <w:keepLines w:val="0"/>
                    <w:suppressLineNumbers w:val="0"/>
                    <w:spacing w:before="0" w:beforeAutospacing="0" w:after="0" w:afterAutospacing="0" w:line="240" w:lineRule="auto"/>
                    <w:ind w:left="0" w:right="0"/>
                    <w:jc w:val="center"/>
                    <w:rPr>
                      <w:rFonts w:ascii="Times New Roman" w:hAnsi="Times New Roman" w:eastAsia="宋体" w:cs="Times New Roman"/>
                      <w:b/>
                      <w:bCs/>
                      <w:color w:val="000000"/>
                      <w:sz w:val="21"/>
                      <w:szCs w:val="21"/>
                      <w:lang w:bidi="en-US"/>
                    </w:rPr>
                  </w:pPr>
                  <w:r>
                    <w:rPr>
                      <w:rFonts w:ascii="Times New Roman" w:hAnsi="Times New Roman" w:eastAsia="宋体" w:cs="Times New Roman"/>
                      <w:b/>
                      <w:bCs/>
                      <w:color w:val="000000"/>
                      <w:sz w:val="21"/>
                      <w:szCs w:val="21"/>
                      <w:lang w:bidi="en-US"/>
                    </w:rPr>
                    <w:t>中心地理坐标</w:t>
                  </w:r>
                </w:p>
              </w:tc>
              <w:tc>
                <w:tcPr>
                  <w:tcW w:w="4090" w:type="dxa"/>
                  <w:noWrap w:val="0"/>
                  <w:vAlign w:val="center"/>
                </w:tcPr>
                <w:p w14:paraId="3AE9C1E9">
                  <w:pPr>
                    <w:keepNext w:val="0"/>
                    <w:keepLines w:val="0"/>
                    <w:pageBreakBefore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b w:val="0"/>
                      <w:bCs w:val="0"/>
                      <w:color w:val="000000"/>
                      <w:sz w:val="21"/>
                      <w:szCs w:val="21"/>
                      <w:lang w:val="en-US" w:eastAsia="zh-CN" w:bidi="en-US"/>
                    </w:rPr>
                  </w:pPr>
                  <w:r>
                    <w:rPr>
                      <w:rFonts w:hint="eastAsia" w:ascii="Times New Roman" w:hAnsi="Times New Roman" w:eastAsia="宋体" w:cs="Times New Roman"/>
                      <w:color w:val="000000"/>
                      <w:sz w:val="21"/>
                      <w:szCs w:val="21"/>
                      <w:highlight w:val="none"/>
                      <w:lang w:val="en-US" w:eastAsia="zh-CN"/>
                    </w:rPr>
                    <w:t>东经</w:t>
                  </w:r>
                  <w:r>
                    <w:rPr>
                      <w:rFonts w:ascii="Times New Roman" w:hAnsi="Times New Roman" w:eastAsia="宋体" w:cs="Times New Roman"/>
                      <w:color w:val="000000"/>
                      <w:sz w:val="21"/>
                      <w:szCs w:val="21"/>
                      <w:highlight w:val="none"/>
                      <w:lang w:val="en-US" w:eastAsia="zh-CN"/>
                    </w:rPr>
                    <w:t>98°28′43.861″</w:t>
                  </w:r>
                  <w:r>
                    <w:rPr>
                      <w:rFonts w:hint="eastAsia" w:ascii="Times New Roman" w:hAnsi="Times New Roman" w:eastAsia="宋体" w:cs="Times New Roman"/>
                      <w:color w:val="000000"/>
                      <w:sz w:val="21"/>
                      <w:szCs w:val="21"/>
                      <w:highlight w:val="none"/>
                      <w:lang w:val="en-US" w:eastAsia="zh-CN"/>
                    </w:rPr>
                    <w:t>，北纬</w:t>
                  </w:r>
                  <w:r>
                    <w:rPr>
                      <w:rFonts w:ascii="Times New Roman" w:hAnsi="Times New Roman" w:eastAsia="宋体" w:cs="Times New Roman"/>
                      <w:color w:val="000000"/>
                      <w:sz w:val="21"/>
                      <w:szCs w:val="21"/>
                      <w:highlight w:val="none"/>
                      <w:lang w:val="en-US" w:eastAsia="zh-CN"/>
                    </w:rPr>
                    <w:t>24°22′50.303″</w:t>
                  </w:r>
                </w:p>
              </w:tc>
            </w:tr>
            <w:tr w14:paraId="0F7F3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 w:hRule="atLeast"/>
                <w:jc w:val="center"/>
              </w:trPr>
              <w:tc>
                <w:tcPr>
                  <w:tcW w:w="909" w:type="dxa"/>
                  <w:noWrap w:val="0"/>
                  <w:vAlign w:val="center"/>
                </w:tcPr>
                <w:p w14:paraId="0A25CC30">
                  <w:pPr>
                    <w:keepNext w:val="0"/>
                    <w:keepLines w:val="0"/>
                    <w:suppressLineNumbers w:val="0"/>
                    <w:spacing w:before="0" w:beforeAutospacing="0" w:after="0" w:afterAutospacing="0" w:line="240" w:lineRule="auto"/>
                    <w:ind w:left="0" w:right="0"/>
                    <w:jc w:val="center"/>
                    <w:rPr>
                      <w:rFonts w:ascii="Times New Roman" w:hAnsi="Times New Roman" w:eastAsia="宋体" w:cs="Times New Roman"/>
                      <w:b/>
                      <w:bCs/>
                      <w:color w:val="000000"/>
                      <w:sz w:val="21"/>
                      <w:szCs w:val="21"/>
                      <w:lang w:bidi="en-US"/>
                    </w:rPr>
                  </w:pPr>
                  <w:r>
                    <w:rPr>
                      <w:rFonts w:ascii="Times New Roman" w:hAnsi="Times New Roman" w:eastAsia="宋体" w:cs="Times New Roman"/>
                      <w:b/>
                      <w:bCs/>
                      <w:color w:val="000000"/>
                      <w:sz w:val="21"/>
                      <w:szCs w:val="21"/>
                      <w:lang w:bidi="en-US"/>
                    </w:rPr>
                    <w:t>主要危险物质及分布</w:t>
                  </w:r>
                </w:p>
              </w:tc>
              <w:tc>
                <w:tcPr>
                  <w:tcW w:w="4090" w:type="dxa"/>
                  <w:noWrap w:val="0"/>
                  <w:vAlign w:val="center"/>
                </w:tcPr>
                <w:p w14:paraId="13CAEEAC">
                  <w:pPr>
                    <w:keepNext w:val="0"/>
                    <w:keepLines w:val="0"/>
                    <w:pageBreakBefore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b w:val="0"/>
                      <w:bCs w:val="0"/>
                      <w:color w:val="000000"/>
                      <w:sz w:val="21"/>
                      <w:szCs w:val="21"/>
                      <w:lang w:val="en-US" w:eastAsia="zh-CN" w:bidi="en-US"/>
                    </w:rPr>
                  </w:pPr>
                  <w:r>
                    <w:rPr>
                      <w:rFonts w:ascii="Times New Roman" w:hAnsi="Times New Roman" w:eastAsia="宋体" w:cs="Times New Roman"/>
                      <w:b w:val="0"/>
                      <w:bCs w:val="0"/>
                      <w:color w:val="000000"/>
                      <w:sz w:val="21"/>
                      <w:szCs w:val="21"/>
                      <w:lang w:val="en-US" w:eastAsia="zh-CN" w:bidi="en-US"/>
                    </w:rPr>
                    <w:t>无</w:t>
                  </w:r>
                </w:p>
              </w:tc>
            </w:tr>
            <w:tr w14:paraId="44685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 w:type="dxa"/>
                  <w:noWrap w:val="0"/>
                  <w:vAlign w:val="center"/>
                </w:tcPr>
                <w:p w14:paraId="1C5B00D0">
                  <w:pPr>
                    <w:keepNext w:val="0"/>
                    <w:keepLines w:val="0"/>
                    <w:suppressLineNumbers w:val="0"/>
                    <w:spacing w:before="0" w:beforeAutospacing="0" w:after="0" w:afterAutospacing="0" w:line="240" w:lineRule="auto"/>
                    <w:ind w:left="0" w:right="0"/>
                    <w:jc w:val="center"/>
                    <w:rPr>
                      <w:rFonts w:ascii="Times New Roman" w:hAnsi="Times New Roman" w:eastAsia="宋体" w:cs="Times New Roman"/>
                      <w:b/>
                      <w:bCs/>
                      <w:color w:val="000000"/>
                      <w:sz w:val="21"/>
                      <w:szCs w:val="21"/>
                      <w:lang w:bidi="en-US"/>
                    </w:rPr>
                  </w:pPr>
                  <w:r>
                    <w:rPr>
                      <w:rFonts w:ascii="Times New Roman" w:hAnsi="Times New Roman" w:eastAsia="宋体" w:cs="Times New Roman"/>
                      <w:b/>
                      <w:bCs/>
                      <w:color w:val="000000"/>
                      <w:sz w:val="21"/>
                      <w:szCs w:val="21"/>
                      <w:lang w:bidi="en-US"/>
                    </w:rPr>
                    <w:t>环境影响途径及危险后果</w:t>
                  </w:r>
                </w:p>
              </w:tc>
              <w:tc>
                <w:tcPr>
                  <w:tcW w:w="4090" w:type="dxa"/>
                  <w:noWrap w:val="0"/>
                  <w:vAlign w:val="center"/>
                </w:tcPr>
                <w:p w14:paraId="2411AF9B">
                  <w:pPr>
                    <w:spacing w:line="240" w:lineRule="auto"/>
                    <w:ind w:firstLine="420"/>
                  </w:pPr>
                  <w:r>
                    <w:t>（1）环境影响途径</w:t>
                  </w:r>
                </w:p>
                <w:p w14:paraId="3DBFECD4">
                  <w:pPr>
                    <w:spacing w:line="240" w:lineRule="auto"/>
                    <w:ind w:firstLine="420"/>
                  </w:pPr>
                  <w:r>
                    <w:t>本项目可能产生的环境风险类型有泄漏以及火灾等引发的伴生/次生污染物排放。具体影响途径见下表。</w:t>
                  </w:r>
                </w:p>
                <w:tbl>
                  <w:tblPr>
                    <w:tblStyle w:val="29"/>
                    <w:tblW w:w="4997"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588"/>
                    <w:gridCol w:w="2056"/>
                    <w:gridCol w:w="1420"/>
                    <w:gridCol w:w="3953"/>
                  </w:tblGrid>
                  <w:tr w14:paraId="5A3AA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508" w:type="dxa"/>
                        <w:noWrap w:val="0"/>
                        <w:vAlign w:val="center"/>
                      </w:tcPr>
                      <w:p w14:paraId="4084B29F">
                        <w:pPr>
                          <w:widowControl/>
                          <w:spacing w:line="240" w:lineRule="auto"/>
                          <w:ind w:left="105" w:right="105"/>
                          <w:jc w:val="center"/>
                        </w:pPr>
                        <w:r>
                          <w:t>序号</w:t>
                        </w:r>
                      </w:p>
                    </w:tc>
                    <w:tc>
                      <w:tcPr>
                        <w:tcW w:w="1243" w:type="dxa"/>
                        <w:noWrap w:val="0"/>
                        <w:vAlign w:val="center"/>
                      </w:tcPr>
                      <w:p w14:paraId="1ABDD398">
                        <w:pPr>
                          <w:widowControl/>
                          <w:spacing w:line="240" w:lineRule="auto"/>
                          <w:ind w:left="105" w:right="105"/>
                          <w:jc w:val="center"/>
                        </w:pPr>
                        <w:r>
                          <w:t>风险源</w:t>
                        </w:r>
                      </w:p>
                    </w:tc>
                    <w:tc>
                      <w:tcPr>
                        <w:tcW w:w="859" w:type="dxa"/>
                        <w:noWrap w:val="0"/>
                        <w:vAlign w:val="center"/>
                      </w:tcPr>
                      <w:p w14:paraId="47BA2E78">
                        <w:pPr>
                          <w:widowControl/>
                          <w:spacing w:line="240" w:lineRule="auto"/>
                          <w:ind w:left="105" w:right="105"/>
                          <w:jc w:val="center"/>
                        </w:pPr>
                        <w:r>
                          <w:t>主要危险物质</w:t>
                        </w:r>
                      </w:p>
                    </w:tc>
                    <w:tc>
                      <w:tcPr>
                        <w:tcW w:w="2389" w:type="dxa"/>
                        <w:noWrap w:val="0"/>
                        <w:vAlign w:val="center"/>
                      </w:tcPr>
                      <w:p w14:paraId="7A640C94">
                        <w:pPr>
                          <w:widowControl/>
                          <w:spacing w:line="240" w:lineRule="auto"/>
                          <w:ind w:left="105" w:right="105"/>
                          <w:jc w:val="center"/>
                        </w:pPr>
                        <w:r>
                          <w:t>可能影响环境的途径</w:t>
                        </w:r>
                      </w:p>
                    </w:tc>
                  </w:tr>
                  <w:tr w14:paraId="511725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508" w:type="dxa"/>
                        <w:noWrap w:val="0"/>
                        <w:vAlign w:val="center"/>
                      </w:tcPr>
                      <w:p w14:paraId="3C0F18E5">
                        <w:pPr>
                          <w:widowControl/>
                          <w:spacing w:line="240" w:lineRule="auto"/>
                          <w:ind w:left="105" w:right="105"/>
                          <w:jc w:val="center"/>
                          <w:rPr>
                            <w:lang w:val="en-US" w:eastAsia="zh-CN"/>
                          </w:rPr>
                        </w:pPr>
                        <w:r>
                          <w:rPr>
                            <w:rFonts w:hint="eastAsia"/>
                            <w:lang w:val="en-US" w:eastAsia="zh-CN"/>
                          </w:rPr>
                          <w:t>1</w:t>
                        </w:r>
                      </w:p>
                    </w:tc>
                    <w:tc>
                      <w:tcPr>
                        <w:tcW w:w="1243" w:type="dxa"/>
                        <w:noWrap w:val="0"/>
                        <w:vAlign w:val="center"/>
                      </w:tcPr>
                      <w:p w14:paraId="304FB152">
                        <w:pPr>
                          <w:widowControl/>
                          <w:spacing w:line="240" w:lineRule="auto"/>
                          <w:ind w:left="105" w:right="105"/>
                          <w:jc w:val="center"/>
                          <w:rPr>
                            <w:rFonts w:hint="eastAsia"/>
                            <w:lang w:val="en-US" w:eastAsia="zh-CN"/>
                          </w:rPr>
                        </w:pPr>
                        <w:r>
                          <w:rPr>
                            <w:rFonts w:hint="eastAsia"/>
                            <w:lang w:val="en-US" w:eastAsia="zh-CN"/>
                          </w:rPr>
                          <w:t>除尘器</w:t>
                        </w:r>
                      </w:p>
                    </w:tc>
                    <w:tc>
                      <w:tcPr>
                        <w:tcW w:w="859" w:type="dxa"/>
                        <w:noWrap w:val="0"/>
                        <w:vAlign w:val="center"/>
                      </w:tcPr>
                      <w:p w14:paraId="2FE1BF01">
                        <w:pPr>
                          <w:pStyle w:val="261"/>
                          <w:spacing w:line="240" w:lineRule="auto"/>
                          <w:ind w:firstLine="0"/>
                          <w:jc w:val="center"/>
                          <w:rPr>
                            <w:sz w:val="21"/>
                            <w:szCs w:val="21"/>
                            <w:lang w:val="en-US" w:eastAsia="zh-CN"/>
                          </w:rPr>
                        </w:pPr>
                        <w:r>
                          <w:rPr>
                            <w:rFonts w:hint="eastAsia"/>
                            <w:sz w:val="21"/>
                            <w:szCs w:val="21"/>
                            <w:lang w:val="en-US" w:eastAsia="zh-CN"/>
                          </w:rPr>
                          <w:t>粉尘</w:t>
                        </w:r>
                      </w:p>
                    </w:tc>
                    <w:tc>
                      <w:tcPr>
                        <w:tcW w:w="2389" w:type="dxa"/>
                        <w:noWrap w:val="0"/>
                        <w:vAlign w:val="center"/>
                      </w:tcPr>
                      <w:p w14:paraId="2A9A168F">
                        <w:pPr>
                          <w:widowControl/>
                          <w:spacing w:line="240" w:lineRule="auto"/>
                          <w:ind w:left="105" w:right="105"/>
                          <w:jc w:val="center"/>
                          <w:rPr>
                            <w:rFonts w:hint="eastAsia"/>
                          </w:rPr>
                        </w:pPr>
                        <w:r>
                          <w:rPr>
                            <w:rFonts w:hint="eastAsia"/>
                          </w:rPr>
                          <w:t>粉尘爆炸时会分解产生CO、CO2，同时大量颗粒物逸散到空气中，将对大气环境造成极大影响。</w:t>
                        </w:r>
                      </w:p>
                    </w:tc>
                  </w:tr>
                  <w:tr w14:paraId="125D1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508" w:type="dxa"/>
                        <w:noWrap w:val="0"/>
                        <w:vAlign w:val="center"/>
                      </w:tcPr>
                      <w:p w14:paraId="44DACB41">
                        <w:pPr>
                          <w:widowControl/>
                          <w:spacing w:line="240" w:lineRule="auto"/>
                          <w:ind w:left="105" w:right="105"/>
                          <w:jc w:val="center"/>
                          <w:rPr>
                            <w:lang w:val="en-US" w:eastAsia="zh-CN"/>
                          </w:rPr>
                        </w:pPr>
                        <w:r>
                          <w:rPr>
                            <w:rFonts w:hint="eastAsia"/>
                            <w:lang w:val="en-US" w:eastAsia="zh-CN"/>
                          </w:rPr>
                          <w:t>2</w:t>
                        </w:r>
                      </w:p>
                    </w:tc>
                    <w:tc>
                      <w:tcPr>
                        <w:tcW w:w="1243" w:type="dxa"/>
                        <w:noWrap w:val="0"/>
                        <w:vAlign w:val="center"/>
                      </w:tcPr>
                      <w:p w14:paraId="2948777E">
                        <w:pPr>
                          <w:widowControl/>
                          <w:spacing w:line="240" w:lineRule="auto"/>
                          <w:ind w:left="105" w:right="105"/>
                          <w:jc w:val="center"/>
                          <w:rPr>
                            <w:lang w:val="en-US" w:eastAsia="zh-CN"/>
                          </w:rPr>
                        </w:pPr>
                        <w:r>
                          <w:rPr>
                            <w:rFonts w:hint="eastAsia"/>
                            <w:lang w:val="en-US" w:eastAsia="zh-CN"/>
                          </w:rPr>
                          <w:t>原料、成品暂存区域</w:t>
                        </w:r>
                      </w:p>
                    </w:tc>
                    <w:tc>
                      <w:tcPr>
                        <w:tcW w:w="859" w:type="dxa"/>
                        <w:noWrap w:val="0"/>
                        <w:vAlign w:val="center"/>
                      </w:tcPr>
                      <w:p w14:paraId="149D96F1">
                        <w:pPr>
                          <w:pStyle w:val="261"/>
                          <w:spacing w:line="240" w:lineRule="auto"/>
                          <w:ind w:firstLine="0"/>
                          <w:jc w:val="center"/>
                          <w:rPr>
                            <w:rFonts w:hint="eastAsia"/>
                            <w:sz w:val="21"/>
                            <w:szCs w:val="21"/>
                            <w:lang w:val="en-US" w:eastAsia="zh-CN"/>
                          </w:rPr>
                        </w:pPr>
                        <w:r>
                          <w:rPr>
                            <w:rFonts w:hint="eastAsia"/>
                            <w:sz w:val="21"/>
                            <w:szCs w:val="21"/>
                            <w:lang w:val="en-US" w:eastAsia="zh-CN"/>
                          </w:rPr>
                          <w:t>原料、成品</w:t>
                        </w:r>
                      </w:p>
                    </w:tc>
                    <w:tc>
                      <w:tcPr>
                        <w:tcW w:w="2389" w:type="dxa"/>
                        <w:noWrap w:val="0"/>
                        <w:vAlign w:val="center"/>
                      </w:tcPr>
                      <w:p w14:paraId="5C6A6B7C">
                        <w:pPr>
                          <w:widowControl/>
                          <w:spacing w:line="240" w:lineRule="auto"/>
                          <w:ind w:left="105" w:right="105"/>
                          <w:jc w:val="center"/>
                          <w:rPr>
                            <w:rFonts w:hint="eastAsia"/>
                          </w:rPr>
                        </w:pPr>
                        <w:r>
                          <w:rPr>
                            <w:rFonts w:hint="eastAsia"/>
                          </w:rPr>
                          <w:t>如发生火灾，将会放出大量热辐射，危及火区周围人员的生命及财产安全，而燃烧散发出的大量浓烟也将对区域大气环境质量造成污染。</w:t>
                        </w:r>
                      </w:p>
                    </w:tc>
                  </w:tr>
                  <w:tr w14:paraId="2C703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508" w:type="dxa"/>
                        <w:noWrap w:val="0"/>
                        <w:vAlign w:val="center"/>
                      </w:tcPr>
                      <w:p w14:paraId="04910FA6">
                        <w:pPr>
                          <w:widowControl/>
                          <w:spacing w:line="240" w:lineRule="auto"/>
                          <w:ind w:left="105" w:right="105"/>
                          <w:jc w:val="center"/>
                          <w:rPr>
                            <w:lang w:val="en-US" w:eastAsia="zh-CN"/>
                          </w:rPr>
                        </w:pPr>
                        <w:r>
                          <w:rPr>
                            <w:rFonts w:hint="eastAsia"/>
                            <w:lang w:val="en-US" w:eastAsia="zh-CN"/>
                          </w:rPr>
                          <w:t>3</w:t>
                        </w:r>
                      </w:p>
                    </w:tc>
                    <w:tc>
                      <w:tcPr>
                        <w:tcW w:w="1776" w:type="dxa"/>
                        <w:noWrap w:val="0"/>
                        <w:vAlign w:val="center"/>
                      </w:tcPr>
                      <w:p w14:paraId="537A31AC">
                        <w:pPr>
                          <w:widowControl/>
                          <w:ind w:left="105" w:right="105"/>
                          <w:jc w:val="center"/>
                          <w:rPr>
                            <w:rFonts w:hint="eastAsia"/>
                            <w:lang w:val="en-US" w:eastAsia="zh-CN"/>
                          </w:rPr>
                        </w:pPr>
                        <w:r>
                          <w:rPr>
                            <w:rFonts w:hint="eastAsia"/>
                            <w:lang w:val="en-US" w:eastAsia="zh-CN"/>
                          </w:rPr>
                          <w:t>废气处理设施</w:t>
                        </w:r>
                      </w:p>
                    </w:tc>
                    <w:tc>
                      <w:tcPr>
                        <w:tcW w:w="1227" w:type="dxa"/>
                        <w:noWrap w:val="0"/>
                        <w:vAlign w:val="center"/>
                      </w:tcPr>
                      <w:p w14:paraId="738D4B00">
                        <w:pPr>
                          <w:pStyle w:val="261"/>
                          <w:ind w:firstLine="0"/>
                          <w:jc w:val="center"/>
                          <w:rPr>
                            <w:rFonts w:hint="eastAsia"/>
                            <w:sz w:val="21"/>
                            <w:szCs w:val="21"/>
                            <w:lang w:val="en-US" w:eastAsia="zh-CN"/>
                          </w:rPr>
                        </w:pPr>
                        <w:r>
                          <w:rPr>
                            <w:rFonts w:hint="eastAsia"/>
                            <w:sz w:val="21"/>
                            <w:szCs w:val="21"/>
                            <w:lang w:val="en-US" w:eastAsia="zh-CN"/>
                          </w:rPr>
                          <w:t>甲醛、非甲烷总烃</w:t>
                        </w:r>
                      </w:p>
                    </w:tc>
                    <w:tc>
                      <w:tcPr>
                        <w:tcW w:w="3414" w:type="dxa"/>
                        <w:noWrap w:val="0"/>
                        <w:vAlign w:val="center"/>
                      </w:tcPr>
                      <w:p w14:paraId="1707BDA2">
                        <w:pPr>
                          <w:widowControl/>
                          <w:ind w:left="105" w:right="105"/>
                          <w:jc w:val="center"/>
                          <w:rPr>
                            <w:rFonts w:hint="eastAsia"/>
                          </w:rPr>
                        </w:pPr>
                        <w:r>
                          <w:rPr>
                            <w:rFonts w:hint="eastAsia"/>
                            <w:lang w:val="en-US" w:eastAsia="zh-CN"/>
                          </w:rPr>
                          <w:t>甲醛、非甲烷总烃大量扩散</w:t>
                        </w:r>
                        <w:r>
                          <w:rPr>
                            <w:rFonts w:hint="eastAsia"/>
                          </w:rPr>
                          <w:t>将对大气环境造成极大影响。</w:t>
                        </w:r>
                      </w:p>
                    </w:tc>
                  </w:tr>
                  <w:tr w14:paraId="1A365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508" w:type="dxa"/>
                        <w:noWrap w:val="0"/>
                        <w:vAlign w:val="center"/>
                      </w:tcPr>
                      <w:p w14:paraId="1AAAD76D">
                        <w:pPr>
                          <w:widowControl/>
                          <w:spacing w:line="240" w:lineRule="auto"/>
                          <w:ind w:left="105" w:right="105"/>
                          <w:jc w:val="center"/>
                          <w:rPr>
                            <w:lang w:val="en-US" w:eastAsia="zh-CN"/>
                          </w:rPr>
                        </w:pPr>
                        <w:r>
                          <w:rPr>
                            <w:rFonts w:hint="eastAsia"/>
                            <w:lang w:val="en-US" w:eastAsia="zh-CN"/>
                          </w:rPr>
                          <w:t>4</w:t>
                        </w:r>
                      </w:p>
                    </w:tc>
                    <w:tc>
                      <w:tcPr>
                        <w:tcW w:w="1776" w:type="dxa"/>
                        <w:noWrap w:val="0"/>
                        <w:vAlign w:val="center"/>
                      </w:tcPr>
                      <w:p w14:paraId="119538C8">
                        <w:pPr>
                          <w:widowControl/>
                          <w:ind w:left="105" w:right="105"/>
                          <w:jc w:val="center"/>
                          <w:rPr>
                            <w:rFonts w:hint="eastAsia"/>
                            <w:lang w:val="en-US" w:eastAsia="zh-CN"/>
                          </w:rPr>
                        </w:pPr>
                        <w:r>
                          <w:rPr>
                            <w:rFonts w:hint="eastAsia"/>
                            <w:lang w:val="en-US" w:eastAsia="zh-CN"/>
                          </w:rPr>
                          <w:t>废机油</w:t>
                        </w:r>
                      </w:p>
                    </w:tc>
                    <w:tc>
                      <w:tcPr>
                        <w:tcW w:w="1227" w:type="dxa"/>
                        <w:noWrap w:val="0"/>
                        <w:vAlign w:val="center"/>
                      </w:tcPr>
                      <w:p w14:paraId="50693002">
                        <w:pPr>
                          <w:pStyle w:val="261"/>
                          <w:ind w:firstLine="0"/>
                          <w:jc w:val="center"/>
                          <w:rPr>
                            <w:rFonts w:hint="eastAsia"/>
                            <w:sz w:val="21"/>
                            <w:szCs w:val="21"/>
                            <w:lang w:val="en-US" w:eastAsia="zh-CN"/>
                          </w:rPr>
                        </w:pPr>
                        <w:r>
                          <w:rPr>
                            <w:rFonts w:hint="eastAsia"/>
                            <w:sz w:val="21"/>
                            <w:szCs w:val="21"/>
                            <w:lang w:val="en-US" w:eastAsia="zh-CN"/>
                          </w:rPr>
                          <w:t>废机油</w:t>
                        </w:r>
                      </w:p>
                    </w:tc>
                    <w:tc>
                      <w:tcPr>
                        <w:tcW w:w="3414" w:type="dxa"/>
                        <w:noWrap w:val="0"/>
                        <w:vAlign w:val="center"/>
                      </w:tcPr>
                      <w:p w14:paraId="4F3DFE62">
                        <w:pPr>
                          <w:widowControl/>
                          <w:ind w:left="105" w:right="105"/>
                          <w:jc w:val="center"/>
                          <w:rPr>
                            <w:rFonts w:hint="eastAsia"/>
                          </w:rPr>
                        </w:pPr>
                        <w:r>
                          <w:rPr>
                            <w:rFonts w:hint="eastAsia"/>
                          </w:rPr>
                          <w:t>如发生火灾，将会放出大量热辐射，危及火区周围人员的生命及财产安全，而燃烧散发出的大量浓烟也将对区域大气环境质量造成污染。</w:t>
                        </w:r>
                        <w:r>
                          <w:rPr>
                            <w:rFonts w:hint="eastAsia"/>
                            <w:lang w:val="en-US" w:eastAsia="zh-CN"/>
                          </w:rPr>
                          <w:t>若发生泄漏会对地表水、地下水造成污染。</w:t>
                        </w:r>
                      </w:p>
                    </w:tc>
                  </w:tr>
                </w:tbl>
                <w:p w14:paraId="6E3DC5D0">
                  <w:pPr>
                    <w:spacing w:line="240" w:lineRule="auto"/>
                    <w:ind w:firstLine="420"/>
                  </w:pPr>
                  <w:r>
                    <w:t>（2）危险后果</w:t>
                  </w:r>
                </w:p>
                <w:p w14:paraId="70DAC622">
                  <w:pPr>
                    <w:spacing w:line="240" w:lineRule="auto"/>
                    <w:ind w:firstLine="420"/>
                    <w:rPr>
                      <w:rFonts w:hint="eastAsia"/>
                      <w:lang w:val="en-US" w:eastAsia="zh-CN"/>
                    </w:rPr>
                  </w:pPr>
                  <w:r>
                    <w:rPr>
                      <w:rFonts w:hint="eastAsia"/>
                      <w:lang w:val="en-US" w:eastAsia="zh-CN"/>
                    </w:rPr>
                    <w:t>①项目区粉尘爆炸时会分解产生CO、CO</w:t>
                  </w:r>
                  <w:r>
                    <w:rPr>
                      <w:rFonts w:hint="eastAsia"/>
                      <w:vertAlign w:val="subscript"/>
                      <w:lang w:val="en-US" w:eastAsia="zh-CN"/>
                    </w:rPr>
                    <w:t>2</w:t>
                  </w:r>
                  <w:r>
                    <w:rPr>
                      <w:rFonts w:hint="eastAsia"/>
                      <w:lang w:val="en-US" w:eastAsia="zh-CN"/>
                    </w:rPr>
                    <w:t>，同时大量颗粒物逸散到空气中，将对大气环境造成极大影响。</w:t>
                  </w:r>
                </w:p>
                <w:p w14:paraId="31B35FBB">
                  <w:pPr>
                    <w:spacing w:line="240" w:lineRule="auto"/>
                    <w:ind w:firstLine="420"/>
                  </w:pPr>
                  <w:r>
                    <w:rPr>
                      <w:rFonts w:hint="eastAsia"/>
                      <w:lang w:val="en-US" w:eastAsia="zh-CN"/>
                    </w:rPr>
                    <w:t>②原料、成品</w:t>
                  </w:r>
                  <w:r>
                    <w:t>遇明火，发生火灾事故会伴生/次生CO、SO</w:t>
                  </w:r>
                  <w:r>
                    <w:rPr>
                      <w:vertAlign w:val="subscript"/>
                    </w:rPr>
                    <w:t>2</w:t>
                  </w:r>
                  <w:r>
                    <w:t>等废气污染物，扩散至周围大气环境，可能对周边大气环境敏感目标的空气质量产生影响。</w:t>
                  </w:r>
                </w:p>
                <w:p w14:paraId="440F885D">
                  <w:pPr>
                    <w:pStyle w:val="2"/>
                    <w:rPr>
                      <w:rFonts w:hint="eastAsia" w:eastAsia="宋体"/>
                      <w:lang w:val="en-US" w:eastAsia="zh-CN"/>
                    </w:rPr>
                  </w:pPr>
                  <w:r>
                    <w:rPr>
                      <w:rFonts w:hint="eastAsia"/>
                      <w:color w:val="000000"/>
                      <w:sz w:val="21"/>
                      <w:szCs w:val="21"/>
                      <w:lang w:val="en-US" w:eastAsia="zh-CN"/>
                    </w:rPr>
                    <w:t>③</w:t>
                  </w:r>
                  <w:r>
                    <w:rPr>
                      <w:rFonts w:hint="eastAsia" w:ascii="Times New Roman" w:hAnsi="Times New Roman" w:eastAsia="宋体" w:cs="Times New Roman"/>
                      <w:b w:val="0"/>
                      <w:bCs w:val="0"/>
                      <w:color w:val="000000"/>
                      <w:sz w:val="21"/>
                      <w:szCs w:val="21"/>
                      <w:highlight w:val="none"/>
                      <w:lang w:val="en-US" w:eastAsia="zh-CN"/>
                    </w:rPr>
                    <w:t>废机油发生泄漏，会对周边地表水、地下水及土壤造成影响。</w:t>
                  </w:r>
                </w:p>
              </w:tc>
            </w:tr>
            <w:tr w14:paraId="4ABD2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 w:type="dxa"/>
                  <w:noWrap w:val="0"/>
                  <w:vAlign w:val="center"/>
                </w:tcPr>
                <w:p w14:paraId="77CB9D0A">
                  <w:pPr>
                    <w:keepNext w:val="0"/>
                    <w:keepLines w:val="0"/>
                    <w:suppressLineNumbers w:val="0"/>
                    <w:spacing w:before="0" w:beforeAutospacing="0" w:after="0" w:afterAutospacing="0" w:line="240" w:lineRule="auto"/>
                    <w:ind w:left="0" w:right="0"/>
                    <w:jc w:val="center"/>
                    <w:rPr>
                      <w:rFonts w:ascii="Times New Roman" w:hAnsi="Times New Roman" w:eastAsia="宋体" w:cs="Times New Roman"/>
                      <w:b/>
                      <w:bCs/>
                      <w:color w:val="000000"/>
                      <w:sz w:val="21"/>
                      <w:szCs w:val="21"/>
                      <w:lang w:bidi="en-US"/>
                    </w:rPr>
                  </w:pPr>
                  <w:r>
                    <w:rPr>
                      <w:rFonts w:ascii="Times New Roman" w:hAnsi="Times New Roman" w:eastAsia="宋体" w:cs="Times New Roman"/>
                      <w:b/>
                      <w:bCs/>
                      <w:color w:val="000000"/>
                      <w:sz w:val="21"/>
                      <w:szCs w:val="21"/>
                      <w:lang w:bidi="en-US"/>
                    </w:rPr>
                    <w:t>风险防护措施要求</w:t>
                  </w:r>
                </w:p>
              </w:tc>
              <w:tc>
                <w:tcPr>
                  <w:tcW w:w="4090" w:type="dxa"/>
                  <w:noWrap w:val="0"/>
                  <w:vAlign w:val="center"/>
                </w:tcPr>
                <w:p w14:paraId="51EA05DD">
                  <w:pPr>
                    <w:spacing w:line="240" w:lineRule="auto"/>
                    <w:ind w:firstLine="422"/>
                    <w:rPr>
                      <w:b/>
                      <w:bCs/>
                      <w:color w:val="000000"/>
                      <w:sz w:val="21"/>
                      <w:szCs w:val="21"/>
                    </w:rPr>
                  </w:pPr>
                  <w:r>
                    <w:rPr>
                      <w:b/>
                      <w:bCs/>
                      <w:color w:val="000000"/>
                      <w:sz w:val="21"/>
                      <w:szCs w:val="21"/>
                    </w:rPr>
                    <w:t>（1）火灾事故风险防范措施</w:t>
                  </w:r>
                </w:p>
                <w:p w14:paraId="1205AE36">
                  <w:pPr>
                    <w:spacing w:line="240" w:lineRule="auto"/>
                    <w:ind w:firstLine="420"/>
                    <w:rPr>
                      <w:rFonts w:hint="eastAsia"/>
                      <w:color w:val="000000"/>
                      <w:sz w:val="21"/>
                      <w:szCs w:val="21"/>
                    </w:rPr>
                  </w:pPr>
                  <w:r>
                    <w:rPr>
                      <w:rFonts w:hint="eastAsia"/>
                      <w:color w:val="000000"/>
                      <w:sz w:val="21"/>
                      <w:szCs w:val="21"/>
                    </w:rPr>
                    <w:t>①生产厂房易燃物品贮存区须确保通风良好、配备相应品种和数量的消防器材、设置必要的防火防爆与降温技术措施、按安全部门要求预留必要的安全间距，远离火种和热源。</w:t>
                  </w:r>
                </w:p>
                <w:p w14:paraId="0B3AF141">
                  <w:pPr>
                    <w:spacing w:line="240" w:lineRule="auto"/>
                    <w:ind w:firstLine="420"/>
                    <w:rPr>
                      <w:rFonts w:hint="eastAsia"/>
                      <w:color w:val="000000"/>
                      <w:sz w:val="21"/>
                      <w:szCs w:val="21"/>
                    </w:rPr>
                  </w:pPr>
                  <w:r>
                    <w:rPr>
                      <w:rFonts w:hint="eastAsia"/>
                      <w:color w:val="000000"/>
                      <w:sz w:val="21"/>
                      <w:szCs w:val="21"/>
                    </w:rPr>
                    <w:t>②生产车间和易燃物品贮存区禁止明火进入，禁止使用易产生火花的设备与工具，其照明、通风、空调、报警设施及相关用电设备均应采用防爆型装置。</w:t>
                  </w:r>
                </w:p>
                <w:p w14:paraId="61764CE8">
                  <w:pPr>
                    <w:spacing w:line="240" w:lineRule="auto"/>
                    <w:ind w:firstLine="420"/>
                    <w:rPr>
                      <w:rFonts w:hint="eastAsia"/>
                      <w:color w:val="000000"/>
                      <w:sz w:val="21"/>
                      <w:szCs w:val="21"/>
                    </w:rPr>
                  </w:pPr>
                  <w:r>
                    <w:rPr>
                      <w:rFonts w:hint="eastAsia"/>
                      <w:color w:val="000000"/>
                      <w:sz w:val="21"/>
                      <w:szCs w:val="21"/>
                    </w:rPr>
                    <w:t>③按规范使用各类电器设备，避免漏电、短路、过流、过载、过热等而造成的绝缘失效或线路着火，定期检查厂房内的电源、线路，对老化电线及时更换。</w:t>
                  </w:r>
                </w:p>
                <w:p w14:paraId="420AF6D2">
                  <w:pPr>
                    <w:spacing w:line="240" w:lineRule="auto"/>
                    <w:ind w:firstLine="420"/>
                    <w:rPr>
                      <w:rFonts w:hint="eastAsia"/>
                      <w:color w:val="000000"/>
                      <w:sz w:val="21"/>
                      <w:szCs w:val="21"/>
                    </w:rPr>
                  </w:pPr>
                  <w:r>
                    <w:rPr>
                      <w:rFonts w:hint="eastAsia"/>
                      <w:color w:val="000000"/>
                      <w:sz w:val="21"/>
                      <w:szCs w:val="21"/>
                    </w:rPr>
                    <w:t>④禁止在生产车间和原料</w:t>
                  </w:r>
                  <w:r>
                    <w:rPr>
                      <w:rFonts w:hint="eastAsia"/>
                      <w:color w:val="000000"/>
                      <w:sz w:val="21"/>
                      <w:szCs w:val="21"/>
                      <w:lang w:val="en-US" w:eastAsia="zh-CN"/>
                    </w:rPr>
                    <w:t>暂存区</w:t>
                  </w:r>
                  <w:r>
                    <w:rPr>
                      <w:rFonts w:hint="eastAsia"/>
                      <w:color w:val="000000"/>
                      <w:sz w:val="21"/>
                      <w:szCs w:val="21"/>
                    </w:rPr>
                    <w:t>、成品</w:t>
                  </w:r>
                  <w:r>
                    <w:rPr>
                      <w:rFonts w:hint="eastAsia"/>
                      <w:color w:val="000000"/>
                      <w:sz w:val="21"/>
                      <w:szCs w:val="21"/>
                      <w:lang w:val="en-US" w:eastAsia="zh-CN"/>
                    </w:rPr>
                    <w:t>暂存区</w:t>
                  </w:r>
                  <w:r>
                    <w:rPr>
                      <w:rFonts w:hint="eastAsia"/>
                      <w:color w:val="000000"/>
                      <w:sz w:val="21"/>
                      <w:szCs w:val="21"/>
                    </w:rPr>
                    <w:t>等存放处有明火、吸烟、焊接等，厂区内生产车间及仓库应在显眼位置设置禁火标识。</w:t>
                  </w:r>
                </w:p>
                <w:p w14:paraId="57ED8304">
                  <w:pPr>
                    <w:spacing w:line="240" w:lineRule="auto"/>
                    <w:ind w:firstLine="420"/>
                    <w:rPr>
                      <w:color w:val="000000"/>
                      <w:sz w:val="21"/>
                      <w:szCs w:val="21"/>
                    </w:rPr>
                  </w:pPr>
                  <w:r>
                    <w:rPr>
                      <w:rFonts w:hint="eastAsia"/>
                      <w:color w:val="000000"/>
                      <w:sz w:val="21"/>
                      <w:szCs w:val="21"/>
                    </w:rPr>
                    <w:t>⑤定期对操作人员进行安全生产与安全知识培训，并制定严格的安全操作规程，切实加强生产过程中的安全控制，保证劳动安全，防止意外事故的发生。</w:t>
                  </w:r>
                </w:p>
                <w:p w14:paraId="64B04DB0">
                  <w:pPr>
                    <w:spacing w:line="240" w:lineRule="auto"/>
                    <w:ind w:firstLine="422"/>
                    <w:rPr>
                      <w:rFonts w:hint="eastAsia"/>
                      <w:b/>
                      <w:bCs/>
                      <w:color w:val="000000"/>
                      <w:sz w:val="21"/>
                      <w:szCs w:val="21"/>
                    </w:rPr>
                  </w:pPr>
                  <w:r>
                    <w:rPr>
                      <w:rFonts w:hint="eastAsia"/>
                      <w:b/>
                      <w:bCs/>
                      <w:color w:val="000000"/>
                      <w:sz w:val="21"/>
                      <w:szCs w:val="21"/>
                    </w:rPr>
                    <w:t>（</w:t>
                  </w:r>
                  <w:r>
                    <w:rPr>
                      <w:rFonts w:hint="eastAsia"/>
                      <w:b/>
                      <w:bCs/>
                      <w:color w:val="000000"/>
                      <w:sz w:val="21"/>
                      <w:szCs w:val="21"/>
                      <w:lang w:val="en-US" w:eastAsia="zh-CN"/>
                    </w:rPr>
                    <w:t>2</w:t>
                  </w:r>
                  <w:r>
                    <w:rPr>
                      <w:rFonts w:hint="eastAsia"/>
                      <w:b/>
                      <w:bCs/>
                      <w:color w:val="000000"/>
                      <w:sz w:val="21"/>
                      <w:szCs w:val="21"/>
                    </w:rPr>
                    <w:t>）</w:t>
                  </w:r>
                  <w:r>
                    <w:rPr>
                      <w:rFonts w:hint="eastAsia"/>
                      <w:b/>
                      <w:bCs/>
                      <w:color w:val="000000"/>
                      <w:sz w:val="21"/>
                      <w:szCs w:val="21"/>
                      <w:lang w:val="en-US" w:eastAsia="zh-CN"/>
                    </w:rPr>
                    <w:t>环保</w:t>
                  </w:r>
                  <w:r>
                    <w:rPr>
                      <w:rFonts w:hint="eastAsia"/>
                      <w:b/>
                      <w:bCs/>
                      <w:color w:val="000000"/>
                      <w:sz w:val="21"/>
                      <w:szCs w:val="21"/>
                    </w:rPr>
                    <w:t>设备防损措施</w:t>
                  </w:r>
                </w:p>
                <w:p w14:paraId="2B78B5BA">
                  <w:pPr>
                    <w:spacing w:line="240" w:lineRule="auto"/>
                    <w:ind w:firstLine="420"/>
                    <w:rPr>
                      <w:rFonts w:hint="eastAsia"/>
                      <w:color w:val="000000"/>
                      <w:sz w:val="21"/>
                      <w:szCs w:val="21"/>
                    </w:rPr>
                  </w:pPr>
                  <w:r>
                    <w:rPr>
                      <w:rFonts w:hint="eastAsia"/>
                      <w:color w:val="000000"/>
                      <w:sz w:val="21"/>
                      <w:szCs w:val="21"/>
                    </w:rPr>
                    <w:t>①加强设备日常的维护和管理，定期对</w:t>
                  </w:r>
                  <w:r>
                    <w:rPr>
                      <w:rFonts w:hint="eastAsia"/>
                      <w:color w:val="000000"/>
                      <w:sz w:val="21"/>
                      <w:szCs w:val="21"/>
                      <w:lang w:val="en-US" w:eastAsia="zh-CN"/>
                    </w:rPr>
                    <w:t>环保</w:t>
                  </w:r>
                  <w:r>
                    <w:rPr>
                      <w:rFonts w:hint="eastAsia"/>
                      <w:color w:val="000000"/>
                      <w:sz w:val="21"/>
                      <w:szCs w:val="21"/>
                    </w:rPr>
                    <w:t>的各类设备进行保养、检查和维修，确保集气系统</w:t>
                  </w:r>
                  <w:r>
                    <w:rPr>
                      <w:rFonts w:hint="eastAsia"/>
                      <w:color w:val="000000"/>
                      <w:sz w:val="21"/>
                      <w:szCs w:val="21"/>
                      <w:lang w:eastAsia="zh-CN"/>
                    </w:rPr>
                    <w:t>、</w:t>
                  </w:r>
                  <w:r>
                    <w:rPr>
                      <w:rFonts w:hint="eastAsia"/>
                      <w:color w:val="000000"/>
                      <w:sz w:val="21"/>
                      <w:szCs w:val="21"/>
                    </w:rPr>
                    <w:t>除尘系统</w:t>
                  </w:r>
                  <w:r>
                    <w:rPr>
                      <w:rFonts w:hint="eastAsia"/>
                      <w:color w:val="000000"/>
                      <w:sz w:val="21"/>
                      <w:szCs w:val="21"/>
                      <w:lang w:eastAsia="zh-CN"/>
                    </w:rPr>
                    <w:t>、</w:t>
                  </w:r>
                  <w:r>
                    <w:rPr>
                      <w:rFonts w:hint="eastAsia"/>
                      <w:color w:val="000000"/>
                      <w:sz w:val="21"/>
                      <w:szCs w:val="21"/>
                      <w:lang w:val="en-US" w:eastAsia="zh-CN"/>
                    </w:rPr>
                    <w:t>吸附系统</w:t>
                  </w:r>
                  <w:r>
                    <w:rPr>
                      <w:rFonts w:hint="eastAsia"/>
                      <w:color w:val="000000"/>
                      <w:sz w:val="21"/>
                      <w:szCs w:val="21"/>
                    </w:rPr>
                    <w:t>的正常运行。</w:t>
                  </w:r>
                </w:p>
                <w:p w14:paraId="5FB6EDC4">
                  <w:pPr>
                    <w:spacing w:line="240" w:lineRule="auto"/>
                    <w:ind w:firstLine="420"/>
                    <w:rPr>
                      <w:rFonts w:hint="eastAsia"/>
                      <w:color w:val="000000"/>
                      <w:sz w:val="21"/>
                      <w:szCs w:val="21"/>
                    </w:rPr>
                  </w:pPr>
                  <w:r>
                    <w:rPr>
                      <w:rFonts w:hint="eastAsia"/>
                      <w:color w:val="000000"/>
                      <w:sz w:val="21"/>
                      <w:szCs w:val="21"/>
                    </w:rPr>
                    <w:t>②进行安全化管理来改善设备的安全性、改进工艺的安全性；完善标准及操作规程，定期进行安全检查。</w:t>
                  </w:r>
                </w:p>
                <w:p w14:paraId="56A359B3">
                  <w:pPr>
                    <w:spacing w:line="240" w:lineRule="auto"/>
                    <w:ind w:firstLine="420"/>
                    <w:rPr>
                      <w:color w:val="000000"/>
                      <w:sz w:val="21"/>
                      <w:szCs w:val="21"/>
                      <w:lang w:val="en-US" w:eastAsia="zh-CN" w:bidi="ar-SA"/>
                    </w:rPr>
                  </w:pPr>
                  <w:r>
                    <w:rPr>
                      <w:rFonts w:hint="eastAsia"/>
                      <w:color w:val="000000"/>
                      <w:sz w:val="21"/>
                      <w:szCs w:val="21"/>
                    </w:rPr>
                    <w:t>③进一步加强职工的岗位操作培训，提高职工的安全意识和风险防范能力，规范操作，将安全隐患降到最低</w:t>
                  </w:r>
                  <w:r>
                    <w:rPr>
                      <w:rFonts w:hint="eastAsia"/>
                      <w:color w:val="000000"/>
                      <w:sz w:val="21"/>
                      <w:szCs w:val="21"/>
                      <w:lang w:eastAsia="zh-CN"/>
                    </w:rPr>
                    <w:t>。</w:t>
                  </w:r>
                </w:p>
              </w:tc>
            </w:tr>
            <w:tr w14:paraId="4D70D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4" w:type="dxa"/>
                  <w:gridSpan w:val="2"/>
                  <w:noWrap w:val="0"/>
                  <w:vAlign w:val="center"/>
                </w:tcPr>
                <w:p w14:paraId="5C8CCC0C">
                  <w:pPr>
                    <w:keepNext w:val="0"/>
                    <w:keepLines w:val="0"/>
                    <w:suppressLineNumbers w:val="0"/>
                    <w:spacing w:before="0" w:beforeAutospacing="0" w:after="0" w:afterAutospacing="0" w:line="240" w:lineRule="auto"/>
                    <w:ind w:right="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填表说明（列出项目相关信息及评价说明）：本项目存在的危险物质数量较小，对环境造成污染的风险较小。</w:t>
                  </w:r>
                </w:p>
              </w:tc>
            </w:tr>
          </w:tbl>
          <w:p w14:paraId="2CAA423F">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p>
          <w:p w14:paraId="6EE2C2BB">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（六）地下水、土壤环境影响分析</w:t>
            </w:r>
          </w:p>
          <w:p w14:paraId="294E9CDA">
            <w:pPr>
              <w:keepNext w:val="0"/>
              <w:keepLines w:val="0"/>
              <w:pageBreakBefore w:val="0"/>
              <w:widowControl/>
              <w:suppressLineNumbers w:val="0"/>
              <w:spacing w:line="360" w:lineRule="auto"/>
              <w:ind w:firstLine="480"/>
              <w:jc w:val="both"/>
              <w:rPr>
                <w:rFonts w:ascii="Times New Roman" w:hAnsi="Times New Roman" w:eastAsia="宋体" w:cs="Times New Roman"/>
                <w:color w:val="000000"/>
                <w:sz w:val="24"/>
                <w:szCs w:val="24"/>
                <w:lang w:val="en-US" w:eastAsia="zh-CN" w:bidi="ar"/>
              </w:rPr>
            </w:pPr>
            <w:r>
              <w:rPr>
                <w:rFonts w:hint="eastAsia" w:ascii="Times New Roman" w:hAnsi="Times New Roman" w:eastAsia="宋体" w:cs="Times New Roman"/>
                <w:color w:val="000000"/>
                <w:sz w:val="24"/>
                <w:szCs w:val="24"/>
                <w:lang w:val="en-US" w:eastAsia="zh-CN" w:bidi="ar"/>
              </w:rPr>
              <w:t>（1）</w:t>
            </w:r>
            <w:r>
              <w:rPr>
                <w:rFonts w:ascii="Times New Roman" w:hAnsi="Times New Roman" w:eastAsia="宋体" w:cs="Times New Roman"/>
                <w:b/>
                <w:bCs/>
                <w:color w:val="000000"/>
                <w:sz w:val="24"/>
                <w:szCs w:val="24"/>
                <w:highlight w:val="none"/>
                <w:lang w:val="en-US" w:eastAsia="zh-CN"/>
              </w:rPr>
              <w:t>地下水环境影响分析</w:t>
            </w:r>
          </w:p>
          <w:p w14:paraId="091B04D7">
            <w:pPr>
              <w:keepNext w:val="0"/>
              <w:keepLines w:val="0"/>
              <w:pageBreakBefore w:val="0"/>
              <w:widowControl/>
              <w:suppressLineNumbers w:val="0"/>
              <w:spacing w:line="360" w:lineRule="auto"/>
              <w:ind w:firstLine="480"/>
              <w:jc w:val="both"/>
              <w:rPr>
                <w:rFonts w:ascii="Times New Roman" w:hAnsi="Times New Roman" w:eastAsia="宋体" w:cs="Times New Roman"/>
                <w:sz w:val="24"/>
                <w:szCs w:val="24"/>
              </w:rPr>
            </w:pPr>
            <w:r>
              <w:rPr>
                <w:rFonts w:ascii="Times New Roman" w:hAnsi="Times New Roman" w:eastAsia="宋体" w:cs="Times New Roman"/>
                <w:color w:val="000000"/>
                <w:sz w:val="24"/>
                <w:szCs w:val="24"/>
                <w:lang w:val="en-US" w:eastAsia="zh-CN" w:bidi="ar"/>
              </w:rPr>
              <w:t>本项目为</w:t>
            </w:r>
            <w:r>
              <w:rPr>
                <w:rFonts w:hint="eastAsia" w:ascii="Times New Roman" w:hAnsi="Times New Roman" w:eastAsia="宋体" w:cs="Times New Roman"/>
                <w:color w:val="000000"/>
                <w:sz w:val="24"/>
                <w:szCs w:val="24"/>
                <w:lang w:val="en-US" w:eastAsia="zh-CN" w:bidi="ar"/>
              </w:rPr>
              <w:t>单板</w:t>
            </w:r>
            <w:r>
              <w:rPr>
                <w:rFonts w:ascii="Times New Roman" w:hAnsi="Times New Roman" w:eastAsia="宋体" w:cs="Times New Roman"/>
                <w:color w:val="000000"/>
                <w:sz w:val="24"/>
                <w:szCs w:val="24"/>
                <w:lang w:val="en-US" w:eastAsia="zh-CN" w:bidi="ar"/>
              </w:rPr>
              <w:t>生产项目，根据《环境影响评价技术导则 地下水环境》 （HJ610-2016）附录 A，项目属于地下水环境影响评价项目类别中的Ⅳ类，可不开展地下水评价</w:t>
            </w:r>
            <w:r>
              <w:rPr>
                <w:rFonts w:hint="eastAsia" w:ascii="Times New Roman" w:hAnsi="Times New Roman" w:eastAsia="宋体" w:cs="Times New Roman"/>
                <w:color w:val="000000"/>
                <w:sz w:val="24"/>
                <w:szCs w:val="24"/>
                <w:lang w:val="en-US" w:eastAsia="zh-CN" w:bidi="ar"/>
              </w:rPr>
              <w:t>。</w:t>
            </w:r>
            <w:r>
              <w:rPr>
                <w:rFonts w:ascii="Times New Roman" w:hAnsi="Times New Roman" w:eastAsia="宋体" w:cs="Times New Roman"/>
                <w:color w:val="000000"/>
                <w:sz w:val="24"/>
                <w:szCs w:val="24"/>
                <w:lang w:val="en-US" w:eastAsia="zh-CN" w:bidi="ar"/>
              </w:rPr>
              <w:t>根据《环境影响评价技术导则 土壤环境（试行）》（HJ964-2018）附录 A，项目属于制造业中其他行业，</w:t>
            </w:r>
            <w:r>
              <w:rPr>
                <w:rFonts w:hint="eastAsia" w:ascii="Times New Roman" w:hAnsi="Times New Roman" w:eastAsia="宋体" w:cs="Times New Roman"/>
                <w:color w:val="000000"/>
                <w:sz w:val="24"/>
                <w:szCs w:val="24"/>
                <w:lang w:val="en-US" w:eastAsia="zh-CN" w:bidi="ar"/>
              </w:rPr>
              <w:t>项目</w:t>
            </w:r>
            <w:r>
              <w:rPr>
                <w:rFonts w:ascii="Times New Roman" w:hAnsi="Times New Roman" w:eastAsia="宋体" w:cs="Times New Roman"/>
                <w:color w:val="000000"/>
                <w:sz w:val="24"/>
                <w:szCs w:val="24"/>
                <w:lang w:val="en-US" w:eastAsia="zh-CN" w:bidi="ar"/>
              </w:rPr>
              <w:t>类别为Ⅲ类</w:t>
            </w:r>
            <w:r>
              <w:rPr>
                <w:rFonts w:hint="eastAsia" w:ascii="Times New Roman" w:hAnsi="Times New Roman" w:eastAsia="宋体" w:cs="Times New Roman"/>
                <w:color w:val="000000"/>
                <w:sz w:val="24"/>
                <w:szCs w:val="24"/>
                <w:lang w:val="en-US" w:eastAsia="zh-CN" w:bidi="ar"/>
              </w:rPr>
              <w:t>，</w:t>
            </w:r>
            <w:r>
              <w:rPr>
                <w:rFonts w:ascii="Times New Roman" w:hAnsi="Times New Roman" w:eastAsia="宋体" w:cs="Times New Roman"/>
                <w:color w:val="000000"/>
                <w:sz w:val="24"/>
                <w:szCs w:val="24"/>
                <w:lang w:val="en-US" w:eastAsia="zh-CN" w:bidi="ar"/>
              </w:rPr>
              <w:t>可不开展</w:t>
            </w:r>
            <w:r>
              <w:rPr>
                <w:rFonts w:hint="eastAsia" w:ascii="Times New Roman" w:hAnsi="Times New Roman" w:eastAsia="宋体" w:cs="Times New Roman"/>
                <w:color w:val="000000"/>
                <w:sz w:val="24"/>
                <w:szCs w:val="24"/>
                <w:lang w:val="en-US" w:eastAsia="zh-CN" w:bidi="ar"/>
              </w:rPr>
              <w:t>土壤</w:t>
            </w:r>
            <w:r>
              <w:rPr>
                <w:rFonts w:ascii="Times New Roman" w:hAnsi="Times New Roman" w:eastAsia="宋体" w:cs="Times New Roman"/>
                <w:color w:val="000000"/>
                <w:sz w:val="24"/>
                <w:szCs w:val="24"/>
                <w:lang w:val="en-US" w:eastAsia="zh-CN" w:bidi="ar"/>
              </w:rPr>
              <w:t>评价；故本评价不对地下水、土壤环境进行评价。</w:t>
            </w:r>
          </w:p>
          <w:p w14:paraId="3A2B4DC8">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（2）</w:t>
            </w:r>
            <w:r>
              <w:rPr>
                <w:rFonts w:ascii="Times New Roman" w:hAnsi="Times New Roman" w:eastAsia="宋体" w:cs="Times New Roman"/>
                <w:b/>
                <w:bCs/>
                <w:color w:val="000000"/>
                <w:sz w:val="24"/>
                <w:szCs w:val="24"/>
                <w:highlight w:val="none"/>
                <w:lang w:val="en-US" w:eastAsia="zh-CN"/>
              </w:rPr>
              <w:t>土壤环境影响分析</w:t>
            </w:r>
          </w:p>
          <w:p w14:paraId="5E6E1FB0">
            <w:pPr>
              <w:keepNext w:val="0"/>
              <w:keepLines w:val="0"/>
              <w:pageBreakBefore w:val="0"/>
              <w:widowControl/>
              <w:suppressLineNumbers w:val="0"/>
              <w:spacing w:line="360" w:lineRule="auto"/>
              <w:ind w:firstLine="480"/>
              <w:jc w:val="both"/>
              <w:rPr>
                <w:rFonts w:ascii="Times New Roman" w:hAnsi="Times New Roman" w:eastAsia="宋体" w:cs="Times New Roman"/>
                <w:sz w:val="24"/>
                <w:szCs w:val="24"/>
              </w:rPr>
            </w:pPr>
            <w:r>
              <w:rPr>
                <w:rFonts w:ascii="Times New Roman" w:hAnsi="Times New Roman" w:eastAsia="宋体" w:cs="Times New Roman"/>
                <w:color w:val="000000"/>
                <w:sz w:val="24"/>
                <w:szCs w:val="24"/>
                <w:lang w:val="en-US" w:eastAsia="zh-CN" w:bidi="ar"/>
              </w:rPr>
              <w:t>根据《环境影响评价技术导则 土壤环境（试行）》（HJ964-2018），确定项目土壤环境评价工作等级。根据导则附录 A，本项目属于“制造业—设备制造、金属制品、汽车制造及其他用品制造</w:t>
            </w:r>
            <w:r>
              <w:rPr>
                <w:rFonts w:ascii="Times New Roman" w:hAnsi="Times New Roman" w:eastAsia="宋体" w:cs="Times New Roman"/>
                <w:color w:val="000000"/>
                <w:sz w:val="24"/>
                <w:szCs w:val="24"/>
                <w:vertAlign w:val="superscript"/>
                <w:lang w:val="en-US" w:eastAsia="zh-CN" w:bidi="ar"/>
              </w:rPr>
              <w:t>a</w:t>
            </w:r>
            <w:r>
              <w:rPr>
                <w:rFonts w:ascii="Times New Roman" w:hAnsi="Times New Roman" w:eastAsia="宋体" w:cs="Times New Roman"/>
                <w:color w:val="000000"/>
                <w:sz w:val="24"/>
                <w:szCs w:val="24"/>
                <w:lang w:val="en-US" w:eastAsia="zh-CN" w:bidi="ar"/>
              </w:rPr>
              <w:t>—其他”，属于Ⅲ类项目，本项目占地面积为</w:t>
            </w:r>
            <w:r>
              <w:rPr>
                <w:rFonts w:hint="eastAsia" w:ascii="Times New Roman" w:hAnsi="Times New Roman" w:eastAsia="宋体" w:cs="Times New Roman"/>
                <w:color w:val="000000"/>
                <w:sz w:val="24"/>
                <w:szCs w:val="24"/>
                <w:lang w:val="en-US" w:eastAsia="zh-CN" w:bidi="ar"/>
              </w:rPr>
              <w:t>17333.33</w:t>
            </w:r>
            <w:r>
              <w:rPr>
                <w:rFonts w:ascii="Times New Roman" w:hAnsi="Times New Roman" w:eastAsia="宋体" w:cs="Times New Roman"/>
                <w:color w:val="000000"/>
                <w:sz w:val="24"/>
                <w:szCs w:val="24"/>
                <w:lang w:val="en-US" w:eastAsia="zh-CN" w:bidi="ar"/>
              </w:rPr>
              <w:t>m</w:t>
            </w:r>
            <w:r>
              <w:rPr>
                <w:rFonts w:ascii="Times New Roman" w:hAnsi="Times New Roman" w:eastAsia="宋体" w:cs="Times New Roman"/>
                <w:color w:val="000000"/>
                <w:sz w:val="24"/>
                <w:szCs w:val="24"/>
                <w:vertAlign w:val="superscript"/>
                <w:lang w:val="en-US" w:eastAsia="zh-CN" w:bidi="ar"/>
              </w:rPr>
              <w:t>2</w:t>
            </w:r>
            <w:r>
              <w:rPr>
                <w:rFonts w:ascii="Times New Roman" w:hAnsi="Times New Roman" w:eastAsia="宋体" w:cs="Times New Roman"/>
                <w:color w:val="000000"/>
                <w:sz w:val="24"/>
                <w:szCs w:val="24"/>
                <w:lang w:val="en-US" w:eastAsia="zh-CN" w:bidi="ar"/>
              </w:rPr>
              <w:t>，占地规模为小型（≤5hm</w:t>
            </w:r>
            <w:r>
              <w:rPr>
                <w:rFonts w:ascii="Times New Roman" w:hAnsi="Times New Roman" w:eastAsia="宋体" w:cs="Times New Roman"/>
                <w:color w:val="000000"/>
                <w:sz w:val="24"/>
                <w:szCs w:val="24"/>
                <w:vertAlign w:val="superscript"/>
                <w:lang w:val="en-US" w:eastAsia="zh-CN" w:bidi="ar"/>
              </w:rPr>
              <w:t>2</w:t>
            </w:r>
            <w:r>
              <w:rPr>
                <w:rFonts w:ascii="Times New Roman" w:hAnsi="Times New Roman" w:eastAsia="宋体" w:cs="Times New Roman"/>
                <w:color w:val="000000"/>
                <w:sz w:val="24"/>
                <w:szCs w:val="24"/>
                <w:lang w:val="en-US" w:eastAsia="zh-CN" w:bidi="ar"/>
              </w:rPr>
              <w:t>）。本项目位于</w:t>
            </w:r>
            <w:r>
              <w:rPr>
                <w:rFonts w:hint="eastAsia" w:ascii="Times New Roman" w:hAnsi="Times New Roman" w:eastAsia="宋体" w:cs="Times New Roman"/>
                <w:color w:val="000000"/>
                <w:sz w:val="24"/>
                <w:szCs w:val="24"/>
                <w:highlight w:val="none"/>
                <w:lang w:val="en-US" w:eastAsia="zh-CN"/>
              </w:rPr>
              <w:t>云南省德宏州芒市风平镇帕底村芒市糖厂</w:t>
            </w:r>
            <w:r>
              <w:rPr>
                <w:rFonts w:ascii="Times New Roman" w:hAnsi="Times New Roman" w:eastAsia="宋体" w:cs="Times New Roman"/>
                <w:color w:val="000000"/>
                <w:sz w:val="24"/>
                <w:szCs w:val="24"/>
                <w:lang w:val="en-US" w:eastAsia="zh-CN" w:bidi="ar"/>
              </w:rPr>
              <w:t>，根据</w:t>
            </w:r>
            <w:r>
              <w:rPr>
                <w:rFonts w:hint="eastAsia" w:ascii="Times New Roman" w:hAnsi="Times New Roman" w:eastAsia="宋体" w:cs="Times New Roman"/>
                <w:color w:val="000000"/>
                <w:sz w:val="24"/>
                <w:szCs w:val="24"/>
                <w:lang w:val="en-US" w:eastAsia="zh-CN" w:bidi="ar"/>
              </w:rPr>
              <w:t>项目土地证可知</w:t>
            </w:r>
            <w:r>
              <w:rPr>
                <w:rFonts w:ascii="Times New Roman" w:hAnsi="Times New Roman" w:eastAsia="宋体" w:cs="Times New Roman"/>
                <w:color w:val="000000"/>
                <w:sz w:val="24"/>
                <w:szCs w:val="24"/>
                <w:lang w:val="en-US" w:eastAsia="zh-CN" w:bidi="ar"/>
              </w:rPr>
              <w:t>，本项目</w:t>
            </w:r>
            <w:r>
              <w:rPr>
                <w:rFonts w:hint="eastAsia" w:ascii="Times New Roman" w:hAnsi="Times New Roman" w:eastAsia="宋体" w:cs="Times New Roman"/>
                <w:color w:val="000000"/>
                <w:sz w:val="24"/>
                <w:szCs w:val="24"/>
                <w:lang w:val="en-US" w:eastAsia="zh-CN" w:bidi="ar"/>
              </w:rPr>
              <w:t>用地类型</w:t>
            </w:r>
            <w:r>
              <w:rPr>
                <w:rFonts w:ascii="Times New Roman" w:hAnsi="Times New Roman" w:eastAsia="宋体" w:cs="Times New Roman"/>
                <w:color w:val="000000"/>
                <w:sz w:val="24"/>
                <w:szCs w:val="24"/>
                <w:lang w:val="en-US" w:eastAsia="zh-CN" w:bidi="ar"/>
              </w:rPr>
              <w:t xml:space="preserve">为工业用地，属于不敏感区域。因此，本项目可不开展土壤环境影响评价，本次评价仅做简要分析。 </w:t>
            </w:r>
          </w:p>
          <w:p w14:paraId="1D12CCA0">
            <w:pPr>
              <w:keepNext w:val="0"/>
              <w:keepLines w:val="0"/>
              <w:pageBreakBefore w:val="0"/>
              <w:widowControl/>
              <w:suppressLineNumbers w:val="0"/>
              <w:spacing w:line="360" w:lineRule="auto"/>
              <w:ind w:firstLine="480"/>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color w:val="000000"/>
                <w:sz w:val="24"/>
                <w:szCs w:val="24"/>
                <w:lang w:val="en-US" w:eastAsia="zh-CN" w:bidi="ar"/>
              </w:rPr>
              <w:t>根据工程分析，项目无生产废水产生，正常情况下大气污染物经治理后可实现达标排放。若废气治理设施故障，导致有机废气、工艺粉尘未能正常进行处理时，甲醛、非甲烷总烃、颗粒物浓度会大幅上升，未经处理的生产废气经大气沉降进入土壤中，会造成土壤污染；项目废机油</w:t>
            </w:r>
            <w:r>
              <w:rPr>
                <w:rFonts w:hint="eastAsia" w:ascii="Times New Roman" w:hAnsi="Times New Roman" w:eastAsia="宋体" w:cs="Times New Roman"/>
                <w:color w:val="000000"/>
                <w:sz w:val="24"/>
                <w:szCs w:val="24"/>
                <w:lang w:val="en-US" w:eastAsia="zh-CN" w:bidi="ar"/>
              </w:rPr>
              <w:t>、</w:t>
            </w:r>
            <w:r>
              <w:rPr>
                <w:rFonts w:ascii="Times New Roman" w:hAnsi="Times New Roman" w:eastAsia="宋体" w:cs="Times New Roman"/>
                <w:color w:val="000000"/>
                <w:sz w:val="24"/>
                <w:szCs w:val="24"/>
                <w:lang w:val="en-US" w:eastAsia="zh-CN" w:bidi="ar"/>
              </w:rPr>
              <w:t>润滑油若不慎泄露下渗也会造成土壤污染。本环评要求建设单位加强设备维护管理，确保设备运行正常，做好地面硬化，使厂房内沉降废气无法进入土壤；设置独立危废暂存间，存放项目营运期产生的废活性炭、废机油/润滑油等危废，危废暂存间应防流失、防扬散、防渗，避免危险物质通过下渗污染土壤。通过采取上述相应措施后，本项目的生产物料泄漏至土壤的可能性较低，对周边土壤环境影响不大。</w:t>
            </w:r>
          </w:p>
          <w:p w14:paraId="604BF67D">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（七）生态影响</w:t>
            </w:r>
          </w:p>
          <w:p w14:paraId="1307ACDD">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项目位于</w:t>
            </w:r>
            <w:r>
              <w:rPr>
                <w:rFonts w:hint="eastAsia" w:ascii="Times New Roman" w:hAnsi="Times New Roman" w:eastAsia="宋体" w:cs="Times New Roman"/>
                <w:b w:val="0"/>
                <w:bCs w:val="0"/>
                <w:color w:val="000000"/>
                <w:sz w:val="24"/>
                <w:szCs w:val="24"/>
                <w:highlight w:val="none"/>
                <w:lang w:val="en-US" w:eastAsia="zh-CN"/>
              </w:rPr>
              <w:t>云南省德宏州芒市风平镇帕底村芒市糖厂</w:t>
            </w:r>
            <w:r>
              <w:rPr>
                <w:rFonts w:ascii="Times New Roman" w:hAnsi="Times New Roman" w:eastAsia="宋体" w:cs="Times New Roman"/>
                <w:b w:val="0"/>
                <w:bCs w:val="0"/>
                <w:color w:val="000000"/>
                <w:sz w:val="24"/>
                <w:szCs w:val="24"/>
                <w:highlight w:val="none"/>
                <w:lang w:val="en-US" w:eastAsia="zh-CN"/>
              </w:rPr>
              <w:t>，</w:t>
            </w:r>
            <w:r>
              <w:rPr>
                <w:rFonts w:ascii="Times New Roman" w:hAnsi="Times New Roman" w:eastAsia="宋体" w:cs="Times New Roman"/>
                <w:bCs/>
                <w:color w:val="000000"/>
                <w:sz w:val="24"/>
                <w:lang w:val="en-US" w:eastAsia="zh-CN"/>
              </w:rPr>
              <w:t>厂区占地范围现状为</w:t>
            </w:r>
            <w:r>
              <w:rPr>
                <w:rFonts w:hint="eastAsia" w:ascii="Times New Roman" w:hAnsi="Times New Roman" w:eastAsia="宋体" w:cs="Times New Roman"/>
                <w:bCs/>
                <w:color w:val="000000"/>
                <w:sz w:val="24"/>
                <w:lang w:val="en-US" w:eastAsia="zh-CN"/>
              </w:rPr>
              <w:t>待建空地</w:t>
            </w:r>
            <w:r>
              <w:rPr>
                <w:rFonts w:ascii="Times New Roman" w:hAnsi="Times New Roman" w:eastAsia="宋体" w:cs="Times New Roman"/>
                <w:bCs/>
                <w:color w:val="000000"/>
                <w:sz w:val="24"/>
                <w:lang w:val="en-US" w:eastAsia="zh-CN"/>
              </w:rPr>
              <w:t>，</w:t>
            </w:r>
            <w:r>
              <w:rPr>
                <w:rFonts w:hint="eastAsia" w:ascii="Times New Roman" w:hAnsi="Times New Roman" w:eastAsia="宋体" w:cs="Times New Roman"/>
                <w:bCs/>
                <w:color w:val="000000"/>
                <w:sz w:val="24"/>
                <w:lang w:val="en-US" w:eastAsia="zh-CN"/>
              </w:rPr>
              <w:t>根据现场踏勘，</w:t>
            </w:r>
            <w:r>
              <w:rPr>
                <w:rFonts w:ascii="Times New Roman" w:hAnsi="Times New Roman" w:eastAsia="宋体" w:cs="Times New Roman"/>
                <w:bCs/>
                <w:color w:val="000000"/>
                <w:sz w:val="24"/>
                <w:lang w:val="en-US" w:eastAsia="zh-CN"/>
              </w:rPr>
              <w:t>厂</w:t>
            </w:r>
            <w:r>
              <w:rPr>
                <w:rFonts w:ascii="Times New Roman" w:hAnsi="Times New Roman" w:eastAsia="宋体" w:cs="Times New Roman"/>
                <w:color w:val="000000"/>
                <w:sz w:val="24"/>
              </w:rPr>
              <w:t>区内无天然植被分布，</w:t>
            </w:r>
            <w:r>
              <w:rPr>
                <w:rFonts w:ascii="Times New Roman" w:hAnsi="Times New Roman" w:eastAsia="宋体" w:cs="Times New Roman"/>
                <w:color w:val="000000"/>
                <w:sz w:val="24"/>
                <w:lang w:val="en-US" w:eastAsia="zh-CN"/>
              </w:rPr>
              <w:t>项目建设及营运对生态环境影响较小</w:t>
            </w:r>
            <w:r>
              <w:rPr>
                <w:rFonts w:ascii="Times New Roman" w:hAnsi="Times New Roman" w:eastAsia="宋体" w:cs="Times New Roman"/>
                <w:color w:val="000000"/>
                <w:sz w:val="24"/>
              </w:rPr>
              <w:t>。</w:t>
            </w:r>
          </w:p>
          <w:p w14:paraId="3D5A408A">
            <w:pPr>
              <w:keepNext w:val="0"/>
              <w:keepLines w:val="0"/>
              <w:pageBreakBefore w:val="0"/>
              <w:widowControl w:val="0"/>
              <w:spacing w:line="360" w:lineRule="auto"/>
              <w:ind w:left="0" w:right="0" w:firstLine="482"/>
              <w:jc w:val="both"/>
              <w:rPr>
                <w:rFonts w:ascii="Times New Roman" w:hAnsi="Times New Roman" w:eastAsia="宋体" w:cs="Times New Roman"/>
                <w:b/>
                <w:bCs/>
                <w:color w:val="000000"/>
                <w:sz w:val="24"/>
                <w:szCs w:val="24"/>
                <w:highlight w:val="none"/>
                <w:lang w:val="en-US" w:eastAsia="zh-CN"/>
              </w:rPr>
            </w:pPr>
            <w:r>
              <w:rPr>
                <w:rFonts w:ascii="Times New Roman" w:hAnsi="Times New Roman" w:eastAsia="宋体" w:cs="Times New Roman"/>
                <w:b/>
                <w:bCs/>
                <w:color w:val="000000"/>
                <w:sz w:val="24"/>
                <w:szCs w:val="24"/>
                <w:highlight w:val="none"/>
                <w:lang w:val="en-US" w:eastAsia="zh-CN"/>
              </w:rPr>
              <w:t>（</w:t>
            </w:r>
            <w:r>
              <w:rPr>
                <w:rFonts w:hint="eastAsia" w:ascii="Times New Roman" w:hAnsi="Times New Roman" w:eastAsia="宋体" w:cs="Times New Roman"/>
                <w:b/>
                <w:bCs/>
                <w:color w:val="000000"/>
                <w:sz w:val="24"/>
                <w:szCs w:val="24"/>
                <w:highlight w:val="none"/>
                <w:lang w:val="en-US" w:eastAsia="zh-CN"/>
              </w:rPr>
              <w:t>八</w:t>
            </w:r>
            <w:r>
              <w:rPr>
                <w:rFonts w:ascii="Times New Roman" w:hAnsi="Times New Roman" w:eastAsia="宋体" w:cs="Times New Roman"/>
                <w:b/>
                <w:bCs/>
                <w:color w:val="000000"/>
                <w:sz w:val="24"/>
                <w:szCs w:val="24"/>
                <w:highlight w:val="none"/>
                <w:lang w:val="en-US" w:eastAsia="zh-CN"/>
              </w:rPr>
              <w:t>）排污许可证申请</w:t>
            </w:r>
          </w:p>
          <w:p w14:paraId="3F710C7C">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根据《关于做好环境影响评价制度与排污许可制衔接相关工作的通知》，在项目取得经批准的环境影响评价文件及批复文件后，应按照《排污许可证管理办法》、《排污许可证申请与核发技术规范》（HJ942-2018）等要求申请排污许可证，不得无证排污。</w:t>
            </w:r>
          </w:p>
          <w:p w14:paraId="494AF3BA">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r>
              <w:rPr>
                <w:rFonts w:ascii="Times New Roman" w:hAnsi="Times New Roman" w:eastAsia="宋体" w:cs="Times New Roman"/>
                <w:b w:val="0"/>
                <w:bCs w:val="0"/>
                <w:color w:val="000000"/>
                <w:sz w:val="24"/>
                <w:szCs w:val="24"/>
                <w:highlight w:val="none"/>
                <w:lang w:val="en-US" w:eastAsia="zh-CN"/>
              </w:rPr>
              <w:t>根据《固定污染源排污许可分类管理名录（2019年版）》，</w:t>
            </w:r>
            <w:r>
              <w:rPr>
                <w:rFonts w:ascii="Times New Roman" w:hAnsi="Times New Roman" w:eastAsia="宋体" w:cs="Times New Roman"/>
                <w:color w:val="000000"/>
                <w:sz w:val="24"/>
                <w:szCs w:val="21"/>
                <w:highlight w:val="none"/>
              </w:rPr>
              <w:t>本项目属于“十五、木材加工和木、竹、藤、棕、草制品业 20</w:t>
            </w:r>
            <w:r>
              <w:rPr>
                <w:rFonts w:hint="eastAsia" w:ascii="Times New Roman" w:hAnsi="Times New Roman" w:eastAsia="宋体" w:cs="Times New Roman"/>
                <w:color w:val="000000"/>
                <w:sz w:val="24"/>
                <w:szCs w:val="21"/>
                <w:highlight w:val="none"/>
                <w:lang w:eastAsia="zh-CN"/>
              </w:rPr>
              <w:t>”</w:t>
            </w:r>
            <w:r>
              <w:rPr>
                <w:rFonts w:hint="eastAsia" w:ascii="Times New Roman" w:hAnsi="Times New Roman" w:eastAsia="宋体" w:cs="Times New Roman"/>
                <w:color w:val="000000"/>
                <w:sz w:val="24"/>
                <w:szCs w:val="21"/>
                <w:highlight w:val="none"/>
                <w:lang w:val="en-US" w:eastAsia="zh-CN"/>
              </w:rPr>
              <w:t>中“34 木材加工201</w:t>
            </w:r>
            <w:r>
              <w:rPr>
                <w:rFonts w:ascii="Times New Roman" w:hAnsi="Times New Roman" w:eastAsia="宋体" w:cs="Times New Roman"/>
                <w:color w:val="000000"/>
                <w:sz w:val="24"/>
                <w:szCs w:val="21"/>
                <w:highlight w:val="none"/>
              </w:rPr>
              <w:t>”</w:t>
            </w:r>
            <w:r>
              <w:rPr>
                <w:rFonts w:hint="eastAsia" w:ascii="Times New Roman" w:hAnsi="Times New Roman" w:eastAsia="宋体" w:cs="Times New Roman"/>
                <w:color w:val="000000"/>
                <w:sz w:val="24"/>
                <w:szCs w:val="21"/>
                <w:highlight w:val="none"/>
                <w:lang w:val="en-US" w:eastAsia="zh-CN"/>
              </w:rPr>
              <w:t>的“其它”</w:t>
            </w:r>
            <w:r>
              <w:rPr>
                <w:rFonts w:ascii="Times New Roman" w:hAnsi="Times New Roman" w:eastAsia="宋体" w:cs="Times New Roman"/>
                <w:color w:val="000000"/>
                <w:sz w:val="24"/>
                <w:szCs w:val="21"/>
                <w:highlight w:val="none"/>
              </w:rPr>
              <w:t>，</w:t>
            </w:r>
            <w:r>
              <w:rPr>
                <w:rFonts w:hint="eastAsia" w:ascii="Times New Roman" w:hAnsi="Times New Roman" w:eastAsia="宋体" w:cs="Times New Roman"/>
                <w:color w:val="000000"/>
                <w:sz w:val="24"/>
                <w:szCs w:val="21"/>
                <w:highlight w:val="none"/>
                <w:lang w:val="en-US" w:eastAsia="zh-CN"/>
              </w:rPr>
              <w:t>仅需</w:t>
            </w:r>
            <w:r>
              <w:rPr>
                <w:rFonts w:ascii="Times New Roman" w:hAnsi="Times New Roman" w:eastAsia="宋体" w:cs="Times New Roman"/>
                <w:color w:val="000000"/>
                <w:sz w:val="24"/>
                <w:szCs w:val="21"/>
                <w:highlight w:val="none"/>
              </w:rPr>
              <w:t>进行</w:t>
            </w:r>
            <w:r>
              <w:rPr>
                <w:rFonts w:hint="eastAsia" w:ascii="Times New Roman" w:hAnsi="Times New Roman" w:eastAsia="宋体" w:cs="Times New Roman"/>
                <w:color w:val="000000"/>
                <w:sz w:val="24"/>
                <w:szCs w:val="21"/>
                <w:highlight w:val="none"/>
                <w:lang w:val="en-US" w:eastAsia="zh-CN"/>
              </w:rPr>
              <w:t>登记</w:t>
            </w:r>
            <w:r>
              <w:rPr>
                <w:rFonts w:ascii="Times New Roman" w:hAnsi="Times New Roman" w:eastAsia="宋体" w:cs="Times New Roman"/>
                <w:color w:val="000000"/>
                <w:sz w:val="24"/>
                <w:szCs w:val="21"/>
                <w:highlight w:val="none"/>
              </w:rPr>
              <w:t>管理。因此，建设单位应根据HJ 942-2018</w:t>
            </w:r>
            <w:r>
              <w:rPr>
                <w:rFonts w:hint="eastAsia" w:ascii="Times New Roman" w:hAnsi="Times New Roman" w:eastAsia="宋体" w:cs="Times New Roman"/>
                <w:color w:val="000000"/>
                <w:sz w:val="24"/>
                <w:szCs w:val="21"/>
                <w:highlight w:val="none"/>
                <w:lang w:eastAsia="zh-CN"/>
              </w:rPr>
              <w:t>《</w:t>
            </w:r>
            <w:r>
              <w:rPr>
                <w:rFonts w:ascii="Times New Roman" w:hAnsi="Times New Roman" w:eastAsia="宋体" w:cs="Times New Roman"/>
                <w:color w:val="000000"/>
                <w:sz w:val="24"/>
                <w:szCs w:val="21"/>
                <w:highlight w:val="none"/>
              </w:rPr>
              <w:t>排污许可证申请与核发技术规范 总则</w:t>
            </w:r>
            <w:r>
              <w:rPr>
                <w:rFonts w:hint="eastAsia" w:ascii="Times New Roman" w:hAnsi="Times New Roman" w:eastAsia="宋体" w:cs="Times New Roman"/>
                <w:color w:val="000000"/>
                <w:sz w:val="24"/>
                <w:szCs w:val="21"/>
                <w:highlight w:val="none"/>
                <w:lang w:eastAsia="zh-CN"/>
              </w:rPr>
              <w:t>》</w:t>
            </w:r>
            <w:r>
              <w:rPr>
                <w:rFonts w:ascii="Times New Roman" w:hAnsi="Times New Roman" w:eastAsia="宋体" w:cs="Times New Roman"/>
                <w:color w:val="000000"/>
                <w:sz w:val="24"/>
                <w:szCs w:val="21"/>
                <w:highlight w:val="none"/>
              </w:rPr>
              <w:t>到</w:t>
            </w:r>
            <w:r>
              <w:rPr>
                <w:rFonts w:ascii="Times New Roman" w:hAnsi="Times New Roman" w:eastAsia="宋体" w:cs="Times New Roman"/>
                <w:color w:val="000000"/>
                <w:sz w:val="24"/>
                <w:szCs w:val="21"/>
                <w:highlight w:val="none"/>
                <w:lang w:val="en-US" w:eastAsia="zh-CN"/>
              </w:rPr>
              <w:t>德宏州</w:t>
            </w:r>
            <w:r>
              <w:rPr>
                <w:rFonts w:ascii="Times New Roman" w:hAnsi="Times New Roman" w:eastAsia="宋体" w:cs="Times New Roman"/>
                <w:color w:val="000000"/>
                <w:sz w:val="24"/>
                <w:szCs w:val="21"/>
                <w:highlight w:val="none"/>
              </w:rPr>
              <w:t>生态环境局或到全国排污许可证管理信息平台－公开端办理相关排污许可材料。</w:t>
            </w:r>
            <w:r>
              <w:rPr>
                <w:rFonts w:hint="eastAsia" w:ascii="Times New Roman" w:hAnsi="Times New Roman" w:eastAsia="宋体" w:cs="Times New Roman"/>
                <w:b w:val="0"/>
                <w:bCs w:val="0"/>
                <w:color w:val="000000"/>
                <w:sz w:val="24"/>
                <w:szCs w:val="24"/>
                <w:highlight w:val="none"/>
                <w:lang w:val="en-US" w:eastAsia="zh-CN"/>
              </w:rPr>
              <w:t xml:space="preserve"> </w:t>
            </w:r>
          </w:p>
          <w:p w14:paraId="0805A79F">
            <w:pPr>
              <w:spacing w:line="360" w:lineRule="auto"/>
              <w:ind w:firstLine="482"/>
              <w:rPr>
                <w:b/>
                <w:bCs/>
                <w:color w:val="000000"/>
                <w:sz w:val="24"/>
                <w:highlight w:val="none"/>
              </w:rPr>
            </w:pPr>
            <w:r>
              <w:rPr>
                <w:rFonts w:hint="eastAsia" w:ascii="Times New Roman" w:hAnsi="Times New Roman" w:eastAsia="宋体" w:cs="Times New Roman"/>
                <w:b/>
                <w:bCs/>
                <w:color w:val="000000"/>
                <w:sz w:val="24"/>
                <w:szCs w:val="24"/>
                <w:highlight w:val="none"/>
                <w:lang w:val="en-US" w:eastAsia="zh-CN" w:bidi="ar"/>
              </w:rPr>
              <w:t>（九）</w:t>
            </w:r>
            <w:r>
              <w:rPr>
                <w:b/>
                <w:bCs/>
                <w:color w:val="000000"/>
                <w:sz w:val="24"/>
                <w:highlight w:val="none"/>
              </w:rPr>
              <w:t>排污口规范化管理</w:t>
            </w:r>
          </w:p>
          <w:p w14:paraId="6A7B9746">
            <w:pPr>
              <w:keepNext w:val="0"/>
              <w:keepLines w:val="0"/>
              <w:pageBreakBefore w:val="0"/>
              <w:widowControl w:val="0"/>
              <w:numPr>
                <w:ilvl w:val="0"/>
                <w:numId w:val="0"/>
              </w:numPr>
              <w:spacing w:line="360" w:lineRule="auto"/>
              <w:ind w:firstLine="480"/>
              <w:jc w:val="both"/>
              <w:rPr>
                <w:rFonts w:hint="eastAsia"/>
                <w:color w:val="000000"/>
                <w:sz w:val="24"/>
                <w:szCs w:val="24"/>
                <w:highlight w:val="none"/>
              </w:rPr>
            </w:pPr>
            <w:r>
              <w:rPr>
                <w:rFonts w:hint="eastAsia"/>
                <w:color w:val="000000"/>
                <w:sz w:val="24"/>
                <w:szCs w:val="24"/>
                <w:highlight w:val="none"/>
              </w:rPr>
              <w:t>噪声源和固体废物贮存必须按照国家有关规定进行建设，应符合“一明显、二合理、三便于”的要求，即环保标志明显，排污口（接管口）设置合理，便于采集样品、便于监测计量、便于监督管理。同时要求按照国家环保总局制定的《环境保护图形标志实施细则（试行）》的规定，设置与排污口相应的图形标志牌。</w:t>
            </w:r>
          </w:p>
          <w:p w14:paraId="700151F9">
            <w:pPr>
              <w:keepNext w:val="0"/>
              <w:keepLines w:val="0"/>
              <w:pageBreakBefore w:val="0"/>
              <w:widowControl w:val="0"/>
              <w:numPr>
                <w:ilvl w:val="0"/>
                <w:numId w:val="0"/>
              </w:numPr>
              <w:spacing w:line="360" w:lineRule="auto"/>
              <w:ind w:firstLine="482"/>
              <w:jc w:val="both"/>
              <w:rPr>
                <w:b/>
                <w:bCs/>
                <w:color w:val="000000"/>
                <w:sz w:val="24"/>
                <w:szCs w:val="24"/>
                <w:highlight w:val="none"/>
              </w:rPr>
            </w:pPr>
            <w:r>
              <w:rPr>
                <w:rFonts w:hint="eastAsia"/>
                <w:b/>
                <w:bCs/>
                <w:color w:val="000000"/>
                <w:sz w:val="24"/>
                <w:szCs w:val="24"/>
                <w:highlight w:val="none"/>
                <w:lang w:val="en-US" w:eastAsia="zh-CN"/>
              </w:rPr>
              <w:t>1</w:t>
            </w:r>
            <w:r>
              <w:rPr>
                <w:rFonts w:hint="eastAsia"/>
                <w:b/>
                <w:bCs/>
                <w:color w:val="000000"/>
                <w:sz w:val="24"/>
                <w:szCs w:val="24"/>
                <w:highlight w:val="none"/>
              </w:rPr>
              <w:t>、排污口管理</w:t>
            </w:r>
          </w:p>
          <w:p w14:paraId="2361D362">
            <w:pPr>
              <w:keepNext w:val="0"/>
              <w:keepLines w:val="0"/>
              <w:pageBreakBefore w:val="0"/>
              <w:widowControl w:val="0"/>
              <w:numPr>
                <w:ilvl w:val="0"/>
                <w:numId w:val="0"/>
              </w:numPr>
              <w:spacing w:line="360" w:lineRule="auto"/>
              <w:ind w:firstLine="480"/>
              <w:jc w:val="both"/>
              <w:rPr>
                <w:rFonts w:hint="eastAsia"/>
                <w:color w:val="000000"/>
                <w:sz w:val="24"/>
                <w:szCs w:val="24"/>
                <w:highlight w:val="none"/>
              </w:rPr>
            </w:pPr>
            <w:r>
              <w:rPr>
                <w:rFonts w:hint="eastAsia"/>
                <w:color w:val="000000"/>
                <w:sz w:val="24"/>
                <w:szCs w:val="24"/>
                <w:highlight w:val="none"/>
              </w:rPr>
              <w:t>建设单位应在各个排污口处树立标志牌，并如实填写《中华人民共和国规范化排污口标记登记证》，由环保部门签发。环保主管部门和建设单位可分别按以下内容建立排污口管理的专门档案：排污口性质和编号；位置；排放主要污染物种类、数量、浓度；排放去向；达标情况；治理设施运行情况及整改意见。</w:t>
            </w:r>
          </w:p>
          <w:p w14:paraId="59EEEEA5">
            <w:pPr>
              <w:keepNext w:val="0"/>
              <w:keepLines w:val="0"/>
              <w:pageBreakBefore w:val="0"/>
              <w:widowControl w:val="0"/>
              <w:numPr>
                <w:ilvl w:val="0"/>
                <w:numId w:val="0"/>
              </w:numPr>
              <w:spacing w:line="360" w:lineRule="auto"/>
              <w:ind w:firstLine="482"/>
              <w:jc w:val="both"/>
              <w:rPr>
                <w:rFonts w:hint="eastAsia" w:eastAsia="宋体"/>
                <w:b/>
                <w:bCs/>
                <w:color w:val="000000"/>
                <w:sz w:val="24"/>
                <w:szCs w:val="24"/>
                <w:highlight w:val="none"/>
                <w:lang w:val="en-US" w:eastAsia="zh-CN"/>
              </w:rPr>
            </w:pPr>
            <w:r>
              <w:rPr>
                <w:rFonts w:hint="eastAsia"/>
                <w:b/>
                <w:bCs/>
                <w:color w:val="000000"/>
                <w:sz w:val="24"/>
                <w:szCs w:val="24"/>
                <w:highlight w:val="none"/>
                <w:lang w:val="en-US" w:eastAsia="zh-CN"/>
              </w:rPr>
              <w:t>2、环境保护图形标志</w:t>
            </w:r>
          </w:p>
          <w:p w14:paraId="7AD1B28E">
            <w:pPr>
              <w:keepNext w:val="0"/>
              <w:keepLines w:val="0"/>
              <w:pageBreakBefore w:val="0"/>
              <w:widowControl w:val="0"/>
              <w:numPr>
                <w:ilvl w:val="0"/>
                <w:numId w:val="0"/>
              </w:numPr>
              <w:spacing w:line="360" w:lineRule="auto"/>
              <w:ind w:firstLine="480"/>
              <w:jc w:val="both"/>
              <w:rPr>
                <w:color w:val="000000"/>
                <w:sz w:val="24"/>
                <w:szCs w:val="24"/>
                <w:highlight w:val="none"/>
              </w:rPr>
            </w:pPr>
            <w:r>
              <w:rPr>
                <w:rFonts w:hint="eastAsia"/>
                <w:color w:val="000000"/>
                <w:sz w:val="24"/>
                <w:szCs w:val="24"/>
                <w:highlight w:val="none"/>
              </w:rPr>
              <w:t>在厂区的</w:t>
            </w:r>
            <w:r>
              <w:rPr>
                <w:rFonts w:hint="eastAsia"/>
                <w:color w:val="000000"/>
                <w:sz w:val="24"/>
                <w:szCs w:val="24"/>
                <w:highlight w:val="none"/>
                <w:lang w:val="en-US" w:eastAsia="zh-CN"/>
              </w:rPr>
              <w:t>废气排放口、</w:t>
            </w:r>
            <w:r>
              <w:rPr>
                <w:rFonts w:hint="eastAsia"/>
                <w:color w:val="000000"/>
                <w:sz w:val="24"/>
                <w:szCs w:val="24"/>
                <w:highlight w:val="none"/>
              </w:rPr>
              <w:t>噪声排放源、固体废物贮存处置场应设置环境保护图形标志，图形符号分为提示图形和警告图形符号两种，分别按GB15562.1-1995、 GB15562.2-1995执行。环境保护图形标志具体标识见</w:t>
            </w:r>
            <w:r>
              <w:rPr>
                <w:rFonts w:hint="eastAsia"/>
                <w:color w:val="000000"/>
                <w:sz w:val="24"/>
                <w:szCs w:val="24"/>
                <w:highlight w:val="none"/>
                <w:lang w:val="en-US" w:eastAsia="zh-CN"/>
              </w:rPr>
              <w:t>下表</w:t>
            </w:r>
            <w:r>
              <w:rPr>
                <w:rFonts w:hint="eastAsia"/>
                <w:color w:val="000000"/>
                <w:sz w:val="24"/>
                <w:szCs w:val="24"/>
                <w:highlight w:val="none"/>
              </w:rPr>
              <w:t>。标志牌应设在与之功能相应的醒目处，并保持清晰、完整。</w:t>
            </w:r>
          </w:p>
          <w:p w14:paraId="22CE142A">
            <w:pPr>
              <w:tabs>
                <w:tab w:val="left" w:pos="4162"/>
              </w:tabs>
              <w:jc w:val="center"/>
              <w:rPr>
                <w:b/>
                <w:color w:val="000000"/>
                <w:sz w:val="24"/>
                <w:highlight w:val="none"/>
              </w:rPr>
            </w:pPr>
            <w:r>
              <w:rPr>
                <w:b/>
                <w:color w:val="000000"/>
                <w:sz w:val="24"/>
                <w:highlight w:val="none"/>
              </w:rPr>
              <w:t>表4-</w:t>
            </w:r>
            <w:r>
              <w:rPr>
                <w:rFonts w:hint="eastAsia"/>
                <w:b/>
                <w:color w:val="000000"/>
                <w:sz w:val="24"/>
                <w:highlight w:val="none"/>
                <w:lang w:val="en-US" w:eastAsia="zh-CN"/>
              </w:rPr>
              <w:t>10</w:t>
            </w:r>
            <w:r>
              <w:rPr>
                <w:b/>
                <w:color w:val="000000"/>
                <w:sz w:val="24"/>
                <w:highlight w:val="none"/>
              </w:rPr>
              <w:t xml:space="preserve">  排污口图形标志一览表</w:t>
            </w:r>
          </w:p>
          <w:tbl>
            <w:tblPr>
              <w:tblStyle w:val="2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7"/>
              <w:gridCol w:w="2157"/>
              <w:gridCol w:w="1797"/>
              <w:gridCol w:w="1457"/>
              <w:gridCol w:w="3175"/>
            </w:tblGrid>
            <w:tr w14:paraId="610B2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25" w:type="dxa"/>
                  <w:noWrap w:val="0"/>
                  <w:vAlign w:val="center"/>
                </w:tcPr>
                <w:p w14:paraId="2DA09259">
                  <w:pPr>
                    <w:pStyle w:val="261"/>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序号</w:t>
                  </w:r>
                </w:p>
              </w:tc>
              <w:tc>
                <w:tcPr>
                  <w:tcW w:w="1174" w:type="dxa"/>
                  <w:noWrap w:val="0"/>
                  <w:vAlign w:val="center"/>
                </w:tcPr>
                <w:p w14:paraId="5FF8481D">
                  <w:pPr>
                    <w:pStyle w:val="261"/>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提示图形符号</w:t>
                  </w:r>
                </w:p>
              </w:tc>
              <w:tc>
                <w:tcPr>
                  <w:tcW w:w="978" w:type="dxa"/>
                  <w:noWrap w:val="0"/>
                  <w:vAlign w:val="center"/>
                </w:tcPr>
                <w:p w14:paraId="5801DDE7">
                  <w:pPr>
                    <w:pStyle w:val="261"/>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警告图形符号</w:t>
                  </w:r>
                </w:p>
              </w:tc>
              <w:tc>
                <w:tcPr>
                  <w:tcW w:w="793" w:type="dxa"/>
                  <w:noWrap w:val="0"/>
                  <w:vAlign w:val="center"/>
                </w:tcPr>
                <w:p w14:paraId="7F7542E4">
                  <w:pPr>
                    <w:pStyle w:val="261"/>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名称</w:t>
                  </w:r>
                </w:p>
              </w:tc>
              <w:tc>
                <w:tcPr>
                  <w:tcW w:w="1728" w:type="dxa"/>
                  <w:noWrap w:val="0"/>
                  <w:vAlign w:val="center"/>
                </w:tcPr>
                <w:p w14:paraId="585FC155">
                  <w:pPr>
                    <w:pStyle w:val="261"/>
                    <w:jc w:val="center"/>
                    <w:rPr>
                      <w:rFonts w:ascii="Times New Roman" w:hAnsi="Times New Roman" w:cs="Times New Roman"/>
                      <w:b/>
                      <w:color w:val="000000"/>
                      <w:sz w:val="21"/>
                      <w:szCs w:val="21"/>
                      <w:highlight w:val="none"/>
                    </w:rPr>
                  </w:pPr>
                  <w:r>
                    <w:rPr>
                      <w:rFonts w:ascii="Times New Roman" w:hAnsi="Times New Roman" w:cs="Times New Roman"/>
                      <w:b/>
                      <w:color w:val="000000"/>
                      <w:sz w:val="21"/>
                      <w:szCs w:val="21"/>
                      <w:highlight w:val="none"/>
                    </w:rPr>
                    <w:t>功能</w:t>
                  </w:r>
                </w:p>
              </w:tc>
            </w:tr>
            <w:tr w14:paraId="13756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25" w:type="dxa"/>
                  <w:noWrap w:val="0"/>
                  <w:vAlign w:val="center"/>
                </w:tcPr>
                <w:p w14:paraId="61D2F607">
                  <w:pPr>
                    <w:pStyle w:val="261"/>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cs="Times New Roman"/>
                      <w:color w:val="000000"/>
                      <w:sz w:val="21"/>
                      <w:szCs w:val="21"/>
                      <w:highlight w:val="none"/>
                      <w:lang w:val="en-US" w:eastAsia="zh-CN"/>
                    </w:rPr>
                    <w:t>1</w:t>
                  </w:r>
                </w:p>
              </w:tc>
              <w:tc>
                <w:tcPr>
                  <w:tcW w:w="1174" w:type="dxa"/>
                  <w:noWrap w:val="0"/>
                  <w:vAlign w:val="center"/>
                </w:tcPr>
                <w:p w14:paraId="510B6F41">
                  <w:pPr>
                    <w:pStyle w:val="261"/>
                    <w:ind w:firstLine="0"/>
                    <w:jc w:val="center"/>
                    <w:rPr>
                      <w:rFonts w:ascii="Times New Roman" w:hAnsi="Times New Roman" w:cs="Times New Roman"/>
                      <w:color w:val="000000"/>
                      <w:sz w:val="21"/>
                      <w:szCs w:val="21"/>
                      <w:highlight w:val="none"/>
                      <w:lang w:val="en-US" w:eastAsia="en-US" w:bidi="ar-SA"/>
                    </w:rPr>
                  </w:pPr>
                  <w:r>
                    <w:rPr>
                      <w:rFonts w:ascii="Times New Roman" w:hAnsi="Times New Roman" w:cs="Times New Roman"/>
                      <w:color w:val="000000"/>
                      <w:sz w:val="21"/>
                      <w:szCs w:val="21"/>
                      <w:highlight w:val="none"/>
                    </w:rPr>
                    <w:drawing>
                      <wp:inline distT="0" distB="0" distL="0" distR="0">
                        <wp:extent cx="1015365" cy="846455"/>
                        <wp:effectExtent l="0" t="0" r="0" b="0"/>
                        <wp:docPr id="9" name="_x0000_i2066"/>
                        <wp:cNvGraphicFramePr/>
                        <a:graphic xmlns:a="http://schemas.openxmlformats.org/drawingml/2006/main">
                          <a:graphicData uri="http://schemas.openxmlformats.org/drawingml/2006/picture">
                            <pic:pic xmlns:pic="http://schemas.openxmlformats.org/drawingml/2006/picture">
                              <pic:nvPicPr>
                                <pic:cNvPr id="9" name="_x0000_i2066"/>
                                <pic:cNvPicPr/>
                              </pic:nvPicPr>
                              <pic:blipFill>
                                <a:blip r:embed="rId15"/>
                                <a:stretch>
                                  <a:fillRect/>
                                </a:stretch>
                              </pic:blipFill>
                              <pic:spPr>
                                <a:xfrm>
                                  <a:off x="0" y="0"/>
                                  <a:ext cx="1015619" cy="846582"/>
                                </a:xfrm>
                                <a:prstGeom prst="rect">
                                  <a:avLst/>
                                </a:prstGeom>
                                <a:noFill/>
                                <a:ln>
                                  <a:noFill/>
                                </a:ln>
                              </pic:spPr>
                            </pic:pic>
                          </a:graphicData>
                        </a:graphic>
                      </wp:inline>
                    </w:drawing>
                  </w:r>
                </w:p>
              </w:tc>
              <w:tc>
                <w:tcPr>
                  <w:tcW w:w="978" w:type="dxa"/>
                  <w:noWrap w:val="0"/>
                  <w:vAlign w:val="center"/>
                </w:tcPr>
                <w:p w14:paraId="13C433FB">
                  <w:pPr>
                    <w:pStyle w:val="261"/>
                    <w:ind w:firstLine="0"/>
                    <w:jc w:val="center"/>
                    <w:rPr>
                      <w:rFonts w:ascii="Times New Roman" w:hAnsi="Times New Roman" w:cs="Times New Roman"/>
                      <w:color w:val="000000"/>
                      <w:sz w:val="21"/>
                      <w:szCs w:val="21"/>
                      <w:highlight w:val="none"/>
                      <w:lang w:val="en-US" w:eastAsia="en-US" w:bidi="ar-SA"/>
                    </w:rPr>
                  </w:pPr>
                  <w:r>
                    <w:rPr>
                      <w:rFonts w:ascii="Times New Roman" w:hAnsi="Times New Roman" w:cs="Times New Roman"/>
                      <w:color w:val="000000"/>
                      <w:sz w:val="21"/>
                      <w:szCs w:val="21"/>
                      <w:highlight w:val="none"/>
                    </w:rPr>
                    <w:drawing>
                      <wp:inline distT="0" distB="0" distL="0" distR="0">
                        <wp:extent cx="671195" cy="671195"/>
                        <wp:effectExtent l="0" t="0" r="0" b="0"/>
                        <wp:docPr id="10" name="_x0000_i2067"/>
                        <wp:cNvGraphicFramePr/>
                        <a:graphic xmlns:a="http://schemas.openxmlformats.org/drawingml/2006/main">
                          <a:graphicData uri="http://schemas.openxmlformats.org/drawingml/2006/picture">
                            <pic:pic xmlns:pic="http://schemas.openxmlformats.org/drawingml/2006/picture">
                              <pic:nvPicPr>
                                <pic:cNvPr id="10" name="_x0000_i2067"/>
                                <pic:cNvPicPr/>
                              </pic:nvPicPr>
                              <pic:blipFill>
                                <a:blip r:embed="rId16"/>
                                <a:stretch>
                                  <a:fillRect/>
                                </a:stretch>
                              </pic:blipFill>
                              <pic:spPr>
                                <a:xfrm>
                                  <a:off x="0" y="0"/>
                                  <a:ext cx="671530" cy="671530"/>
                                </a:xfrm>
                                <a:prstGeom prst="rect">
                                  <a:avLst/>
                                </a:prstGeom>
                                <a:noFill/>
                                <a:ln>
                                  <a:noFill/>
                                </a:ln>
                              </pic:spPr>
                            </pic:pic>
                          </a:graphicData>
                        </a:graphic>
                      </wp:inline>
                    </w:drawing>
                  </w:r>
                </w:p>
              </w:tc>
              <w:tc>
                <w:tcPr>
                  <w:tcW w:w="793" w:type="dxa"/>
                  <w:noWrap w:val="0"/>
                  <w:vAlign w:val="center"/>
                </w:tcPr>
                <w:p w14:paraId="1B8B9FF6">
                  <w:pPr>
                    <w:pStyle w:val="261"/>
                    <w:ind w:firstLine="0"/>
                    <w:jc w:val="center"/>
                    <w:rPr>
                      <w:rFonts w:ascii="Times New Roman" w:hAnsi="Times New Roman" w:cs="Times New Roman"/>
                      <w:color w:val="000000"/>
                      <w:sz w:val="21"/>
                      <w:szCs w:val="21"/>
                      <w:highlight w:val="none"/>
                      <w:lang w:val="en-US" w:eastAsia="en-US" w:bidi="ar-SA"/>
                    </w:rPr>
                  </w:pPr>
                  <w:r>
                    <w:rPr>
                      <w:rFonts w:ascii="Times New Roman" w:hAnsi="Times New Roman" w:cs="Times New Roman"/>
                      <w:color w:val="000000"/>
                      <w:sz w:val="21"/>
                      <w:szCs w:val="21"/>
                      <w:highlight w:val="none"/>
                    </w:rPr>
                    <w:t>废气排放口</w:t>
                  </w:r>
                </w:p>
              </w:tc>
              <w:tc>
                <w:tcPr>
                  <w:tcW w:w="1728" w:type="dxa"/>
                  <w:noWrap w:val="0"/>
                  <w:vAlign w:val="center"/>
                </w:tcPr>
                <w:p w14:paraId="47990490">
                  <w:pPr>
                    <w:pStyle w:val="261"/>
                    <w:ind w:firstLine="0"/>
                    <w:jc w:val="center"/>
                    <w:rPr>
                      <w:rFonts w:ascii="Times New Roman" w:hAnsi="Times New Roman" w:cs="Times New Roman"/>
                      <w:color w:val="000000"/>
                      <w:sz w:val="21"/>
                      <w:szCs w:val="21"/>
                      <w:highlight w:val="none"/>
                      <w:lang w:val="en-US" w:eastAsia="zh-CN" w:bidi="ar-SA"/>
                    </w:rPr>
                  </w:pPr>
                  <w:r>
                    <w:rPr>
                      <w:rFonts w:ascii="Times New Roman" w:hAnsi="Times New Roman" w:cs="Times New Roman"/>
                      <w:color w:val="000000"/>
                      <w:sz w:val="21"/>
                      <w:szCs w:val="21"/>
                      <w:highlight w:val="none"/>
                      <w:lang w:eastAsia="zh-CN"/>
                    </w:rPr>
                    <w:t>表示废气向大气环境排放</w:t>
                  </w:r>
                </w:p>
              </w:tc>
            </w:tr>
            <w:tr w14:paraId="20F6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25" w:type="dxa"/>
                  <w:noWrap w:val="0"/>
                  <w:vAlign w:val="center"/>
                </w:tcPr>
                <w:p w14:paraId="38F62F4D">
                  <w:pPr>
                    <w:pStyle w:val="261"/>
                    <w:ind w:firstLine="0"/>
                    <w:jc w:val="center"/>
                    <w:rPr>
                      <w:rFonts w:hint="eastAsia" w:ascii="Times New Roman" w:hAnsi="Times New Roman" w:eastAsia="宋体" w:cs="Times New Roman"/>
                      <w:color w:val="000000"/>
                      <w:sz w:val="21"/>
                      <w:szCs w:val="21"/>
                      <w:lang w:val="en-US" w:eastAsia="zh-CN" w:bidi="ar-SA"/>
                    </w:rPr>
                  </w:pPr>
                  <w:r>
                    <w:rPr>
                      <w:rFonts w:hint="eastAsia" w:ascii="Times New Roman" w:hAnsi="Times New Roman" w:cs="Times New Roman"/>
                      <w:color w:val="000000"/>
                      <w:sz w:val="21"/>
                      <w:szCs w:val="21"/>
                      <w:lang w:val="en-US" w:eastAsia="zh-CN"/>
                    </w:rPr>
                    <w:t>2</w:t>
                  </w:r>
                </w:p>
              </w:tc>
              <w:tc>
                <w:tcPr>
                  <w:tcW w:w="1174" w:type="dxa"/>
                  <w:noWrap w:val="0"/>
                  <w:vAlign w:val="center"/>
                </w:tcPr>
                <w:p w14:paraId="2399082A">
                  <w:pPr>
                    <w:pStyle w:val="261"/>
                    <w:ind w:firstLine="0"/>
                    <w:jc w:val="center"/>
                    <w:rPr>
                      <w:rFonts w:ascii="Times New Roman" w:hAnsi="Times New Roman" w:cs="Times New Roman"/>
                      <w:color w:val="000000"/>
                      <w:sz w:val="21"/>
                      <w:szCs w:val="21"/>
                      <w:lang w:val="en-US" w:eastAsia="en-US" w:bidi="ar-SA"/>
                    </w:rPr>
                  </w:pPr>
                  <w:r>
                    <w:rPr>
                      <w:rFonts w:ascii="Times New Roman" w:hAnsi="Times New Roman" w:cs="Times New Roman"/>
                      <w:color w:val="000000"/>
                      <w:sz w:val="21"/>
                      <w:szCs w:val="21"/>
                    </w:rPr>
                    <w:drawing>
                      <wp:inline distT="0" distB="0" distL="0" distR="0">
                        <wp:extent cx="1043305" cy="916940"/>
                        <wp:effectExtent l="0" t="0" r="0" b="0"/>
                        <wp:docPr id="11" name="_x0000_i2068"/>
                        <wp:cNvGraphicFramePr/>
                        <a:graphic xmlns:a="http://schemas.openxmlformats.org/drawingml/2006/main">
                          <a:graphicData uri="http://schemas.openxmlformats.org/drawingml/2006/picture">
                            <pic:pic xmlns:pic="http://schemas.openxmlformats.org/drawingml/2006/picture">
                              <pic:nvPicPr>
                                <pic:cNvPr id="11" name="_x0000_i2068"/>
                                <pic:cNvPicPr/>
                              </pic:nvPicPr>
                              <pic:blipFill>
                                <a:blip r:embed="rId17"/>
                                <a:stretch>
                                  <a:fillRect/>
                                </a:stretch>
                              </pic:blipFill>
                              <pic:spPr>
                                <a:xfrm>
                                  <a:off x="0" y="0"/>
                                  <a:ext cx="1043502" cy="917066"/>
                                </a:xfrm>
                                <a:prstGeom prst="rect">
                                  <a:avLst/>
                                </a:prstGeom>
                                <a:noFill/>
                                <a:ln>
                                  <a:noFill/>
                                </a:ln>
                              </pic:spPr>
                            </pic:pic>
                          </a:graphicData>
                        </a:graphic>
                      </wp:inline>
                    </w:drawing>
                  </w:r>
                </w:p>
              </w:tc>
              <w:tc>
                <w:tcPr>
                  <w:tcW w:w="978" w:type="dxa"/>
                  <w:noWrap w:val="0"/>
                  <w:vAlign w:val="center"/>
                </w:tcPr>
                <w:p w14:paraId="15D217ED">
                  <w:pPr>
                    <w:pStyle w:val="261"/>
                    <w:ind w:firstLine="0"/>
                    <w:jc w:val="center"/>
                    <w:rPr>
                      <w:rFonts w:ascii="Times New Roman" w:hAnsi="Times New Roman" w:cs="Times New Roman"/>
                      <w:color w:val="000000"/>
                      <w:sz w:val="21"/>
                      <w:szCs w:val="21"/>
                      <w:lang w:val="en-US" w:eastAsia="en-US" w:bidi="ar-SA"/>
                    </w:rPr>
                  </w:pPr>
                  <w:r>
                    <w:rPr>
                      <w:rFonts w:ascii="Times New Roman" w:hAnsi="Times New Roman" w:cs="Times New Roman"/>
                      <w:color w:val="000000"/>
                      <w:sz w:val="21"/>
                      <w:szCs w:val="21"/>
                    </w:rPr>
                    <w:drawing>
                      <wp:inline distT="0" distB="0" distL="0" distR="0">
                        <wp:extent cx="703580" cy="651510"/>
                        <wp:effectExtent l="0" t="0" r="0" b="0"/>
                        <wp:docPr id="12" name="_x0000_i2069"/>
                        <wp:cNvGraphicFramePr/>
                        <a:graphic xmlns:a="http://schemas.openxmlformats.org/drawingml/2006/main">
                          <a:graphicData uri="http://schemas.openxmlformats.org/drawingml/2006/picture">
                            <pic:pic xmlns:pic="http://schemas.openxmlformats.org/drawingml/2006/picture">
                              <pic:nvPicPr>
                                <pic:cNvPr id="12" name="_x0000_i2069"/>
                                <pic:cNvPicPr/>
                              </pic:nvPicPr>
                              <pic:blipFill>
                                <a:blip r:embed="rId18"/>
                                <a:stretch>
                                  <a:fillRect/>
                                </a:stretch>
                              </pic:blipFill>
                              <pic:spPr>
                                <a:xfrm>
                                  <a:off x="0" y="0"/>
                                  <a:ext cx="703896" cy="652050"/>
                                </a:xfrm>
                                <a:prstGeom prst="rect">
                                  <a:avLst/>
                                </a:prstGeom>
                                <a:noFill/>
                                <a:ln>
                                  <a:noFill/>
                                </a:ln>
                              </pic:spPr>
                            </pic:pic>
                          </a:graphicData>
                        </a:graphic>
                      </wp:inline>
                    </w:drawing>
                  </w:r>
                </w:p>
              </w:tc>
              <w:tc>
                <w:tcPr>
                  <w:tcW w:w="793" w:type="dxa"/>
                  <w:noWrap w:val="0"/>
                  <w:vAlign w:val="center"/>
                </w:tcPr>
                <w:p w14:paraId="5241A74C">
                  <w:pPr>
                    <w:pStyle w:val="261"/>
                    <w:ind w:firstLine="0"/>
                    <w:jc w:val="center"/>
                    <w:rPr>
                      <w:rFonts w:ascii="Times New Roman" w:hAnsi="Times New Roman" w:cs="Times New Roman"/>
                      <w:color w:val="000000"/>
                      <w:sz w:val="21"/>
                      <w:szCs w:val="21"/>
                      <w:lang w:val="en-US" w:eastAsia="en-US" w:bidi="ar-SA"/>
                    </w:rPr>
                  </w:pPr>
                  <w:r>
                    <w:rPr>
                      <w:rFonts w:ascii="Times New Roman" w:hAnsi="Times New Roman" w:cs="Times New Roman"/>
                      <w:color w:val="000000"/>
                      <w:sz w:val="21"/>
                      <w:szCs w:val="21"/>
                    </w:rPr>
                    <w:t>一般固体废物</w:t>
                  </w:r>
                </w:p>
              </w:tc>
              <w:tc>
                <w:tcPr>
                  <w:tcW w:w="1728" w:type="dxa"/>
                  <w:noWrap w:val="0"/>
                  <w:vAlign w:val="center"/>
                </w:tcPr>
                <w:p w14:paraId="47A4B6B9">
                  <w:pPr>
                    <w:pStyle w:val="261"/>
                    <w:ind w:firstLine="0"/>
                    <w:jc w:val="center"/>
                    <w:rPr>
                      <w:rFonts w:ascii="Times New Roman" w:hAnsi="Times New Roman" w:cs="Times New Roman"/>
                      <w:color w:val="000000"/>
                      <w:sz w:val="21"/>
                      <w:szCs w:val="21"/>
                      <w:lang w:val="en-US" w:eastAsia="zh-CN" w:bidi="ar-SA"/>
                    </w:rPr>
                  </w:pPr>
                  <w:r>
                    <w:rPr>
                      <w:rFonts w:ascii="Times New Roman" w:hAnsi="Times New Roman" w:cs="Times New Roman"/>
                      <w:color w:val="000000"/>
                      <w:sz w:val="21"/>
                      <w:szCs w:val="21"/>
                      <w:lang w:eastAsia="zh-CN"/>
                    </w:rPr>
                    <w:t>表示一般固体废物贮存、处置场</w:t>
                  </w:r>
                </w:p>
              </w:tc>
            </w:tr>
            <w:tr w14:paraId="003D5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87" w:type="dxa"/>
                  <w:noWrap w:val="0"/>
                  <w:vAlign w:val="center"/>
                </w:tcPr>
                <w:p w14:paraId="433AA5BE">
                  <w:pPr>
                    <w:pStyle w:val="261"/>
                    <w:ind w:firstLine="0"/>
                    <w:jc w:val="center"/>
                    <w:rPr>
                      <w:rFonts w:hint="eastAsia" w:ascii="Times New Roman" w:hAnsi="Times New Roman" w:cs="Times New Roman"/>
                      <w:color w:val="000000"/>
                      <w:sz w:val="21"/>
                      <w:szCs w:val="21"/>
                      <w:lang w:val="en-US" w:eastAsia="zh-CN" w:bidi="ar-SA"/>
                    </w:rPr>
                  </w:pPr>
                  <w:r>
                    <w:rPr>
                      <w:rFonts w:ascii="Times New Roman" w:hAnsi="Times New Roman" w:cs="Times New Roman"/>
                      <w:color w:val="000000"/>
                      <w:sz w:val="21"/>
                      <w:szCs w:val="21"/>
                    </w:rPr>
                    <w:t>3</w:t>
                  </w:r>
                </w:p>
              </w:tc>
              <w:tc>
                <w:tcPr>
                  <w:tcW w:w="2120" w:type="dxa"/>
                  <w:noWrap w:val="0"/>
                  <w:vAlign w:val="center"/>
                </w:tcPr>
                <w:p w14:paraId="19468819">
                  <w:pPr>
                    <w:pStyle w:val="261"/>
                    <w:ind w:firstLine="0"/>
                    <w:jc w:val="center"/>
                    <w:rPr>
                      <w:rFonts w:ascii="Times New Roman" w:hAnsi="Times New Roman" w:cs="Times New Roman"/>
                      <w:color w:val="000000"/>
                      <w:sz w:val="21"/>
                      <w:szCs w:val="21"/>
                      <w:lang w:val="en-US" w:eastAsia="en-US" w:bidi="ar-SA"/>
                    </w:rPr>
                  </w:pPr>
                  <w:r>
                    <w:rPr>
                      <w:rFonts w:ascii="Times New Roman" w:hAnsi="Times New Roman" w:cs="Times New Roman"/>
                      <w:color w:val="000000"/>
                      <w:sz w:val="21"/>
                      <w:szCs w:val="21"/>
                    </w:rPr>
                    <w:drawing>
                      <wp:inline distT="0" distB="0" distL="0" distR="0">
                        <wp:extent cx="1068070" cy="909955"/>
                        <wp:effectExtent l="0" t="0" r="0" b="0"/>
                        <wp:docPr id="13" name="_x0000_i2070"/>
                        <wp:cNvGraphicFramePr/>
                        <a:graphic xmlns:a="http://schemas.openxmlformats.org/drawingml/2006/main">
                          <a:graphicData uri="http://schemas.openxmlformats.org/drawingml/2006/picture">
                            <pic:pic xmlns:pic="http://schemas.openxmlformats.org/drawingml/2006/picture">
                              <pic:nvPicPr>
                                <pic:cNvPr id="13" name="_x0000_i2070"/>
                                <pic:cNvPicPr/>
                              </pic:nvPicPr>
                              <pic:blipFill>
                                <a:blip r:embed="rId19"/>
                                <a:stretch>
                                  <a:fillRect/>
                                </a:stretch>
                              </pic:blipFill>
                              <pic:spPr>
                                <a:xfrm>
                                  <a:off x="0" y="0"/>
                                  <a:ext cx="1068582" cy="910564"/>
                                </a:xfrm>
                                <a:prstGeom prst="rect">
                                  <a:avLst/>
                                </a:prstGeom>
                                <a:noFill/>
                                <a:ln>
                                  <a:noFill/>
                                </a:ln>
                              </pic:spPr>
                            </pic:pic>
                          </a:graphicData>
                        </a:graphic>
                      </wp:inline>
                    </w:drawing>
                  </w:r>
                </w:p>
              </w:tc>
              <w:tc>
                <w:tcPr>
                  <w:tcW w:w="1766" w:type="dxa"/>
                  <w:noWrap w:val="0"/>
                  <w:vAlign w:val="center"/>
                </w:tcPr>
                <w:p w14:paraId="152A5FA3">
                  <w:pPr>
                    <w:pStyle w:val="261"/>
                    <w:ind w:firstLine="0"/>
                    <w:jc w:val="center"/>
                    <w:rPr>
                      <w:rFonts w:ascii="Times New Roman" w:hAnsi="Times New Roman" w:cs="Times New Roman"/>
                      <w:color w:val="000000"/>
                      <w:sz w:val="21"/>
                      <w:szCs w:val="21"/>
                      <w:lang w:val="en-US" w:eastAsia="en-US" w:bidi="ar-SA"/>
                    </w:rPr>
                  </w:pPr>
                  <w:r>
                    <w:rPr>
                      <w:rFonts w:ascii="Times New Roman" w:hAnsi="Times New Roman" w:cs="Times New Roman"/>
                      <w:color w:val="000000"/>
                      <w:sz w:val="21"/>
                      <w:szCs w:val="21"/>
                    </w:rPr>
                    <w:drawing>
                      <wp:inline distT="0" distB="0" distL="0" distR="0">
                        <wp:extent cx="746125" cy="663575"/>
                        <wp:effectExtent l="0" t="0" r="0" b="0"/>
                        <wp:docPr id="14" name="_x0000_i2071"/>
                        <wp:cNvGraphicFramePr/>
                        <a:graphic xmlns:a="http://schemas.openxmlformats.org/drawingml/2006/main">
                          <a:graphicData uri="http://schemas.openxmlformats.org/drawingml/2006/picture">
                            <pic:pic xmlns:pic="http://schemas.openxmlformats.org/drawingml/2006/picture">
                              <pic:nvPicPr>
                                <pic:cNvPr id="14" name="_x0000_i2071"/>
                                <pic:cNvPicPr/>
                              </pic:nvPicPr>
                              <pic:blipFill>
                                <a:blip r:embed="rId20"/>
                                <a:stretch>
                                  <a:fillRect/>
                                </a:stretch>
                              </pic:blipFill>
                              <pic:spPr>
                                <a:xfrm>
                                  <a:off x="0" y="0"/>
                                  <a:ext cx="746425" cy="663854"/>
                                </a:xfrm>
                                <a:prstGeom prst="rect">
                                  <a:avLst/>
                                </a:prstGeom>
                                <a:noFill/>
                                <a:ln>
                                  <a:noFill/>
                                </a:ln>
                              </pic:spPr>
                            </pic:pic>
                          </a:graphicData>
                        </a:graphic>
                      </wp:inline>
                    </w:drawing>
                  </w:r>
                </w:p>
              </w:tc>
              <w:tc>
                <w:tcPr>
                  <w:tcW w:w="1432" w:type="dxa"/>
                  <w:noWrap w:val="0"/>
                  <w:vAlign w:val="center"/>
                </w:tcPr>
                <w:p w14:paraId="7B964E53">
                  <w:pPr>
                    <w:pStyle w:val="261"/>
                    <w:ind w:firstLine="0"/>
                    <w:jc w:val="center"/>
                    <w:rPr>
                      <w:rFonts w:ascii="Times New Roman" w:hAnsi="Times New Roman" w:cs="Times New Roman"/>
                      <w:color w:val="000000"/>
                      <w:sz w:val="21"/>
                      <w:szCs w:val="21"/>
                      <w:lang w:val="en-US" w:eastAsia="en-US" w:bidi="ar-SA"/>
                    </w:rPr>
                  </w:pPr>
                  <w:r>
                    <w:rPr>
                      <w:rFonts w:ascii="Times New Roman" w:hAnsi="Times New Roman" w:cs="Times New Roman"/>
                      <w:color w:val="000000"/>
                      <w:sz w:val="21"/>
                      <w:szCs w:val="21"/>
                    </w:rPr>
                    <w:t>噪声排放源</w:t>
                  </w:r>
                </w:p>
              </w:tc>
              <w:tc>
                <w:tcPr>
                  <w:tcW w:w="3119" w:type="dxa"/>
                  <w:noWrap w:val="0"/>
                  <w:vAlign w:val="center"/>
                </w:tcPr>
                <w:p w14:paraId="6A8D194F">
                  <w:pPr>
                    <w:pStyle w:val="261"/>
                    <w:ind w:firstLine="0"/>
                    <w:jc w:val="center"/>
                    <w:rPr>
                      <w:rFonts w:ascii="Times New Roman" w:hAnsi="Times New Roman" w:cs="Times New Roman"/>
                      <w:color w:val="000000"/>
                      <w:sz w:val="21"/>
                      <w:szCs w:val="21"/>
                      <w:lang w:val="en-US" w:eastAsia="zh-CN" w:bidi="ar-SA"/>
                    </w:rPr>
                  </w:pPr>
                  <w:r>
                    <w:rPr>
                      <w:rFonts w:ascii="Times New Roman" w:hAnsi="Times New Roman" w:cs="Times New Roman"/>
                      <w:color w:val="000000"/>
                      <w:sz w:val="21"/>
                      <w:szCs w:val="21"/>
                      <w:lang w:eastAsia="zh-CN"/>
                    </w:rPr>
                    <w:t>表示噪声向外环境排放</w:t>
                  </w:r>
                </w:p>
              </w:tc>
            </w:tr>
            <w:tr w14:paraId="5C100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87" w:type="dxa"/>
                  <w:noWrap w:val="0"/>
                  <w:vAlign w:val="center"/>
                </w:tcPr>
                <w:p w14:paraId="23D022CC">
                  <w:pPr>
                    <w:pStyle w:val="261"/>
                    <w:ind w:firstLine="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4</w:t>
                  </w:r>
                </w:p>
              </w:tc>
              <w:tc>
                <w:tcPr>
                  <w:tcW w:w="2120" w:type="dxa"/>
                  <w:noWrap w:val="0"/>
                  <w:vAlign w:val="center"/>
                </w:tcPr>
                <w:p w14:paraId="1D0FA7E7">
                  <w:pPr>
                    <w:pStyle w:val="261"/>
                    <w:ind w:firstLine="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1766" w:type="dxa"/>
                  <w:noWrap w:val="0"/>
                  <w:vAlign w:val="center"/>
                </w:tcPr>
                <w:p w14:paraId="054D559A">
                  <w:pPr>
                    <w:pStyle w:val="261"/>
                    <w:ind w:firstLine="0"/>
                    <w:jc w:val="center"/>
                    <w:rPr>
                      <w:rFonts w:ascii="Times New Roman" w:hAnsi="Times New Roman" w:cs="Times New Roman"/>
                      <w:color w:val="000000"/>
                      <w:sz w:val="21"/>
                      <w:szCs w:val="21"/>
                    </w:rPr>
                  </w:pPr>
                  <w:r>
                    <w:rPr>
                      <w:rFonts w:ascii="Times New Roman" w:hAnsi="Times New Roman" w:eastAsia="宋体" w:cs="Times New Roman"/>
                      <w:color w:val="000000"/>
                      <w:sz w:val="21"/>
                      <w:szCs w:val="21"/>
                    </w:rPr>
                    <w:drawing>
                      <wp:inline distT="0" distB="0" distL="0" distR="0">
                        <wp:extent cx="768985" cy="666115"/>
                        <wp:effectExtent l="0" t="0" r="0" b="0"/>
                        <wp:docPr id="15" name="_x0000_i2072"/>
                        <wp:cNvGraphicFramePr/>
                        <a:graphic xmlns:a="http://schemas.openxmlformats.org/drawingml/2006/main">
                          <a:graphicData uri="http://schemas.openxmlformats.org/drawingml/2006/picture">
                            <pic:pic xmlns:pic="http://schemas.openxmlformats.org/drawingml/2006/picture">
                              <pic:nvPicPr>
                                <pic:cNvPr id="15" name="_x0000_i2072"/>
                                <pic:cNvPicPr/>
                              </pic:nvPicPr>
                              <pic:blipFill>
                                <a:blip r:embed="rId21"/>
                                <a:stretch>
                                  <a:fillRect/>
                                </a:stretch>
                              </pic:blipFill>
                              <pic:spPr>
                                <a:xfrm>
                                  <a:off x="0" y="0"/>
                                  <a:ext cx="769107" cy="666660"/>
                                </a:xfrm>
                                <a:prstGeom prst="rect">
                                  <a:avLst/>
                                </a:prstGeom>
                                <a:noFill/>
                                <a:ln>
                                  <a:noFill/>
                                </a:ln>
                              </pic:spPr>
                            </pic:pic>
                          </a:graphicData>
                        </a:graphic>
                      </wp:inline>
                    </w:drawing>
                  </w:r>
                </w:p>
              </w:tc>
              <w:tc>
                <w:tcPr>
                  <w:tcW w:w="1432" w:type="dxa"/>
                  <w:noWrap w:val="0"/>
                  <w:vAlign w:val="center"/>
                </w:tcPr>
                <w:p w14:paraId="1D8B85DD">
                  <w:pPr>
                    <w:pStyle w:val="261"/>
                    <w:ind w:firstLine="0"/>
                    <w:jc w:val="center"/>
                    <w:rPr>
                      <w:rFonts w:ascii="Times New Roman" w:hAnsi="Times New Roman" w:cs="Times New Roman"/>
                      <w:color w:val="000000"/>
                      <w:sz w:val="21"/>
                      <w:szCs w:val="21"/>
                    </w:rPr>
                  </w:pPr>
                  <w:r>
                    <w:rPr>
                      <w:rFonts w:ascii="Times New Roman" w:hAnsi="Times New Roman" w:eastAsia="宋体" w:cs="Times New Roman"/>
                      <w:color w:val="000000"/>
                      <w:sz w:val="21"/>
                      <w:szCs w:val="21"/>
                    </w:rPr>
                    <w:t>危险废物</w:t>
                  </w:r>
                </w:p>
              </w:tc>
              <w:tc>
                <w:tcPr>
                  <w:tcW w:w="3120" w:type="dxa"/>
                  <w:noWrap w:val="0"/>
                  <w:vAlign w:val="center"/>
                </w:tcPr>
                <w:p w14:paraId="36DA1225">
                  <w:pPr>
                    <w:pStyle w:val="261"/>
                    <w:ind w:firstLine="0"/>
                    <w:jc w:val="center"/>
                    <w:rPr>
                      <w:rFonts w:ascii="Times New Roman" w:hAnsi="Times New Roman" w:cs="Times New Roman"/>
                      <w:color w:val="000000"/>
                      <w:sz w:val="21"/>
                      <w:szCs w:val="21"/>
                      <w:lang w:eastAsia="zh-CN"/>
                    </w:rPr>
                  </w:pPr>
                  <w:r>
                    <w:rPr>
                      <w:rFonts w:ascii="Times New Roman" w:hAnsi="Times New Roman" w:eastAsia="宋体" w:cs="Times New Roman"/>
                      <w:color w:val="000000"/>
                      <w:sz w:val="21"/>
                      <w:szCs w:val="21"/>
                      <w:lang w:eastAsia="zh-CN"/>
                    </w:rPr>
                    <w:t>表示危险废物贮存、处置场</w:t>
                  </w:r>
                </w:p>
              </w:tc>
            </w:tr>
          </w:tbl>
          <w:p w14:paraId="439B9180">
            <w:pPr>
              <w:keepNext w:val="0"/>
              <w:keepLines w:val="0"/>
              <w:pageBreakBefore w:val="0"/>
              <w:widowControl w:val="0"/>
              <w:numPr>
                <w:ilvl w:val="0"/>
                <w:numId w:val="0"/>
              </w:numPr>
              <w:spacing w:before="157" w:line="360" w:lineRule="auto"/>
              <w:ind w:firstLine="482"/>
              <w:jc w:val="both"/>
              <w:rPr>
                <w:rFonts w:ascii="Times New Roman" w:hAnsi="Times New Roman" w:eastAsia="宋体" w:cs="Times New Roman"/>
                <w:b/>
                <w:bCs/>
                <w:color w:val="000000"/>
                <w:sz w:val="24"/>
                <w:szCs w:val="24"/>
                <w:highlight w:val="none"/>
                <w:lang w:val="en-US" w:eastAsia="zh-CN" w:bidi="ar"/>
              </w:rPr>
            </w:pPr>
            <w:r>
              <w:rPr>
                <w:rFonts w:hint="eastAsia" w:ascii="Times New Roman" w:hAnsi="Times New Roman" w:eastAsia="宋体" w:cs="Times New Roman"/>
                <w:b/>
                <w:bCs/>
                <w:color w:val="000000"/>
                <w:sz w:val="24"/>
                <w:szCs w:val="24"/>
                <w:highlight w:val="none"/>
                <w:lang w:val="en-US" w:eastAsia="zh-CN"/>
              </w:rPr>
              <w:t>（十）</w:t>
            </w:r>
            <w:r>
              <w:rPr>
                <w:rFonts w:ascii="Times New Roman" w:hAnsi="Times New Roman" w:eastAsia="宋体" w:cs="Times New Roman"/>
                <w:b/>
                <w:bCs/>
                <w:color w:val="000000"/>
                <w:sz w:val="24"/>
                <w:szCs w:val="24"/>
                <w:highlight w:val="none"/>
                <w:lang w:val="en-US" w:eastAsia="zh-CN" w:bidi="ar"/>
              </w:rPr>
              <w:t>环境管理与监测计划</w:t>
            </w:r>
          </w:p>
          <w:p w14:paraId="6CCBA70A">
            <w:pPr>
              <w:pStyle w:val="234"/>
              <w:spacing w:line="360" w:lineRule="auto"/>
              <w:ind w:firstLine="482"/>
              <w:rPr>
                <w:rFonts w:hint="eastAsia" w:ascii="Times New Roman" w:cs="Times New Roman"/>
                <w:b/>
                <w:bCs/>
                <w:color w:val="000000"/>
                <w:highlight w:val="none"/>
              </w:rPr>
            </w:pPr>
            <w:r>
              <w:rPr>
                <w:rFonts w:hint="eastAsia" w:ascii="Times New Roman" w:cs="Times New Roman"/>
                <w:b/>
                <w:bCs/>
                <w:color w:val="000000"/>
                <w:highlight w:val="none"/>
              </w:rPr>
              <w:t>1、环境管理</w:t>
            </w:r>
          </w:p>
          <w:p w14:paraId="7217F42E">
            <w:pPr>
              <w:pStyle w:val="234"/>
              <w:spacing w:line="360" w:lineRule="auto"/>
              <w:ind w:firstLine="480"/>
              <w:rPr>
                <w:rFonts w:hint="eastAsia" w:ascii="Times New Roman" w:cs="Times New Roman"/>
                <w:b w:val="0"/>
                <w:bCs w:val="0"/>
                <w:color w:val="000000"/>
                <w:highlight w:val="none"/>
              </w:rPr>
            </w:pPr>
            <w:r>
              <w:rPr>
                <w:rFonts w:hint="eastAsia" w:ascii="Times New Roman" w:cs="Times New Roman"/>
                <w:b w:val="0"/>
                <w:bCs w:val="0"/>
                <w:color w:val="000000"/>
                <w:highlight w:val="none"/>
              </w:rPr>
              <w:t>（1）建立环保档案，包括环评报告、环保工程</w:t>
            </w:r>
            <w:r>
              <w:rPr>
                <w:rFonts w:hint="eastAsia" w:ascii="Times New Roman" w:cs="Times New Roman"/>
                <w:b w:val="0"/>
                <w:bCs w:val="0"/>
                <w:color w:val="000000"/>
                <w:highlight w:val="none"/>
                <w:lang w:val="en-US" w:eastAsia="zh-CN"/>
              </w:rPr>
              <w:t>竣工</w:t>
            </w:r>
            <w:r>
              <w:rPr>
                <w:rFonts w:hint="eastAsia" w:ascii="Times New Roman" w:cs="Times New Roman"/>
                <w:b w:val="0"/>
                <w:bCs w:val="0"/>
                <w:color w:val="000000"/>
                <w:highlight w:val="none"/>
              </w:rPr>
              <w:t>验收报告、污染源监测报告、环保设备运行记录以及其他环境统计资料，掌握企业排污情况的污染现状，贯彻预防为主的方针，发现问题，及时采取措施。汇总、编报环保年度计划及规划并监督、检查执行情况，定期向当地环境保护行政主管部门汇报。</w:t>
            </w:r>
          </w:p>
          <w:p w14:paraId="18D67B49">
            <w:pPr>
              <w:pStyle w:val="234"/>
              <w:spacing w:line="360" w:lineRule="auto"/>
              <w:ind w:firstLine="480"/>
              <w:rPr>
                <w:rFonts w:hint="eastAsia" w:ascii="Times New Roman" w:cs="Times New Roman"/>
                <w:b w:val="0"/>
                <w:bCs w:val="0"/>
                <w:color w:val="000000"/>
                <w:highlight w:val="none"/>
              </w:rPr>
            </w:pPr>
            <w:r>
              <w:rPr>
                <w:rFonts w:hint="eastAsia" w:ascii="Times New Roman" w:cs="Times New Roman"/>
                <w:b w:val="0"/>
                <w:bCs w:val="0"/>
                <w:color w:val="000000"/>
                <w:highlight w:val="none"/>
              </w:rPr>
              <w:t>（2）控制和预防污染，加强生产设备的管理与维护，严防非正常工况事故的发生，确保环保设施正常运行，并指定专人负责对环保设备的大、中修的质量验收。</w:t>
            </w:r>
          </w:p>
          <w:p w14:paraId="4DF24668">
            <w:pPr>
              <w:pStyle w:val="234"/>
              <w:spacing w:line="360" w:lineRule="auto"/>
              <w:ind w:firstLine="480"/>
              <w:rPr>
                <w:rFonts w:hint="eastAsia" w:ascii="Times New Roman" w:cs="Times New Roman"/>
                <w:b w:val="0"/>
                <w:bCs w:val="0"/>
                <w:color w:val="000000"/>
                <w:highlight w:val="none"/>
              </w:rPr>
            </w:pPr>
            <w:r>
              <w:rPr>
                <w:rFonts w:hint="eastAsia" w:ascii="Times New Roman" w:cs="Times New Roman"/>
                <w:b w:val="0"/>
                <w:bCs w:val="0"/>
                <w:color w:val="000000"/>
                <w:highlight w:val="none"/>
              </w:rPr>
              <w:t>（3）认真对待和组织突发性污染事故的善后处理，追查事故原因，杜绝事故遗留隐患，并参照企业管理规章，提出对事故责任人的处理意见，上报公司管理层。</w:t>
            </w:r>
          </w:p>
          <w:p w14:paraId="3B0E71DF">
            <w:pPr>
              <w:pStyle w:val="234"/>
              <w:spacing w:line="360" w:lineRule="auto"/>
              <w:ind w:firstLine="482"/>
              <w:rPr>
                <w:rFonts w:hint="eastAsia" w:ascii="Times New Roman" w:cs="Times New Roman"/>
                <w:b/>
                <w:bCs/>
                <w:color w:val="000000"/>
                <w:highlight w:val="none"/>
              </w:rPr>
            </w:pPr>
            <w:r>
              <w:rPr>
                <w:rFonts w:hint="eastAsia" w:ascii="Times New Roman" w:cs="Times New Roman"/>
                <w:b/>
                <w:bCs/>
                <w:color w:val="000000"/>
                <w:highlight w:val="none"/>
              </w:rPr>
              <w:t>2、机构设置</w:t>
            </w:r>
          </w:p>
          <w:p w14:paraId="3FA2F56F">
            <w:pPr>
              <w:pStyle w:val="234"/>
              <w:spacing w:line="360" w:lineRule="auto"/>
              <w:ind w:firstLine="480"/>
              <w:rPr>
                <w:rFonts w:hint="eastAsia" w:ascii="Times New Roman" w:cs="Times New Roman"/>
                <w:b w:val="0"/>
                <w:bCs w:val="0"/>
                <w:color w:val="000000"/>
                <w:highlight w:val="none"/>
              </w:rPr>
            </w:pPr>
            <w:r>
              <w:rPr>
                <w:rFonts w:hint="eastAsia" w:ascii="Times New Roman" w:cs="Times New Roman"/>
                <w:b w:val="0"/>
                <w:bCs w:val="0"/>
                <w:color w:val="000000"/>
                <w:highlight w:val="none"/>
              </w:rPr>
              <w:t>根据公司的实际情况，公司应配置1名兼职环保管理人员。负责厂区的环境管理工作，要及时提出存在的主要环境问题及有关建议，针对站点实际情况建立相应的环保规章制度，有效地落实环保措施，其主要职能应包括：</w:t>
            </w:r>
          </w:p>
          <w:p w14:paraId="301DC14C">
            <w:pPr>
              <w:pStyle w:val="234"/>
              <w:spacing w:line="360" w:lineRule="auto"/>
              <w:ind w:firstLine="480"/>
              <w:rPr>
                <w:rFonts w:hint="eastAsia" w:ascii="Times New Roman" w:cs="Times New Roman"/>
                <w:b w:val="0"/>
                <w:bCs w:val="0"/>
                <w:color w:val="000000"/>
                <w:highlight w:val="none"/>
              </w:rPr>
            </w:pPr>
            <w:r>
              <w:rPr>
                <w:rFonts w:hint="eastAsia" w:ascii="Times New Roman" w:cs="Times New Roman"/>
                <w:b w:val="0"/>
                <w:bCs w:val="0"/>
                <w:color w:val="000000"/>
                <w:highlight w:val="none"/>
              </w:rPr>
              <w:t>（1）贯彻执行国家、地方和上级主管部门制定的环境保护方针、政策、法令和法规；</w:t>
            </w:r>
          </w:p>
          <w:p w14:paraId="62F6C2D8">
            <w:pPr>
              <w:pStyle w:val="234"/>
              <w:spacing w:line="360" w:lineRule="auto"/>
              <w:ind w:firstLine="480"/>
              <w:rPr>
                <w:rFonts w:hint="eastAsia" w:ascii="Times New Roman" w:cs="Times New Roman"/>
                <w:b w:val="0"/>
                <w:bCs w:val="0"/>
                <w:color w:val="000000"/>
                <w:highlight w:val="none"/>
              </w:rPr>
            </w:pPr>
            <w:r>
              <w:rPr>
                <w:rFonts w:hint="eastAsia" w:ascii="Times New Roman" w:cs="Times New Roman"/>
                <w:b w:val="0"/>
                <w:bCs w:val="0"/>
                <w:color w:val="000000"/>
                <w:highlight w:val="none"/>
              </w:rPr>
              <w:t>（2）负责全公司环境保护工作计划的制定和实施；</w:t>
            </w:r>
          </w:p>
          <w:p w14:paraId="6C1E9E0C">
            <w:pPr>
              <w:pStyle w:val="234"/>
              <w:spacing w:line="360" w:lineRule="auto"/>
              <w:ind w:firstLine="480"/>
              <w:rPr>
                <w:rFonts w:hint="eastAsia" w:ascii="Times New Roman" w:cs="Times New Roman"/>
                <w:b w:val="0"/>
                <w:bCs w:val="0"/>
                <w:color w:val="000000"/>
                <w:highlight w:val="none"/>
              </w:rPr>
            </w:pPr>
            <w:r>
              <w:rPr>
                <w:rFonts w:hint="eastAsia" w:ascii="Times New Roman" w:cs="Times New Roman"/>
                <w:b w:val="0"/>
                <w:bCs w:val="0"/>
                <w:color w:val="000000"/>
                <w:highlight w:val="none"/>
              </w:rPr>
              <w:t>（3）监督环保设施的运行及污染源控制，并负责对污染事故的调查处理；</w:t>
            </w:r>
          </w:p>
          <w:p w14:paraId="1B0920D4">
            <w:pPr>
              <w:pStyle w:val="234"/>
              <w:spacing w:line="360" w:lineRule="auto"/>
              <w:ind w:firstLine="480"/>
              <w:rPr>
                <w:rFonts w:hint="eastAsia" w:ascii="Times New Roman" w:cs="Times New Roman"/>
                <w:b w:val="0"/>
                <w:bCs w:val="0"/>
                <w:color w:val="000000"/>
                <w:highlight w:val="none"/>
              </w:rPr>
            </w:pPr>
            <w:r>
              <w:rPr>
                <w:rFonts w:hint="eastAsia" w:ascii="Times New Roman" w:cs="Times New Roman"/>
                <w:b w:val="0"/>
                <w:bCs w:val="0"/>
                <w:color w:val="000000"/>
                <w:highlight w:val="none"/>
              </w:rPr>
              <w:t>（4）组织落实以环境保护为主要内容的技术措施、方案，监督“三同时”执行情况；</w:t>
            </w:r>
          </w:p>
          <w:p w14:paraId="13EC2EFF">
            <w:pPr>
              <w:pStyle w:val="234"/>
              <w:spacing w:line="360" w:lineRule="auto"/>
              <w:ind w:firstLine="480"/>
              <w:rPr>
                <w:rFonts w:hint="eastAsia" w:ascii="Times New Roman" w:cs="Times New Roman"/>
                <w:b w:val="0"/>
                <w:bCs w:val="0"/>
                <w:color w:val="000000"/>
                <w:highlight w:val="none"/>
              </w:rPr>
            </w:pPr>
            <w:r>
              <w:rPr>
                <w:rFonts w:hint="eastAsia" w:ascii="Times New Roman" w:cs="Times New Roman"/>
                <w:b w:val="0"/>
                <w:bCs w:val="0"/>
                <w:color w:val="000000"/>
                <w:highlight w:val="none"/>
              </w:rPr>
              <w:t>（5）组织环境管理宣传教育和技术交流活动，掌握最新环境保护动态以及有关信息。</w:t>
            </w:r>
          </w:p>
          <w:p w14:paraId="3D391FBF">
            <w:pPr>
              <w:pStyle w:val="234"/>
              <w:spacing w:line="360" w:lineRule="auto"/>
              <w:ind w:firstLine="482"/>
              <w:rPr>
                <w:rFonts w:hint="eastAsia" w:ascii="Times New Roman" w:cs="Times New Roman"/>
                <w:b/>
                <w:bCs/>
                <w:color w:val="000000"/>
                <w:highlight w:val="none"/>
              </w:rPr>
            </w:pPr>
            <w:r>
              <w:rPr>
                <w:rFonts w:hint="eastAsia" w:ascii="Times New Roman" w:cs="Times New Roman"/>
                <w:b/>
                <w:bCs/>
                <w:color w:val="000000"/>
                <w:highlight w:val="none"/>
              </w:rPr>
              <w:t>3、环境管理制度制定</w:t>
            </w:r>
          </w:p>
          <w:p w14:paraId="4A93ED53">
            <w:pPr>
              <w:pStyle w:val="234"/>
              <w:spacing w:line="360" w:lineRule="auto"/>
              <w:ind w:firstLine="480"/>
              <w:rPr>
                <w:rFonts w:ascii="Times New Roman" w:cs="Times New Roman"/>
                <w:b w:val="0"/>
                <w:bCs w:val="0"/>
                <w:color w:val="000000"/>
                <w:highlight w:val="none"/>
              </w:rPr>
            </w:pPr>
            <w:r>
              <w:rPr>
                <w:rFonts w:hint="eastAsia" w:ascii="Times New Roman" w:cs="Times New Roman"/>
                <w:b w:val="0"/>
                <w:bCs w:val="0"/>
                <w:color w:val="000000"/>
                <w:highlight w:val="none"/>
              </w:rPr>
              <w:t>制定相应的企业环境保护制度。如：“三废综合利用方法”、“颗粒物排放及管理规定”、“排污申报管理制度”、“环境保护奖惩条例”、“固废清运管理台账”等，危废应实行转移联单制，针对危险废物在转移、运输、处置过程中的监管措施，并建立环保设施的技术档案，使环境管理工作有法可依，有章可循，并逐步纳入法制化、标准化轨道。</w:t>
            </w:r>
          </w:p>
          <w:p w14:paraId="414418F2">
            <w:pPr>
              <w:keepNext w:val="0"/>
              <w:keepLines w:val="0"/>
              <w:pageBreakBefore w:val="0"/>
              <w:widowControl w:val="0"/>
              <w:spacing w:line="360" w:lineRule="auto"/>
              <w:ind w:left="0" w:right="0" w:firstLine="482"/>
              <w:jc w:val="both"/>
              <w:rPr>
                <w:rFonts w:hint="eastAsia"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4、环境监测计划</w:t>
            </w:r>
          </w:p>
          <w:p w14:paraId="46319450">
            <w:pPr>
              <w:keepNext w:val="0"/>
              <w:keepLines w:val="0"/>
              <w:pageBreakBefore w:val="0"/>
              <w:widowControl w:val="0"/>
              <w:spacing w:line="360" w:lineRule="auto"/>
              <w:ind w:left="0" w:right="0" w:firstLine="482"/>
              <w:jc w:val="both"/>
              <w:rPr>
                <w:rFonts w:hint="eastAsia"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（1）污染物排放监测</w:t>
            </w:r>
          </w:p>
          <w:p w14:paraId="42066BFA">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根据《排污单位自行监技术指南 总则》（HJ819-2017）、《固定源废气监测技术规范》（HJ/T397-2007）、《大气污染物无组织排放监技术导则》（HJ/T55-2000）等要求，项目常规监测包括大气污染源、噪声污染源等，详见下表。</w:t>
            </w:r>
          </w:p>
          <w:p w14:paraId="35391E82">
            <w:pPr>
              <w:keepNext w:val="0"/>
              <w:keepLines w:val="0"/>
              <w:pageBreakBefore w:val="0"/>
              <w:widowControl w:val="0"/>
              <w:suppressLineNumbers w:val="0"/>
              <w:spacing w:before="0" w:beforeAutospacing="0" w:after="0" w:afterAutospacing="0" w:line="240" w:lineRule="auto"/>
              <w:ind w:left="0" w:right="0" w:firstLine="0"/>
              <w:jc w:val="center"/>
              <w:rPr>
                <w:rFonts w:hint="eastAsia" w:ascii="Times New Roman" w:hAnsi="Times New Roman" w:eastAsia="宋体" w:cs="Times New Roman"/>
                <w:b/>
                <w:color w:val="000000"/>
                <w:sz w:val="24"/>
                <w:highlight w:val="none"/>
                <w:lang w:val="en-US" w:eastAsia="zh-CN"/>
              </w:rPr>
            </w:pPr>
            <w:r>
              <w:rPr>
                <w:rFonts w:hint="eastAsia" w:ascii="Times New Roman" w:hAnsi="Times New Roman" w:eastAsia="宋体" w:cs="Times New Roman"/>
                <w:b/>
                <w:color w:val="000000"/>
                <w:sz w:val="24"/>
                <w:highlight w:val="none"/>
                <w:lang w:val="en-US" w:eastAsia="zh-CN"/>
              </w:rPr>
              <w:t>表4-11  项目环境监测计划一览表</w:t>
            </w:r>
          </w:p>
          <w:tbl>
            <w:tblPr>
              <w:tblStyle w:val="2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7"/>
              <w:gridCol w:w="891"/>
              <w:gridCol w:w="1738"/>
              <w:gridCol w:w="1393"/>
              <w:gridCol w:w="1249"/>
              <w:gridCol w:w="2401"/>
              <w:gridCol w:w="944"/>
            </w:tblGrid>
            <w:tr w14:paraId="2D119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23" w:hRule="atLeast"/>
                <w:jc w:val="center"/>
              </w:trPr>
              <w:tc>
                <w:tcPr>
                  <w:tcW w:w="618" w:type="dxa"/>
                  <w:noWrap w:val="0"/>
                  <w:vAlign w:val="center"/>
                </w:tcPr>
                <w:p w14:paraId="558EFC33">
                  <w:pPr>
                    <w:widowControl/>
                    <w:jc w:val="center"/>
                    <w:rPr>
                      <w:rFonts w:hint="eastAsia" w:ascii="Times New Roman" w:hAnsi="Times New Roman" w:eastAsia="宋体" w:cs="Times New Roman"/>
                      <w:b/>
                      <w:bCs/>
                      <w:color w:val="000000"/>
                      <w:sz w:val="21"/>
                      <w:szCs w:val="21"/>
                      <w:highlight w:val="none"/>
                      <w:lang w:val="en-US" w:eastAsia="zh-CN"/>
                    </w:rPr>
                  </w:pPr>
                  <w:r>
                    <w:rPr>
                      <w:rFonts w:hint="eastAsia" w:ascii="Times New Roman" w:hAnsi="Times New Roman" w:eastAsia="宋体" w:cs="Times New Roman"/>
                      <w:b/>
                      <w:bCs/>
                      <w:color w:val="000000"/>
                      <w:sz w:val="21"/>
                      <w:szCs w:val="21"/>
                      <w:highlight w:val="none"/>
                      <w:lang w:val="en-US" w:eastAsia="zh-CN"/>
                    </w:rPr>
                    <w:t>监测类别</w:t>
                  </w:r>
                </w:p>
              </w:tc>
              <w:tc>
                <w:tcPr>
                  <w:tcW w:w="1060" w:type="dxa"/>
                  <w:noWrap w:val="0"/>
                  <w:vAlign w:val="center"/>
                </w:tcPr>
                <w:p w14:paraId="3A32FEFB">
                  <w:pPr>
                    <w:widowControl/>
                    <w:jc w:val="center"/>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监测点位</w:t>
                  </w:r>
                </w:p>
              </w:tc>
              <w:tc>
                <w:tcPr>
                  <w:tcW w:w="851" w:type="dxa"/>
                  <w:noWrap w:val="0"/>
                  <w:vAlign w:val="center"/>
                </w:tcPr>
                <w:p w14:paraId="31DB473A">
                  <w:pPr>
                    <w:widowControl/>
                    <w:jc w:val="center"/>
                    <w:rPr>
                      <w:rFonts w:hint="eastAsia" w:ascii="Times New Roman" w:hAnsi="Times New Roman" w:eastAsia="宋体" w:cs="Times New Roman"/>
                      <w:b/>
                      <w:bCs/>
                      <w:color w:val="000000"/>
                      <w:sz w:val="21"/>
                      <w:szCs w:val="21"/>
                      <w:highlight w:val="none"/>
                      <w:lang w:eastAsia="zh-CN"/>
                    </w:rPr>
                  </w:pPr>
                  <w:r>
                    <w:rPr>
                      <w:rFonts w:ascii="Times New Roman" w:hAnsi="Times New Roman" w:eastAsia="宋体" w:cs="Times New Roman"/>
                      <w:b/>
                      <w:bCs/>
                      <w:color w:val="000000"/>
                      <w:sz w:val="21"/>
                      <w:szCs w:val="21"/>
                      <w:highlight w:val="none"/>
                    </w:rPr>
                    <w:t>监测</w:t>
                  </w:r>
                  <w:r>
                    <w:rPr>
                      <w:rFonts w:hint="eastAsia" w:ascii="Times New Roman" w:hAnsi="Times New Roman" w:eastAsia="宋体" w:cs="Times New Roman"/>
                      <w:b/>
                      <w:bCs/>
                      <w:color w:val="000000"/>
                      <w:sz w:val="21"/>
                      <w:szCs w:val="21"/>
                      <w:highlight w:val="none"/>
                      <w:lang w:val="en-US" w:eastAsia="zh-CN"/>
                    </w:rPr>
                    <w:t>因子</w:t>
                  </w:r>
                </w:p>
              </w:tc>
              <w:tc>
                <w:tcPr>
                  <w:tcW w:w="460" w:type="dxa"/>
                  <w:noWrap w:val="0"/>
                  <w:vAlign w:val="center"/>
                </w:tcPr>
                <w:p w14:paraId="46D274F7">
                  <w:pPr>
                    <w:widowControl/>
                    <w:jc w:val="center"/>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监测频率</w:t>
                  </w:r>
                </w:p>
              </w:tc>
              <w:tc>
                <w:tcPr>
                  <w:tcW w:w="1550" w:type="dxa"/>
                  <w:noWrap w:val="0"/>
                  <w:vAlign w:val="center"/>
                </w:tcPr>
                <w:p w14:paraId="5A78BC99">
                  <w:pPr>
                    <w:widowControl/>
                    <w:jc w:val="center"/>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执行标准</w:t>
                  </w:r>
                </w:p>
              </w:tc>
              <w:tc>
                <w:tcPr>
                  <w:tcW w:w="458" w:type="dxa"/>
                  <w:noWrap w:val="0"/>
                  <w:vAlign w:val="center"/>
                </w:tcPr>
                <w:p w14:paraId="6A69438B">
                  <w:pPr>
                    <w:widowControl/>
                    <w:jc w:val="center"/>
                    <w:rPr>
                      <w:rFonts w:hint="eastAsia" w:ascii="Times New Roman" w:hAnsi="Times New Roman" w:eastAsia="宋体" w:cs="Times New Roman"/>
                      <w:b/>
                      <w:bCs/>
                      <w:color w:val="000000"/>
                      <w:sz w:val="21"/>
                      <w:szCs w:val="21"/>
                      <w:highlight w:val="none"/>
                      <w:lang w:val="en-US" w:eastAsia="zh-CN"/>
                    </w:rPr>
                  </w:pPr>
                  <w:r>
                    <w:rPr>
                      <w:rFonts w:hint="eastAsia" w:ascii="Times New Roman" w:hAnsi="Times New Roman" w:eastAsia="宋体" w:cs="Times New Roman"/>
                      <w:b/>
                      <w:bCs/>
                      <w:color w:val="000000"/>
                      <w:sz w:val="21"/>
                      <w:szCs w:val="21"/>
                      <w:highlight w:val="none"/>
                      <w:lang w:val="en-US" w:eastAsia="zh-CN"/>
                    </w:rPr>
                    <w:t>监测单位</w:t>
                  </w:r>
                </w:p>
              </w:tc>
            </w:tr>
            <w:tr w14:paraId="44AC6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264" w:type="dxa"/>
                  <w:vMerge w:val="restart"/>
                  <w:noWrap w:val="0"/>
                  <w:vAlign w:val="center"/>
                </w:tcPr>
                <w:p w14:paraId="757D1F14">
                  <w:pPr>
                    <w:widowControl/>
                    <w:jc w:val="center"/>
                    <w:rPr>
                      <w:rFonts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pacing w:val="-10"/>
                      <w:sz w:val="21"/>
                      <w:szCs w:val="21"/>
                      <w:highlight w:val="none"/>
                    </w:rPr>
                    <w:t>污染源监测</w:t>
                  </w:r>
                </w:p>
              </w:tc>
              <w:tc>
                <w:tcPr>
                  <w:tcW w:w="354" w:type="dxa"/>
                  <w:vMerge w:val="restart"/>
                  <w:noWrap w:val="0"/>
                  <w:vAlign w:val="center"/>
                </w:tcPr>
                <w:p w14:paraId="6D3AC5AC">
                  <w:pPr>
                    <w:widowControl/>
                    <w:jc w:val="center"/>
                    <w:rPr>
                      <w:rFonts w:hint="eastAsia"/>
                      <w:color w:val="000000"/>
                      <w:sz w:val="21"/>
                      <w:szCs w:val="21"/>
                      <w:lang w:val="en-US" w:eastAsia="zh-CN" w:bidi="ar-SA"/>
                    </w:rPr>
                  </w:pPr>
                  <w:r>
                    <w:rPr>
                      <w:color w:val="000000"/>
                      <w:szCs w:val="21"/>
                    </w:rPr>
                    <w:t>有组织废气</w:t>
                  </w:r>
                </w:p>
              </w:tc>
              <w:tc>
                <w:tcPr>
                  <w:tcW w:w="1060" w:type="dxa"/>
                  <w:noWrap w:val="0"/>
                  <w:vAlign w:val="center"/>
                </w:tcPr>
                <w:p w14:paraId="53AC6B9A">
                  <w:pPr>
                    <w:widowControl/>
                    <w:jc w:val="center"/>
                    <w:rPr>
                      <w:bCs/>
                      <w:color w:val="000000"/>
                      <w:sz w:val="21"/>
                      <w:szCs w:val="21"/>
                      <w:lang w:val="en-US" w:eastAsia="zh-CN" w:bidi="ar-SA"/>
                    </w:rPr>
                  </w:pPr>
                  <w:r>
                    <w:rPr>
                      <w:rFonts w:hint="eastAsia" w:ascii="Times New Roman" w:hAnsi="Times New Roman" w:eastAsia="宋体" w:cs="Times New Roman"/>
                      <w:color w:val="000000"/>
                      <w:sz w:val="21"/>
                      <w:szCs w:val="21"/>
                      <w:highlight w:val="none"/>
                      <w:lang w:val="en-US" w:eastAsia="zh-CN"/>
                    </w:rPr>
                    <w:t>断料分选、破片、清边、裁边废气排气筒（DA001）</w:t>
                  </w:r>
                </w:p>
              </w:tc>
              <w:tc>
                <w:tcPr>
                  <w:tcW w:w="851" w:type="dxa"/>
                  <w:noWrap w:val="0"/>
                  <w:vAlign w:val="center"/>
                </w:tcPr>
                <w:p w14:paraId="4F6A5F0E">
                  <w:pPr>
                    <w:widowControl/>
                    <w:jc w:val="center"/>
                    <w:rPr>
                      <w:color w:val="000000"/>
                      <w:sz w:val="21"/>
                      <w:szCs w:val="21"/>
                      <w:lang w:val="en-US" w:eastAsia="zh-CN" w:bidi="ar-SA"/>
                    </w:rPr>
                  </w:pPr>
                  <w:r>
                    <w:rPr>
                      <w:color w:val="000000"/>
                      <w:szCs w:val="21"/>
                    </w:rPr>
                    <w:t>颗粒物</w:t>
                  </w:r>
                </w:p>
              </w:tc>
              <w:tc>
                <w:tcPr>
                  <w:tcW w:w="460" w:type="dxa"/>
                  <w:noWrap w:val="0"/>
                  <w:vAlign w:val="center"/>
                </w:tcPr>
                <w:p w14:paraId="06C5B68F">
                  <w:pPr>
                    <w:widowControl/>
                    <w:jc w:val="center"/>
                    <w:rPr>
                      <w:color w:val="000000"/>
                      <w:sz w:val="21"/>
                      <w:szCs w:val="21"/>
                      <w:lang w:val="en-US" w:eastAsia="zh-CN" w:bidi="ar-SA"/>
                    </w:rPr>
                  </w:pPr>
                  <w:r>
                    <w:rPr>
                      <w:color w:val="000000"/>
                      <w:szCs w:val="21"/>
                    </w:rPr>
                    <w:t>1次/年</w:t>
                  </w:r>
                </w:p>
              </w:tc>
              <w:tc>
                <w:tcPr>
                  <w:tcW w:w="1550" w:type="dxa"/>
                  <w:vMerge w:val="restart"/>
                  <w:noWrap w:val="0"/>
                  <w:vAlign w:val="center"/>
                </w:tcPr>
                <w:p w14:paraId="5A8F65FE">
                  <w:pPr>
                    <w:widowControl/>
                    <w:jc w:val="center"/>
                    <w:rPr>
                      <w:rFonts w:hint="eastAsia"/>
                      <w:color w:val="000000"/>
                      <w:sz w:val="21"/>
                      <w:szCs w:val="21"/>
                      <w:lang w:val="en-US" w:eastAsia="zh-CN" w:bidi="ar-SA"/>
                    </w:rPr>
                  </w:pPr>
                  <w:r>
                    <w:rPr>
                      <w:color w:val="000000"/>
                    </w:rPr>
                    <w:t>《大气污染物综合排放标准》（GB16297-1996）表2中标准限值</w:t>
                  </w:r>
                </w:p>
              </w:tc>
              <w:tc>
                <w:tcPr>
                  <w:tcW w:w="458" w:type="dxa"/>
                  <w:vMerge w:val="restart"/>
                  <w:noWrap w:val="0"/>
                  <w:vAlign w:val="center"/>
                </w:tcPr>
                <w:p w14:paraId="2336DCAA">
                  <w:pPr>
                    <w:widowControl/>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委托有资质的监测单位</w:t>
                  </w:r>
                </w:p>
              </w:tc>
            </w:tr>
            <w:tr w14:paraId="3BF6D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64" w:type="dxa"/>
                  <w:vMerge w:val="continue"/>
                  <w:noWrap w:val="0"/>
                  <w:vAlign w:val="center"/>
                </w:tcPr>
                <w:p w14:paraId="14574699">
                  <w:pPr>
                    <w:widowControl/>
                    <w:jc w:val="center"/>
                    <w:rPr>
                      <w:rFonts w:ascii="Times New Roman" w:hAnsi="Times New Roman" w:eastAsia="宋体" w:cs="Times New Roman"/>
                      <w:color w:val="000000"/>
                      <w:sz w:val="21"/>
                      <w:szCs w:val="21"/>
                      <w:highlight w:val="none"/>
                    </w:rPr>
                  </w:pPr>
                </w:p>
              </w:tc>
              <w:tc>
                <w:tcPr>
                  <w:tcW w:w="354" w:type="dxa"/>
                  <w:vMerge w:val="continue"/>
                  <w:noWrap w:val="0"/>
                  <w:vAlign w:val="center"/>
                </w:tcPr>
                <w:p w14:paraId="4D2EA20C">
                  <w:pPr>
                    <w:jc w:val="center"/>
                    <w:rPr>
                      <w:rFonts w:hint="eastAsia"/>
                      <w:color w:val="000000"/>
                      <w:spacing w:val="-10"/>
                      <w:sz w:val="21"/>
                      <w:szCs w:val="21"/>
                      <w:highlight w:val="none"/>
                      <w:lang w:val="en-US" w:eastAsia="zh-CN" w:bidi="ar-SA"/>
                    </w:rPr>
                  </w:pPr>
                </w:p>
              </w:tc>
              <w:tc>
                <w:tcPr>
                  <w:tcW w:w="1060" w:type="dxa"/>
                  <w:noWrap w:val="0"/>
                  <w:vAlign w:val="center"/>
                </w:tcPr>
                <w:p w14:paraId="2FE1065B">
                  <w:pPr>
                    <w:widowControl/>
                    <w:jc w:val="center"/>
                    <w:rPr>
                      <w:rFonts w:eastAsia="宋体"/>
                      <w:bCs/>
                      <w:color w:val="000000"/>
                      <w:sz w:val="21"/>
                      <w:szCs w:val="21"/>
                      <w:lang w:val="en-US" w:eastAsia="zh-CN" w:bidi="ar-SA"/>
                    </w:rPr>
                  </w:pPr>
                  <w:r>
                    <w:rPr>
                      <w:rFonts w:hint="eastAsia"/>
                      <w:bCs/>
                      <w:color w:val="000000"/>
                      <w:sz w:val="21"/>
                      <w:szCs w:val="21"/>
                      <w:lang w:val="en-US" w:eastAsia="zh-CN"/>
                    </w:rPr>
                    <w:t>烘干、涂胶废气排气筒</w:t>
                  </w:r>
                  <w:r>
                    <w:rPr>
                      <w:rFonts w:hint="eastAsia" w:ascii="Times New Roman" w:hAnsi="Times New Roman" w:eastAsia="宋体" w:cs="Times New Roman"/>
                      <w:color w:val="000000"/>
                      <w:sz w:val="21"/>
                      <w:szCs w:val="21"/>
                      <w:highlight w:val="none"/>
                      <w:lang w:val="en-US" w:eastAsia="zh-CN"/>
                    </w:rPr>
                    <w:t>（DA002）</w:t>
                  </w:r>
                </w:p>
              </w:tc>
              <w:tc>
                <w:tcPr>
                  <w:tcW w:w="851" w:type="dxa"/>
                  <w:noWrap w:val="0"/>
                  <w:vAlign w:val="center"/>
                </w:tcPr>
                <w:p w14:paraId="45E081B2">
                  <w:pPr>
                    <w:widowControl/>
                    <w:jc w:val="center"/>
                    <w:rPr>
                      <w:rFonts w:eastAsia="宋体"/>
                      <w:color w:val="000000"/>
                      <w:sz w:val="21"/>
                      <w:szCs w:val="21"/>
                      <w:lang w:val="en-US" w:eastAsia="zh-CN" w:bidi="ar-SA"/>
                    </w:rPr>
                  </w:pPr>
                  <w:r>
                    <w:rPr>
                      <w:color w:val="000000"/>
                    </w:rPr>
                    <w:t>非甲烷总烃</w:t>
                  </w:r>
                  <w:r>
                    <w:rPr>
                      <w:rFonts w:hint="eastAsia"/>
                      <w:color w:val="000000"/>
                      <w:lang w:eastAsia="zh-CN"/>
                    </w:rPr>
                    <w:t>、</w:t>
                  </w:r>
                  <w:r>
                    <w:rPr>
                      <w:rFonts w:hint="eastAsia"/>
                      <w:color w:val="000000"/>
                      <w:lang w:val="en-US" w:eastAsia="zh-CN"/>
                    </w:rPr>
                    <w:t>甲醛</w:t>
                  </w:r>
                </w:p>
              </w:tc>
              <w:tc>
                <w:tcPr>
                  <w:tcW w:w="460" w:type="dxa"/>
                  <w:noWrap w:val="0"/>
                  <w:vAlign w:val="center"/>
                </w:tcPr>
                <w:p w14:paraId="3BFF2629">
                  <w:pPr>
                    <w:widowControl/>
                    <w:jc w:val="center"/>
                    <w:rPr>
                      <w:color w:val="000000"/>
                      <w:sz w:val="21"/>
                      <w:szCs w:val="21"/>
                      <w:lang w:val="en-US" w:eastAsia="zh-CN" w:bidi="ar-SA"/>
                    </w:rPr>
                  </w:pPr>
                  <w:r>
                    <w:rPr>
                      <w:color w:val="000000"/>
                      <w:szCs w:val="21"/>
                    </w:rPr>
                    <w:t>1次/年</w:t>
                  </w:r>
                </w:p>
              </w:tc>
              <w:tc>
                <w:tcPr>
                  <w:tcW w:w="1550" w:type="dxa"/>
                  <w:vMerge w:val="continue"/>
                  <w:noWrap w:val="0"/>
                  <w:vAlign w:val="center"/>
                </w:tcPr>
                <w:p w14:paraId="15F4C637">
                  <w:pPr>
                    <w:jc w:val="center"/>
                    <w:rPr>
                      <w:rFonts w:ascii="Times New Roman" w:hAnsi="Times New Roman" w:eastAsia="宋体" w:cs="Times New Roman"/>
                      <w:color w:val="000000"/>
                      <w:spacing w:val="-10"/>
                      <w:sz w:val="21"/>
                      <w:szCs w:val="21"/>
                      <w:highlight w:val="none"/>
                      <w:lang w:val="en-US" w:eastAsia="zh-CN" w:bidi="ar-SA"/>
                    </w:rPr>
                  </w:pPr>
                </w:p>
              </w:tc>
              <w:tc>
                <w:tcPr>
                  <w:tcW w:w="458" w:type="dxa"/>
                  <w:vMerge w:val="continue"/>
                  <w:noWrap w:val="0"/>
                  <w:vAlign w:val="center"/>
                </w:tcPr>
                <w:p w14:paraId="5CE78ADF">
                  <w:pPr>
                    <w:jc w:val="center"/>
                    <w:rPr>
                      <w:color w:val="000000"/>
                      <w:spacing w:val="-10"/>
                      <w:sz w:val="21"/>
                      <w:szCs w:val="21"/>
                      <w:highlight w:val="none"/>
                    </w:rPr>
                  </w:pPr>
                </w:p>
              </w:tc>
            </w:tr>
            <w:tr w14:paraId="2DB1B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64" w:type="dxa"/>
                  <w:vMerge w:val="continue"/>
                  <w:noWrap w:val="0"/>
                  <w:vAlign w:val="top"/>
                </w:tcPr>
                <w:p w14:paraId="63AFC14D">
                  <w:pPr>
                    <w:widowControl/>
                    <w:jc w:val="center"/>
                    <w:rPr>
                      <w:rFonts w:ascii="Times New Roman" w:hAnsi="Times New Roman" w:eastAsia="宋体" w:cs="Times New Roman"/>
                      <w:color w:val="000000"/>
                      <w:sz w:val="21"/>
                      <w:szCs w:val="21"/>
                      <w:highlight w:val="none"/>
                    </w:rPr>
                  </w:pPr>
                </w:p>
              </w:tc>
              <w:tc>
                <w:tcPr>
                  <w:tcW w:w="354" w:type="dxa"/>
                  <w:vMerge w:val="continue"/>
                  <w:noWrap w:val="0"/>
                  <w:vAlign w:val="top"/>
                </w:tcPr>
                <w:p w14:paraId="649AAEF9">
                  <w:pPr>
                    <w:jc w:val="center"/>
                    <w:rPr>
                      <w:rFonts w:hint="eastAsia"/>
                      <w:color w:val="000000"/>
                      <w:spacing w:val="-10"/>
                      <w:sz w:val="21"/>
                      <w:szCs w:val="21"/>
                      <w:highlight w:val="none"/>
                      <w:lang w:val="en-US" w:eastAsia="zh-CN" w:bidi="ar-SA"/>
                    </w:rPr>
                  </w:pPr>
                </w:p>
              </w:tc>
              <w:tc>
                <w:tcPr>
                  <w:tcW w:w="1914" w:type="dxa"/>
                  <w:noWrap w:val="0"/>
                  <w:vAlign w:val="center"/>
                </w:tcPr>
                <w:p w14:paraId="1E655F88">
                  <w:pPr>
                    <w:widowControl/>
                    <w:jc w:val="center"/>
                    <w:rPr>
                      <w:rFonts w:eastAsia="宋体"/>
                      <w:bCs/>
                      <w:color w:val="000000"/>
                      <w:sz w:val="21"/>
                      <w:szCs w:val="21"/>
                      <w:lang w:val="en-US" w:eastAsia="zh-CN" w:bidi="ar-SA"/>
                    </w:rPr>
                  </w:pPr>
                  <w:r>
                    <w:rPr>
                      <w:rFonts w:hint="eastAsia"/>
                      <w:bCs/>
                      <w:color w:val="000000"/>
                      <w:sz w:val="21"/>
                      <w:szCs w:val="21"/>
                      <w:lang w:val="en-US" w:eastAsia="zh-CN"/>
                    </w:rPr>
                    <w:t>锅炉废气排气筒</w:t>
                  </w:r>
                  <w:r>
                    <w:rPr>
                      <w:rFonts w:hint="eastAsia" w:ascii="Times New Roman" w:hAnsi="Times New Roman" w:eastAsia="宋体" w:cs="Times New Roman"/>
                      <w:color w:val="000000"/>
                      <w:sz w:val="21"/>
                      <w:szCs w:val="21"/>
                      <w:highlight w:val="none"/>
                      <w:lang w:val="en-US" w:eastAsia="zh-CN"/>
                    </w:rPr>
                    <w:t>（DA003）</w:t>
                  </w:r>
                </w:p>
              </w:tc>
              <w:tc>
                <w:tcPr>
                  <w:tcW w:w="1537" w:type="dxa"/>
                  <w:noWrap w:val="0"/>
                  <w:vAlign w:val="center"/>
                </w:tcPr>
                <w:p w14:paraId="65EEC38B">
                  <w:pPr>
                    <w:widowControl/>
                    <w:jc w:val="center"/>
                    <w:rPr>
                      <w:rFonts w:hint="eastAsia" w:eastAsia="宋体"/>
                      <w:color w:val="000000"/>
                      <w:sz w:val="21"/>
                      <w:szCs w:val="21"/>
                      <w:lang w:val="en-US" w:eastAsia="zh-CN" w:bidi="ar-SA"/>
                    </w:rPr>
                  </w:pPr>
                  <w:r>
                    <w:rPr>
                      <w:rFonts w:ascii="Times New Roman" w:hAnsi="Times New Roman" w:eastAsia="宋体" w:cs="Times New Roman"/>
                      <w:color w:val="000000"/>
                      <w:szCs w:val="21"/>
                      <w:highlight w:val="none"/>
                      <w:lang w:val="en-US" w:eastAsia="zh-CN"/>
                    </w:rPr>
                    <w:t>颗粒物、SO</w:t>
                  </w:r>
                  <w:r>
                    <w:rPr>
                      <w:rFonts w:ascii="Times New Roman" w:hAnsi="Times New Roman" w:eastAsia="宋体" w:cs="Times New Roman"/>
                      <w:color w:val="000000"/>
                      <w:szCs w:val="21"/>
                      <w:highlight w:val="none"/>
                      <w:vertAlign w:val="subscript"/>
                      <w:lang w:val="en-US" w:eastAsia="zh-CN"/>
                    </w:rPr>
                    <w:t>2</w:t>
                  </w:r>
                  <w:r>
                    <w:rPr>
                      <w:rFonts w:ascii="Times New Roman" w:hAnsi="Times New Roman" w:eastAsia="宋体" w:cs="Times New Roman"/>
                      <w:color w:val="000000"/>
                      <w:szCs w:val="21"/>
                      <w:highlight w:val="none"/>
                      <w:lang w:val="en-US" w:eastAsia="zh-CN"/>
                    </w:rPr>
                    <w:t>、NOx、</w:t>
                  </w:r>
                  <w:r>
                    <w:rPr>
                      <w:rFonts w:ascii="Times New Roman" w:hAnsi="Times New Roman" w:eastAsia="宋体" w:cs="Times New Roman"/>
                      <w:color w:val="000000"/>
                      <w:sz w:val="21"/>
                      <w:lang w:val="en-US" w:eastAsia="zh-CN"/>
                    </w:rPr>
                    <w:t>烟气黑度</w:t>
                  </w:r>
                </w:p>
              </w:tc>
              <w:tc>
                <w:tcPr>
                  <w:tcW w:w="831" w:type="dxa"/>
                  <w:noWrap w:val="0"/>
                  <w:vAlign w:val="center"/>
                </w:tcPr>
                <w:p w14:paraId="18865E61">
                  <w:pPr>
                    <w:widowControl/>
                    <w:jc w:val="center"/>
                    <w:rPr>
                      <w:color w:val="000000"/>
                      <w:sz w:val="21"/>
                      <w:szCs w:val="21"/>
                      <w:lang w:val="en-US" w:eastAsia="zh-CN" w:bidi="ar-SA"/>
                    </w:rPr>
                  </w:pPr>
                  <w:r>
                    <w:rPr>
                      <w:color w:val="000000"/>
                      <w:szCs w:val="21"/>
                    </w:rPr>
                    <w:t>1次/年</w:t>
                  </w:r>
                </w:p>
              </w:tc>
              <w:tc>
                <w:tcPr>
                  <w:tcW w:w="2799" w:type="dxa"/>
                  <w:noWrap w:val="0"/>
                  <w:vAlign w:val="center"/>
                </w:tcPr>
                <w:p w14:paraId="4C938251">
                  <w:pPr>
                    <w:widowControl/>
                    <w:jc w:val="center"/>
                    <w:rPr>
                      <w:color w:val="000000"/>
                      <w:sz w:val="21"/>
                      <w:szCs w:val="24"/>
                      <w:lang w:val="en-US" w:eastAsia="zh-CN" w:bidi="ar-SA"/>
                    </w:rPr>
                  </w:pPr>
                  <w:r>
                    <w:rPr>
                      <w:rFonts w:ascii="Times New Roman" w:hAnsi="Times New Roman" w:eastAsia="宋体" w:cs="Times New Roman"/>
                      <w:color w:val="000000"/>
                      <w:szCs w:val="21"/>
                      <w:highlight w:val="none"/>
                      <w:lang w:val="en-US" w:eastAsia="zh-CN"/>
                    </w:rPr>
                    <w:t>《锅炉大气污染物排放标准》（GB13271-2014）中表2燃煤锅炉标准</w:t>
                  </w:r>
                </w:p>
              </w:tc>
              <w:tc>
                <w:tcPr>
                  <w:tcW w:w="458" w:type="dxa"/>
                  <w:vMerge w:val="continue"/>
                  <w:noWrap w:val="0"/>
                  <w:vAlign w:val="top"/>
                </w:tcPr>
                <w:p w14:paraId="585D2DB4">
                  <w:pPr>
                    <w:jc w:val="center"/>
                    <w:rPr>
                      <w:color w:val="000000"/>
                      <w:spacing w:val="-10"/>
                      <w:sz w:val="21"/>
                      <w:szCs w:val="21"/>
                      <w:highlight w:val="none"/>
                    </w:rPr>
                  </w:pPr>
                </w:p>
              </w:tc>
            </w:tr>
            <w:tr w14:paraId="56077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264" w:type="dxa"/>
                  <w:vMerge w:val="continue"/>
                  <w:noWrap w:val="0"/>
                  <w:vAlign w:val="top"/>
                </w:tcPr>
                <w:p w14:paraId="5F2C9CFB">
                  <w:pPr>
                    <w:widowControl/>
                    <w:jc w:val="center"/>
                    <w:rPr>
                      <w:rFonts w:ascii="Times New Roman" w:hAnsi="Times New Roman" w:eastAsia="宋体" w:cs="Times New Roman"/>
                      <w:color w:val="000000"/>
                      <w:sz w:val="21"/>
                      <w:szCs w:val="21"/>
                      <w:highlight w:val="none"/>
                    </w:rPr>
                  </w:pPr>
                </w:p>
              </w:tc>
              <w:tc>
                <w:tcPr>
                  <w:tcW w:w="354" w:type="dxa"/>
                  <w:vMerge w:val="restart"/>
                  <w:noWrap w:val="0"/>
                  <w:vAlign w:val="center"/>
                </w:tcPr>
                <w:p w14:paraId="74C6D196">
                  <w:pPr>
                    <w:widowControl/>
                    <w:jc w:val="center"/>
                    <w:rPr>
                      <w:rFonts w:hint="eastAsia"/>
                      <w:color w:val="000000"/>
                      <w:sz w:val="21"/>
                      <w:szCs w:val="21"/>
                      <w:lang w:val="en-US" w:eastAsia="zh-CN" w:bidi="ar-SA"/>
                    </w:rPr>
                  </w:pPr>
                  <w:r>
                    <w:rPr>
                      <w:color w:val="000000"/>
                      <w:szCs w:val="21"/>
                    </w:rPr>
                    <w:t>无组织废气</w:t>
                  </w:r>
                </w:p>
              </w:tc>
              <w:tc>
                <w:tcPr>
                  <w:tcW w:w="1914" w:type="dxa"/>
                  <w:noWrap w:val="0"/>
                  <w:vAlign w:val="center"/>
                </w:tcPr>
                <w:p w14:paraId="6C85A91C">
                  <w:pPr>
                    <w:widowControl/>
                    <w:jc w:val="center"/>
                    <w:rPr>
                      <w:color w:val="000000"/>
                      <w:sz w:val="21"/>
                      <w:szCs w:val="21"/>
                      <w:lang w:val="en-US" w:eastAsia="zh-CN" w:bidi="ar-SA"/>
                    </w:rPr>
                  </w:pPr>
                  <w:r>
                    <w:rPr>
                      <w:color w:val="000000"/>
                      <w:szCs w:val="21"/>
                    </w:rPr>
                    <w:t>厂界上风向设置1个参照点，下风向设置3个监测点</w:t>
                  </w:r>
                </w:p>
              </w:tc>
              <w:tc>
                <w:tcPr>
                  <w:tcW w:w="1537" w:type="dxa"/>
                  <w:noWrap w:val="0"/>
                  <w:vAlign w:val="center"/>
                </w:tcPr>
                <w:p w14:paraId="7946CB77">
                  <w:pPr>
                    <w:widowControl/>
                    <w:jc w:val="center"/>
                    <w:rPr>
                      <w:rFonts w:eastAsia="宋体"/>
                      <w:bCs/>
                      <w:color w:val="000000"/>
                      <w:sz w:val="21"/>
                      <w:szCs w:val="21"/>
                      <w:lang w:val="en-US" w:eastAsia="zh-CN" w:bidi="ar-SA"/>
                    </w:rPr>
                  </w:pPr>
                  <w:r>
                    <w:rPr>
                      <w:bCs/>
                      <w:color w:val="000000"/>
                      <w:szCs w:val="21"/>
                    </w:rPr>
                    <w:t>颗粒物</w:t>
                  </w:r>
                  <w:r>
                    <w:rPr>
                      <w:rFonts w:hint="eastAsia"/>
                      <w:bCs/>
                      <w:color w:val="000000"/>
                      <w:szCs w:val="21"/>
                      <w:lang w:eastAsia="zh-CN"/>
                    </w:rPr>
                    <w:t>、</w:t>
                  </w:r>
                  <w:r>
                    <w:rPr>
                      <w:color w:val="000000"/>
                    </w:rPr>
                    <w:t>非甲烷总烃</w:t>
                  </w:r>
                  <w:r>
                    <w:rPr>
                      <w:rFonts w:hint="eastAsia"/>
                      <w:color w:val="000000"/>
                      <w:lang w:eastAsia="zh-CN"/>
                    </w:rPr>
                    <w:t>、</w:t>
                  </w:r>
                  <w:r>
                    <w:rPr>
                      <w:rFonts w:hint="eastAsia"/>
                      <w:color w:val="000000"/>
                      <w:lang w:val="en-US" w:eastAsia="zh-CN"/>
                    </w:rPr>
                    <w:t>甲醛</w:t>
                  </w:r>
                </w:p>
              </w:tc>
              <w:tc>
                <w:tcPr>
                  <w:tcW w:w="831" w:type="dxa"/>
                  <w:noWrap w:val="0"/>
                  <w:vAlign w:val="center"/>
                </w:tcPr>
                <w:p w14:paraId="3AF12E7B">
                  <w:pPr>
                    <w:widowControl/>
                    <w:jc w:val="center"/>
                    <w:rPr>
                      <w:bCs/>
                      <w:color w:val="000000"/>
                      <w:sz w:val="21"/>
                      <w:szCs w:val="21"/>
                      <w:lang w:val="en-US" w:eastAsia="zh-CN" w:bidi="ar-SA"/>
                    </w:rPr>
                  </w:pPr>
                  <w:r>
                    <w:rPr>
                      <w:color w:val="000000"/>
                      <w:szCs w:val="21"/>
                    </w:rPr>
                    <w:t>1次/年</w:t>
                  </w:r>
                </w:p>
              </w:tc>
              <w:tc>
                <w:tcPr>
                  <w:tcW w:w="2799" w:type="dxa"/>
                  <w:noWrap w:val="0"/>
                  <w:vAlign w:val="center"/>
                </w:tcPr>
                <w:p w14:paraId="37DDA33A">
                  <w:pPr>
                    <w:widowControl/>
                    <w:jc w:val="center"/>
                    <w:rPr>
                      <w:bCs/>
                      <w:color w:val="000000"/>
                      <w:sz w:val="21"/>
                      <w:szCs w:val="21"/>
                      <w:lang w:val="en-US" w:eastAsia="zh-CN" w:bidi="ar-SA"/>
                    </w:rPr>
                  </w:pPr>
                  <w:r>
                    <w:rPr>
                      <w:color w:val="000000"/>
                    </w:rPr>
                    <w:t>《大气污染物综合排放标准》（GB16297-1996）表2中无组织排放浓度监控限值</w:t>
                  </w:r>
                </w:p>
              </w:tc>
              <w:tc>
                <w:tcPr>
                  <w:tcW w:w="458" w:type="dxa"/>
                  <w:vMerge w:val="continue"/>
                  <w:noWrap w:val="0"/>
                  <w:vAlign w:val="top"/>
                </w:tcPr>
                <w:p w14:paraId="16D16FDB">
                  <w:pPr>
                    <w:jc w:val="center"/>
                    <w:rPr>
                      <w:color w:val="000000"/>
                      <w:spacing w:val="-10"/>
                      <w:sz w:val="21"/>
                      <w:szCs w:val="21"/>
                      <w:highlight w:val="none"/>
                    </w:rPr>
                  </w:pPr>
                </w:p>
              </w:tc>
            </w:tr>
            <w:tr w14:paraId="38715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64" w:type="dxa"/>
                  <w:vMerge w:val="continue"/>
                  <w:noWrap w:val="0"/>
                  <w:vAlign w:val="top"/>
                </w:tcPr>
                <w:p w14:paraId="18CC2834">
                  <w:pPr>
                    <w:widowControl/>
                    <w:jc w:val="center"/>
                    <w:rPr>
                      <w:rFonts w:ascii="Times New Roman" w:hAnsi="Times New Roman" w:eastAsia="宋体" w:cs="Times New Roman"/>
                      <w:color w:val="000000"/>
                      <w:sz w:val="21"/>
                      <w:szCs w:val="21"/>
                      <w:highlight w:val="none"/>
                    </w:rPr>
                  </w:pPr>
                </w:p>
              </w:tc>
              <w:tc>
                <w:tcPr>
                  <w:tcW w:w="354" w:type="dxa"/>
                  <w:vMerge w:val="continue"/>
                  <w:noWrap w:val="0"/>
                  <w:vAlign w:val="top"/>
                </w:tcPr>
                <w:p w14:paraId="4F7D58BD">
                  <w:pPr>
                    <w:jc w:val="center"/>
                    <w:rPr>
                      <w:rFonts w:hint="eastAsia"/>
                      <w:color w:val="000000"/>
                      <w:spacing w:val="-10"/>
                      <w:sz w:val="21"/>
                      <w:szCs w:val="21"/>
                      <w:highlight w:val="none"/>
                      <w:lang w:val="en-US" w:eastAsia="zh-CN" w:bidi="ar-SA"/>
                    </w:rPr>
                  </w:pPr>
                </w:p>
              </w:tc>
              <w:tc>
                <w:tcPr>
                  <w:tcW w:w="1914" w:type="dxa"/>
                  <w:noWrap w:val="0"/>
                  <w:vAlign w:val="center"/>
                </w:tcPr>
                <w:p w14:paraId="6CEA571C">
                  <w:pPr>
                    <w:widowControl/>
                    <w:jc w:val="center"/>
                    <w:rPr>
                      <w:rFonts w:eastAsia="宋体"/>
                      <w:bCs/>
                      <w:color w:val="000000"/>
                      <w:sz w:val="21"/>
                      <w:szCs w:val="21"/>
                      <w:lang w:val="en-US" w:eastAsia="zh-CN" w:bidi="ar-SA"/>
                    </w:rPr>
                  </w:pPr>
                  <w:r>
                    <w:rPr>
                      <w:rFonts w:hint="eastAsia"/>
                      <w:bCs/>
                      <w:color w:val="000000"/>
                      <w:szCs w:val="21"/>
                      <w:lang w:val="en-US" w:eastAsia="zh-CN"/>
                    </w:rPr>
                    <w:t>烘干房外</w:t>
                  </w:r>
                </w:p>
              </w:tc>
              <w:tc>
                <w:tcPr>
                  <w:tcW w:w="1537" w:type="dxa"/>
                  <w:noWrap w:val="0"/>
                  <w:vAlign w:val="center"/>
                </w:tcPr>
                <w:p w14:paraId="3968B660">
                  <w:pPr>
                    <w:widowControl/>
                    <w:jc w:val="center"/>
                    <w:rPr>
                      <w:rFonts w:hint="eastAsia"/>
                      <w:color w:val="000000"/>
                      <w:sz w:val="21"/>
                      <w:szCs w:val="24"/>
                      <w:lang w:val="en-US" w:eastAsia="zh-CN" w:bidi="ar-SA"/>
                    </w:rPr>
                  </w:pPr>
                  <w:r>
                    <w:rPr>
                      <w:color w:val="000000"/>
                    </w:rPr>
                    <w:t>非甲烷总烃</w:t>
                  </w:r>
                </w:p>
              </w:tc>
              <w:tc>
                <w:tcPr>
                  <w:tcW w:w="831" w:type="dxa"/>
                  <w:noWrap w:val="0"/>
                  <w:vAlign w:val="center"/>
                </w:tcPr>
                <w:p w14:paraId="021990CB">
                  <w:pPr>
                    <w:widowControl/>
                    <w:jc w:val="center"/>
                    <w:rPr>
                      <w:bCs/>
                      <w:color w:val="000000"/>
                      <w:sz w:val="21"/>
                      <w:szCs w:val="21"/>
                      <w:lang w:val="en-US" w:eastAsia="zh-CN" w:bidi="ar-SA"/>
                    </w:rPr>
                  </w:pPr>
                  <w:r>
                    <w:rPr>
                      <w:color w:val="000000"/>
                      <w:szCs w:val="21"/>
                    </w:rPr>
                    <w:t>1次/年</w:t>
                  </w:r>
                </w:p>
              </w:tc>
              <w:tc>
                <w:tcPr>
                  <w:tcW w:w="2799" w:type="dxa"/>
                  <w:noWrap w:val="0"/>
                  <w:vAlign w:val="center"/>
                </w:tcPr>
                <w:p w14:paraId="01E3D4A7">
                  <w:pPr>
                    <w:widowControl/>
                    <w:jc w:val="center"/>
                    <w:rPr>
                      <w:color w:val="000000"/>
                      <w:sz w:val="21"/>
                      <w:szCs w:val="21"/>
                      <w:lang w:val="en-US" w:eastAsia="zh-CN" w:bidi="ar-SA"/>
                    </w:rPr>
                  </w:pPr>
                  <w:r>
                    <w:rPr>
                      <w:color w:val="000000"/>
                      <w:szCs w:val="21"/>
                    </w:rPr>
                    <w:t>《挥发性有机物无组织排放控制标准》（GB37822-2019）表A.1标准限值</w:t>
                  </w:r>
                </w:p>
              </w:tc>
              <w:tc>
                <w:tcPr>
                  <w:tcW w:w="458" w:type="dxa"/>
                  <w:vMerge w:val="continue"/>
                  <w:noWrap w:val="0"/>
                  <w:vAlign w:val="top"/>
                </w:tcPr>
                <w:p w14:paraId="284C0DC4">
                  <w:pPr>
                    <w:jc w:val="center"/>
                    <w:rPr>
                      <w:color w:val="000000"/>
                      <w:spacing w:val="-10"/>
                      <w:sz w:val="21"/>
                      <w:szCs w:val="21"/>
                      <w:highlight w:val="none"/>
                    </w:rPr>
                  </w:pPr>
                </w:p>
              </w:tc>
            </w:tr>
            <w:tr w14:paraId="58FCF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64" w:type="dxa"/>
                  <w:vMerge w:val="continue"/>
                  <w:noWrap w:val="0"/>
                  <w:vAlign w:val="top"/>
                </w:tcPr>
                <w:p w14:paraId="58B50F21">
                  <w:pPr>
                    <w:widowControl/>
                    <w:jc w:val="center"/>
                    <w:rPr>
                      <w:rFonts w:ascii="Times New Roman" w:hAnsi="Times New Roman" w:eastAsia="宋体" w:cs="Times New Roman"/>
                      <w:color w:val="000000"/>
                      <w:sz w:val="21"/>
                      <w:szCs w:val="21"/>
                      <w:highlight w:val="none"/>
                    </w:rPr>
                  </w:pPr>
                </w:p>
              </w:tc>
              <w:tc>
                <w:tcPr>
                  <w:tcW w:w="354" w:type="dxa"/>
                  <w:noWrap w:val="0"/>
                  <w:vAlign w:val="center"/>
                </w:tcPr>
                <w:p w14:paraId="202B0417">
                  <w:pPr>
                    <w:jc w:val="center"/>
                    <w:rPr>
                      <w:rFonts w:hint="eastAsia"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Cs w:val="21"/>
                      <w:highlight w:val="none"/>
                    </w:rPr>
                    <w:t>噪声</w:t>
                  </w:r>
                </w:p>
              </w:tc>
              <w:tc>
                <w:tcPr>
                  <w:tcW w:w="1914" w:type="dxa"/>
                  <w:noWrap w:val="0"/>
                  <w:vAlign w:val="center"/>
                </w:tcPr>
                <w:p w14:paraId="0C2A3E2C">
                  <w:pPr>
                    <w:jc w:val="center"/>
                    <w:rPr>
                      <w:rFonts w:hint="eastAsia"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Cs w:val="21"/>
                      <w:highlight w:val="none"/>
                    </w:rPr>
                    <w:t>项目东、南、西、北厂界外1m处</w:t>
                  </w:r>
                </w:p>
              </w:tc>
              <w:tc>
                <w:tcPr>
                  <w:tcW w:w="1537" w:type="dxa"/>
                  <w:noWrap w:val="0"/>
                  <w:vAlign w:val="center"/>
                </w:tcPr>
                <w:p w14:paraId="2D219A66">
                  <w:pPr>
                    <w:jc w:val="center"/>
                    <w:rPr>
                      <w:rFonts w:ascii="Times New Roman" w:hAnsi="Times New Roman" w:eastAsia="宋体" w:cs="Times New Roman"/>
                      <w:color w:val="000000"/>
                      <w:spacing w:val="-10"/>
                      <w:szCs w:val="21"/>
                      <w:highlight w:val="none"/>
                    </w:rPr>
                  </w:pPr>
                  <w:r>
                    <w:rPr>
                      <w:rFonts w:ascii="Times New Roman" w:hAnsi="Times New Roman" w:eastAsia="宋体" w:cs="Times New Roman"/>
                      <w:color w:val="000000"/>
                      <w:spacing w:val="-10"/>
                      <w:szCs w:val="21"/>
                      <w:highlight w:val="none"/>
                    </w:rPr>
                    <w:t>等效声级</w:t>
                  </w:r>
                </w:p>
                <w:p w14:paraId="24868F26">
                  <w:pPr>
                    <w:jc w:val="center"/>
                    <w:rPr>
                      <w:rFonts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Cs w:val="21"/>
                      <w:highlight w:val="none"/>
                    </w:rPr>
                    <w:t>Le</w:t>
                  </w:r>
                  <w:r>
                    <w:rPr>
                      <w:rFonts w:ascii="Times New Roman" w:hAnsi="Times New Roman" w:eastAsia="宋体" w:cs="Times New Roman"/>
                      <w:color w:val="000000"/>
                      <w:spacing w:val="-10"/>
                      <w:szCs w:val="21"/>
                      <w:highlight w:val="none"/>
                      <w:lang w:val="en-US" w:eastAsia="zh-CN"/>
                    </w:rPr>
                    <w:t>q</w:t>
                  </w:r>
                  <w:r>
                    <w:rPr>
                      <w:rFonts w:ascii="Times New Roman" w:hAnsi="Times New Roman" w:eastAsia="宋体" w:cs="Times New Roman"/>
                      <w:color w:val="000000"/>
                      <w:spacing w:val="-10"/>
                      <w:szCs w:val="21"/>
                      <w:highlight w:val="none"/>
                    </w:rPr>
                    <w:t>dB(A)</w:t>
                  </w:r>
                </w:p>
              </w:tc>
              <w:tc>
                <w:tcPr>
                  <w:tcW w:w="831" w:type="dxa"/>
                  <w:noWrap w:val="0"/>
                  <w:vAlign w:val="center"/>
                </w:tcPr>
                <w:p w14:paraId="164AFE10">
                  <w:pPr>
                    <w:jc w:val="center"/>
                    <w:rPr>
                      <w:rFonts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Cs w:val="21"/>
                      <w:highlight w:val="none"/>
                    </w:rPr>
                    <w:t>1次/季度</w:t>
                  </w:r>
                </w:p>
              </w:tc>
              <w:tc>
                <w:tcPr>
                  <w:tcW w:w="2799" w:type="dxa"/>
                  <w:noWrap w:val="0"/>
                  <w:vAlign w:val="center"/>
                </w:tcPr>
                <w:p w14:paraId="52E18907">
                  <w:pPr>
                    <w:jc w:val="center"/>
                    <w:rPr>
                      <w:rFonts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Cs w:val="21"/>
                      <w:highlight w:val="none"/>
                    </w:rPr>
                    <w:t>《工业企业厂界噪声排放标准》</w:t>
                  </w:r>
                  <w:r>
                    <w:rPr>
                      <w:rFonts w:ascii="Times New Roman" w:hAnsi="Times New Roman" w:eastAsia="宋体" w:cs="Times New Roman"/>
                      <w:color w:val="000000"/>
                      <w:spacing w:val="-10"/>
                      <w:szCs w:val="21"/>
                      <w:highlight w:val="none"/>
                      <w:lang w:eastAsia="zh-CN"/>
                    </w:rPr>
                    <w:t>（</w:t>
                  </w:r>
                  <w:r>
                    <w:rPr>
                      <w:rFonts w:ascii="Times New Roman" w:hAnsi="Times New Roman" w:eastAsia="宋体" w:cs="Times New Roman"/>
                      <w:color w:val="000000"/>
                      <w:spacing w:val="-10"/>
                      <w:szCs w:val="21"/>
                      <w:highlight w:val="none"/>
                    </w:rPr>
                    <w:t>GB12348-2008</w:t>
                  </w:r>
                  <w:r>
                    <w:rPr>
                      <w:rFonts w:ascii="Times New Roman" w:hAnsi="Times New Roman" w:eastAsia="宋体" w:cs="Times New Roman"/>
                      <w:color w:val="000000"/>
                      <w:spacing w:val="-10"/>
                      <w:szCs w:val="21"/>
                      <w:highlight w:val="none"/>
                      <w:lang w:eastAsia="zh-CN"/>
                    </w:rPr>
                    <w:t>）</w:t>
                  </w:r>
                  <w:r>
                    <w:rPr>
                      <w:rFonts w:hint="eastAsia" w:ascii="Times New Roman" w:hAnsi="Times New Roman" w:eastAsia="宋体" w:cs="Times New Roman"/>
                      <w:color w:val="000000"/>
                      <w:spacing w:val="-10"/>
                      <w:szCs w:val="21"/>
                      <w:highlight w:val="none"/>
                      <w:lang w:val="en-US" w:eastAsia="zh-CN"/>
                    </w:rPr>
                    <w:t>2</w:t>
                  </w:r>
                  <w:r>
                    <w:rPr>
                      <w:rFonts w:ascii="Times New Roman" w:hAnsi="Times New Roman" w:eastAsia="宋体" w:cs="Times New Roman"/>
                      <w:color w:val="000000"/>
                      <w:spacing w:val="-10"/>
                      <w:szCs w:val="21"/>
                      <w:highlight w:val="none"/>
                    </w:rPr>
                    <w:t>类标准</w:t>
                  </w:r>
                </w:p>
              </w:tc>
              <w:tc>
                <w:tcPr>
                  <w:tcW w:w="458" w:type="dxa"/>
                  <w:vMerge w:val="continue"/>
                  <w:noWrap w:val="0"/>
                  <w:vAlign w:val="top"/>
                </w:tcPr>
                <w:p w14:paraId="6AAE1125">
                  <w:pPr>
                    <w:jc w:val="center"/>
                    <w:rPr>
                      <w:color w:val="000000"/>
                      <w:spacing w:val="-10"/>
                      <w:sz w:val="21"/>
                      <w:szCs w:val="21"/>
                      <w:highlight w:val="none"/>
                    </w:rPr>
                  </w:pPr>
                </w:p>
              </w:tc>
            </w:tr>
          </w:tbl>
          <w:p w14:paraId="275E9395">
            <w:pPr>
              <w:keepNext w:val="0"/>
              <w:keepLines w:val="0"/>
              <w:pageBreakBefore w:val="0"/>
              <w:widowControl w:val="0"/>
              <w:spacing w:line="360" w:lineRule="auto"/>
              <w:ind w:left="0" w:right="0" w:firstLine="482"/>
              <w:jc w:val="both"/>
              <w:rPr>
                <w:rFonts w:hint="eastAsia"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（2）信息记录和公开要求</w:t>
            </w:r>
          </w:p>
          <w:p w14:paraId="1CFC4FE9">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手工监测记录应按照《排污单位自行监测技术指南总则》（HJ819-2017）要求执行，应包括采样记录、样品保存和交接记录、样品分析记录、监控记录等应详细记录生产及污染治理设施运行状况，日常生产中应参照以下内容记录相关信息，并整理成台账保存备查。</w:t>
            </w:r>
          </w:p>
          <w:p w14:paraId="6A102DA7">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生产运行状况记录：按月记录原辅料用量及产量：主要原辅料使用量和产品产量等。</w:t>
            </w:r>
          </w:p>
          <w:p w14:paraId="4CC4111A">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污染治理设施运行状况记录：应包括设备运行效验关键参数，能充分反映生产设施及治理设施运行管理情况。</w:t>
            </w:r>
          </w:p>
          <w:p w14:paraId="07C76C13">
            <w:pPr>
              <w:keepNext w:val="0"/>
              <w:keepLines w:val="0"/>
              <w:pageBreakBefore w:val="0"/>
              <w:widowControl w:val="0"/>
              <w:spacing w:line="360" w:lineRule="auto"/>
              <w:ind w:left="0" w:right="0" w:firstLine="482"/>
              <w:jc w:val="both"/>
              <w:rPr>
                <w:rFonts w:hint="eastAsia"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（3）信息报告、应急报告、信息公开要求</w:t>
            </w:r>
          </w:p>
          <w:p w14:paraId="62C38448">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按照《排污单位自行监技术指南 总则》（HJ819-2017）要求执行，排污单位应编写自行监年度报告，年度报告至少应包含以下内容：</w:t>
            </w:r>
          </w:p>
          <w:p w14:paraId="5C30F67D">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①监测方案的调整变化情况及变更原因；</w:t>
            </w:r>
          </w:p>
          <w:p w14:paraId="20FBD6F7">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②企业及各主要生产设施（至少涵盖废气主要污染源相关生产设施）全年运行天数，各监测点、各监测指标全年监次数、超标情况、浓度分布情况；</w:t>
            </w:r>
          </w:p>
          <w:p w14:paraId="13F98F67">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③按要求开展的周边环境质量影响状况监测结果；</w:t>
            </w:r>
          </w:p>
          <w:p w14:paraId="67ABD765">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④自行监测开展的其他情况说明；</w:t>
            </w:r>
          </w:p>
          <w:p w14:paraId="366B0D60">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⑤排污单位实理达标排放所采取的主要措施。</w:t>
            </w:r>
          </w:p>
          <w:p w14:paraId="7F6342A5">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监测结果出现超标的，排污单位应加密监测，并检查超标原因。短期内无法实现稳定达标排放的，应向环境保护主管部门提交事故分析报告，说明事故发生的原因，采取减轻或防止污染的措施，以及今后的预防及改进措施等：若因发生事故或者其他突发事件，排放的污水可能危及城镇排水与污水处理设施安全运行的，应当立即采取措施消除危害，并及时向城镇排水主管部门和环境保护主管部门等有关部门报告。</w:t>
            </w:r>
          </w:p>
          <w:p w14:paraId="3CA2FB02">
            <w:pPr>
              <w:keepNext w:val="0"/>
              <w:keepLines w:val="0"/>
              <w:pageBreakBefore w:val="0"/>
              <w:widowControl w:val="0"/>
              <w:spacing w:line="360" w:lineRule="auto"/>
              <w:ind w:left="0" w:right="0" w:firstLine="48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排污单位自行监测信息公开内容及方式按照《企业事业单位环境信息公开办法》（环境保护部令第31号）及《国家重点监控企业自行监及信息公开办法（试行）》（环发〔2013〕81号）执行。非重点排污单位的信息公开要求由地方环境保护主管部分确定。</w:t>
            </w:r>
          </w:p>
          <w:p w14:paraId="362DD2A8">
            <w:pPr>
              <w:keepNext w:val="0"/>
              <w:keepLines w:val="0"/>
              <w:pageBreakBefore w:val="0"/>
              <w:widowControl w:val="0"/>
              <w:spacing w:line="360" w:lineRule="auto"/>
              <w:ind w:left="0" w:right="0" w:firstLine="482"/>
              <w:jc w:val="both"/>
              <w:rPr>
                <w:rFonts w:hint="eastAsia"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bCs/>
                <w:color w:val="000000"/>
                <w:sz w:val="24"/>
                <w:szCs w:val="24"/>
                <w:highlight w:val="none"/>
                <w:lang w:val="en-US" w:eastAsia="zh-CN"/>
              </w:rPr>
              <w:t>（4）监测管理</w:t>
            </w:r>
          </w:p>
          <w:p w14:paraId="69F8E8BF">
            <w:pPr>
              <w:keepNext w:val="0"/>
              <w:keepLines w:val="0"/>
              <w:pageBreakBefore w:val="0"/>
              <w:widowControl w:val="0"/>
              <w:spacing w:line="360" w:lineRule="auto"/>
              <w:ind w:left="0" w:right="0" w:firstLine="480"/>
              <w:jc w:val="both"/>
              <w:rPr>
                <w:rFonts w:hint="eastAsia" w:ascii="Times New Roman" w:hAnsi="Times New Roman" w:eastAsia="宋体" w:cs="Times New Roman"/>
                <w:b/>
                <w:bCs/>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排污单位应对其自行监测结果及信息公开内容的真实性、准确性、完整性负责，并应积极配合并接受环境保护行政主管部门的日常监督管理。</w:t>
            </w:r>
          </w:p>
          <w:p w14:paraId="616948A0">
            <w:pPr>
              <w:spacing w:line="360" w:lineRule="auto"/>
              <w:ind w:firstLine="482"/>
              <w:rPr>
                <w:b/>
                <w:bCs/>
                <w:color w:val="000000"/>
                <w:sz w:val="24"/>
                <w:highlight w:val="none"/>
              </w:rPr>
            </w:pPr>
            <w:r>
              <w:rPr>
                <w:b/>
                <w:bCs/>
                <w:color w:val="000000"/>
                <w:sz w:val="24"/>
                <w:highlight w:val="none"/>
              </w:rPr>
              <w:t>（十</w:t>
            </w:r>
            <w:r>
              <w:rPr>
                <w:rFonts w:hint="eastAsia"/>
                <w:b/>
                <w:bCs/>
                <w:color w:val="000000"/>
                <w:sz w:val="24"/>
                <w:highlight w:val="none"/>
                <w:lang w:val="en-US" w:eastAsia="zh-CN"/>
              </w:rPr>
              <w:t>一</w:t>
            </w:r>
            <w:r>
              <w:rPr>
                <w:b/>
                <w:bCs/>
                <w:color w:val="000000"/>
                <w:sz w:val="24"/>
                <w:highlight w:val="none"/>
              </w:rPr>
              <w:t>）</w:t>
            </w:r>
            <w:r>
              <w:rPr>
                <w:rFonts w:ascii="Times New Roman" w:hAnsi="Times New Roman" w:eastAsia="宋体" w:cs="Times New Roman"/>
                <w:b/>
                <w:bCs/>
                <w:color w:val="000000"/>
                <w:sz w:val="24"/>
                <w:highlight w:val="none"/>
              </w:rPr>
              <w:t>“三同时”验收监测计划</w:t>
            </w:r>
          </w:p>
          <w:p w14:paraId="0D84AE2D">
            <w:pPr>
              <w:spacing w:line="360" w:lineRule="auto"/>
              <w:ind w:firstLine="480"/>
              <w:rPr>
                <w:color w:val="000000"/>
                <w:sz w:val="24"/>
                <w:highlight w:val="none"/>
              </w:rPr>
            </w:pPr>
            <w:r>
              <w:rPr>
                <w:rFonts w:ascii="Times New Roman" w:hAnsi="Times New Roman" w:eastAsia="宋体" w:cs="Times New Roman"/>
                <w:color w:val="000000"/>
                <w:sz w:val="24"/>
                <w:highlight w:val="none"/>
              </w:rPr>
              <w:t>项目建成后，按照《建设项目竣工环境保护验收暂行办法》（国环规环评[2017]4号）要求开展自主环保验收。根据《建设项目竣工环境保护验收技术指南 污染影响类》，项目针对大气污染源、噪声污染源制定验收监测计划。</w:t>
            </w:r>
            <w:r>
              <w:rPr>
                <w:rFonts w:ascii="Times New Roman" w:hAnsi="Times New Roman" w:eastAsia="宋体" w:cs="Times New Roman"/>
                <w:color w:val="000000"/>
                <w:sz w:val="24"/>
                <w:highlight w:val="none"/>
                <w:u w:val="single"/>
              </w:rPr>
              <w:t>环境保护“三同时”竣工验收内容</w:t>
            </w:r>
            <w:r>
              <w:rPr>
                <w:rFonts w:ascii="Times New Roman" w:hAnsi="Times New Roman" w:eastAsia="宋体" w:cs="Times New Roman"/>
                <w:color w:val="000000"/>
                <w:sz w:val="24"/>
                <w:highlight w:val="none"/>
                <w:u w:val="single"/>
                <w:lang w:val="en-US" w:eastAsia="zh-CN"/>
              </w:rPr>
              <w:t>按照表五执行</w:t>
            </w:r>
            <w:r>
              <w:rPr>
                <w:rFonts w:ascii="Times New Roman" w:hAnsi="Times New Roman" w:eastAsia="宋体" w:cs="Times New Roman"/>
                <w:color w:val="000000"/>
                <w:sz w:val="24"/>
                <w:highlight w:val="none"/>
              </w:rPr>
              <w:t>。</w:t>
            </w:r>
          </w:p>
          <w:p w14:paraId="29FE6113">
            <w:pPr>
              <w:pStyle w:val="189"/>
              <w:jc w:val="center"/>
              <w:rPr>
                <w:b/>
                <w:color w:val="000000"/>
                <w:highlight w:val="none"/>
              </w:rPr>
            </w:pPr>
            <w:r>
              <w:rPr>
                <w:b/>
                <w:color w:val="000000"/>
                <w:highlight w:val="none"/>
              </w:rPr>
              <w:t>表4-</w:t>
            </w:r>
            <w:r>
              <w:rPr>
                <w:rFonts w:hint="eastAsia"/>
                <w:b/>
                <w:color w:val="000000"/>
                <w:highlight w:val="none"/>
                <w:lang w:val="en-US" w:eastAsia="zh-CN"/>
              </w:rPr>
              <w:t>12</w:t>
            </w:r>
            <w:r>
              <w:rPr>
                <w:b/>
                <w:color w:val="000000"/>
                <w:highlight w:val="none"/>
              </w:rPr>
              <w:t xml:space="preserve">  竣工验收监测计划一览表</w:t>
            </w:r>
          </w:p>
          <w:tbl>
            <w:tblPr>
              <w:tblStyle w:val="2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0"/>
              <w:gridCol w:w="726"/>
              <w:gridCol w:w="2658"/>
              <w:gridCol w:w="2177"/>
              <w:gridCol w:w="1139"/>
              <w:gridCol w:w="1883"/>
            </w:tblGrid>
            <w:tr w14:paraId="5DCA3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21" w:type="dxa"/>
                  <w:noWrap w:val="0"/>
                  <w:vAlign w:val="center"/>
                </w:tcPr>
                <w:p w14:paraId="4B195CFB">
                  <w:pPr>
                    <w:widowControl/>
                    <w:jc w:val="center"/>
                    <w:rPr>
                      <w:b/>
                      <w:bCs/>
                      <w:color w:val="000000"/>
                      <w:szCs w:val="21"/>
                      <w:highlight w:val="none"/>
                    </w:rPr>
                  </w:pPr>
                  <w:r>
                    <w:rPr>
                      <w:b/>
                      <w:bCs/>
                      <w:color w:val="000000"/>
                      <w:szCs w:val="21"/>
                      <w:highlight w:val="none"/>
                    </w:rPr>
                    <w:t>监测时段</w:t>
                  </w:r>
                </w:p>
              </w:tc>
              <w:tc>
                <w:tcPr>
                  <w:tcW w:w="517" w:type="dxa"/>
                  <w:noWrap w:val="0"/>
                  <w:vAlign w:val="center"/>
                </w:tcPr>
                <w:p w14:paraId="54FE483E">
                  <w:pPr>
                    <w:widowControl/>
                    <w:jc w:val="center"/>
                    <w:rPr>
                      <w:b/>
                      <w:bCs/>
                      <w:color w:val="000000"/>
                      <w:szCs w:val="21"/>
                      <w:highlight w:val="none"/>
                    </w:rPr>
                  </w:pPr>
                  <w:r>
                    <w:rPr>
                      <w:b/>
                      <w:bCs/>
                      <w:color w:val="000000"/>
                      <w:szCs w:val="21"/>
                      <w:highlight w:val="none"/>
                    </w:rPr>
                    <w:t>监测</w:t>
                  </w:r>
                </w:p>
                <w:p w14:paraId="693B3D0A">
                  <w:pPr>
                    <w:widowControl/>
                    <w:jc w:val="center"/>
                    <w:rPr>
                      <w:b/>
                      <w:bCs/>
                      <w:color w:val="000000"/>
                      <w:szCs w:val="21"/>
                      <w:highlight w:val="none"/>
                    </w:rPr>
                  </w:pPr>
                  <w:r>
                    <w:rPr>
                      <w:b/>
                      <w:bCs/>
                      <w:color w:val="000000"/>
                      <w:szCs w:val="21"/>
                      <w:highlight w:val="none"/>
                    </w:rPr>
                    <w:t>对象</w:t>
                  </w:r>
                </w:p>
              </w:tc>
              <w:tc>
                <w:tcPr>
                  <w:tcW w:w="1048" w:type="dxa"/>
                  <w:noWrap w:val="0"/>
                  <w:vAlign w:val="center"/>
                </w:tcPr>
                <w:p w14:paraId="596E59C0">
                  <w:pPr>
                    <w:widowControl/>
                    <w:jc w:val="center"/>
                    <w:rPr>
                      <w:b/>
                      <w:bCs/>
                      <w:color w:val="000000"/>
                      <w:szCs w:val="21"/>
                      <w:highlight w:val="none"/>
                    </w:rPr>
                  </w:pPr>
                  <w:r>
                    <w:rPr>
                      <w:b/>
                      <w:bCs/>
                      <w:color w:val="000000"/>
                      <w:szCs w:val="21"/>
                      <w:highlight w:val="none"/>
                    </w:rPr>
                    <w:t>监测地点</w:t>
                  </w:r>
                </w:p>
              </w:tc>
              <w:tc>
                <w:tcPr>
                  <w:tcW w:w="858" w:type="dxa"/>
                  <w:noWrap w:val="0"/>
                  <w:vAlign w:val="center"/>
                </w:tcPr>
                <w:p w14:paraId="606E6FFC">
                  <w:pPr>
                    <w:widowControl/>
                    <w:jc w:val="center"/>
                    <w:rPr>
                      <w:b/>
                      <w:bCs/>
                      <w:color w:val="000000"/>
                      <w:szCs w:val="21"/>
                      <w:highlight w:val="none"/>
                    </w:rPr>
                  </w:pPr>
                  <w:r>
                    <w:rPr>
                      <w:b/>
                      <w:bCs/>
                      <w:color w:val="000000"/>
                      <w:szCs w:val="21"/>
                      <w:highlight w:val="none"/>
                    </w:rPr>
                    <w:t>监测项目</w:t>
                  </w:r>
                </w:p>
              </w:tc>
              <w:tc>
                <w:tcPr>
                  <w:tcW w:w="811" w:type="dxa"/>
                  <w:noWrap w:val="0"/>
                  <w:vAlign w:val="center"/>
                </w:tcPr>
                <w:p w14:paraId="5061454B">
                  <w:pPr>
                    <w:widowControl/>
                    <w:jc w:val="center"/>
                    <w:rPr>
                      <w:b/>
                      <w:bCs/>
                      <w:color w:val="000000"/>
                      <w:szCs w:val="21"/>
                      <w:highlight w:val="none"/>
                    </w:rPr>
                  </w:pPr>
                  <w:r>
                    <w:rPr>
                      <w:b/>
                      <w:bCs/>
                      <w:color w:val="000000"/>
                      <w:szCs w:val="21"/>
                      <w:highlight w:val="none"/>
                    </w:rPr>
                    <w:t>监测频率</w:t>
                  </w:r>
                </w:p>
              </w:tc>
              <w:tc>
                <w:tcPr>
                  <w:tcW w:w="1341" w:type="dxa"/>
                  <w:noWrap w:val="0"/>
                  <w:vAlign w:val="center"/>
                </w:tcPr>
                <w:p w14:paraId="7ED42FED">
                  <w:pPr>
                    <w:widowControl/>
                    <w:jc w:val="center"/>
                    <w:rPr>
                      <w:b/>
                      <w:bCs/>
                      <w:color w:val="000000"/>
                      <w:szCs w:val="21"/>
                      <w:highlight w:val="none"/>
                    </w:rPr>
                  </w:pPr>
                  <w:r>
                    <w:rPr>
                      <w:b/>
                      <w:bCs/>
                      <w:color w:val="000000"/>
                      <w:szCs w:val="21"/>
                      <w:highlight w:val="none"/>
                    </w:rPr>
                    <w:t>执行标准</w:t>
                  </w:r>
                </w:p>
              </w:tc>
            </w:tr>
            <w:tr w14:paraId="152CC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 w:hRule="atLeast"/>
                <w:jc w:val="center"/>
              </w:trPr>
              <w:tc>
                <w:tcPr>
                  <w:tcW w:w="421" w:type="dxa"/>
                  <w:vMerge w:val="restart"/>
                  <w:noWrap w:val="0"/>
                  <w:vAlign w:val="center"/>
                </w:tcPr>
                <w:p w14:paraId="7601F004">
                  <w:pPr>
                    <w:widowControl/>
                    <w:jc w:val="center"/>
                    <w:rPr>
                      <w:color w:val="000000"/>
                      <w:szCs w:val="21"/>
                      <w:highlight w:val="none"/>
                    </w:rPr>
                  </w:pPr>
                  <w:r>
                    <w:rPr>
                      <w:color w:val="000000"/>
                      <w:szCs w:val="21"/>
                      <w:highlight w:val="none"/>
                    </w:rPr>
                    <w:t>运营期</w:t>
                  </w:r>
                </w:p>
              </w:tc>
              <w:tc>
                <w:tcPr>
                  <w:tcW w:w="517" w:type="dxa"/>
                  <w:vMerge w:val="restart"/>
                  <w:noWrap w:val="0"/>
                  <w:vAlign w:val="center"/>
                </w:tcPr>
                <w:p w14:paraId="59C85FA6">
                  <w:pPr>
                    <w:widowControl/>
                    <w:jc w:val="center"/>
                    <w:rPr>
                      <w:color w:val="000000"/>
                      <w:sz w:val="21"/>
                      <w:szCs w:val="21"/>
                      <w:lang w:val="en-US" w:eastAsia="zh-CN" w:bidi="ar-SA"/>
                    </w:rPr>
                  </w:pPr>
                  <w:r>
                    <w:rPr>
                      <w:color w:val="000000"/>
                      <w:szCs w:val="21"/>
                    </w:rPr>
                    <w:t>有组织废气</w:t>
                  </w:r>
                </w:p>
              </w:tc>
              <w:tc>
                <w:tcPr>
                  <w:tcW w:w="1048" w:type="dxa"/>
                  <w:noWrap w:val="0"/>
                  <w:vAlign w:val="center"/>
                </w:tcPr>
                <w:p w14:paraId="2CBA92D9">
                  <w:pPr>
                    <w:widowControl/>
                    <w:jc w:val="center"/>
                    <w:rPr>
                      <w:bCs/>
                      <w:color w:val="000000"/>
                      <w:sz w:val="21"/>
                      <w:szCs w:val="21"/>
                      <w:lang w:val="en-US" w:eastAsia="zh-CN" w:bidi="ar-SA"/>
                    </w:rPr>
                  </w:pPr>
                  <w:r>
                    <w:rPr>
                      <w:rFonts w:hint="eastAsia" w:ascii="Times New Roman" w:hAnsi="Times New Roman" w:eastAsia="宋体" w:cs="Times New Roman"/>
                      <w:color w:val="000000"/>
                      <w:sz w:val="21"/>
                      <w:szCs w:val="21"/>
                      <w:highlight w:val="none"/>
                      <w:lang w:val="en-US" w:eastAsia="zh-CN"/>
                    </w:rPr>
                    <w:t>断料分选、破片、清边、裁边废气排气筒（DA001）</w:t>
                  </w:r>
                </w:p>
              </w:tc>
              <w:tc>
                <w:tcPr>
                  <w:tcW w:w="858" w:type="dxa"/>
                  <w:noWrap w:val="0"/>
                  <w:vAlign w:val="center"/>
                </w:tcPr>
                <w:p w14:paraId="4491D2DD">
                  <w:pPr>
                    <w:widowControl/>
                    <w:jc w:val="center"/>
                    <w:rPr>
                      <w:color w:val="000000"/>
                      <w:sz w:val="21"/>
                      <w:szCs w:val="21"/>
                      <w:lang w:val="en-US" w:eastAsia="zh-CN" w:bidi="ar-SA"/>
                    </w:rPr>
                  </w:pPr>
                  <w:r>
                    <w:rPr>
                      <w:color w:val="000000"/>
                      <w:szCs w:val="21"/>
                    </w:rPr>
                    <w:t>颗粒物</w:t>
                  </w:r>
                </w:p>
              </w:tc>
              <w:tc>
                <w:tcPr>
                  <w:tcW w:w="811" w:type="dxa"/>
                  <w:vMerge w:val="restart"/>
                  <w:noWrap w:val="0"/>
                  <w:vAlign w:val="center"/>
                </w:tcPr>
                <w:p w14:paraId="172BE4EE">
                  <w:pPr>
                    <w:widowControl/>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竣工验收时，连续监测2天，每天3次</w:t>
                  </w:r>
                </w:p>
              </w:tc>
              <w:tc>
                <w:tcPr>
                  <w:tcW w:w="1341" w:type="dxa"/>
                  <w:vMerge w:val="restart"/>
                  <w:noWrap w:val="0"/>
                  <w:vAlign w:val="center"/>
                </w:tcPr>
                <w:p w14:paraId="1386EAB2">
                  <w:pPr>
                    <w:widowControl/>
                    <w:jc w:val="center"/>
                    <w:rPr>
                      <w:rFonts w:hint="eastAsia"/>
                      <w:color w:val="000000"/>
                      <w:sz w:val="21"/>
                      <w:szCs w:val="21"/>
                      <w:lang w:val="en-US" w:eastAsia="zh-CN" w:bidi="ar-SA"/>
                    </w:rPr>
                  </w:pPr>
                  <w:r>
                    <w:rPr>
                      <w:color w:val="000000"/>
                    </w:rPr>
                    <w:t>《大气污染物综合排放标准》（GB16297-1996）表2中标准限值</w:t>
                  </w:r>
                </w:p>
              </w:tc>
            </w:tr>
            <w:tr w14:paraId="3C018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jc w:val="center"/>
              </w:trPr>
              <w:tc>
                <w:tcPr>
                  <w:tcW w:w="421" w:type="dxa"/>
                  <w:vMerge w:val="continue"/>
                  <w:noWrap w:val="0"/>
                  <w:vAlign w:val="center"/>
                </w:tcPr>
                <w:p w14:paraId="4A5EF784">
                  <w:pPr>
                    <w:widowControl/>
                    <w:jc w:val="center"/>
                    <w:rPr>
                      <w:color w:val="000000"/>
                      <w:szCs w:val="21"/>
                      <w:highlight w:val="none"/>
                    </w:rPr>
                  </w:pPr>
                </w:p>
              </w:tc>
              <w:tc>
                <w:tcPr>
                  <w:tcW w:w="517" w:type="dxa"/>
                  <w:vMerge w:val="continue"/>
                  <w:noWrap w:val="0"/>
                  <w:vAlign w:val="center"/>
                </w:tcPr>
                <w:p w14:paraId="3F828F81">
                  <w:pPr>
                    <w:widowControl/>
                    <w:jc w:val="center"/>
                    <w:rPr>
                      <w:color w:val="000000"/>
                      <w:szCs w:val="21"/>
                      <w:highlight w:val="none"/>
                    </w:rPr>
                  </w:pPr>
                </w:p>
              </w:tc>
              <w:tc>
                <w:tcPr>
                  <w:tcW w:w="1893" w:type="dxa"/>
                  <w:noWrap w:val="0"/>
                  <w:vAlign w:val="center"/>
                </w:tcPr>
                <w:p w14:paraId="0231E5D2">
                  <w:pPr>
                    <w:widowControl/>
                    <w:jc w:val="center"/>
                    <w:rPr>
                      <w:rFonts w:eastAsia="宋体"/>
                      <w:bCs/>
                      <w:color w:val="000000"/>
                      <w:sz w:val="21"/>
                      <w:szCs w:val="21"/>
                      <w:lang w:val="en-US" w:eastAsia="zh-CN" w:bidi="ar-SA"/>
                    </w:rPr>
                  </w:pPr>
                  <w:r>
                    <w:rPr>
                      <w:rFonts w:hint="eastAsia"/>
                      <w:bCs/>
                      <w:color w:val="000000"/>
                      <w:sz w:val="21"/>
                      <w:szCs w:val="21"/>
                      <w:lang w:val="en-US" w:eastAsia="zh-CN"/>
                    </w:rPr>
                    <w:t>烘干、涂胶废气排气筒</w:t>
                  </w:r>
                  <w:r>
                    <w:rPr>
                      <w:rFonts w:hint="eastAsia" w:ascii="Times New Roman" w:hAnsi="Times New Roman" w:eastAsia="宋体" w:cs="Times New Roman"/>
                      <w:color w:val="000000"/>
                      <w:sz w:val="21"/>
                      <w:szCs w:val="21"/>
                      <w:highlight w:val="none"/>
                      <w:lang w:val="en-US" w:eastAsia="zh-CN"/>
                    </w:rPr>
                    <w:t>（DA002）</w:t>
                  </w:r>
                </w:p>
              </w:tc>
              <w:tc>
                <w:tcPr>
                  <w:tcW w:w="1550" w:type="dxa"/>
                  <w:noWrap w:val="0"/>
                  <w:vAlign w:val="center"/>
                </w:tcPr>
                <w:p w14:paraId="376D7981">
                  <w:pPr>
                    <w:widowControl/>
                    <w:jc w:val="center"/>
                    <w:rPr>
                      <w:rFonts w:hint="eastAsia"/>
                      <w:color w:val="000000"/>
                      <w:sz w:val="21"/>
                      <w:szCs w:val="21"/>
                      <w:lang w:val="en-US" w:eastAsia="zh-CN" w:bidi="ar-SA"/>
                    </w:rPr>
                  </w:pPr>
                  <w:r>
                    <w:rPr>
                      <w:color w:val="000000"/>
                    </w:rPr>
                    <w:t>非甲烷总烃</w:t>
                  </w:r>
                  <w:r>
                    <w:rPr>
                      <w:rFonts w:hint="eastAsia"/>
                      <w:color w:val="000000"/>
                      <w:lang w:eastAsia="zh-CN"/>
                    </w:rPr>
                    <w:t>、</w:t>
                  </w:r>
                  <w:r>
                    <w:rPr>
                      <w:rFonts w:hint="eastAsia"/>
                      <w:color w:val="000000"/>
                      <w:lang w:val="en-US" w:eastAsia="zh-CN"/>
                    </w:rPr>
                    <w:t>甲醛</w:t>
                  </w:r>
                </w:p>
              </w:tc>
              <w:tc>
                <w:tcPr>
                  <w:tcW w:w="811" w:type="dxa"/>
                  <w:vMerge w:val="continue"/>
                  <w:noWrap w:val="0"/>
                  <w:vAlign w:val="center"/>
                </w:tcPr>
                <w:p w14:paraId="3F75AE03">
                  <w:pPr>
                    <w:widowControl/>
                    <w:jc w:val="center"/>
                    <w:rPr>
                      <w:color w:val="000000"/>
                      <w:szCs w:val="21"/>
                      <w:highlight w:val="none"/>
                    </w:rPr>
                  </w:pPr>
                </w:p>
              </w:tc>
              <w:tc>
                <w:tcPr>
                  <w:tcW w:w="1341" w:type="dxa"/>
                  <w:vMerge w:val="continue"/>
                  <w:noWrap w:val="0"/>
                  <w:vAlign w:val="center"/>
                </w:tcPr>
                <w:p w14:paraId="7C1E6EF8">
                  <w:pPr>
                    <w:widowControl/>
                    <w:jc w:val="center"/>
                    <w:rPr>
                      <w:rFonts w:eastAsia="宋体"/>
                      <w:color w:val="000000"/>
                      <w:szCs w:val="21"/>
                      <w:highlight w:val="none"/>
                      <w:lang w:val="en-US" w:eastAsia="zh-CN"/>
                    </w:rPr>
                  </w:pPr>
                </w:p>
              </w:tc>
            </w:tr>
            <w:tr w14:paraId="0E830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21" w:type="dxa"/>
                  <w:vMerge w:val="continue"/>
                  <w:noWrap w:val="0"/>
                  <w:vAlign w:val="center"/>
                </w:tcPr>
                <w:p w14:paraId="3962ED84">
                  <w:pPr>
                    <w:widowControl/>
                    <w:jc w:val="center"/>
                    <w:rPr>
                      <w:color w:val="000000"/>
                      <w:szCs w:val="21"/>
                      <w:highlight w:val="none"/>
                    </w:rPr>
                  </w:pPr>
                </w:p>
              </w:tc>
              <w:tc>
                <w:tcPr>
                  <w:tcW w:w="517" w:type="dxa"/>
                  <w:vMerge w:val="continue"/>
                  <w:noWrap w:val="0"/>
                  <w:vAlign w:val="center"/>
                </w:tcPr>
                <w:p w14:paraId="0BFF04C5">
                  <w:pPr>
                    <w:widowControl/>
                    <w:jc w:val="center"/>
                    <w:rPr>
                      <w:color w:val="000000"/>
                      <w:szCs w:val="21"/>
                      <w:highlight w:val="none"/>
                    </w:rPr>
                  </w:pPr>
                </w:p>
              </w:tc>
              <w:tc>
                <w:tcPr>
                  <w:tcW w:w="1048" w:type="dxa"/>
                  <w:noWrap w:val="0"/>
                  <w:vAlign w:val="center"/>
                </w:tcPr>
                <w:p w14:paraId="3A7C6A1B">
                  <w:pPr>
                    <w:widowControl/>
                    <w:jc w:val="center"/>
                    <w:rPr>
                      <w:rFonts w:eastAsia="宋体"/>
                      <w:bCs/>
                      <w:color w:val="000000"/>
                      <w:sz w:val="21"/>
                      <w:szCs w:val="21"/>
                      <w:lang w:val="en-US" w:eastAsia="zh-CN" w:bidi="ar-SA"/>
                    </w:rPr>
                  </w:pPr>
                  <w:r>
                    <w:rPr>
                      <w:rFonts w:hint="eastAsia"/>
                      <w:bCs/>
                      <w:color w:val="000000"/>
                      <w:sz w:val="21"/>
                      <w:szCs w:val="21"/>
                      <w:lang w:val="en-US" w:eastAsia="zh-CN"/>
                    </w:rPr>
                    <w:t>锅炉废气排气筒</w:t>
                  </w:r>
                  <w:r>
                    <w:rPr>
                      <w:rFonts w:hint="eastAsia" w:ascii="Times New Roman" w:hAnsi="Times New Roman" w:eastAsia="宋体" w:cs="Times New Roman"/>
                      <w:color w:val="000000"/>
                      <w:sz w:val="21"/>
                      <w:szCs w:val="21"/>
                      <w:highlight w:val="none"/>
                      <w:lang w:val="en-US" w:eastAsia="zh-CN"/>
                    </w:rPr>
                    <w:t>（DA003）</w:t>
                  </w:r>
                </w:p>
              </w:tc>
              <w:tc>
                <w:tcPr>
                  <w:tcW w:w="858" w:type="dxa"/>
                  <w:noWrap w:val="0"/>
                  <w:vAlign w:val="center"/>
                </w:tcPr>
                <w:p w14:paraId="75C7B4C5">
                  <w:pPr>
                    <w:widowControl/>
                    <w:jc w:val="center"/>
                    <w:rPr>
                      <w:rFonts w:hint="eastAsia" w:eastAsia="宋体"/>
                      <w:color w:val="000000"/>
                      <w:sz w:val="21"/>
                      <w:szCs w:val="21"/>
                      <w:lang w:val="en-US" w:eastAsia="zh-CN" w:bidi="ar-SA"/>
                    </w:rPr>
                  </w:pPr>
                  <w:r>
                    <w:rPr>
                      <w:rFonts w:ascii="Times New Roman" w:hAnsi="Times New Roman" w:eastAsia="宋体" w:cs="Times New Roman"/>
                      <w:color w:val="000000"/>
                      <w:szCs w:val="21"/>
                      <w:highlight w:val="none"/>
                      <w:lang w:val="en-US" w:eastAsia="zh-CN"/>
                    </w:rPr>
                    <w:t>颗粒物、SO</w:t>
                  </w:r>
                  <w:r>
                    <w:rPr>
                      <w:rFonts w:ascii="Times New Roman" w:hAnsi="Times New Roman" w:eastAsia="宋体" w:cs="Times New Roman"/>
                      <w:color w:val="000000"/>
                      <w:szCs w:val="21"/>
                      <w:highlight w:val="none"/>
                      <w:vertAlign w:val="subscript"/>
                      <w:lang w:val="en-US" w:eastAsia="zh-CN"/>
                    </w:rPr>
                    <w:t>2</w:t>
                  </w:r>
                  <w:r>
                    <w:rPr>
                      <w:rFonts w:ascii="Times New Roman" w:hAnsi="Times New Roman" w:eastAsia="宋体" w:cs="Times New Roman"/>
                      <w:color w:val="000000"/>
                      <w:szCs w:val="21"/>
                      <w:highlight w:val="none"/>
                      <w:lang w:val="en-US" w:eastAsia="zh-CN"/>
                    </w:rPr>
                    <w:t>、NOx、</w:t>
                  </w:r>
                  <w:r>
                    <w:rPr>
                      <w:rFonts w:ascii="Times New Roman" w:hAnsi="Times New Roman" w:eastAsia="宋体" w:cs="Times New Roman"/>
                      <w:color w:val="000000"/>
                      <w:sz w:val="21"/>
                      <w:lang w:val="en-US" w:eastAsia="zh-CN"/>
                    </w:rPr>
                    <w:t>烟气黑度</w:t>
                  </w:r>
                </w:p>
              </w:tc>
              <w:tc>
                <w:tcPr>
                  <w:tcW w:w="811" w:type="dxa"/>
                  <w:vMerge w:val="continue"/>
                  <w:noWrap w:val="0"/>
                  <w:vAlign w:val="center"/>
                </w:tcPr>
                <w:p w14:paraId="4328B8DD">
                  <w:pPr>
                    <w:widowControl/>
                    <w:jc w:val="center"/>
                    <w:rPr>
                      <w:color w:val="000000"/>
                      <w:szCs w:val="21"/>
                      <w:highlight w:val="none"/>
                    </w:rPr>
                  </w:pPr>
                </w:p>
              </w:tc>
              <w:tc>
                <w:tcPr>
                  <w:tcW w:w="1341" w:type="dxa"/>
                  <w:noWrap w:val="0"/>
                  <w:vAlign w:val="center"/>
                </w:tcPr>
                <w:p w14:paraId="2ED588D9">
                  <w:pPr>
                    <w:widowControl/>
                    <w:jc w:val="center"/>
                    <w:rPr>
                      <w:color w:val="000000"/>
                      <w:sz w:val="21"/>
                      <w:szCs w:val="24"/>
                      <w:lang w:val="en-US" w:eastAsia="zh-CN" w:bidi="ar-SA"/>
                    </w:rPr>
                  </w:pPr>
                  <w:r>
                    <w:rPr>
                      <w:rFonts w:ascii="Times New Roman" w:hAnsi="Times New Roman" w:eastAsia="宋体" w:cs="Times New Roman"/>
                      <w:color w:val="000000"/>
                      <w:szCs w:val="21"/>
                      <w:highlight w:val="none"/>
                      <w:lang w:val="en-US" w:eastAsia="zh-CN"/>
                    </w:rPr>
                    <w:t>《锅炉大气污染物排放标准》（GB13271-2014）中表2燃煤锅炉标准</w:t>
                  </w:r>
                </w:p>
              </w:tc>
            </w:tr>
            <w:tr w14:paraId="5EF21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421" w:type="dxa"/>
                  <w:vMerge w:val="continue"/>
                  <w:noWrap w:val="0"/>
                  <w:vAlign w:val="center"/>
                </w:tcPr>
                <w:p w14:paraId="19BDC94D">
                  <w:pPr>
                    <w:widowControl/>
                    <w:jc w:val="center"/>
                    <w:rPr>
                      <w:color w:val="000000"/>
                      <w:szCs w:val="21"/>
                      <w:highlight w:val="none"/>
                    </w:rPr>
                  </w:pPr>
                </w:p>
              </w:tc>
              <w:tc>
                <w:tcPr>
                  <w:tcW w:w="517" w:type="dxa"/>
                  <w:vMerge w:val="restart"/>
                  <w:noWrap w:val="0"/>
                  <w:vAlign w:val="center"/>
                </w:tcPr>
                <w:p w14:paraId="63F23802">
                  <w:pPr>
                    <w:widowControl/>
                    <w:jc w:val="center"/>
                    <w:rPr>
                      <w:rFonts w:hint="eastAsia"/>
                      <w:color w:val="000000"/>
                      <w:sz w:val="21"/>
                      <w:szCs w:val="21"/>
                      <w:lang w:val="en-US" w:eastAsia="zh-CN" w:bidi="ar-SA"/>
                    </w:rPr>
                  </w:pPr>
                  <w:r>
                    <w:rPr>
                      <w:color w:val="000000"/>
                      <w:szCs w:val="21"/>
                    </w:rPr>
                    <w:t>无组织废气</w:t>
                  </w:r>
                </w:p>
              </w:tc>
              <w:tc>
                <w:tcPr>
                  <w:tcW w:w="1048" w:type="dxa"/>
                  <w:noWrap w:val="0"/>
                  <w:vAlign w:val="center"/>
                </w:tcPr>
                <w:p w14:paraId="22AC1834">
                  <w:pPr>
                    <w:widowControl/>
                    <w:jc w:val="center"/>
                    <w:rPr>
                      <w:color w:val="000000"/>
                      <w:sz w:val="21"/>
                      <w:szCs w:val="21"/>
                      <w:lang w:val="en-US" w:eastAsia="zh-CN" w:bidi="ar-SA"/>
                    </w:rPr>
                  </w:pPr>
                  <w:r>
                    <w:rPr>
                      <w:color w:val="000000"/>
                      <w:szCs w:val="21"/>
                    </w:rPr>
                    <w:t>厂界上风向设置1个参照点，下风向设置3个监测点</w:t>
                  </w:r>
                </w:p>
              </w:tc>
              <w:tc>
                <w:tcPr>
                  <w:tcW w:w="858" w:type="dxa"/>
                  <w:noWrap w:val="0"/>
                  <w:vAlign w:val="center"/>
                </w:tcPr>
                <w:p w14:paraId="1F88D389">
                  <w:pPr>
                    <w:widowControl/>
                    <w:jc w:val="center"/>
                    <w:rPr>
                      <w:rFonts w:eastAsia="宋体"/>
                      <w:bCs/>
                      <w:color w:val="000000"/>
                      <w:sz w:val="21"/>
                      <w:szCs w:val="21"/>
                      <w:lang w:val="en-US" w:eastAsia="zh-CN" w:bidi="ar-SA"/>
                    </w:rPr>
                  </w:pPr>
                  <w:r>
                    <w:rPr>
                      <w:bCs/>
                      <w:color w:val="000000"/>
                      <w:szCs w:val="21"/>
                    </w:rPr>
                    <w:t>颗粒物</w:t>
                  </w:r>
                  <w:r>
                    <w:rPr>
                      <w:rFonts w:hint="eastAsia"/>
                      <w:bCs/>
                      <w:color w:val="000000"/>
                      <w:szCs w:val="21"/>
                      <w:lang w:eastAsia="zh-CN"/>
                    </w:rPr>
                    <w:t>、</w:t>
                  </w:r>
                  <w:r>
                    <w:rPr>
                      <w:color w:val="000000"/>
                    </w:rPr>
                    <w:t>非甲烷总烃</w:t>
                  </w:r>
                  <w:r>
                    <w:rPr>
                      <w:rFonts w:hint="eastAsia"/>
                      <w:color w:val="000000"/>
                      <w:lang w:eastAsia="zh-CN"/>
                    </w:rPr>
                    <w:t>、</w:t>
                  </w:r>
                  <w:r>
                    <w:rPr>
                      <w:rFonts w:hint="eastAsia"/>
                      <w:color w:val="000000"/>
                      <w:lang w:val="en-US" w:eastAsia="zh-CN"/>
                    </w:rPr>
                    <w:t>甲醛</w:t>
                  </w:r>
                </w:p>
              </w:tc>
              <w:tc>
                <w:tcPr>
                  <w:tcW w:w="811" w:type="dxa"/>
                  <w:vMerge w:val="continue"/>
                  <w:noWrap w:val="0"/>
                  <w:vAlign w:val="center"/>
                </w:tcPr>
                <w:p w14:paraId="55B58914">
                  <w:pPr>
                    <w:widowControl/>
                    <w:jc w:val="center"/>
                    <w:rPr>
                      <w:color w:val="000000"/>
                      <w:szCs w:val="21"/>
                      <w:highlight w:val="none"/>
                    </w:rPr>
                  </w:pPr>
                </w:p>
              </w:tc>
              <w:tc>
                <w:tcPr>
                  <w:tcW w:w="1341" w:type="dxa"/>
                  <w:noWrap w:val="0"/>
                  <w:vAlign w:val="center"/>
                </w:tcPr>
                <w:p w14:paraId="248C45C1">
                  <w:pPr>
                    <w:widowControl/>
                    <w:jc w:val="center"/>
                    <w:rPr>
                      <w:bCs/>
                      <w:color w:val="000000"/>
                      <w:sz w:val="21"/>
                      <w:szCs w:val="21"/>
                      <w:lang w:val="en-US" w:eastAsia="zh-CN" w:bidi="ar-SA"/>
                    </w:rPr>
                  </w:pPr>
                  <w:r>
                    <w:rPr>
                      <w:color w:val="000000"/>
                    </w:rPr>
                    <w:t>《大气污染物综合排放标准》（GB16297-1996）表2中无组织排放浓度监控限值</w:t>
                  </w:r>
                </w:p>
              </w:tc>
            </w:tr>
            <w:tr w14:paraId="27EB2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21" w:type="dxa"/>
                  <w:vMerge w:val="continue"/>
                  <w:noWrap w:val="0"/>
                  <w:vAlign w:val="center"/>
                </w:tcPr>
                <w:p w14:paraId="222D8A19">
                  <w:pPr>
                    <w:widowControl/>
                    <w:jc w:val="center"/>
                    <w:rPr>
                      <w:color w:val="000000"/>
                      <w:szCs w:val="21"/>
                      <w:highlight w:val="none"/>
                    </w:rPr>
                  </w:pPr>
                </w:p>
              </w:tc>
              <w:tc>
                <w:tcPr>
                  <w:tcW w:w="517" w:type="dxa"/>
                  <w:vMerge w:val="continue"/>
                  <w:noWrap w:val="0"/>
                  <w:vAlign w:val="center"/>
                </w:tcPr>
                <w:p w14:paraId="1C878758">
                  <w:pPr>
                    <w:widowControl/>
                    <w:jc w:val="center"/>
                    <w:rPr>
                      <w:color w:val="000000"/>
                      <w:szCs w:val="21"/>
                      <w:highlight w:val="none"/>
                    </w:rPr>
                  </w:pPr>
                </w:p>
              </w:tc>
              <w:tc>
                <w:tcPr>
                  <w:tcW w:w="1048" w:type="dxa"/>
                  <w:noWrap w:val="0"/>
                  <w:vAlign w:val="center"/>
                </w:tcPr>
                <w:p w14:paraId="5C0927DB">
                  <w:pPr>
                    <w:widowControl/>
                    <w:jc w:val="center"/>
                    <w:rPr>
                      <w:rFonts w:eastAsia="宋体"/>
                      <w:bCs/>
                      <w:color w:val="000000"/>
                      <w:sz w:val="21"/>
                      <w:szCs w:val="21"/>
                      <w:lang w:val="en-US" w:eastAsia="zh-CN" w:bidi="ar-SA"/>
                    </w:rPr>
                  </w:pPr>
                  <w:r>
                    <w:rPr>
                      <w:rFonts w:hint="eastAsia"/>
                      <w:bCs/>
                      <w:color w:val="000000"/>
                      <w:szCs w:val="21"/>
                      <w:lang w:val="en-US" w:eastAsia="zh-CN"/>
                    </w:rPr>
                    <w:t>烘干房外</w:t>
                  </w:r>
                </w:p>
              </w:tc>
              <w:tc>
                <w:tcPr>
                  <w:tcW w:w="858" w:type="dxa"/>
                  <w:noWrap w:val="0"/>
                  <w:vAlign w:val="center"/>
                </w:tcPr>
                <w:p w14:paraId="3E44D85F">
                  <w:pPr>
                    <w:widowControl/>
                    <w:jc w:val="center"/>
                    <w:rPr>
                      <w:rFonts w:hint="eastAsia"/>
                      <w:color w:val="000000"/>
                      <w:sz w:val="21"/>
                      <w:szCs w:val="24"/>
                      <w:lang w:val="en-US" w:eastAsia="zh-CN" w:bidi="ar-SA"/>
                    </w:rPr>
                  </w:pPr>
                  <w:r>
                    <w:rPr>
                      <w:color w:val="000000"/>
                    </w:rPr>
                    <w:t>非甲烷总烃</w:t>
                  </w:r>
                </w:p>
              </w:tc>
              <w:tc>
                <w:tcPr>
                  <w:tcW w:w="811" w:type="dxa"/>
                  <w:vMerge w:val="continue"/>
                  <w:noWrap w:val="0"/>
                  <w:vAlign w:val="center"/>
                </w:tcPr>
                <w:p w14:paraId="7EE4A26F">
                  <w:pPr>
                    <w:widowControl/>
                    <w:jc w:val="center"/>
                    <w:rPr>
                      <w:color w:val="000000"/>
                      <w:szCs w:val="21"/>
                      <w:highlight w:val="none"/>
                    </w:rPr>
                  </w:pPr>
                </w:p>
              </w:tc>
              <w:tc>
                <w:tcPr>
                  <w:tcW w:w="1341" w:type="dxa"/>
                  <w:noWrap w:val="0"/>
                  <w:vAlign w:val="center"/>
                </w:tcPr>
                <w:p w14:paraId="15DE2D01">
                  <w:pPr>
                    <w:widowControl/>
                    <w:jc w:val="center"/>
                    <w:rPr>
                      <w:color w:val="000000"/>
                      <w:sz w:val="21"/>
                      <w:szCs w:val="21"/>
                      <w:lang w:val="en-US" w:eastAsia="zh-CN" w:bidi="ar-SA"/>
                    </w:rPr>
                  </w:pPr>
                  <w:r>
                    <w:rPr>
                      <w:color w:val="000000"/>
                      <w:szCs w:val="21"/>
                    </w:rPr>
                    <w:t>《挥发性有机物无组织排放控制标准》（GB37822-2019）表A.1标准限值</w:t>
                  </w:r>
                </w:p>
              </w:tc>
            </w:tr>
            <w:tr w14:paraId="62302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21" w:type="dxa"/>
                  <w:vMerge w:val="continue"/>
                  <w:noWrap w:val="0"/>
                  <w:vAlign w:val="center"/>
                </w:tcPr>
                <w:p w14:paraId="34435F58">
                  <w:pPr>
                    <w:widowControl/>
                    <w:jc w:val="center"/>
                    <w:rPr>
                      <w:color w:val="000000"/>
                      <w:szCs w:val="21"/>
                      <w:highlight w:val="none"/>
                    </w:rPr>
                  </w:pPr>
                </w:p>
              </w:tc>
              <w:tc>
                <w:tcPr>
                  <w:tcW w:w="517" w:type="dxa"/>
                  <w:noWrap w:val="0"/>
                  <w:vAlign w:val="center"/>
                </w:tcPr>
                <w:p w14:paraId="7C18A5A5">
                  <w:pPr>
                    <w:jc w:val="center"/>
                    <w:rPr>
                      <w:rFonts w:hint="eastAsia"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Cs w:val="21"/>
                      <w:highlight w:val="none"/>
                    </w:rPr>
                    <w:t>噪声</w:t>
                  </w:r>
                </w:p>
              </w:tc>
              <w:tc>
                <w:tcPr>
                  <w:tcW w:w="1048" w:type="dxa"/>
                  <w:noWrap w:val="0"/>
                  <w:vAlign w:val="center"/>
                </w:tcPr>
                <w:p w14:paraId="658A7789">
                  <w:pPr>
                    <w:jc w:val="center"/>
                    <w:rPr>
                      <w:rFonts w:hint="eastAsia"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Cs w:val="21"/>
                      <w:highlight w:val="none"/>
                    </w:rPr>
                    <w:t>项目东、南、西、北厂界外1m处</w:t>
                  </w:r>
                </w:p>
              </w:tc>
              <w:tc>
                <w:tcPr>
                  <w:tcW w:w="858" w:type="dxa"/>
                  <w:noWrap w:val="0"/>
                  <w:vAlign w:val="center"/>
                </w:tcPr>
                <w:p w14:paraId="790783E0">
                  <w:pPr>
                    <w:jc w:val="center"/>
                    <w:rPr>
                      <w:rFonts w:ascii="Times New Roman" w:hAnsi="Times New Roman" w:eastAsia="宋体" w:cs="Times New Roman"/>
                      <w:color w:val="000000"/>
                      <w:spacing w:val="-10"/>
                      <w:szCs w:val="21"/>
                      <w:highlight w:val="none"/>
                    </w:rPr>
                  </w:pPr>
                  <w:r>
                    <w:rPr>
                      <w:rFonts w:ascii="Times New Roman" w:hAnsi="Times New Roman" w:eastAsia="宋体" w:cs="Times New Roman"/>
                      <w:color w:val="000000"/>
                      <w:spacing w:val="-10"/>
                      <w:szCs w:val="21"/>
                      <w:highlight w:val="none"/>
                    </w:rPr>
                    <w:t>等效声级</w:t>
                  </w:r>
                </w:p>
                <w:p w14:paraId="28DFA346">
                  <w:pPr>
                    <w:jc w:val="center"/>
                    <w:rPr>
                      <w:rFonts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Cs w:val="21"/>
                      <w:highlight w:val="none"/>
                    </w:rPr>
                    <w:t>Le</w:t>
                  </w:r>
                  <w:r>
                    <w:rPr>
                      <w:rFonts w:ascii="Times New Roman" w:hAnsi="Times New Roman" w:eastAsia="宋体" w:cs="Times New Roman"/>
                      <w:color w:val="000000"/>
                      <w:spacing w:val="-10"/>
                      <w:szCs w:val="21"/>
                      <w:highlight w:val="none"/>
                      <w:lang w:val="en-US" w:eastAsia="zh-CN"/>
                    </w:rPr>
                    <w:t>q</w:t>
                  </w:r>
                  <w:r>
                    <w:rPr>
                      <w:rFonts w:ascii="Times New Roman" w:hAnsi="Times New Roman" w:eastAsia="宋体" w:cs="Times New Roman"/>
                      <w:color w:val="000000"/>
                      <w:spacing w:val="-10"/>
                      <w:szCs w:val="21"/>
                      <w:highlight w:val="none"/>
                    </w:rPr>
                    <w:t>dB(A)</w:t>
                  </w:r>
                </w:p>
              </w:tc>
              <w:tc>
                <w:tcPr>
                  <w:tcW w:w="811" w:type="dxa"/>
                  <w:noWrap w:val="0"/>
                  <w:vAlign w:val="center"/>
                </w:tcPr>
                <w:p w14:paraId="3E73C2C5">
                  <w:pPr>
                    <w:widowControl/>
                    <w:jc w:val="center"/>
                    <w:rPr>
                      <w:color w:val="000000"/>
                      <w:szCs w:val="21"/>
                      <w:highlight w:val="none"/>
                    </w:rPr>
                  </w:pPr>
                  <w:r>
                    <w:rPr>
                      <w:color w:val="000000"/>
                      <w:szCs w:val="21"/>
                      <w:highlight w:val="none"/>
                    </w:rPr>
                    <w:t>竣工验收时，连续监测2天</w:t>
                  </w:r>
                  <w:r>
                    <w:rPr>
                      <w:rFonts w:hint="eastAsia"/>
                      <w:color w:val="000000"/>
                      <w:szCs w:val="21"/>
                      <w:highlight w:val="none"/>
                      <w:lang w:eastAsia="zh-CN"/>
                    </w:rPr>
                    <w:t>，</w:t>
                  </w:r>
                  <w:r>
                    <w:rPr>
                      <w:color w:val="000000"/>
                      <w:szCs w:val="21"/>
                      <w:highlight w:val="none"/>
                    </w:rPr>
                    <w:t>昼、夜各1次</w:t>
                  </w:r>
                </w:p>
              </w:tc>
              <w:tc>
                <w:tcPr>
                  <w:tcW w:w="1341" w:type="dxa"/>
                  <w:noWrap w:val="0"/>
                  <w:vAlign w:val="center"/>
                </w:tcPr>
                <w:p w14:paraId="0B5F11C6">
                  <w:pPr>
                    <w:jc w:val="center"/>
                    <w:rPr>
                      <w:rFonts w:ascii="Times New Roman" w:hAnsi="Times New Roman" w:eastAsia="宋体" w:cs="Times New Roman"/>
                      <w:color w:val="000000"/>
                      <w:spacing w:val="-10"/>
                      <w:sz w:val="21"/>
                      <w:szCs w:val="21"/>
                      <w:highlight w:val="none"/>
                      <w:lang w:val="en-US" w:eastAsia="zh-CN" w:bidi="ar-SA"/>
                    </w:rPr>
                  </w:pPr>
                  <w:r>
                    <w:rPr>
                      <w:rFonts w:ascii="Times New Roman" w:hAnsi="Times New Roman" w:eastAsia="宋体" w:cs="Times New Roman"/>
                      <w:color w:val="000000"/>
                      <w:spacing w:val="-10"/>
                      <w:szCs w:val="21"/>
                      <w:highlight w:val="none"/>
                    </w:rPr>
                    <w:t>《工业企业厂界噪声排放标准》</w:t>
                  </w:r>
                  <w:r>
                    <w:rPr>
                      <w:rFonts w:ascii="Times New Roman" w:hAnsi="Times New Roman" w:eastAsia="宋体" w:cs="Times New Roman"/>
                      <w:color w:val="000000"/>
                      <w:spacing w:val="-10"/>
                      <w:szCs w:val="21"/>
                      <w:highlight w:val="none"/>
                      <w:lang w:eastAsia="zh-CN"/>
                    </w:rPr>
                    <w:t>（</w:t>
                  </w:r>
                  <w:r>
                    <w:rPr>
                      <w:rFonts w:ascii="Times New Roman" w:hAnsi="Times New Roman" w:eastAsia="宋体" w:cs="Times New Roman"/>
                      <w:color w:val="000000"/>
                      <w:spacing w:val="-10"/>
                      <w:szCs w:val="21"/>
                      <w:highlight w:val="none"/>
                    </w:rPr>
                    <w:t>GB12348-2008</w:t>
                  </w:r>
                  <w:r>
                    <w:rPr>
                      <w:rFonts w:ascii="Times New Roman" w:hAnsi="Times New Roman" w:eastAsia="宋体" w:cs="Times New Roman"/>
                      <w:color w:val="000000"/>
                      <w:spacing w:val="-10"/>
                      <w:szCs w:val="21"/>
                      <w:highlight w:val="none"/>
                      <w:lang w:eastAsia="zh-CN"/>
                    </w:rPr>
                    <w:t>）</w:t>
                  </w:r>
                  <w:r>
                    <w:rPr>
                      <w:rFonts w:hint="eastAsia" w:ascii="Times New Roman" w:hAnsi="Times New Roman" w:eastAsia="宋体" w:cs="Times New Roman"/>
                      <w:color w:val="000000"/>
                      <w:spacing w:val="-10"/>
                      <w:szCs w:val="21"/>
                      <w:highlight w:val="none"/>
                      <w:lang w:val="en-US" w:eastAsia="zh-CN"/>
                    </w:rPr>
                    <w:t>2</w:t>
                  </w:r>
                  <w:r>
                    <w:rPr>
                      <w:rFonts w:ascii="Times New Roman" w:hAnsi="Times New Roman" w:eastAsia="宋体" w:cs="Times New Roman"/>
                      <w:color w:val="000000"/>
                      <w:spacing w:val="-10"/>
                      <w:szCs w:val="21"/>
                      <w:highlight w:val="none"/>
                    </w:rPr>
                    <w:t>类标准</w:t>
                  </w:r>
                </w:p>
              </w:tc>
            </w:tr>
          </w:tbl>
          <w:p w14:paraId="3FD2D2C9">
            <w:pPr>
              <w:keepNext w:val="0"/>
              <w:keepLines w:val="0"/>
              <w:pageBreakBefore w:val="0"/>
              <w:widowControl w:val="0"/>
              <w:spacing w:line="360" w:lineRule="auto"/>
              <w:ind w:left="0" w:right="0" w:firstLine="480"/>
              <w:jc w:val="both"/>
              <w:rPr>
                <w:rFonts w:ascii="Times New Roman" w:hAnsi="Times New Roman" w:eastAsia="宋体" w:cs="Times New Roman"/>
                <w:b w:val="0"/>
                <w:bCs w:val="0"/>
                <w:color w:val="000000"/>
                <w:sz w:val="24"/>
                <w:szCs w:val="24"/>
                <w:highlight w:val="none"/>
                <w:lang w:val="en-US" w:eastAsia="zh-CN"/>
              </w:rPr>
            </w:pPr>
          </w:p>
          <w:p w14:paraId="73136228">
            <w:pPr>
              <w:spacing w:line="360" w:lineRule="auto"/>
              <w:ind w:firstLine="480"/>
              <w:jc w:val="left"/>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 xml:space="preserve"> </w:t>
            </w:r>
          </w:p>
        </w:tc>
      </w:tr>
    </w:tbl>
    <w:p w14:paraId="148D787D">
      <w:pPr>
        <w:rPr>
          <w:rFonts w:ascii="Times New Roman" w:hAnsi="Times New Roman" w:eastAsia="宋体" w:cs="Times New Roman"/>
          <w:color w:val="000000"/>
        </w:rPr>
        <w:sectPr>
          <w:pgSz w:w="11907" w:h="16840" w:orient="landscape"/>
          <w:pgMar w:top="1134" w:right="1134" w:bottom="1134" w:left="1134" w:header="851" w:footer="851" w:gutter="0"/>
          <w:pgNumType w:start="1"/>
          <w:cols w:space="1701" w:num="1"/>
        </w:sectPr>
      </w:pPr>
    </w:p>
    <w:p w14:paraId="7B93EC1D">
      <w:pPr>
        <w:pStyle w:val="210"/>
        <w:keepNext w:val="0"/>
        <w:keepLines w:val="0"/>
        <w:pageBreakBefore w:val="0"/>
        <w:widowControl/>
        <w:spacing w:before="0" w:beforeAutospacing="0" w:after="0" w:afterAutospacing="0"/>
        <w:jc w:val="center"/>
        <w:outlineLvl w:val="0"/>
        <w:rPr>
          <w:rFonts w:ascii="Times New Roman" w:hAnsi="Times New Roman" w:eastAsia="宋体" w:cs="Times New Roman"/>
          <w:b/>
          <w:bCs/>
          <w:color w:val="000000"/>
          <w:sz w:val="32"/>
          <w:szCs w:val="32"/>
          <w:highlight w:val="none"/>
        </w:rPr>
      </w:pPr>
      <w:r>
        <w:rPr>
          <w:rFonts w:ascii="Times New Roman" w:hAnsi="Times New Roman" w:eastAsia="宋体" w:cs="Times New Roman"/>
          <w:b/>
          <w:bCs/>
          <w:color w:val="000000"/>
          <w:sz w:val="32"/>
          <w:szCs w:val="32"/>
          <w:highlight w:val="none"/>
        </w:rPr>
        <w:t>五、环境保护措施监督检查清单</w:t>
      </w:r>
    </w:p>
    <w:tbl>
      <w:tblPr>
        <w:tblStyle w:val="29"/>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59"/>
        <w:gridCol w:w="690"/>
        <w:gridCol w:w="1249"/>
        <w:gridCol w:w="1523"/>
        <w:gridCol w:w="3203"/>
        <w:gridCol w:w="2333"/>
      </w:tblGrid>
      <w:tr w14:paraId="56ECE1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noWrap w:val="0"/>
            <w:vAlign w:val="center"/>
          </w:tcPr>
          <w:p w14:paraId="4725B865">
            <w:pPr>
              <w:keepNext w:val="0"/>
              <w:keepLines w:val="0"/>
              <w:pageBreakBefore w:val="0"/>
              <w:widowControl w:val="0"/>
              <w:spacing w:line="240" w:lineRule="auto"/>
              <w:ind w:firstLine="0"/>
              <w:jc w:val="right"/>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内容</w:t>
            </w:r>
          </w:p>
          <w:p w14:paraId="5DFE42A4">
            <w:pPr>
              <w:keepNext w:val="0"/>
              <w:keepLines w:val="0"/>
              <w:pageBreakBefore w:val="0"/>
              <w:widowControl w:val="0"/>
              <w:spacing w:line="240" w:lineRule="auto"/>
              <w:ind w:firstLine="0"/>
              <w:jc w:val="center"/>
              <w:rPr>
                <w:rFonts w:ascii="Times New Roman" w:hAnsi="Times New Roman" w:eastAsia="宋体" w:cs="Times New Roman"/>
                <w:b/>
                <w:bCs/>
                <w:color w:val="000000"/>
                <w:sz w:val="21"/>
                <w:szCs w:val="21"/>
                <w:highlight w:val="none"/>
                <w:lang w:val="en-US" w:eastAsia="zh-CN"/>
              </w:rPr>
            </w:pPr>
          </w:p>
          <w:p w14:paraId="52E57C13">
            <w:pPr>
              <w:keepNext w:val="0"/>
              <w:keepLines w:val="0"/>
              <w:pageBreakBefore w:val="0"/>
              <w:widowControl w:val="0"/>
              <w:spacing w:line="240" w:lineRule="auto"/>
              <w:ind w:firstLine="0"/>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要素</w:t>
            </w:r>
          </w:p>
        </w:tc>
        <w:tc>
          <w:tcPr>
            <w:tcW w:w="1939" w:type="dxa"/>
            <w:gridSpan w:val="2"/>
            <w:noWrap w:val="0"/>
            <w:vAlign w:val="center"/>
          </w:tcPr>
          <w:p w14:paraId="3AF085BC">
            <w:pPr>
              <w:keepNext w:val="0"/>
              <w:keepLines w:val="0"/>
              <w:pageBreakBefore w:val="0"/>
              <w:widowControl w:val="0"/>
              <w:spacing w:line="240" w:lineRule="auto"/>
              <w:ind w:firstLine="0"/>
              <w:jc w:val="center"/>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排放口(编号、名称)/污染源</w:t>
            </w:r>
          </w:p>
        </w:tc>
        <w:tc>
          <w:tcPr>
            <w:tcW w:w="1523" w:type="dxa"/>
            <w:noWrap w:val="0"/>
            <w:vAlign w:val="center"/>
          </w:tcPr>
          <w:p w14:paraId="304F127D">
            <w:pPr>
              <w:keepNext w:val="0"/>
              <w:keepLines w:val="0"/>
              <w:pageBreakBefore w:val="0"/>
              <w:widowControl w:val="0"/>
              <w:spacing w:line="240" w:lineRule="auto"/>
              <w:ind w:firstLine="0"/>
              <w:jc w:val="center"/>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污染物</w:t>
            </w:r>
          </w:p>
          <w:p w14:paraId="1BBDBE61">
            <w:pPr>
              <w:keepNext w:val="0"/>
              <w:keepLines w:val="0"/>
              <w:pageBreakBefore w:val="0"/>
              <w:widowControl w:val="0"/>
              <w:spacing w:line="240" w:lineRule="auto"/>
              <w:ind w:firstLine="0"/>
              <w:jc w:val="center"/>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项目</w:t>
            </w:r>
          </w:p>
        </w:tc>
        <w:tc>
          <w:tcPr>
            <w:tcW w:w="3203" w:type="dxa"/>
            <w:noWrap w:val="0"/>
            <w:vAlign w:val="center"/>
          </w:tcPr>
          <w:p w14:paraId="4ADBBD15">
            <w:pPr>
              <w:keepNext w:val="0"/>
              <w:keepLines w:val="0"/>
              <w:pageBreakBefore w:val="0"/>
              <w:widowControl w:val="0"/>
              <w:spacing w:line="240" w:lineRule="auto"/>
              <w:ind w:firstLine="0"/>
              <w:jc w:val="center"/>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环境保护措施</w:t>
            </w:r>
          </w:p>
        </w:tc>
        <w:tc>
          <w:tcPr>
            <w:tcW w:w="2333" w:type="dxa"/>
            <w:noWrap w:val="0"/>
            <w:vAlign w:val="center"/>
          </w:tcPr>
          <w:p w14:paraId="7C34DE77">
            <w:pPr>
              <w:keepNext w:val="0"/>
              <w:keepLines w:val="0"/>
              <w:pageBreakBefore w:val="0"/>
              <w:widowControl w:val="0"/>
              <w:spacing w:line="240" w:lineRule="auto"/>
              <w:ind w:firstLine="0"/>
              <w:jc w:val="center"/>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执行标准</w:t>
            </w:r>
          </w:p>
        </w:tc>
      </w:tr>
      <w:tr w14:paraId="01323C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vMerge w:val="restart"/>
            <w:noWrap w:val="0"/>
            <w:vAlign w:val="center"/>
          </w:tcPr>
          <w:p w14:paraId="57B9135D">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大气环境</w:t>
            </w:r>
          </w:p>
        </w:tc>
        <w:tc>
          <w:tcPr>
            <w:tcW w:w="690" w:type="dxa"/>
            <w:vMerge w:val="restart"/>
            <w:noWrap w:val="0"/>
            <w:vAlign w:val="center"/>
          </w:tcPr>
          <w:p w14:paraId="5D256289">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有</w:t>
            </w:r>
            <w:r>
              <w:rPr>
                <w:rFonts w:ascii="Times New Roman" w:hAnsi="Times New Roman" w:eastAsia="宋体" w:cs="Times New Roman"/>
                <w:color w:val="000000"/>
                <w:sz w:val="21"/>
                <w:szCs w:val="21"/>
                <w:highlight w:val="none"/>
                <w:lang w:val="en-US" w:eastAsia="zh-CN" w:bidi="ar-SA"/>
              </w:rPr>
              <w:t>组织废气</w:t>
            </w:r>
          </w:p>
        </w:tc>
        <w:tc>
          <w:tcPr>
            <w:tcW w:w="1249" w:type="dxa"/>
            <w:noWrap w:val="0"/>
            <w:vAlign w:val="center"/>
          </w:tcPr>
          <w:p w14:paraId="7EF2633C">
            <w:pPr>
              <w:widowControl/>
              <w:jc w:val="center"/>
              <w:rPr>
                <w:bCs/>
                <w:color w:val="000000"/>
                <w:sz w:val="21"/>
                <w:szCs w:val="21"/>
                <w:lang w:val="en-US" w:eastAsia="zh-CN" w:bidi="ar-SA"/>
              </w:rPr>
            </w:pPr>
            <w:r>
              <w:rPr>
                <w:rFonts w:hint="eastAsia" w:ascii="Times New Roman" w:hAnsi="Times New Roman" w:eastAsia="宋体" w:cs="Times New Roman"/>
                <w:color w:val="000000"/>
                <w:sz w:val="21"/>
                <w:szCs w:val="21"/>
                <w:highlight w:val="none"/>
                <w:lang w:val="en-US" w:eastAsia="zh-CN"/>
              </w:rPr>
              <w:t>断料分选、破片、清边、裁边废气排气筒（DA001）</w:t>
            </w:r>
          </w:p>
        </w:tc>
        <w:tc>
          <w:tcPr>
            <w:tcW w:w="1523" w:type="dxa"/>
            <w:noWrap w:val="0"/>
            <w:vAlign w:val="center"/>
          </w:tcPr>
          <w:p w14:paraId="180D831E">
            <w:pPr>
              <w:widowControl/>
              <w:jc w:val="center"/>
              <w:rPr>
                <w:color w:val="000000"/>
                <w:sz w:val="21"/>
                <w:szCs w:val="21"/>
                <w:lang w:val="en-US" w:eastAsia="zh-CN" w:bidi="ar-SA"/>
              </w:rPr>
            </w:pPr>
            <w:r>
              <w:rPr>
                <w:color w:val="000000"/>
                <w:szCs w:val="21"/>
              </w:rPr>
              <w:t>颗粒物</w:t>
            </w:r>
          </w:p>
        </w:tc>
        <w:tc>
          <w:tcPr>
            <w:tcW w:w="3203" w:type="dxa"/>
            <w:noWrap w:val="0"/>
            <w:vAlign w:val="center"/>
          </w:tcPr>
          <w:p w14:paraId="16445752">
            <w:pPr>
              <w:spacing w:line="240" w:lineRule="auto"/>
              <w:jc w:val="center"/>
              <w:rPr>
                <w:b/>
                <w:color w:val="000000"/>
                <w:sz w:val="21"/>
                <w:szCs w:val="21"/>
                <w:highlight w:val="none"/>
                <w:lang w:val="en-US" w:eastAsia="zh-CN" w:bidi="ar-SA"/>
              </w:rPr>
            </w:pPr>
            <w:r>
              <w:rPr>
                <w:rFonts w:hint="eastAsia" w:ascii="Times New Roman" w:hAnsi="Times New Roman" w:eastAsia="宋体" w:cs="Times New Roman"/>
                <w:b w:val="0"/>
                <w:bCs/>
                <w:color w:val="000000"/>
                <w:sz w:val="21"/>
                <w:szCs w:val="21"/>
                <w:lang w:val="en-US" w:eastAsia="zh-CN"/>
              </w:rPr>
              <w:t>在断料分选、破片、清边、裁边工段分别设置集气罩</w:t>
            </w:r>
            <w:r>
              <w:rPr>
                <w:rFonts w:hint="eastAsia" w:ascii="Times New Roman" w:hAnsi="Times New Roman" w:eastAsia="宋体" w:cs="Times New Roman"/>
                <w:b w:val="0"/>
                <w:bCs w:val="0"/>
                <w:color w:val="000000"/>
                <w:sz w:val="21"/>
                <w:szCs w:val="21"/>
                <w:highlight w:val="none"/>
                <w:lang w:val="en-US" w:eastAsia="zh-CN"/>
              </w:rPr>
              <w:t>（集气罩尺寸大于工段尺寸，罩口距离废气源高度约0.4m），各废气源分别收集后统一汇集到一套布袋除尘器（处理效率90%）处理，处理后通过一根15m高排气筒（DA001）排放。</w:t>
            </w:r>
          </w:p>
        </w:tc>
        <w:tc>
          <w:tcPr>
            <w:tcW w:w="2333" w:type="dxa"/>
            <w:vMerge w:val="restart"/>
            <w:noWrap w:val="0"/>
            <w:vAlign w:val="center"/>
          </w:tcPr>
          <w:p w14:paraId="011A1213">
            <w:pPr>
              <w:widowControl/>
              <w:jc w:val="center"/>
              <w:rPr>
                <w:color w:val="000000"/>
                <w:sz w:val="21"/>
                <w:szCs w:val="21"/>
                <w:lang w:val="en-US" w:eastAsia="zh-CN" w:bidi="ar-SA"/>
              </w:rPr>
            </w:pPr>
            <w:r>
              <w:rPr>
                <w:color w:val="000000"/>
              </w:rPr>
              <w:t>《大气污染物综合排放标准》（GB16297-1996）表2中标准限值</w:t>
            </w:r>
          </w:p>
        </w:tc>
      </w:tr>
      <w:tr w14:paraId="4D5C99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vMerge w:val="continue"/>
            <w:noWrap w:val="0"/>
            <w:vAlign w:val="center"/>
          </w:tcPr>
          <w:p w14:paraId="2280C062">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rPr>
            </w:pPr>
          </w:p>
        </w:tc>
        <w:tc>
          <w:tcPr>
            <w:tcW w:w="690" w:type="dxa"/>
            <w:vMerge w:val="continue"/>
            <w:noWrap w:val="0"/>
            <w:vAlign w:val="center"/>
          </w:tcPr>
          <w:p w14:paraId="3F62A134">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1249" w:type="dxa"/>
            <w:noWrap w:val="0"/>
            <w:vAlign w:val="center"/>
          </w:tcPr>
          <w:p w14:paraId="63966192">
            <w:pPr>
              <w:widowControl/>
              <w:jc w:val="center"/>
              <w:rPr>
                <w:rFonts w:eastAsia="宋体"/>
                <w:bCs/>
                <w:color w:val="000000"/>
                <w:sz w:val="21"/>
                <w:szCs w:val="21"/>
                <w:lang w:val="en-US" w:eastAsia="zh-CN" w:bidi="ar-SA"/>
              </w:rPr>
            </w:pPr>
            <w:r>
              <w:rPr>
                <w:rFonts w:hint="eastAsia"/>
                <w:bCs/>
                <w:color w:val="000000"/>
                <w:sz w:val="21"/>
                <w:szCs w:val="21"/>
                <w:lang w:val="en-US" w:eastAsia="zh-CN"/>
              </w:rPr>
              <w:t>烘干、涂胶废气排气筒</w:t>
            </w:r>
            <w:r>
              <w:rPr>
                <w:rFonts w:hint="eastAsia" w:ascii="Times New Roman" w:hAnsi="Times New Roman" w:eastAsia="宋体" w:cs="Times New Roman"/>
                <w:color w:val="000000"/>
                <w:sz w:val="21"/>
                <w:szCs w:val="21"/>
                <w:highlight w:val="none"/>
                <w:lang w:val="en-US" w:eastAsia="zh-CN"/>
              </w:rPr>
              <w:t>（DA002）</w:t>
            </w:r>
          </w:p>
        </w:tc>
        <w:tc>
          <w:tcPr>
            <w:tcW w:w="1523" w:type="dxa"/>
            <w:noWrap w:val="0"/>
            <w:vAlign w:val="center"/>
          </w:tcPr>
          <w:p w14:paraId="06DA0177">
            <w:pPr>
              <w:widowControl/>
              <w:jc w:val="center"/>
              <w:rPr>
                <w:color w:val="000000"/>
                <w:sz w:val="21"/>
                <w:szCs w:val="21"/>
                <w:lang w:val="en-US" w:eastAsia="zh-CN" w:bidi="ar-SA"/>
              </w:rPr>
            </w:pPr>
            <w:r>
              <w:rPr>
                <w:color w:val="000000"/>
              </w:rPr>
              <w:t>非甲烷总烃</w:t>
            </w:r>
            <w:r>
              <w:rPr>
                <w:rFonts w:hint="eastAsia"/>
                <w:color w:val="000000"/>
                <w:lang w:eastAsia="zh-CN"/>
              </w:rPr>
              <w:t>、</w:t>
            </w:r>
            <w:r>
              <w:rPr>
                <w:rFonts w:hint="eastAsia"/>
                <w:color w:val="000000"/>
                <w:lang w:val="en-US" w:eastAsia="zh-CN"/>
              </w:rPr>
              <w:t>甲醛</w:t>
            </w:r>
          </w:p>
        </w:tc>
        <w:tc>
          <w:tcPr>
            <w:tcW w:w="3203" w:type="dxa"/>
            <w:noWrap w:val="0"/>
            <w:vAlign w:val="center"/>
          </w:tcPr>
          <w:p w14:paraId="67BB75C9">
            <w:pPr>
              <w:spacing w:line="240" w:lineRule="auto"/>
              <w:jc w:val="center"/>
              <w:rPr>
                <w:rFonts w:eastAsia="宋体"/>
                <w:color w:val="000000"/>
                <w:sz w:val="21"/>
                <w:szCs w:val="21"/>
                <w:highlight w:val="none"/>
                <w:lang w:val="en-US" w:eastAsia="zh-CN" w:bidi="ar-SA"/>
              </w:rPr>
            </w:pPr>
            <w:r>
              <w:rPr>
                <w:rFonts w:ascii="Times New Roman" w:hAnsi="Times New Roman" w:eastAsia="宋体" w:cs="Times New Roman"/>
                <w:b w:val="0"/>
                <w:bCs w:val="0"/>
                <w:sz w:val="21"/>
                <w:szCs w:val="21"/>
                <w:lang w:val="en-US" w:eastAsia="zh-CN"/>
              </w:rPr>
              <w:t>项目烘干房为全密闭式，设置集气管直接连接烘干房，并在涂胶工段分别设置集气罩（集气罩尺寸大于工段尺寸，罩口距离废气源高度约0.4m），木料烘干、涂胶过程产生的废气分别收集后统一汇集到一套活性炭吸附装置处理后通过一根15m高的排气筒（DA002）排放。</w:t>
            </w:r>
          </w:p>
        </w:tc>
        <w:tc>
          <w:tcPr>
            <w:tcW w:w="2333" w:type="dxa"/>
            <w:vMerge w:val="continue"/>
            <w:noWrap w:val="0"/>
            <w:vAlign w:val="center"/>
          </w:tcPr>
          <w:p w14:paraId="0D145CF3">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rPr>
            </w:pPr>
          </w:p>
        </w:tc>
      </w:tr>
      <w:tr w14:paraId="742714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759" w:type="dxa"/>
            <w:vMerge w:val="continue"/>
            <w:noWrap w:val="0"/>
            <w:vAlign w:val="center"/>
          </w:tcPr>
          <w:p w14:paraId="295D7C0B">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690" w:type="dxa"/>
            <w:vMerge w:val="continue"/>
            <w:noWrap w:val="0"/>
            <w:vAlign w:val="center"/>
          </w:tcPr>
          <w:p w14:paraId="51E2EC00">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1249" w:type="dxa"/>
            <w:noWrap w:val="0"/>
            <w:vAlign w:val="center"/>
          </w:tcPr>
          <w:p w14:paraId="264B88D1">
            <w:pPr>
              <w:widowControl/>
              <w:jc w:val="center"/>
              <w:rPr>
                <w:rFonts w:eastAsia="宋体"/>
                <w:bCs/>
                <w:color w:val="000000"/>
                <w:sz w:val="21"/>
                <w:szCs w:val="21"/>
                <w:lang w:val="en-US" w:eastAsia="zh-CN" w:bidi="ar-SA"/>
              </w:rPr>
            </w:pPr>
            <w:r>
              <w:rPr>
                <w:rFonts w:hint="eastAsia"/>
                <w:bCs/>
                <w:color w:val="000000"/>
                <w:sz w:val="21"/>
                <w:szCs w:val="21"/>
                <w:lang w:val="en-US" w:eastAsia="zh-CN"/>
              </w:rPr>
              <w:t>锅炉废气排气筒</w:t>
            </w:r>
            <w:r>
              <w:rPr>
                <w:rFonts w:hint="eastAsia" w:ascii="Times New Roman" w:hAnsi="Times New Roman" w:eastAsia="宋体" w:cs="Times New Roman"/>
                <w:color w:val="000000"/>
                <w:sz w:val="21"/>
                <w:szCs w:val="21"/>
                <w:highlight w:val="none"/>
                <w:lang w:val="en-US" w:eastAsia="zh-CN"/>
              </w:rPr>
              <w:t>（DA003）</w:t>
            </w:r>
          </w:p>
        </w:tc>
        <w:tc>
          <w:tcPr>
            <w:tcW w:w="1523" w:type="dxa"/>
            <w:noWrap w:val="0"/>
            <w:vAlign w:val="center"/>
          </w:tcPr>
          <w:p w14:paraId="1B9373E1">
            <w:pPr>
              <w:widowControl/>
              <w:jc w:val="center"/>
              <w:rPr>
                <w:rFonts w:eastAsia="宋体"/>
                <w:color w:val="000000"/>
                <w:sz w:val="21"/>
                <w:szCs w:val="21"/>
                <w:lang w:val="en-US" w:eastAsia="zh-CN" w:bidi="ar-SA"/>
              </w:rPr>
            </w:pPr>
            <w:r>
              <w:rPr>
                <w:rFonts w:ascii="Times New Roman" w:hAnsi="Times New Roman" w:eastAsia="宋体" w:cs="Times New Roman"/>
                <w:color w:val="000000"/>
                <w:szCs w:val="21"/>
                <w:highlight w:val="none"/>
                <w:lang w:val="en-US" w:eastAsia="zh-CN"/>
              </w:rPr>
              <w:t>颗粒物、SO</w:t>
            </w:r>
            <w:r>
              <w:rPr>
                <w:rFonts w:ascii="Times New Roman" w:hAnsi="Times New Roman" w:eastAsia="宋体" w:cs="Times New Roman"/>
                <w:color w:val="000000"/>
                <w:szCs w:val="21"/>
                <w:highlight w:val="none"/>
                <w:vertAlign w:val="subscript"/>
                <w:lang w:val="en-US" w:eastAsia="zh-CN"/>
              </w:rPr>
              <w:t>2</w:t>
            </w:r>
            <w:r>
              <w:rPr>
                <w:rFonts w:ascii="Times New Roman" w:hAnsi="Times New Roman" w:eastAsia="宋体" w:cs="Times New Roman"/>
                <w:color w:val="000000"/>
                <w:szCs w:val="21"/>
                <w:highlight w:val="none"/>
                <w:lang w:val="en-US" w:eastAsia="zh-CN"/>
              </w:rPr>
              <w:t>、NOx、</w:t>
            </w:r>
            <w:r>
              <w:rPr>
                <w:rFonts w:ascii="Times New Roman" w:hAnsi="Times New Roman" w:eastAsia="宋体" w:cs="Times New Roman"/>
                <w:color w:val="000000"/>
                <w:sz w:val="21"/>
                <w:lang w:val="en-US" w:eastAsia="zh-CN"/>
              </w:rPr>
              <w:t>烟气黑度</w:t>
            </w:r>
          </w:p>
        </w:tc>
        <w:tc>
          <w:tcPr>
            <w:tcW w:w="3203" w:type="dxa"/>
            <w:noWrap w:val="0"/>
            <w:vAlign w:val="center"/>
          </w:tcPr>
          <w:p w14:paraId="702793E3">
            <w:pPr>
              <w:spacing w:line="240" w:lineRule="auto"/>
              <w:jc w:val="center"/>
              <w:rPr>
                <w:rFonts w:ascii="Times New Roman" w:hAnsi="Times New Roman" w:eastAsia="宋体" w:cs="Times New Roman"/>
                <w:b w:val="0"/>
                <w:bCs/>
                <w:color w:val="000000"/>
                <w:sz w:val="21"/>
                <w:szCs w:val="21"/>
                <w:highlight w:val="none"/>
                <w:lang w:val="en-US" w:eastAsia="zh-CN" w:bidi="ar-SA"/>
              </w:rPr>
            </w:pPr>
            <w:r>
              <w:rPr>
                <w:rFonts w:hint="eastAsia" w:ascii="Times New Roman" w:hAnsi="Times New Roman" w:eastAsia="宋体" w:cs="Times New Roman"/>
                <w:b w:val="0"/>
                <w:bCs/>
                <w:color w:val="000000"/>
                <w:sz w:val="21"/>
                <w:szCs w:val="21"/>
                <w:lang w:val="en-US" w:eastAsia="zh-CN"/>
              </w:rPr>
              <w:t>锅炉生物质燃烧烟气通过一套布袋</w:t>
            </w:r>
            <w:r>
              <w:rPr>
                <w:rFonts w:ascii="Times New Roman" w:hAnsi="Times New Roman" w:eastAsia="宋体" w:cs="Times New Roman"/>
                <w:b w:val="0"/>
                <w:bCs/>
                <w:color w:val="000000"/>
                <w:sz w:val="21"/>
                <w:szCs w:val="21"/>
                <w:lang w:val="en-US" w:eastAsia="zh-CN"/>
              </w:rPr>
              <w:t>除尘器</w:t>
            </w:r>
            <w:r>
              <w:rPr>
                <w:rFonts w:ascii="Times New Roman" w:hAnsi="Times New Roman" w:eastAsia="宋体" w:cs="Times New Roman"/>
                <w:b w:val="0"/>
                <w:bCs/>
                <w:color w:val="000000"/>
                <w:sz w:val="21"/>
                <w:szCs w:val="21"/>
              </w:rPr>
              <w:t>对</w:t>
            </w:r>
            <w:r>
              <w:rPr>
                <w:rFonts w:ascii="Times New Roman" w:hAnsi="Times New Roman" w:eastAsia="宋体" w:cs="Times New Roman"/>
                <w:b w:val="0"/>
                <w:bCs/>
                <w:color w:val="000000"/>
                <w:sz w:val="21"/>
                <w:szCs w:val="21"/>
                <w:lang w:val="en-US" w:eastAsia="zh-CN"/>
              </w:rPr>
              <w:t>锅炉烟气</w:t>
            </w:r>
            <w:r>
              <w:rPr>
                <w:rFonts w:ascii="Times New Roman" w:hAnsi="Times New Roman" w:eastAsia="宋体" w:cs="Times New Roman"/>
                <w:b w:val="0"/>
                <w:bCs/>
                <w:color w:val="000000"/>
                <w:sz w:val="21"/>
                <w:szCs w:val="21"/>
              </w:rPr>
              <w:t>进</w:t>
            </w:r>
            <w:r>
              <w:rPr>
                <w:rFonts w:ascii="Times New Roman" w:hAnsi="Times New Roman" w:eastAsia="宋体" w:cs="Times New Roman"/>
                <w:b w:val="0"/>
                <w:bCs/>
                <w:color w:val="000000"/>
                <w:sz w:val="21"/>
                <w:szCs w:val="21"/>
                <w:lang w:val="en-US" w:eastAsia="zh-CN"/>
              </w:rPr>
              <w:t>行</w:t>
            </w:r>
            <w:r>
              <w:rPr>
                <w:rFonts w:ascii="Times New Roman" w:hAnsi="Times New Roman" w:eastAsia="宋体" w:cs="Times New Roman"/>
                <w:b w:val="0"/>
                <w:bCs/>
                <w:color w:val="000000"/>
                <w:sz w:val="21"/>
                <w:szCs w:val="21"/>
              </w:rPr>
              <w:t>处理，</w:t>
            </w:r>
            <w:r>
              <w:rPr>
                <w:rFonts w:hint="eastAsia" w:ascii="Times New Roman" w:hAnsi="Times New Roman" w:eastAsia="宋体" w:cs="Times New Roman"/>
                <w:b w:val="0"/>
                <w:bCs/>
                <w:color w:val="000000"/>
                <w:sz w:val="21"/>
                <w:szCs w:val="21"/>
                <w:lang w:val="en-US" w:eastAsia="zh-CN"/>
              </w:rPr>
              <w:t>处理后通过</w:t>
            </w:r>
            <w:r>
              <w:rPr>
                <w:rFonts w:ascii="Times New Roman" w:hAnsi="Times New Roman" w:eastAsia="宋体" w:cs="Times New Roman"/>
                <w:b w:val="0"/>
                <w:bCs/>
                <w:color w:val="000000"/>
                <w:sz w:val="21"/>
                <w:szCs w:val="21"/>
              </w:rPr>
              <w:t>一根</w:t>
            </w:r>
            <w:r>
              <w:rPr>
                <w:rFonts w:hint="eastAsia" w:ascii="Times New Roman" w:hAnsi="Times New Roman" w:eastAsia="宋体" w:cs="Times New Roman"/>
                <w:b w:val="0"/>
                <w:bCs/>
                <w:color w:val="000000"/>
                <w:sz w:val="21"/>
                <w:szCs w:val="21"/>
                <w:lang w:val="en-US" w:eastAsia="zh-CN"/>
              </w:rPr>
              <w:t>30</w:t>
            </w:r>
            <w:r>
              <w:rPr>
                <w:rFonts w:ascii="Times New Roman" w:hAnsi="Times New Roman" w:eastAsia="宋体" w:cs="Times New Roman"/>
                <w:b w:val="0"/>
                <w:bCs/>
                <w:color w:val="000000"/>
                <w:sz w:val="21"/>
                <w:szCs w:val="21"/>
              </w:rPr>
              <w:t>m</w:t>
            </w:r>
            <w:r>
              <w:rPr>
                <w:rFonts w:hint="eastAsia" w:ascii="Times New Roman" w:hAnsi="Times New Roman" w:eastAsia="宋体" w:cs="Times New Roman"/>
                <w:b w:val="0"/>
                <w:bCs/>
                <w:color w:val="000000"/>
                <w:sz w:val="21"/>
                <w:szCs w:val="21"/>
                <w:lang w:val="en-US" w:eastAsia="zh-CN"/>
              </w:rPr>
              <w:t>高</w:t>
            </w:r>
            <w:r>
              <w:rPr>
                <w:rFonts w:ascii="Times New Roman" w:hAnsi="Times New Roman" w:eastAsia="宋体" w:cs="Times New Roman"/>
                <w:b w:val="0"/>
                <w:bCs/>
                <w:color w:val="000000"/>
                <w:sz w:val="21"/>
                <w:szCs w:val="21"/>
              </w:rPr>
              <w:t>的</w:t>
            </w:r>
            <w:r>
              <w:rPr>
                <w:rFonts w:ascii="Times New Roman" w:hAnsi="Times New Roman" w:eastAsia="宋体" w:cs="Times New Roman"/>
                <w:b w:val="0"/>
                <w:bCs/>
                <w:color w:val="000000"/>
                <w:sz w:val="21"/>
                <w:szCs w:val="21"/>
                <w:lang w:val="en-US" w:eastAsia="zh-CN"/>
              </w:rPr>
              <w:t>排气筒</w:t>
            </w:r>
            <w:r>
              <w:rPr>
                <w:rFonts w:ascii="Times New Roman" w:hAnsi="Times New Roman" w:eastAsia="宋体" w:cs="Times New Roman"/>
                <w:b w:val="0"/>
                <w:bCs/>
                <w:color w:val="000000"/>
                <w:sz w:val="21"/>
                <w:szCs w:val="21"/>
                <w:lang w:eastAsia="zh-CN"/>
              </w:rPr>
              <w:t>（</w:t>
            </w:r>
            <w:r>
              <w:rPr>
                <w:rFonts w:ascii="Times New Roman" w:hAnsi="Times New Roman" w:eastAsia="宋体" w:cs="Times New Roman"/>
                <w:b w:val="0"/>
                <w:bCs/>
                <w:color w:val="000000"/>
                <w:sz w:val="21"/>
                <w:szCs w:val="21"/>
                <w:lang w:val="en-US" w:eastAsia="zh-CN"/>
              </w:rPr>
              <w:t>DA00</w:t>
            </w:r>
            <w:r>
              <w:rPr>
                <w:rFonts w:hint="eastAsia" w:ascii="Times New Roman" w:hAnsi="Times New Roman" w:eastAsia="宋体" w:cs="Times New Roman"/>
                <w:b w:val="0"/>
                <w:bCs/>
                <w:color w:val="000000"/>
                <w:sz w:val="21"/>
                <w:szCs w:val="21"/>
                <w:lang w:val="en-US" w:eastAsia="zh-CN"/>
              </w:rPr>
              <w:t>3</w:t>
            </w:r>
            <w:r>
              <w:rPr>
                <w:rFonts w:ascii="Times New Roman" w:hAnsi="Times New Roman" w:eastAsia="宋体" w:cs="Times New Roman"/>
                <w:b w:val="0"/>
                <w:bCs/>
                <w:color w:val="000000"/>
                <w:sz w:val="21"/>
                <w:szCs w:val="21"/>
                <w:lang w:eastAsia="zh-CN"/>
              </w:rPr>
              <w:t>）排放</w:t>
            </w:r>
            <w:r>
              <w:rPr>
                <w:rFonts w:hint="eastAsia" w:ascii="Times New Roman" w:hAnsi="Times New Roman" w:eastAsia="宋体" w:cs="Times New Roman"/>
                <w:b w:val="0"/>
                <w:bCs/>
                <w:color w:val="000000"/>
                <w:sz w:val="21"/>
                <w:szCs w:val="21"/>
                <w:lang w:eastAsia="zh-CN"/>
              </w:rPr>
              <w:t>。</w:t>
            </w:r>
          </w:p>
        </w:tc>
        <w:tc>
          <w:tcPr>
            <w:tcW w:w="2333" w:type="dxa"/>
            <w:noWrap w:val="0"/>
            <w:vAlign w:val="center"/>
          </w:tcPr>
          <w:p w14:paraId="1ADAFD35">
            <w:pPr>
              <w:widowControl/>
              <w:jc w:val="center"/>
              <w:rPr>
                <w:color w:val="000000"/>
                <w:sz w:val="21"/>
                <w:szCs w:val="24"/>
                <w:lang w:val="en-US" w:eastAsia="zh-CN" w:bidi="ar-SA"/>
              </w:rPr>
            </w:pPr>
            <w:r>
              <w:rPr>
                <w:rFonts w:ascii="Times New Roman" w:hAnsi="Times New Roman" w:eastAsia="宋体" w:cs="Times New Roman"/>
                <w:color w:val="000000"/>
                <w:szCs w:val="21"/>
                <w:highlight w:val="none"/>
                <w:lang w:val="en-US" w:eastAsia="zh-CN"/>
              </w:rPr>
              <w:t>《锅炉大气污染物排放标准》（GB13271-2014）中表2燃煤锅炉标准</w:t>
            </w:r>
          </w:p>
        </w:tc>
      </w:tr>
      <w:tr w14:paraId="380AEB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759" w:type="dxa"/>
            <w:vMerge w:val="continue"/>
            <w:noWrap w:val="0"/>
            <w:vAlign w:val="center"/>
          </w:tcPr>
          <w:p w14:paraId="1CDF6E8B">
            <w:pPr>
              <w:keepNext w:val="0"/>
              <w:keepLines w:val="0"/>
              <w:pageBreakBefore w:val="0"/>
              <w:widowControl w:val="0"/>
              <w:spacing w:line="240" w:lineRule="auto"/>
              <w:ind w:firstLine="0"/>
              <w:jc w:val="center"/>
              <w:rPr>
                <w:color w:val="000000"/>
                <w:sz w:val="21"/>
                <w:szCs w:val="21"/>
              </w:rPr>
            </w:pPr>
          </w:p>
        </w:tc>
        <w:tc>
          <w:tcPr>
            <w:tcW w:w="690" w:type="dxa"/>
            <w:vMerge w:val="restart"/>
            <w:noWrap w:val="0"/>
            <w:vAlign w:val="center"/>
          </w:tcPr>
          <w:p w14:paraId="1B186CA6">
            <w:pPr>
              <w:keepNext w:val="0"/>
              <w:keepLines w:val="0"/>
              <w:pageBreakBefore w:val="0"/>
              <w:widowControl w:val="0"/>
              <w:spacing w:line="240" w:lineRule="auto"/>
              <w:ind w:firstLine="0"/>
              <w:jc w:val="center"/>
              <w:rPr>
                <w:rFonts w:hint="eastAsia" w:eastAsia="宋体"/>
                <w:color w:val="000000"/>
                <w:sz w:val="21"/>
                <w:szCs w:val="21"/>
                <w:lang w:val="en-US" w:eastAsia="zh-CN"/>
              </w:rPr>
            </w:pPr>
            <w:r>
              <w:rPr>
                <w:rFonts w:hint="eastAsia"/>
                <w:color w:val="000000"/>
                <w:sz w:val="21"/>
                <w:szCs w:val="21"/>
                <w:lang w:val="en-US" w:eastAsia="zh-CN"/>
              </w:rPr>
              <w:t>无</w:t>
            </w:r>
            <w:r>
              <w:rPr>
                <w:rFonts w:ascii="Times New Roman" w:hAnsi="Times New Roman" w:eastAsia="宋体" w:cs="Times New Roman"/>
                <w:color w:val="000000"/>
                <w:sz w:val="21"/>
                <w:szCs w:val="21"/>
                <w:highlight w:val="none"/>
                <w:lang w:val="en-US" w:eastAsia="zh-CN" w:bidi="ar-SA"/>
              </w:rPr>
              <w:t>组织废气</w:t>
            </w:r>
          </w:p>
        </w:tc>
        <w:tc>
          <w:tcPr>
            <w:tcW w:w="1249" w:type="dxa"/>
            <w:noWrap w:val="0"/>
            <w:vAlign w:val="center"/>
          </w:tcPr>
          <w:p w14:paraId="5C15D9AF">
            <w:pPr>
              <w:spacing w:line="240" w:lineRule="auto"/>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破片、裁边、清边</w:t>
            </w:r>
          </w:p>
        </w:tc>
        <w:tc>
          <w:tcPr>
            <w:tcW w:w="1523" w:type="dxa"/>
            <w:noWrap w:val="0"/>
            <w:vAlign w:val="center"/>
          </w:tcPr>
          <w:p w14:paraId="452DEAA5">
            <w:pPr>
              <w:widowControl/>
              <w:spacing w:line="240" w:lineRule="auto"/>
              <w:ind w:firstLine="0"/>
              <w:jc w:val="center"/>
              <w:rPr>
                <w:rFonts w:ascii="Times New Roman" w:hAnsi="Times New Roman" w:eastAsia="宋体" w:cs="Times New Roman"/>
                <w:b w:val="0"/>
                <w:bCs/>
                <w:color w:val="000000"/>
                <w:sz w:val="21"/>
                <w:szCs w:val="21"/>
                <w:lang w:val="en-US" w:eastAsia="zh-CN" w:bidi="ar-SA"/>
              </w:rPr>
            </w:pPr>
            <w:r>
              <w:rPr>
                <w:color w:val="000000"/>
                <w:szCs w:val="21"/>
              </w:rPr>
              <w:t>颗粒物</w:t>
            </w:r>
          </w:p>
        </w:tc>
        <w:tc>
          <w:tcPr>
            <w:tcW w:w="3203" w:type="dxa"/>
            <w:noWrap w:val="0"/>
            <w:vAlign w:val="center"/>
          </w:tcPr>
          <w:p w14:paraId="60953686">
            <w:pPr>
              <w:spacing w:line="240" w:lineRule="auto"/>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b w:val="0"/>
                <w:bCs/>
                <w:color w:val="000000"/>
                <w:sz w:val="21"/>
                <w:szCs w:val="21"/>
                <w:highlight w:val="none"/>
                <w:lang w:val="en-US" w:eastAsia="zh-CN" w:bidi="ar-SA"/>
              </w:rPr>
              <w:t>生产工序设置于半封闭厂房内，地面定期清扫后采用密封袋与固废一同储存处置</w:t>
            </w:r>
            <w:r>
              <w:rPr>
                <w:rFonts w:hint="eastAsia" w:ascii="Times New Roman" w:hAnsi="Times New Roman" w:eastAsia="宋体" w:cs="Times New Roman"/>
                <w:b w:val="0"/>
                <w:bCs/>
                <w:color w:val="000000"/>
                <w:sz w:val="21"/>
                <w:szCs w:val="21"/>
                <w:highlight w:val="none"/>
                <w:lang w:val="en-US" w:eastAsia="zh-CN" w:bidi="ar-SA"/>
              </w:rPr>
              <w:t>。</w:t>
            </w:r>
          </w:p>
        </w:tc>
        <w:tc>
          <w:tcPr>
            <w:tcW w:w="2333" w:type="dxa"/>
            <w:vMerge w:val="restart"/>
            <w:noWrap w:val="0"/>
            <w:vAlign w:val="center"/>
          </w:tcPr>
          <w:p w14:paraId="2617224B">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《大气污染物综合排放标准》（GB16297-1996）表2无组织排放监控浓度限值</w:t>
            </w:r>
          </w:p>
        </w:tc>
      </w:tr>
      <w:tr w14:paraId="1DAF2C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759" w:type="dxa"/>
            <w:vMerge w:val="continue"/>
            <w:noWrap w:val="0"/>
            <w:vAlign w:val="center"/>
          </w:tcPr>
          <w:p w14:paraId="3A08CE6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690" w:type="dxa"/>
            <w:vMerge w:val="continue"/>
            <w:noWrap w:val="0"/>
            <w:vAlign w:val="center"/>
          </w:tcPr>
          <w:p w14:paraId="59782D06">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1249" w:type="dxa"/>
            <w:noWrap w:val="0"/>
            <w:vAlign w:val="center"/>
          </w:tcPr>
          <w:p w14:paraId="5A565688">
            <w:pPr>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原料堆场</w:t>
            </w:r>
          </w:p>
        </w:tc>
        <w:tc>
          <w:tcPr>
            <w:tcW w:w="1523" w:type="dxa"/>
            <w:noWrap w:val="0"/>
            <w:vAlign w:val="center"/>
          </w:tcPr>
          <w:p w14:paraId="29A71718">
            <w:pPr>
              <w:widowControl/>
              <w:spacing w:line="240" w:lineRule="auto"/>
              <w:ind w:firstLine="0"/>
              <w:jc w:val="center"/>
              <w:rPr>
                <w:rFonts w:ascii="Times New Roman" w:hAnsi="Times New Roman" w:eastAsia="宋体" w:cs="Times New Roman"/>
                <w:b w:val="0"/>
                <w:bCs/>
                <w:color w:val="000000"/>
                <w:sz w:val="21"/>
                <w:szCs w:val="21"/>
                <w:lang w:val="en-US" w:eastAsia="zh-CN" w:bidi="ar-SA"/>
              </w:rPr>
            </w:pPr>
            <w:r>
              <w:rPr>
                <w:color w:val="000000"/>
                <w:szCs w:val="21"/>
              </w:rPr>
              <w:t>颗粒物</w:t>
            </w:r>
          </w:p>
        </w:tc>
        <w:tc>
          <w:tcPr>
            <w:tcW w:w="3203" w:type="dxa"/>
            <w:noWrap w:val="0"/>
            <w:vAlign w:val="center"/>
          </w:tcPr>
          <w:p w14:paraId="042E85AD">
            <w:pPr>
              <w:spacing w:line="240" w:lineRule="auto"/>
              <w:jc w:val="center"/>
              <w:rPr>
                <w:color w:val="000000"/>
                <w:sz w:val="21"/>
                <w:szCs w:val="21"/>
                <w:highlight w:val="none"/>
                <w:lang w:val="en-US" w:eastAsia="zh-CN" w:bidi="ar-SA"/>
              </w:rPr>
            </w:pPr>
            <w:r>
              <w:rPr>
                <w:color w:val="000000"/>
                <w:sz w:val="21"/>
                <w:szCs w:val="21"/>
                <w:highlight w:val="none"/>
                <w:lang w:val="en-US" w:eastAsia="zh-CN" w:bidi="ar-SA"/>
              </w:rPr>
              <w:t>原木含水率高，且及时对原木进行加工。原木锯切成的半成品暂存半成品堆放区，为半封闭厂房，地面</w:t>
            </w:r>
            <w:r>
              <w:rPr>
                <w:rFonts w:hint="eastAsia"/>
                <w:color w:val="000000"/>
                <w:sz w:val="21"/>
                <w:szCs w:val="21"/>
                <w:highlight w:val="none"/>
                <w:lang w:val="en-US" w:eastAsia="zh-CN" w:bidi="ar-SA"/>
              </w:rPr>
              <w:t>硬化</w:t>
            </w:r>
            <w:r>
              <w:rPr>
                <w:color w:val="000000"/>
                <w:sz w:val="21"/>
                <w:szCs w:val="21"/>
                <w:highlight w:val="none"/>
                <w:lang w:val="en-US" w:eastAsia="zh-CN" w:bidi="ar-SA"/>
              </w:rPr>
              <w:t>并且相对封闭措施</w:t>
            </w:r>
            <w:r>
              <w:rPr>
                <w:rFonts w:hint="eastAsia"/>
                <w:color w:val="000000"/>
                <w:sz w:val="21"/>
                <w:szCs w:val="21"/>
                <w:highlight w:val="none"/>
                <w:lang w:val="en-US" w:eastAsia="zh-CN" w:bidi="ar-SA"/>
              </w:rPr>
              <w:t>。</w:t>
            </w:r>
          </w:p>
        </w:tc>
        <w:tc>
          <w:tcPr>
            <w:tcW w:w="2333" w:type="dxa"/>
            <w:vMerge w:val="continue"/>
            <w:noWrap w:val="0"/>
            <w:vAlign w:val="center"/>
          </w:tcPr>
          <w:p w14:paraId="7818A7A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r>
      <w:tr w14:paraId="1F4C03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vMerge w:val="restart"/>
            <w:noWrap w:val="0"/>
            <w:vAlign w:val="center"/>
          </w:tcPr>
          <w:p w14:paraId="2531AD62">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地表水环境</w:t>
            </w:r>
          </w:p>
        </w:tc>
        <w:tc>
          <w:tcPr>
            <w:tcW w:w="1939" w:type="dxa"/>
            <w:gridSpan w:val="2"/>
            <w:noWrap w:val="0"/>
            <w:vAlign w:val="center"/>
          </w:tcPr>
          <w:p w14:paraId="4B81C4B1">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初期雨水</w:t>
            </w:r>
          </w:p>
        </w:tc>
        <w:tc>
          <w:tcPr>
            <w:tcW w:w="1523" w:type="dxa"/>
            <w:noWrap w:val="0"/>
            <w:vAlign w:val="center"/>
          </w:tcPr>
          <w:p w14:paraId="142E022F">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SS</w:t>
            </w:r>
          </w:p>
        </w:tc>
        <w:tc>
          <w:tcPr>
            <w:tcW w:w="3203" w:type="dxa"/>
            <w:noWrap w:val="0"/>
            <w:vAlign w:val="center"/>
          </w:tcPr>
          <w:p w14:paraId="721B14F6">
            <w:pPr>
              <w:keepNext w:val="0"/>
              <w:keepLines w:val="0"/>
              <w:pageBreakBefore w:val="0"/>
              <w:widowControl w:val="0"/>
              <w:spacing w:line="240" w:lineRule="auto"/>
              <w:ind w:firstLine="0"/>
              <w:jc w:val="center"/>
              <w:rPr>
                <w:rFonts w:hint="eastAsia"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val="en-US" w:eastAsia="zh-CN"/>
              </w:rPr>
              <w:t>通过项目区的</w:t>
            </w:r>
            <w:r>
              <w:rPr>
                <w:rFonts w:ascii="Times New Roman" w:hAnsi="Times New Roman" w:eastAsia="宋体" w:cs="Times New Roman"/>
                <w:color w:val="000000"/>
                <w:sz w:val="21"/>
                <w:szCs w:val="21"/>
                <w:highlight w:val="none"/>
              </w:rPr>
              <w:t>排水沟</w:t>
            </w:r>
            <w:r>
              <w:rPr>
                <w:rFonts w:hint="eastAsia" w:ascii="Times New Roman" w:hAnsi="Times New Roman" w:eastAsia="宋体" w:cs="Times New Roman"/>
                <w:color w:val="000000"/>
                <w:sz w:val="21"/>
                <w:szCs w:val="21"/>
                <w:highlight w:val="none"/>
                <w:lang w:val="en-US" w:eastAsia="zh-CN"/>
              </w:rPr>
              <w:t>及</w:t>
            </w:r>
            <w:r>
              <w:rPr>
                <w:rFonts w:hint="eastAsia" w:ascii="Times New Roman" w:hAnsi="Times New Roman" w:eastAsia="宋体" w:cs="Times New Roman"/>
                <w:b w:val="0"/>
                <w:bCs w:val="0"/>
                <w:color w:val="000000"/>
                <w:sz w:val="21"/>
                <w:szCs w:val="21"/>
                <w:highlight w:val="none"/>
                <w:lang w:val="en-US" w:eastAsia="zh-CN"/>
              </w:rPr>
              <w:t>初期雨水收集池，</w:t>
            </w:r>
            <w:r>
              <w:rPr>
                <w:rFonts w:ascii="Times New Roman" w:hAnsi="Times New Roman" w:eastAsia="宋体" w:cs="Times New Roman"/>
                <w:b w:val="0"/>
                <w:bCs w:val="0"/>
                <w:color w:val="000000"/>
                <w:sz w:val="21"/>
                <w:szCs w:val="21"/>
                <w:highlight w:val="none"/>
                <w:lang w:val="en-US" w:eastAsia="zh-CN"/>
              </w:rPr>
              <w:t>收集</w:t>
            </w:r>
            <w:r>
              <w:rPr>
                <w:rFonts w:ascii="Times New Roman" w:hAnsi="Times New Roman" w:eastAsia="宋体" w:cs="Times New Roman"/>
                <w:b w:val="0"/>
                <w:bCs w:val="0"/>
                <w:color w:val="000000"/>
                <w:sz w:val="21"/>
                <w:szCs w:val="21"/>
                <w:highlight w:val="none"/>
              </w:rPr>
              <w:t>前</w:t>
            </w:r>
            <w:r>
              <w:rPr>
                <w:rFonts w:hint="eastAsia" w:ascii="Times New Roman" w:hAnsi="Times New Roman" w:eastAsia="宋体" w:cs="Times New Roman"/>
                <w:b w:val="0"/>
                <w:bCs w:val="0"/>
                <w:color w:val="000000"/>
                <w:sz w:val="21"/>
                <w:szCs w:val="21"/>
                <w:highlight w:val="none"/>
                <w:lang w:val="en-US" w:eastAsia="zh-CN"/>
              </w:rPr>
              <w:t>15</w:t>
            </w:r>
            <w:r>
              <w:rPr>
                <w:rFonts w:ascii="Times New Roman" w:hAnsi="Times New Roman" w:eastAsia="宋体" w:cs="Times New Roman"/>
                <w:b w:val="0"/>
                <w:bCs w:val="0"/>
                <w:color w:val="000000"/>
                <w:sz w:val="21"/>
                <w:szCs w:val="21"/>
                <w:highlight w:val="none"/>
              </w:rPr>
              <w:t>min</w:t>
            </w:r>
            <w:r>
              <w:rPr>
                <w:rFonts w:ascii="Times New Roman" w:hAnsi="Times New Roman" w:eastAsia="宋体" w:cs="Times New Roman"/>
                <w:b w:val="0"/>
                <w:bCs w:val="0"/>
                <w:color w:val="000000"/>
                <w:sz w:val="21"/>
                <w:szCs w:val="21"/>
                <w:highlight w:val="none"/>
                <w:lang w:val="en-US" w:eastAsia="zh-CN"/>
              </w:rPr>
              <w:t>的雨水经沉淀后</w:t>
            </w:r>
            <w:r>
              <w:rPr>
                <w:rFonts w:ascii="Times New Roman" w:hAnsi="Times New Roman" w:eastAsia="宋体" w:cs="Times New Roman"/>
                <w:b w:val="0"/>
                <w:bCs w:val="0"/>
                <w:color w:val="000000"/>
                <w:sz w:val="21"/>
                <w:szCs w:val="21"/>
                <w:highlight w:val="none"/>
                <w:lang w:eastAsia="zh-CN"/>
              </w:rPr>
              <w:t>用于厂区洒水降尘</w:t>
            </w:r>
            <w:r>
              <w:rPr>
                <w:rFonts w:hint="eastAsia" w:ascii="Times New Roman" w:hAnsi="Times New Roman" w:eastAsia="宋体" w:cs="Times New Roman"/>
                <w:b w:val="0"/>
                <w:bCs w:val="0"/>
                <w:color w:val="000000"/>
                <w:sz w:val="21"/>
                <w:szCs w:val="21"/>
                <w:highlight w:val="none"/>
                <w:lang w:eastAsia="zh-CN"/>
              </w:rPr>
              <w:t>。</w:t>
            </w:r>
          </w:p>
        </w:tc>
        <w:tc>
          <w:tcPr>
            <w:tcW w:w="2333" w:type="dxa"/>
            <w:vMerge w:val="restart"/>
            <w:noWrap w:val="0"/>
            <w:vAlign w:val="center"/>
          </w:tcPr>
          <w:p w14:paraId="15F4BD0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bidi="ar-SA"/>
              </w:rPr>
              <w:t>雨污分流</w:t>
            </w:r>
            <w:r>
              <w:rPr>
                <w:rFonts w:hint="eastAsia" w:ascii="Times New Roman" w:hAnsi="Times New Roman" w:eastAsia="宋体" w:cs="Times New Roman"/>
                <w:color w:val="000000"/>
                <w:sz w:val="21"/>
                <w:szCs w:val="21"/>
                <w:highlight w:val="none"/>
                <w:lang w:val="en-US" w:eastAsia="zh-CN" w:bidi="ar-SA"/>
              </w:rPr>
              <w:t>，</w:t>
            </w:r>
            <w:r>
              <w:rPr>
                <w:rFonts w:ascii="Times New Roman" w:hAnsi="Times New Roman" w:eastAsia="宋体" w:cs="Times New Roman"/>
                <w:color w:val="000000"/>
                <w:sz w:val="21"/>
                <w:szCs w:val="21"/>
                <w:highlight w:val="none"/>
                <w:lang w:val="en-US" w:eastAsia="zh-CN"/>
              </w:rPr>
              <w:t>不外排</w:t>
            </w:r>
          </w:p>
        </w:tc>
      </w:tr>
      <w:tr w14:paraId="7A1F83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vMerge w:val="continue"/>
            <w:noWrap w:val="0"/>
            <w:vAlign w:val="center"/>
          </w:tcPr>
          <w:p w14:paraId="294A2B52">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p>
        </w:tc>
        <w:tc>
          <w:tcPr>
            <w:tcW w:w="690" w:type="dxa"/>
            <w:noWrap w:val="0"/>
            <w:vAlign w:val="center"/>
          </w:tcPr>
          <w:p w14:paraId="0B35B3E0">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生活废水</w:t>
            </w:r>
          </w:p>
        </w:tc>
        <w:tc>
          <w:tcPr>
            <w:tcW w:w="1249" w:type="dxa"/>
            <w:noWrap w:val="0"/>
            <w:vAlign w:val="center"/>
          </w:tcPr>
          <w:p w14:paraId="7D215D23">
            <w:pPr>
              <w:spacing w:line="240" w:lineRule="auto"/>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员工</w:t>
            </w:r>
          </w:p>
        </w:tc>
        <w:tc>
          <w:tcPr>
            <w:tcW w:w="1523" w:type="dxa"/>
            <w:noWrap w:val="0"/>
            <w:vAlign w:val="center"/>
          </w:tcPr>
          <w:p w14:paraId="79B2F158">
            <w:pPr>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COD、BOD</w:t>
            </w:r>
            <w:r>
              <w:rPr>
                <w:rFonts w:ascii="Times New Roman" w:hAnsi="Times New Roman" w:eastAsia="宋体" w:cs="Times New Roman"/>
                <w:color w:val="000000"/>
                <w:sz w:val="21"/>
                <w:szCs w:val="21"/>
                <w:highlight w:val="none"/>
                <w:vertAlign w:val="subscript"/>
              </w:rPr>
              <w:t>5</w:t>
            </w:r>
            <w:r>
              <w:rPr>
                <w:rFonts w:ascii="Times New Roman" w:hAnsi="Times New Roman" w:eastAsia="宋体" w:cs="Times New Roman"/>
                <w:color w:val="000000"/>
                <w:sz w:val="21"/>
                <w:szCs w:val="21"/>
                <w:highlight w:val="none"/>
              </w:rPr>
              <w:t>、SS、</w:t>
            </w:r>
            <w:r>
              <w:rPr>
                <w:rFonts w:ascii="Times New Roman" w:hAnsi="Times New Roman" w:eastAsia="宋体" w:cs="Times New Roman"/>
                <w:color w:val="000000"/>
                <w:sz w:val="21"/>
                <w:szCs w:val="21"/>
                <w:highlight w:val="none"/>
                <w:lang w:val="en-US" w:eastAsia="zh-CN"/>
              </w:rPr>
              <w:t>NH</w:t>
            </w:r>
            <w:r>
              <w:rPr>
                <w:rFonts w:ascii="Times New Roman" w:hAnsi="Times New Roman" w:eastAsia="宋体" w:cs="Times New Roman"/>
                <w:color w:val="000000"/>
                <w:sz w:val="21"/>
                <w:szCs w:val="21"/>
                <w:highlight w:val="none"/>
                <w:vertAlign w:val="subscript"/>
                <w:lang w:val="en-US" w:eastAsia="zh-CN"/>
              </w:rPr>
              <w:t>3</w:t>
            </w:r>
            <w:r>
              <w:rPr>
                <w:rFonts w:ascii="Times New Roman" w:hAnsi="Times New Roman" w:eastAsia="宋体" w:cs="Times New Roman"/>
                <w:color w:val="000000"/>
                <w:sz w:val="21"/>
                <w:szCs w:val="21"/>
                <w:highlight w:val="none"/>
                <w:lang w:val="en-US" w:eastAsia="zh-CN"/>
              </w:rPr>
              <w:t>-N</w:t>
            </w:r>
            <w:r>
              <w:rPr>
                <w:rFonts w:ascii="Times New Roman" w:hAnsi="Times New Roman" w:eastAsia="宋体" w:cs="Times New Roman"/>
                <w:color w:val="000000"/>
                <w:sz w:val="21"/>
                <w:szCs w:val="21"/>
                <w:highlight w:val="none"/>
              </w:rPr>
              <w:t>、总氮、</w:t>
            </w:r>
            <w:r>
              <w:rPr>
                <w:rFonts w:ascii="Times New Roman" w:hAnsi="Times New Roman" w:eastAsia="宋体" w:cs="Times New Roman"/>
                <w:color w:val="000000"/>
                <w:sz w:val="21"/>
                <w:szCs w:val="21"/>
                <w:highlight w:val="none"/>
                <w:lang w:val="en-US" w:eastAsia="zh-CN"/>
              </w:rPr>
              <w:t>TP</w:t>
            </w:r>
            <w:r>
              <w:rPr>
                <w:rFonts w:hint="eastAsia" w:ascii="Times New Roman" w:hAnsi="Times New Roman" w:eastAsia="宋体" w:cs="Times New Roman"/>
                <w:color w:val="000000"/>
                <w:sz w:val="21"/>
                <w:szCs w:val="21"/>
                <w:highlight w:val="none"/>
                <w:lang w:val="en-US" w:eastAsia="zh-CN"/>
              </w:rPr>
              <w:t>、动植物油</w:t>
            </w:r>
            <w:r>
              <w:rPr>
                <w:rFonts w:ascii="Times New Roman" w:hAnsi="Times New Roman" w:eastAsia="宋体" w:cs="Times New Roman"/>
                <w:color w:val="000000"/>
                <w:sz w:val="21"/>
                <w:szCs w:val="21"/>
                <w:highlight w:val="none"/>
              </w:rPr>
              <w:t>等</w:t>
            </w:r>
          </w:p>
        </w:tc>
        <w:tc>
          <w:tcPr>
            <w:tcW w:w="3203" w:type="dxa"/>
            <w:noWrap w:val="0"/>
            <w:vAlign w:val="center"/>
          </w:tcPr>
          <w:p w14:paraId="4440F53E">
            <w:pPr>
              <w:spacing w:line="240" w:lineRule="auto"/>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lang w:val="en-US" w:eastAsia="zh-CN"/>
              </w:rPr>
              <w:t>经</w:t>
            </w:r>
            <w:r>
              <w:rPr>
                <w:rFonts w:ascii="Times New Roman" w:hAnsi="Times New Roman" w:eastAsia="宋体" w:cs="Times New Roman"/>
                <w:color w:val="000000"/>
                <w:sz w:val="21"/>
                <w:szCs w:val="21"/>
              </w:rPr>
              <w:t>化粪池</w:t>
            </w:r>
            <w:r>
              <w:rPr>
                <w:rFonts w:ascii="Times New Roman" w:hAnsi="Times New Roman" w:eastAsia="宋体" w:cs="Times New Roman"/>
                <w:color w:val="000000"/>
                <w:sz w:val="21"/>
                <w:szCs w:val="21"/>
                <w:lang w:val="en-US" w:eastAsia="zh-CN"/>
              </w:rPr>
              <w:t>（</w:t>
            </w:r>
            <w:r>
              <w:rPr>
                <w:rFonts w:hint="eastAsia" w:ascii="Times New Roman" w:hAnsi="Times New Roman" w:eastAsia="宋体" w:cs="Times New Roman"/>
                <w:color w:val="000000"/>
                <w:sz w:val="21"/>
                <w:szCs w:val="21"/>
                <w:lang w:val="en-US" w:eastAsia="zh-CN"/>
              </w:rPr>
              <w:t>30m</w:t>
            </w:r>
            <w:r>
              <w:rPr>
                <w:rFonts w:hint="eastAsia" w:ascii="Times New Roman" w:hAnsi="Times New Roman" w:eastAsia="宋体" w:cs="Times New Roman"/>
                <w:color w:val="000000"/>
                <w:sz w:val="21"/>
                <w:szCs w:val="21"/>
                <w:vertAlign w:val="superscript"/>
                <w:lang w:val="en-US" w:eastAsia="zh-CN"/>
              </w:rPr>
              <w:t>3</w:t>
            </w:r>
            <w:r>
              <w:rPr>
                <w:rFonts w:ascii="Times New Roman" w:hAnsi="Times New Roman" w:eastAsia="宋体" w:cs="Times New Roman"/>
                <w:color w:val="000000"/>
                <w:sz w:val="21"/>
                <w:szCs w:val="21"/>
                <w:lang w:val="en-US" w:eastAsia="zh-CN"/>
              </w:rPr>
              <w:t>）处理</w:t>
            </w:r>
            <w:r>
              <w:rPr>
                <w:rFonts w:hint="eastAsia" w:ascii="Times New Roman" w:hAnsi="Times New Roman" w:eastAsia="宋体" w:cs="Times New Roman"/>
                <w:color w:val="000000"/>
                <w:sz w:val="21"/>
                <w:szCs w:val="21"/>
                <w:lang w:val="en-US" w:eastAsia="zh-CN"/>
              </w:rPr>
              <w:t>后定期清掏，用作农肥</w:t>
            </w:r>
            <w:r>
              <w:rPr>
                <w:rFonts w:ascii="Times New Roman" w:hAnsi="Times New Roman" w:eastAsia="宋体" w:cs="Times New Roman"/>
                <w:b w:val="0"/>
                <w:bCs/>
                <w:color w:val="000000"/>
                <w:sz w:val="21"/>
                <w:szCs w:val="21"/>
                <w:highlight w:val="none"/>
                <w:lang w:val="en-US" w:eastAsia="zh-CN"/>
              </w:rPr>
              <w:t>，不外排</w:t>
            </w:r>
            <w:r>
              <w:rPr>
                <w:rFonts w:ascii="Times New Roman" w:hAnsi="Times New Roman" w:eastAsia="宋体" w:cs="Times New Roman"/>
                <w:bCs/>
                <w:color w:val="000000"/>
                <w:sz w:val="21"/>
                <w:szCs w:val="21"/>
                <w:highlight w:val="none"/>
              </w:rPr>
              <w:t>。</w:t>
            </w:r>
          </w:p>
        </w:tc>
        <w:tc>
          <w:tcPr>
            <w:tcW w:w="2333" w:type="dxa"/>
            <w:vMerge w:val="continue"/>
            <w:noWrap w:val="0"/>
            <w:vAlign w:val="center"/>
          </w:tcPr>
          <w:p w14:paraId="7858FD22">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r>
      <w:tr w14:paraId="63E5AA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vMerge w:val="restart"/>
            <w:noWrap w:val="0"/>
            <w:vAlign w:val="center"/>
          </w:tcPr>
          <w:p w14:paraId="5990D085">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声环境</w:t>
            </w:r>
          </w:p>
        </w:tc>
        <w:tc>
          <w:tcPr>
            <w:tcW w:w="1939" w:type="dxa"/>
            <w:gridSpan w:val="2"/>
            <w:noWrap w:val="0"/>
            <w:vAlign w:val="center"/>
          </w:tcPr>
          <w:p w14:paraId="3CFB02A5">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生产设备</w:t>
            </w:r>
          </w:p>
        </w:tc>
        <w:tc>
          <w:tcPr>
            <w:tcW w:w="1523" w:type="dxa"/>
            <w:vMerge w:val="restart"/>
            <w:noWrap w:val="0"/>
            <w:vAlign w:val="center"/>
          </w:tcPr>
          <w:p w14:paraId="1F2A9ECC">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噪声</w:t>
            </w:r>
          </w:p>
        </w:tc>
        <w:tc>
          <w:tcPr>
            <w:tcW w:w="3203" w:type="dxa"/>
            <w:noWrap w:val="0"/>
            <w:vAlign w:val="center"/>
          </w:tcPr>
          <w:p w14:paraId="1508F855">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eastAsia="zh-CN"/>
              </w:rPr>
              <w:t>设备基础减震、合理布局、厂房隔声等。</w:t>
            </w:r>
          </w:p>
        </w:tc>
        <w:tc>
          <w:tcPr>
            <w:tcW w:w="2333" w:type="dxa"/>
            <w:vMerge w:val="restart"/>
            <w:noWrap w:val="0"/>
            <w:vAlign w:val="center"/>
          </w:tcPr>
          <w:p w14:paraId="0D69899D">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pacing w:val="-10"/>
                <w:szCs w:val="21"/>
                <w:highlight w:val="none"/>
              </w:rPr>
              <w:t>《工业企业厂界噪声排放标准》</w:t>
            </w:r>
            <w:r>
              <w:rPr>
                <w:rFonts w:ascii="Times New Roman" w:hAnsi="Times New Roman" w:eastAsia="宋体" w:cs="Times New Roman"/>
                <w:color w:val="000000"/>
                <w:spacing w:val="-10"/>
                <w:szCs w:val="21"/>
                <w:highlight w:val="none"/>
                <w:lang w:eastAsia="zh-CN"/>
              </w:rPr>
              <w:t>（</w:t>
            </w:r>
            <w:r>
              <w:rPr>
                <w:rFonts w:ascii="Times New Roman" w:hAnsi="Times New Roman" w:eastAsia="宋体" w:cs="Times New Roman"/>
                <w:color w:val="000000"/>
                <w:spacing w:val="-10"/>
                <w:szCs w:val="21"/>
                <w:highlight w:val="none"/>
              </w:rPr>
              <w:t>GB12348-2008</w:t>
            </w:r>
            <w:r>
              <w:rPr>
                <w:rFonts w:ascii="Times New Roman" w:hAnsi="Times New Roman" w:eastAsia="宋体" w:cs="Times New Roman"/>
                <w:color w:val="000000"/>
                <w:spacing w:val="-10"/>
                <w:szCs w:val="21"/>
                <w:highlight w:val="none"/>
                <w:lang w:eastAsia="zh-CN"/>
              </w:rPr>
              <w:t>）</w:t>
            </w:r>
            <w:r>
              <w:rPr>
                <w:rFonts w:hint="eastAsia" w:ascii="Times New Roman" w:hAnsi="Times New Roman" w:eastAsia="宋体" w:cs="Times New Roman"/>
                <w:color w:val="000000"/>
                <w:spacing w:val="-10"/>
                <w:szCs w:val="21"/>
                <w:highlight w:val="none"/>
                <w:lang w:val="en-US" w:eastAsia="zh-CN"/>
              </w:rPr>
              <w:t>2</w:t>
            </w:r>
            <w:r>
              <w:rPr>
                <w:rFonts w:ascii="Times New Roman" w:hAnsi="Times New Roman" w:eastAsia="宋体" w:cs="Times New Roman"/>
                <w:color w:val="000000"/>
                <w:spacing w:val="-10"/>
                <w:szCs w:val="21"/>
                <w:highlight w:val="none"/>
              </w:rPr>
              <w:t>类标准</w:t>
            </w:r>
          </w:p>
        </w:tc>
      </w:tr>
      <w:tr w14:paraId="4D3D76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vMerge w:val="continue"/>
            <w:noWrap w:val="0"/>
            <w:vAlign w:val="center"/>
          </w:tcPr>
          <w:p w14:paraId="5EF90015">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p>
        </w:tc>
        <w:tc>
          <w:tcPr>
            <w:tcW w:w="1939" w:type="dxa"/>
            <w:gridSpan w:val="2"/>
            <w:noWrap w:val="0"/>
            <w:vAlign w:val="center"/>
          </w:tcPr>
          <w:p w14:paraId="7BCB95F6">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车辆</w:t>
            </w:r>
          </w:p>
        </w:tc>
        <w:tc>
          <w:tcPr>
            <w:tcW w:w="1523" w:type="dxa"/>
            <w:vMerge w:val="continue"/>
            <w:noWrap w:val="0"/>
            <w:vAlign w:val="center"/>
          </w:tcPr>
          <w:p w14:paraId="4F369FC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p>
        </w:tc>
        <w:tc>
          <w:tcPr>
            <w:tcW w:w="3203" w:type="dxa"/>
            <w:noWrap w:val="0"/>
            <w:vAlign w:val="center"/>
          </w:tcPr>
          <w:p w14:paraId="72CAC674">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强化行车管理制度，设置降噪标志，严禁鸣号，进入厂区低速行驶等</w:t>
            </w:r>
          </w:p>
        </w:tc>
        <w:tc>
          <w:tcPr>
            <w:tcW w:w="2333" w:type="dxa"/>
            <w:vMerge w:val="continue"/>
            <w:noWrap w:val="0"/>
            <w:vAlign w:val="center"/>
          </w:tcPr>
          <w:p w14:paraId="24E0CCDD">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p>
        </w:tc>
      </w:tr>
      <w:tr w14:paraId="6C8C6A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759" w:type="dxa"/>
            <w:vMerge w:val="restart"/>
            <w:noWrap w:val="0"/>
            <w:vAlign w:val="center"/>
          </w:tcPr>
          <w:p w14:paraId="4A29EF2E">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固体废物</w:t>
            </w:r>
          </w:p>
        </w:tc>
        <w:tc>
          <w:tcPr>
            <w:tcW w:w="690" w:type="dxa"/>
            <w:vMerge w:val="restart"/>
            <w:noWrap w:val="0"/>
            <w:vAlign w:val="center"/>
          </w:tcPr>
          <w:p w14:paraId="658C07CF">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一般</w:t>
            </w:r>
          </w:p>
          <w:p w14:paraId="7548ACF4">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固废</w:t>
            </w:r>
          </w:p>
        </w:tc>
        <w:tc>
          <w:tcPr>
            <w:tcW w:w="1249" w:type="dxa"/>
            <w:vMerge w:val="restart"/>
            <w:noWrap w:val="0"/>
            <w:vAlign w:val="center"/>
          </w:tcPr>
          <w:p w14:paraId="3751FB46">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rPr>
              <w:t>生活、办公</w:t>
            </w:r>
          </w:p>
        </w:tc>
        <w:tc>
          <w:tcPr>
            <w:tcW w:w="1523" w:type="dxa"/>
            <w:noWrap w:val="0"/>
            <w:vAlign w:val="center"/>
          </w:tcPr>
          <w:p w14:paraId="698D82A1">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生活垃圾</w:t>
            </w:r>
          </w:p>
        </w:tc>
        <w:tc>
          <w:tcPr>
            <w:tcW w:w="3203" w:type="dxa"/>
            <w:noWrap w:val="0"/>
            <w:vAlign w:val="center"/>
          </w:tcPr>
          <w:p w14:paraId="785D10B3">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运至附近村庄垃圾收集点集中处置</w:t>
            </w:r>
          </w:p>
        </w:tc>
        <w:tc>
          <w:tcPr>
            <w:tcW w:w="2333" w:type="dxa"/>
            <w:vMerge w:val="restart"/>
            <w:noWrap w:val="0"/>
            <w:vAlign w:val="center"/>
          </w:tcPr>
          <w:p w14:paraId="454E3AFA">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处置率100%</w:t>
            </w:r>
          </w:p>
        </w:tc>
      </w:tr>
      <w:tr w14:paraId="2E857E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759" w:type="dxa"/>
            <w:vMerge w:val="continue"/>
            <w:noWrap w:val="0"/>
            <w:vAlign w:val="center"/>
          </w:tcPr>
          <w:p w14:paraId="2F24E290">
            <w:pPr>
              <w:spacing w:line="240" w:lineRule="auto"/>
              <w:jc w:val="center"/>
              <w:rPr>
                <w:color w:val="000000"/>
              </w:rPr>
            </w:pPr>
          </w:p>
        </w:tc>
        <w:tc>
          <w:tcPr>
            <w:tcW w:w="690" w:type="dxa"/>
            <w:vMerge w:val="continue"/>
            <w:noWrap w:val="0"/>
            <w:vAlign w:val="center"/>
          </w:tcPr>
          <w:p w14:paraId="2CC90793">
            <w:pPr>
              <w:spacing w:line="240" w:lineRule="auto"/>
              <w:jc w:val="center"/>
              <w:rPr>
                <w:color w:val="000000"/>
              </w:rPr>
            </w:pPr>
          </w:p>
        </w:tc>
        <w:tc>
          <w:tcPr>
            <w:tcW w:w="1249" w:type="dxa"/>
            <w:vMerge w:val="continue"/>
            <w:noWrap w:val="0"/>
            <w:vAlign w:val="center"/>
          </w:tcPr>
          <w:p w14:paraId="3F41AF50">
            <w:pPr>
              <w:spacing w:line="240" w:lineRule="auto"/>
              <w:jc w:val="center"/>
              <w:rPr>
                <w:color w:val="000000"/>
              </w:rPr>
            </w:pPr>
          </w:p>
        </w:tc>
        <w:tc>
          <w:tcPr>
            <w:tcW w:w="1523" w:type="dxa"/>
            <w:noWrap w:val="0"/>
            <w:vAlign w:val="center"/>
          </w:tcPr>
          <w:p w14:paraId="3E0E4D8E">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化粪池污泥</w:t>
            </w:r>
          </w:p>
        </w:tc>
        <w:tc>
          <w:tcPr>
            <w:tcW w:w="3203" w:type="dxa"/>
            <w:noWrap w:val="0"/>
            <w:vAlign w:val="center"/>
          </w:tcPr>
          <w:p w14:paraId="4679E300">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定期清掏外运给周边农户做农田肥料，综合利用</w:t>
            </w:r>
          </w:p>
        </w:tc>
        <w:tc>
          <w:tcPr>
            <w:tcW w:w="2333" w:type="dxa"/>
            <w:vMerge w:val="continue"/>
            <w:noWrap w:val="0"/>
            <w:vAlign w:val="center"/>
          </w:tcPr>
          <w:p w14:paraId="7D0784F2">
            <w:pPr>
              <w:spacing w:line="240" w:lineRule="auto"/>
              <w:jc w:val="center"/>
              <w:rPr>
                <w:rFonts w:ascii="Times New Roman" w:hAnsi="Times New Roman" w:eastAsia="宋体" w:cs="Times New Roman"/>
                <w:color w:val="000000"/>
                <w:sz w:val="21"/>
                <w:szCs w:val="21"/>
                <w:highlight w:val="none"/>
                <w:lang w:val="en-US" w:eastAsia="zh-CN" w:bidi="ar-SA"/>
              </w:rPr>
            </w:pPr>
          </w:p>
        </w:tc>
      </w:tr>
      <w:tr w14:paraId="63D56E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759" w:type="dxa"/>
            <w:vMerge w:val="continue"/>
            <w:noWrap w:val="0"/>
            <w:vAlign w:val="center"/>
          </w:tcPr>
          <w:p w14:paraId="62863095">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rPr>
            </w:pPr>
          </w:p>
        </w:tc>
        <w:tc>
          <w:tcPr>
            <w:tcW w:w="690" w:type="dxa"/>
            <w:vMerge w:val="continue"/>
            <w:noWrap w:val="0"/>
            <w:vAlign w:val="center"/>
          </w:tcPr>
          <w:p w14:paraId="66EDCB11">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rPr>
            </w:pPr>
          </w:p>
        </w:tc>
        <w:tc>
          <w:tcPr>
            <w:tcW w:w="1249" w:type="dxa"/>
            <w:vMerge w:val="restart"/>
            <w:noWrap w:val="0"/>
            <w:vAlign w:val="center"/>
          </w:tcPr>
          <w:p w14:paraId="57FC7FB9">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生产</w:t>
            </w:r>
          </w:p>
        </w:tc>
        <w:tc>
          <w:tcPr>
            <w:tcW w:w="1523" w:type="dxa"/>
            <w:noWrap w:val="0"/>
            <w:vAlign w:val="center"/>
          </w:tcPr>
          <w:p w14:paraId="1099B719">
            <w:pPr>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highlight w:val="none"/>
                <w:lang w:val="en-US" w:eastAsia="zh-CN"/>
              </w:rPr>
              <w:t>边角料</w:t>
            </w:r>
          </w:p>
        </w:tc>
        <w:tc>
          <w:tcPr>
            <w:tcW w:w="3203" w:type="dxa"/>
            <w:vMerge w:val="restart"/>
            <w:noWrap w:val="0"/>
            <w:vAlign w:val="center"/>
          </w:tcPr>
          <w:p w14:paraId="058097B8">
            <w:pPr>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外售给生物质燃料厂，综合利用</w:t>
            </w:r>
          </w:p>
        </w:tc>
        <w:tc>
          <w:tcPr>
            <w:tcW w:w="2333" w:type="dxa"/>
            <w:vMerge w:val="continue"/>
            <w:noWrap w:val="0"/>
            <w:vAlign w:val="center"/>
          </w:tcPr>
          <w:p w14:paraId="338DBC48">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r>
      <w:tr w14:paraId="5C834C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5" w:hRule="atLeast"/>
          <w:jc w:val="center"/>
        </w:trPr>
        <w:tc>
          <w:tcPr>
            <w:tcW w:w="759" w:type="dxa"/>
            <w:vMerge w:val="continue"/>
            <w:noWrap w:val="0"/>
            <w:vAlign w:val="center"/>
          </w:tcPr>
          <w:p w14:paraId="254E6AF9">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c>
          <w:tcPr>
            <w:tcW w:w="690" w:type="dxa"/>
            <w:vMerge w:val="continue"/>
            <w:noWrap w:val="0"/>
            <w:vAlign w:val="center"/>
          </w:tcPr>
          <w:p w14:paraId="2EEC7DC3">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c>
          <w:tcPr>
            <w:tcW w:w="1249" w:type="dxa"/>
            <w:vMerge w:val="continue"/>
            <w:noWrap w:val="0"/>
            <w:vAlign w:val="center"/>
          </w:tcPr>
          <w:p w14:paraId="771A0668">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c>
          <w:tcPr>
            <w:tcW w:w="1523" w:type="dxa"/>
            <w:noWrap w:val="0"/>
            <w:vAlign w:val="center"/>
          </w:tcPr>
          <w:p w14:paraId="60674BDD">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不合格产品</w:t>
            </w:r>
          </w:p>
        </w:tc>
        <w:tc>
          <w:tcPr>
            <w:tcW w:w="3203" w:type="dxa"/>
            <w:vMerge w:val="continue"/>
            <w:noWrap w:val="0"/>
            <w:vAlign w:val="center"/>
          </w:tcPr>
          <w:p w14:paraId="0A093874">
            <w:pPr>
              <w:spacing w:line="240" w:lineRule="auto"/>
              <w:jc w:val="center"/>
              <w:rPr>
                <w:rFonts w:ascii="Times New Roman" w:hAnsi="Times New Roman" w:eastAsia="宋体" w:cs="Times New Roman"/>
                <w:color w:val="000000"/>
                <w:sz w:val="21"/>
                <w:szCs w:val="21"/>
                <w:highlight w:val="none"/>
                <w:lang w:val="en-US" w:eastAsia="zh-CN" w:bidi="ar-SA"/>
              </w:rPr>
            </w:pPr>
          </w:p>
        </w:tc>
        <w:tc>
          <w:tcPr>
            <w:tcW w:w="2333" w:type="dxa"/>
            <w:vMerge w:val="continue"/>
            <w:noWrap w:val="0"/>
            <w:vAlign w:val="center"/>
          </w:tcPr>
          <w:p w14:paraId="5C256020">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p>
        </w:tc>
      </w:tr>
      <w:tr w14:paraId="09D422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5" w:hRule="atLeast"/>
          <w:jc w:val="center"/>
        </w:trPr>
        <w:tc>
          <w:tcPr>
            <w:tcW w:w="759" w:type="dxa"/>
            <w:vMerge w:val="continue"/>
            <w:noWrap w:val="0"/>
            <w:vAlign w:val="center"/>
          </w:tcPr>
          <w:p w14:paraId="6CBB0452">
            <w:pPr>
              <w:spacing w:line="240" w:lineRule="auto"/>
              <w:jc w:val="center"/>
              <w:rPr>
                <w:color w:val="000000"/>
              </w:rPr>
            </w:pPr>
          </w:p>
        </w:tc>
        <w:tc>
          <w:tcPr>
            <w:tcW w:w="690" w:type="dxa"/>
            <w:vMerge w:val="continue"/>
            <w:noWrap w:val="0"/>
            <w:vAlign w:val="center"/>
          </w:tcPr>
          <w:p w14:paraId="76E494ED">
            <w:pPr>
              <w:spacing w:line="240" w:lineRule="auto"/>
              <w:jc w:val="center"/>
              <w:rPr>
                <w:color w:val="000000"/>
              </w:rPr>
            </w:pPr>
          </w:p>
        </w:tc>
        <w:tc>
          <w:tcPr>
            <w:tcW w:w="1249" w:type="dxa"/>
            <w:vMerge w:val="continue"/>
            <w:noWrap w:val="0"/>
            <w:vAlign w:val="center"/>
          </w:tcPr>
          <w:p w14:paraId="00AF4892">
            <w:pPr>
              <w:spacing w:line="240" w:lineRule="auto"/>
              <w:jc w:val="center"/>
              <w:rPr>
                <w:color w:val="000000"/>
              </w:rPr>
            </w:pPr>
          </w:p>
        </w:tc>
        <w:tc>
          <w:tcPr>
            <w:tcW w:w="1523" w:type="dxa"/>
            <w:noWrap w:val="0"/>
            <w:vAlign w:val="center"/>
          </w:tcPr>
          <w:p w14:paraId="3813942A">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除尘灰</w:t>
            </w:r>
          </w:p>
        </w:tc>
        <w:tc>
          <w:tcPr>
            <w:tcW w:w="3203" w:type="dxa"/>
            <w:vMerge w:val="continue"/>
            <w:noWrap w:val="0"/>
            <w:vAlign w:val="center"/>
          </w:tcPr>
          <w:p w14:paraId="2D1D2BF2">
            <w:pPr>
              <w:spacing w:line="240" w:lineRule="auto"/>
              <w:jc w:val="center"/>
              <w:rPr>
                <w:rFonts w:ascii="Times New Roman" w:hAnsi="Times New Roman" w:eastAsia="宋体" w:cs="Times New Roman"/>
                <w:color w:val="000000"/>
                <w:sz w:val="21"/>
                <w:szCs w:val="21"/>
                <w:highlight w:val="none"/>
                <w:lang w:val="en-US" w:eastAsia="zh-CN" w:bidi="ar-SA"/>
              </w:rPr>
            </w:pPr>
          </w:p>
        </w:tc>
        <w:tc>
          <w:tcPr>
            <w:tcW w:w="2333" w:type="dxa"/>
            <w:vMerge w:val="continue"/>
            <w:noWrap w:val="0"/>
            <w:vAlign w:val="center"/>
          </w:tcPr>
          <w:p w14:paraId="2C9F6651">
            <w:pPr>
              <w:spacing w:line="240" w:lineRule="auto"/>
              <w:jc w:val="center"/>
              <w:rPr>
                <w:rFonts w:ascii="Times New Roman" w:hAnsi="Times New Roman" w:eastAsia="宋体" w:cs="Times New Roman"/>
                <w:color w:val="000000"/>
                <w:sz w:val="21"/>
                <w:szCs w:val="21"/>
                <w:highlight w:val="none"/>
                <w:lang w:val="en-US" w:eastAsia="zh-CN" w:bidi="ar-SA"/>
              </w:rPr>
            </w:pPr>
          </w:p>
        </w:tc>
      </w:tr>
      <w:tr w14:paraId="16BDBB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5" w:hRule="atLeast"/>
          <w:jc w:val="center"/>
        </w:trPr>
        <w:tc>
          <w:tcPr>
            <w:tcW w:w="759" w:type="dxa"/>
            <w:vMerge w:val="continue"/>
            <w:noWrap w:val="0"/>
            <w:vAlign w:val="center"/>
          </w:tcPr>
          <w:p w14:paraId="73E64AB5">
            <w:pPr>
              <w:spacing w:line="240" w:lineRule="auto"/>
              <w:jc w:val="center"/>
              <w:rPr>
                <w:rFonts w:ascii="Times New Roman" w:hAnsi="Times New Roman" w:eastAsia="宋体" w:cs="Times New Roman"/>
                <w:color w:val="000000"/>
                <w:sz w:val="21"/>
                <w:szCs w:val="21"/>
                <w:highlight w:val="none"/>
                <w:lang w:val="en-US" w:eastAsia="zh-CN" w:bidi="ar-SA"/>
              </w:rPr>
            </w:pPr>
          </w:p>
        </w:tc>
        <w:tc>
          <w:tcPr>
            <w:tcW w:w="690" w:type="dxa"/>
            <w:vMerge w:val="continue"/>
            <w:noWrap w:val="0"/>
            <w:vAlign w:val="center"/>
          </w:tcPr>
          <w:p w14:paraId="19001D4A">
            <w:pPr>
              <w:spacing w:line="240" w:lineRule="auto"/>
              <w:jc w:val="center"/>
              <w:rPr>
                <w:rFonts w:ascii="Times New Roman" w:hAnsi="Times New Roman" w:eastAsia="宋体" w:cs="Times New Roman"/>
                <w:color w:val="000000"/>
                <w:sz w:val="21"/>
                <w:szCs w:val="21"/>
                <w:highlight w:val="none"/>
                <w:lang w:val="en-US" w:eastAsia="zh-CN" w:bidi="ar-SA"/>
              </w:rPr>
            </w:pPr>
          </w:p>
        </w:tc>
        <w:tc>
          <w:tcPr>
            <w:tcW w:w="1249" w:type="dxa"/>
            <w:vMerge w:val="continue"/>
            <w:noWrap w:val="0"/>
            <w:vAlign w:val="center"/>
          </w:tcPr>
          <w:p w14:paraId="2A2AEAFA">
            <w:pPr>
              <w:spacing w:line="240" w:lineRule="auto"/>
              <w:jc w:val="center"/>
              <w:rPr>
                <w:rFonts w:ascii="Times New Roman" w:hAnsi="Times New Roman" w:eastAsia="宋体" w:cs="Times New Roman"/>
                <w:color w:val="000000"/>
                <w:sz w:val="21"/>
                <w:szCs w:val="21"/>
                <w:highlight w:val="none"/>
                <w:lang w:val="en-US" w:eastAsia="zh-CN" w:bidi="ar-SA"/>
              </w:rPr>
            </w:pPr>
          </w:p>
        </w:tc>
        <w:tc>
          <w:tcPr>
            <w:tcW w:w="1523" w:type="dxa"/>
            <w:noWrap w:val="0"/>
            <w:vAlign w:val="center"/>
          </w:tcPr>
          <w:p w14:paraId="0426B4ED">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灰渣</w:t>
            </w:r>
          </w:p>
        </w:tc>
        <w:tc>
          <w:tcPr>
            <w:tcW w:w="3203" w:type="dxa"/>
            <w:noWrap w:val="0"/>
            <w:vAlign w:val="center"/>
          </w:tcPr>
          <w:p w14:paraId="7D8DFB5A">
            <w:pPr>
              <w:spacing w:line="240" w:lineRule="auto"/>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统一外运给周边农户做农田肥料，综合利用</w:t>
            </w:r>
          </w:p>
        </w:tc>
        <w:tc>
          <w:tcPr>
            <w:tcW w:w="2333" w:type="dxa"/>
            <w:vMerge w:val="continue"/>
            <w:noWrap w:val="0"/>
            <w:vAlign w:val="center"/>
          </w:tcPr>
          <w:p w14:paraId="0E4396EF">
            <w:pPr>
              <w:spacing w:line="240" w:lineRule="auto"/>
              <w:jc w:val="center"/>
              <w:rPr>
                <w:rFonts w:ascii="Times New Roman" w:hAnsi="Times New Roman" w:eastAsia="宋体" w:cs="Times New Roman"/>
                <w:color w:val="000000"/>
                <w:sz w:val="21"/>
                <w:szCs w:val="21"/>
                <w:highlight w:val="none"/>
                <w:lang w:val="en-US" w:eastAsia="zh-CN" w:bidi="ar-SA"/>
              </w:rPr>
            </w:pPr>
          </w:p>
        </w:tc>
      </w:tr>
      <w:tr w14:paraId="63B05C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5" w:hRule="atLeast"/>
          <w:jc w:val="center"/>
        </w:trPr>
        <w:tc>
          <w:tcPr>
            <w:tcW w:w="759" w:type="dxa"/>
            <w:vMerge w:val="continue"/>
            <w:noWrap w:val="0"/>
            <w:vAlign w:val="center"/>
          </w:tcPr>
          <w:p w14:paraId="74565B95">
            <w:pPr>
              <w:spacing w:line="240" w:lineRule="auto"/>
              <w:jc w:val="center"/>
              <w:rPr>
                <w:rFonts w:ascii="Times New Roman" w:hAnsi="Times New Roman" w:eastAsia="宋体" w:cs="Times New Roman"/>
                <w:color w:val="000000"/>
                <w:sz w:val="21"/>
                <w:szCs w:val="21"/>
                <w:highlight w:val="none"/>
                <w:lang w:val="en-US" w:eastAsia="zh-CN" w:bidi="ar-SA"/>
              </w:rPr>
            </w:pPr>
          </w:p>
        </w:tc>
        <w:tc>
          <w:tcPr>
            <w:tcW w:w="690" w:type="dxa"/>
            <w:vMerge w:val="continue"/>
            <w:noWrap w:val="0"/>
            <w:vAlign w:val="center"/>
          </w:tcPr>
          <w:p w14:paraId="63F69390">
            <w:pPr>
              <w:spacing w:line="240" w:lineRule="auto"/>
              <w:jc w:val="center"/>
              <w:rPr>
                <w:rFonts w:ascii="Times New Roman" w:hAnsi="Times New Roman" w:eastAsia="宋体" w:cs="Times New Roman"/>
                <w:color w:val="000000"/>
                <w:sz w:val="21"/>
                <w:szCs w:val="21"/>
                <w:highlight w:val="none"/>
                <w:lang w:val="en-US" w:eastAsia="zh-CN" w:bidi="ar-SA"/>
              </w:rPr>
            </w:pPr>
          </w:p>
        </w:tc>
        <w:tc>
          <w:tcPr>
            <w:tcW w:w="1249" w:type="dxa"/>
            <w:vMerge w:val="continue"/>
            <w:noWrap w:val="0"/>
            <w:vAlign w:val="center"/>
          </w:tcPr>
          <w:p w14:paraId="4C607A9E">
            <w:pPr>
              <w:spacing w:line="240" w:lineRule="auto"/>
              <w:jc w:val="center"/>
              <w:rPr>
                <w:rFonts w:ascii="Times New Roman" w:hAnsi="Times New Roman" w:eastAsia="宋体" w:cs="Times New Roman"/>
                <w:color w:val="000000"/>
                <w:sz w:val="21"/>
                <w:szCs w:val="21"/>
                <w:highlight w:val="none"/>
                <w:lang w:val="en-US" w:eastAsia="zh-CN" w:bidi="ar-SA"/>
              </w:rPr>
            </w:pPr>
          </w:p>
        </w:tc>
        <w:tc>
          <w:tcPr>
            <w:tcW w:w="1523" w:type="dxa"/>
            <w:noWrap w:val="0"/>
            <w:vAlign w:val="center"/>
          </w:tcPr>
          <w:p w14:paraId="4602048B">
            <w:pPr>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废包装袋</w:t>
            </w:r>
          </w:p>
        </w:tc>
        <w:tc>
          <w:tcPr>
            <w:tcW w:w="3203" w:type="dxa"/>
            <w:noWrap w:val="0"/>
            <w:vAlign w:val="center"/>
          </w:tcPr>
          <w:p w14:paraId="374318D5">
            <w:pPr>
              <w:spacing w:line="240" w:lineRule="auto"/>
              <w:jc w:val="center"/>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bidi="ar-SA"/>
              </w:rPr>
              <w:t>定期</w:t>
            </w:r>
            <w:r>
              <w:rPr>
                <w:rFonts w:hint="eastAsia" w:ascii="Times New Roman" w:hAnsi="Times New Roman" w:eastAsia="宋体" w:cs="Times New Roman"/>
                <w:color w:val="000000"/>
                <w:sz w:val="21"/>
                <w:szCs w:val="21"/>
                <w:highlight w:val="none"/>
                <w:lang w:val="en-US" w:eastAsia="zh-CN" w:bidi="ar-SA"/>
              </w:rPr>
              <w:t>外售</w:t>
            </w:r>
            <w:r>
              <w:rPr>
                <w:rFonts w:ascii="Times New Roman" w:hAnsi="Times New Roman" w:eastAsia="宋体" w:cs="Times New Roman"/>
                <w:color w:val="000000"/>
                <w:sz w:val="21"/>
                <w:szCs w:val="21"/>
                <w:highlight w:val="none"/>
                <w:lang w:val="en-US" w:eastAsia="zh-CN" w:bidi="ar-SA"/>
              </w:rPr>
              <w:t>给</w:t>
            </w:r>
            <w:r>
              <w:rPr>
                <w:rFonts w:hint="eastAsia" w:ascii="Times New Roman" w:hAnsi="Times New Roman" w:eastAsia="宋体" w:cs="Times New Roman"/>
                <w:color w:val="000000"/>
                <w:sz w:val="21"/>
                <w:szCs w:val="21"/>
                <w:highlight w:val="none"/>
                <w:lang w:val="en-US" w:eastAsia="zh-CN" w:bidi="ar-SA"/>
              </w:rPr>
              <w:t>废品收购站</w:t>
            </w:r>
            <w:r>
              <w:rPr>
                <w:rFonts w:ascii="Times New Roman" w:hAnsi="Times New Roman" w:eastAsia="宋体" w:cs="Times New Roman"/>
                <w:color w:val="000000"/>
                <w:sz w:val="21"/>
                <w:szCs w:val="21"/>
                <w:highlight w:val="none"/>
                <w:lang w:val="en-US" w:eastAsia="zh-CN" w:bidi="ar-SA"/>
              </w:rPr>
              <w:t>，综合利用</w:t>
            </w:r>
          </w:p>
        </w:tc>
        <w:tc>
          <w:tcPr>
            <w:tcW w:w="2333" w:type="dxa"/>
            <w:vMerge w:val="continue"/>
            <w:noWrap w:val="0"/>
            <w:vAlign w:val="center"/>
          </w:tcPr>
          <w:p w14:paraId="5977151C">
            <w:pPr>
              <w:spacing w:line="240" w:lineRule="auto"/>
              <w:jc w:val="center"/>
              <w:rPr>
                <w:rFonts w:ascii="Times New Roman" w:hAnsi="Times New Roman" w:eastAsia="宋体" w:cs="Times New Roman"/>
                <w:color w:val="000000"/>
                <w:sz w:val="21"/>
                <w:szCs w:val="21"/>
                <w:highlight w:val="none"/>
                <w:lang w:val="en-US" w:eastAsia="zh-CN" w:bidi="ar-SA"/>
              </w:rPr>
            </w:pPr>
          </w:p>
        </w:tc>
      </w:tr>
      <w:tr w14:paraId="51CB11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759" w:type="dxa"/>
            <w:vMerge w:val="continue"/>
            <w:noWrap w:val="0"/>
            <w:vAlign w:val="center"/>
          </w:tcPr>
          <w:p w14:paraId="049C74BE">
            <w:pPr>
              <w:spacing w:line="240" w:lineRule="auto"/>
              <w:jc w:val="center"/>
              <w:rPr>
                <w:rFonts w:ascii="Times New Roman" w:hAnsi="Times New Roman" w:eastAsia="宋体" w:cs="Times New Roman"/>
                <w:color w:val="000000"/>
                <w:sz w:val="21"/>
                <w:szCs w:val="21"/>
                <w:highlight w:val="none"/>
                <w:lang w:val="en-US" w:eastAsia="zh-CN" w:bidi="ar-SA"/>
              </w:rPr>
            </w:pPr>
          </w:p>
        </w:tc>
        <w:tc>
          <w:tcPr>
            <w:tcW w:w="690" w:type="dxa"/>
            <w:vMerge w:val="continue"/>
            <w:noWrap w:val="0"/>
            <w:vAlign w:val="center"/>
          </w:tcPr>
          <w:p w14:paraId="2EB15E79">
            <w:pPr>
              <w:spacing w:line="240" w:lineRule="auto"/>
              <w:jc w:val="center"/>
              <w:rPr>
                <w:rFonts w:ascii="Times New Roman" w:hAnsi="Times New Roman" w:eastAsia="宋体" w:cs="Times New Roman"/>
                <w:color w:val="000000"/>
                <w:sz w:val="21"/>
                <w:szCs w:val="21"/>
                <w:highlight w:val="none"/>
                <w:lang w:val="en-US" w:eastAsia="zh-CN" w:bidi="ar-SA"/>
              </w:rPr>
            </w:pPr>
          </w:p>
        </w:tc>
        <w:tc>
          <w:tcPr>
            <w:tcW w:w="1249" w:type="dxa"/>
            <w:noWrap w:val="0"/>
            <w:vAlign w:val="center"/>
          </w:tcPr>
          <w:p w14:paraId="0E7DC629">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废气治理</w:t>
            </w:r>
          </w:p>
        </w:tc>
        <w:tc>
          <w:tcPr>
            <w:tcW w:w="1523" w:type="dxa"/>
            <w:noWrap w:val="0"/>
            <w:vAlign w:val="center"/>
          </w:tcPr>
          <w:p w14:paraId="5DB5B565">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废活性炭</w:t>
            </w:r>
          </w:p>
        </w:tc>
        <w:tc>
          <w:tcPr>
            <w:tcW w:w="3203" w:type="dxa"/>
            <w:vMerge w:val="restart"/>
            <w:noWrap w:val="0"/>
            <w:vAlign w:val="center"/>
          </w:tcPr>
          <w:p w14:paraId="0530F289">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委托有资质的单位定期清运处置</w:t>
            </w:r>
          </w:p>
        </w:tc>
        <w:tc>
          <w:tcPr>
            <w:tcW w:w="2333" w:type="dxa"/>
            <w:vMerge w:val="continue"/>
            <w:noWrap w:val="0"/>
            <w:vAlign w:val="center"/>
          </w:tcPr>
          <w:p w14:paraId="213DC70D">
            <w:pPr>
              <w:spacing w:line="240" w:lineRule="auto"/>
              <w:jc w:val="center"/>
              <w:rPr>
                <w:rFonts w:ascii="Times New Roman" w:hAnsi="Times New Roman" w:eastAsia="宋体" w:cs="Times New Roman"/>
                <w:color w:val="000000"/>
                <w:sz w:val="21"/>
                <w:szCs w:val="21"/>
                <w:highlight w:val="none"/>
                <w:lang w:val="en-US" w:eastAsia="zh-CN" w:bidi="ar-SA"/>
              </w:rPr>
            </w:pPr>
          </w:p>
        </w:tc>
      </w:tr>
      <w:tr w14:paraId="726D73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5" w:hRule="atLeast"/>
          <w:jc w:val="center"/>
        </w:trPr>
        <w:tc>
          <w:tcPr>
            <w:tcW w:w="759" w:type="dxa"/>
            <w:vMerge w:val="continue"/>
            <w:noWrap w:val="0"/>
            <w:vAlign w:val="center"/>
          </w:tcPr>
          <w:p w14:paraId="102438CE">
            <w:pPr>
              <w:spacing w:line="240" w:lineRule="auto"/>
              <w:jc w:val="center"/>
              <w:rPr>
                <w:rFonts w:ascii="Times New Roman" w:hAnsi="Times New Roman" w:eastAsia="宋体" w:cs="Times New Roman"/>
                <w:color w:val="000000"/>
                <w:sz w:val="21"/>
                <w:szCs w:val="21"/>
                <w:highlight w:val="none"/>
                <w:lang w:val="en-US" w:eastAsia="zh-CN" w:bidi="ar-SA"/>
              </w:rPr>
            </w:pPr>
          </w:p>
        </w:tc>
        <w:tc>
          <w:tcPr>
            <w:tcW w:w="690" w:type="dxa"/>
            <w:vMerge w:val="continue"/>
            <w:noWrap w:val="0"/>
            <w:vAlign w:val="center"/>
          </w:tcPr>
          <w:p w14:paraId="6306D8B6">
            <w:pPr>
              <w:spacing w:line="240" w:lineRule="auto"/>
              <w:jc w:val="center"/>
              <w:rPr>
                <w:rFonts w:ascii="Times New Roman" w:hAnsi="Times New Roman" w:eastAsia="宋体" w:cs="Times New Roman"/>
                <w:color w:val="000000"/>
                <w:sz w:val="21"/>
                <w:szCs w:val="21"/>
                <w:highlight w:val="none"/>
                <w:lang w:val="en-US" w:eastAsia="zh-CN" w:bidi="ar-SA"/>
              </w:rPr>
            </w:pPr>
          </w:p>
        </w:tc>
        <w:tc>
          <w:tcPr>
            <w:tcW w:w="1249" w:type="dxa"/>
            <w:noWrap w:val="0"/>
            <w:vAlign w:val="center"/>
          </w:tcPr>
          <w:p w14:paraId="0A17D5F5">
            <w:pPr>
              <w:spacing w:line="240" w:lineRule="auto"/>
              <w:ind w:firstLine="0"/>
              <w:jc w:val="center"/>
              <w:rPr>
                <w:rFonts w:ascii="Times New Roman" w:hAnsi="Times New Roman" w:eastAsia="宋体" w:cs="Times New Roman"/>
                <w:b w:val="0"/>
                <w:bCs/>
                <w:color w:val="000000"/>
                <w:sz w:val="21"/>
                <w:szCs w:val="21"/>
                <w:lang w:val="en-US" w:eastAsia="zh-CN" w:bidi="ar-SA"/>
              </w:rPr>
            </w:pPr>
            <w:r>
              <w:rPr>
                <w:rFonts w:hint="eastAsia" w:ascii="Times New Roman" w:hAnsi="Times New Roman" w:eastAsia="宋体" w:cs="Times New Roman"/>
                <w:b w:val="0"/>
                <w:bCs/>
                <w:color w:val="000000"/>
                <w:sz w:val="21"/>
                <w:szCs w:val="21"/>
                <w:lang w:val="en-US" w:eastAsia="zh-CN" w:bidi="ar-SA"/>
              </w:rPr>
              <w:t>设备维修</w:t>
            </w:r>
          </w:p>
        </w:tc>
        <w:tc>
          <w:tcPr>
            <w:tcW w:w="1523" w:type="dxa"/>
            <w:noWrap w:val="0"/>
            <w:vAlign w:val="center"/>
          </w:tcPr>
          <w:p w14:paraId="0D38971E">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废机油</w:t>
            </w:r>
          </w:p>
        </w:tc>
        <w:tc>
          <w:tcPr>
            <w:tcW w:w="3203" w:type="dxa"/>
            <w:vMerge w:val="continue"/>
            <w:noWrap w:val="0"/>
            <w:vAlign w:val="center"/>
          </w:tcPr>
          <w:p w14:paraId="79FC203E">
            <w:pPr>
              <w:jc w:val="center"/>
              <w:rPr>
                <w:rFonts w:ascii="Times New Roman" w:hAnsi="Times New Roman" w:eastAsia="宋体" w:cs="Times New Roman"/>
                <w:color w:val="000000"/>
                <w:sz w:val="21"/>
                <w:szCs w:val="21"/>
                <w:highlight w:val="none"/>
                <w:lang w:val="en-US" w:eastAsia="zh-CN" w:bidi="ar-SA"/>
              </w:rPr>
            </w:pPr>
          </w:p>
        </w:tc>
        <w:tc>
          <w:tcPr>
            <w:tcW w:w="2333" w:type="dxa"/>
            <w:vMerge w:val="continue"/>
            <w:noWrap w:val="0"/>
            <w:vAlign w:val="center"/>
          </w:tcPr>
          <w:p w14:paraId="5DB75BF6">
            <w:pPr>
              <w:spacing w:line="240" w:lineRule="auto"/>
              <w:jc w:val="center"/>
              <w:rPr>
                <w:rFonts w:ascii="Times New Roman" w:hAnsi="Times New Roman" w:eastAsia="宋体" w:cs="Times New Roman"/>
                <w:color w:val="000000"/>
                <w:sz w:val="21"/>
                <w:szCs w:val="21"/>
                <w:highlight w:val="none"/>
                <w:lang w:val="en-US" w:eastAsia="zh-CN" w:bidi="ar-SA"/>
              </w:rPr>
            </w:pPr>
          </w:p>
        </w:tc>
      </w:tr>
      <w:tr w14:paraId="71456D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noWrap w:val="0"/>
            <w:vAlign w:val="center"/>
          </w:tcPr>
          <w:p w14:paraId="11D48CA1">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电磁辐射</w:t>
            </w:r>
          </w:p>
        </w:tc>
        <w:tc>
          <w:tcPr>
            <w:tcW w:w="8998" w:type="dxa"/>
            <w:gridSpan w:val="5"/>
            <w:noWrap w:val="0"/>
            <w:vAlign w:val="center"/>
          </w:tcPr>
          <w:p w14:paraId="48C82A34">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pacing w:val="1"/>
                <w:sz w:val="21"/>
                <w:szCs w:val="21"/>
                <w:highlight w:val="none"/>
              </w:rPr>
              <w:t>——</w:t>
            </w:r>
          </w:p>
        </w:tc>
      </w:tr>
      <w:tr w14:paraId="3DBE58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noWrap w:val="0"/>
            <w:vAlign w:val="center"/>
          </w:tcPr>
          <w:p w14:paraId="660A01AC">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土壤及地下水污染防治措施</w:t>
            </w:r>
          </w:p>
        </w:tc>
        <w:tc>
          <w:tcPr>
            <w:tcW w:w="8998" w:type="dxa"/>
            <w:gridSpan w:val="5"/>
            <w:noWrap w:val="0"/>
            <w:vAlign w:val="center"/>
          </w:tcPr>
          <w:p w14:paraId="7AB46FB3">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pacing w:val="1"/>
                <w:sz w:val="21"/>
                <w:szCs w:val="21"/>
                <w:highlight w:val="none"/>
              </w:rPr>
              <w:t>——</w:t>
            </w:r>
          </w:p>
        </w:tc>
      </w:tr>
      <w:tr w14:paraId="6DD8A4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noWrap w:val="0"/>
            <w:vAlign w:val="center"/>
          </w:tcPr>
          <w:p w14:paraId="52239F47">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生态保护措施</w:t>
            </w:r>
          </w:p>
        </w:tc>
        <w:tc>
          <w:tcPr>
            <w:tcW w:w="8998" w:type="dxa"/>
            <w:gridSpan w:val="5"/>
            <w:noWrap w:val="0"/>
            <w:vAlign w:val="center"/>
          </w:tcPr>
          <w:p w14:paraId="2E1526B4">
            <w:pPr>
              <w:keepNext w:val="0"/>
              <w:keepLines w:val="0"/>
              <w:pageBreakBefore w:val="0"/>
              <w:widowControl w:val="0"/>
              <w:spacing w:line="240" w:lineRule="auto"/>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pacing w:val="1"/>
                <w:sz w:val="21"/>
                <w:szCs w:val="21"/>
                <w:highlight w:val="none"/>
              </w:rPr>
              <w:t>——</w:t>
            </w:r>
          </w:p>
        </w:tc>
      </w:tr>
      <w:tr w14:paraId="42375E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noWrap w:val="0"/>
            <w:vAlign w:val="center"/>
          </w:tcPr>
          <w:p w14:paraId="3E640BC5">
            <w:pPr>
              <w:keepNext w:val="0"/>
              <w:keepLines w:val="0"/>
              <w:pageBreakBefore w:val="0"/>
              <w:widowControl w:val="0"/>
              <w:spacing w:line="240" w:lineRule="auto"/>
              <w:ind w:firstLine="0"/>
              <w:jc w:val="center"/>
              <w:rPr>
                <w:rFonts w:ascii="Times New Roman" w:hAnsi="Times New Roman" w:eastAsia="宋体" w:cs="Times New Roman"/>
                <w:color w:val="000000"/>
                <w:spacing w:val="-8"/>
                <w:sz w:val="21"/>
                <w:szCs w:val="21"/>
                <w:highlight w:val="none"/>
              </w:rPr>
            </w:pPr>
            <w:r>
              <w:rPr>
                <w:rFonts w:ascii="Times New Roman" w:hAnsi="Times New Roman" w:eastAsia="宋体" w:cs="Times New Roman"/>
                <w:color w:val="000000"/>
                <w:spacing w:val="-8"/>
                <w:sz w:val="21"/>
                <w:szCs w:val="21"/>
                <w:highlight w:val="none"/>
              </w:rPr>
              <w:t>环境风险防范措施</w:t>
            </w:r>
          </w:p>
        </w:tc>
        <w:tc>
          <w:tcPr>
            <w:tcW w:w="8998" w:type="dxa"/>
            <w:gridSpan w:val="5"/>
            <w:noWrap w:val="0"/>
            <w:vAlign w:val="center"/>
          </w:tcPr>
          <w:p w14:paraId="23BE1BA4">
            <w:pPr>
              <w:keepNext w:val="0"/>
              <w:keepLines w:val="0"/>
              <w:pageBreakBefore w:val="0"/>
              <w:widowControl/>
              <w:suppressLineNumbers w:val="0"/>
              <w:spacing w:line="240" w:lineRule="auto"/>
              <w:ind w:firstLine="420"/>
              <w:jc w:val="left"/>
              <w:rPr>
                <w:rFonts w:ascii="Times New Roman" w:hAnsi="Times New Roman" w:eastAsia="宋体" w:cs="Times New Roman"/>
                <w:color w:val="000000"/>
                <w:sz w:val="21"/>
                <w:szCs w:val="21"/>
                <w:lang w:bidi="en-US"/>
              </w:rPr>
            </w:pPr>
            <w:r>
              <w:rPr>
                <w:rFonts w:ascii="Times New Roman" w:hAnsi="Times New Roman" w:eastAsia="宋体" w:cs="Times New Roman"/>
                <w:color w:val="000000"/>
                <w:sz w:val="21"/>
                <w:szCs w:val="21"/>
                <w:lang w:bidi="en-US"/>
              </w:rPr>
              <w:t>（1）粉尘非正常排放防范措施</w:t>
            </w:r>
          </w:p>
          <w:p w14:paraId="27A1422D">
            <w:pPr>
              <w:keepNext w:val="0"/>
              <w:keepLines w:val="0"/>
              <w:pageBreakBefore w:val="0"/>
              <w:widowControl/>
              <w:suppressLineNumbers w:val="0"/>
              <w:spacing w:line="240" w:lineRule="auto"/>
              <w:ind w:firstLine="420"/>
              <w:jc w:val="left"/>
              <w:rPr>
                <w:rFonts w:ascii="Times New Roman" w:hAnsi="Times New Roman" w:eastAsia="宋体" w:cs="Times New Roman"/>
                <w:color w:val="000000"/>
                <w:sz w:val="21"/>
                <w:szCs w:val="21"/>
                <w:lang w:bidi="en-US"/>
              </w:rPr>
            </w:pPr>
            <w:r>
              <w:rPr>
                <w:rFonts w:ascii="Times New Roman" w:hAnsi="Times New Roman" w:eastAsia="宋体" w:cs="Times New Roman"/>
                <w:color w:val="000000"/>
                <w:sz w:val="21"/>
                <w:szCs w:val="21"/>
                <w:lang w:bidi="en-US"/>
              </w:rPr>
              <w:t>①设置应急水池、应急电源，保障喷雾用水、用电。</w:t>
            </w:r>
          </w:p>
          <w:p w14:paraId="72A53254">
            <w:pPr>
              <w:keepNext w:val="0"/>
              <w:keepLines w:val="0"/>
              <w:pageBreakBefore w:val="0"/>
              <w:widowControl/>
              <w:suppressLineNumbers w:val="0"/>
              <w:spacing w:line="240" w:lineRule="auto"/>
              <w:ind w:firstLine="420"/>
              <w:jc w:val="left"/>
              <w:rPr>
                <w:rFonts w:ascii="Times New Roman" w:hAnsi="Times New Roman" w:eastAsia="宋体" w:cs="Times New Roman"/>
                <w:color w:val="000000"/>
                <w:sz w:val="21"/>
                <w:szCs w:val="21"/>
                <w:lang w:bidi="en-US"/>
              </w:rPr>
            </w:pPr>
            <w:r>
              <w:rPr>
                <w:rFonts w:ascii="Times New Roman" w:hAnsi="Times New Roman" w:eastAsia="宋体" w:cs="Times New Roman"/>
                <w:color w:val="000000"/>
                <w:sz w:val="21"/>
                <w:szCs w:val="21"/>
                <w:lang w:bidi="en-US"/>
              </w:rPr>
              <w:t>②加强日常管理，严格按操作规程操作和运行，做好洒水喷雾降尘设施的维护管理。</w:t>
            </w:r>
          </w:p>
          <w:p w14:paraId="6418281D">
            <w:pPr>
              <w:keepNext w:val="0"/>
              <w:keepLines w:val="0"/>
              <w:pageBreakBefore w:val="0"/>
              <w:widowControl/>
              <w:suppressLineNumbers w:val="0"/>
              <w:spacing w:line="240" w:lineRule="auto"/>
              <w:ind w:firstLine="420"/>
              <w:jc w:val="left"/>
              <w:rPr>
                <w:rFonts w:ascii="Times New Roman" w:hAnsi="Times New Roman" w:eastAsia="宋体" w:cs="Times New Roman"/>
                <w:color w:val="000000"/>
                <w:sz w:val="21"/>
                <w:szCs w:val="21"/>
                <w:lang w:bidi="en-US"/>
              </w:rPr>
            </w:pPr>
            <w:r>
              <w:rPr>
                <w:rFonts w:ascii="Times New Roman" w:hAnsi="Times New Roman" w:eastAsia="宋体" w:cs="Times New Roman"/>
                <w:color w:val="000000"/>
                <w:sz w:val="21"/>
                <w:szCs w:val="21"/>
                <w:lang w:bidi="en-US"/>
              </w:rPr>
              <w:t>③定期对工人进行培训，定期检查除尘设施，若出现损坏或故障，须及时更换和检修，确保除尘设施正常运转。</w:t>
            </w:r>
          </w:p>
          <w:p w14:paraId="12E2383F">
            <w:pPr>
              <w:keepNext w:val="0"/>
              <w:keepLines w:val="0"/>
              <w:pageBreakBefore w:val="0"/>
              <w:widowControl/>
              <w:suppressLineNumbers w:val="0"/>
              <w:spacing w:line="240" w:lineRule="auto"/>
              <w:ind w:firstLine="420"/>
              <w:jc w:val="left"/>
              <w:rPr>
                <w:rFonts w:ascii="Times New Roman" w:hAnsi="Times New Roman" w:eastAsia="宋体" w:cs="Times New Roman"/>
                <w:color w:val="000000"/>
                <w:sz w:val="21"/>
                <w:szCs w:val="21"/>
                <w:lang w:bidi="en-US"/>
              </w:rPr>
            </w:pPr>
            <w:r>
              <w:rPr>
                <w:rFonts w:ascii="Times New Roman" w:hAnsi="Times New Roman" w:eastAsia="宋体" w:cs="Times New Roman"/>
                <w:color w:val="000000"/>
                <w:sz w:val="21"/>
                <w:szCs w:val="21"/>
                <w:lang w:bidi="en-US"/>
              </w:rPr>
              <w:t>④出现粉尘大量排放情况，立即停止产生粉尘的生产作业，并对粉尘进行喷雾降尘。</w:t>
            </w:r>
          </w:p>
          <w:p w14:paraId="55164ACE">
            <w:pPr>
              <w:keepNext w:val="0"/>
              <w:keepLines w:val="0"/>
              <w:pageBreakBefore w:val="0"/>
              <w:widowControl/>
              <w:suppressLineNumbers w:val="0"/>
              <w:spacing w:line="240" w:lineRule="auto"/>
              <w:ind w:firstLine="420"/>
              <w:jc w:val="left"/>
              <w:rPr>
                <w:rFonts w:ascii="Times New Roman" w:hAnsi="Times New Roman" w:eastAsia="宋体" w:cs="Times New Roman"/>
                <w:color w:val="000000"/>
                <w:sz w:val="21"/>
                <w:szCs w:val="21"/>
                <w:lang w:bidi="en-US"/>
              </w:rPr>
            </w:pPr>
            <w:r>
              <w:rPr>
                <w:rFonts w:ascii="Times New Roman" w:hAnsi="Times New Roman" w:eastAsia="宋体" w:cs="Times New Roman"/>
                <w:color w:val="000000"/>
                <w:sz w:val="21"/>
                <w:szCs w:val="21"/>
                <w:lang w:bidi="en-US"/>
              </w:rPr>
              <w:t>（2）初期雨水直接排放防范措施</w:t>
            </w:r>
          </w:p>
          <w:p w14:paraId="3E25CF5B">
            <w:pPr>
              <w:keepNext w:val="0"/>
              <w:keepLines w:val="0"/>
              <w:pageBreakBefore w:val="0"/>
              <w:widowControl/>
              <w:suppressLineNumbers w:val="0"/>
              <w:spacing w:line="240" w:lineRule="auto"/>
              <w:ind w:firstLine="420"/>
              <w:jc w:val="left"/>
              <w:rPr>
                <w:rFonts w:ascii="Times New Roman" w:hAnsi="Times New Roman" w:eastAsia="宋体" w:cs="Times New Roman"/>
                <w:color w:val="000000"/>
                <w:sz w:val="21"/>
                <w:szCs w:val="21"/>
                <w:lang w:bidi="en-US"/>
              </w:rPr>
            </w:pPr>
            <w:r>
              <w:rPr>
                <w:rFonts w:ascii="Times New Roman" w:hAnsi="Times New Roman" w:eastAsia="宋体" w:cs="Times New Roman"/>
                <w:color w:val="000000"/>
                <w:sz w:val="21"/>
                <w:szCs w:val="21"/>
                <w:lang w:bidi="en-US"/>
              </w:rPr>
              <w:t>①厂区应安排专人每天对厂区道路及露天堆放场进行打扫。</w:t>
            </w:r>
          </w:p>
          <w:p w14:paraId="05736696">
            <w:pPr>
              <w:keepNext w:val="0"/>
              <w:keepLines w:val="0"/>
              <w:pageBreakBefore w:val="0"/>
              <w:widowControl/>
              <w:suppressLineNumbers w:val="0"/>
              <w:spacing w:line="240" w:lineRule="auto"/>
              <w:ind w:firstLine="420"/>
              <w:jc w:val="left"/>
              <w:rPr>
                <w:rFonts w:ascii="Times New Roman" w:hAnsi="Times New Roman" w:eastAsia="宋体" w:cs="Times New Roman"/>
                <w:color w:val="000000"/>
                <w:sz w:val="21"/>
                <w:szCs w:val="21"/>
                <w:lang w:bidi="en-US"/>
              </w:rPr>
            </w:pPr>
            <w:r>
              <w:rPr>
                <w:rFonts w:ascii="Times New Roman" w:hAnsi="Times New Roman" w:eastAsia="宋体" w:cs="Times New Roman"/>
                <w:color w:val="000000"/>
                <w:sz w:val="21"/>
                <w:szCs w:val="21"/>
                <w:lang w:bidi="en-US"/>
              </w:rPr>
              <w:t>②应在各堆场、道路两侧等区域设置排水沟。</w:t>
            </w:r>
          </w:p>
          <w:p w14:paraId="66735C9C">
            <w:pPr>
              <w:keepNext w:val="0"/>
              <w:keepLines w:val="0"/>
              <w:pageBreakBefore w:val="0"/>
              <w:widowControl/>
              <w:suppressLineNumbers w:val="0"/>
              <w:spacing w:line="240" w:lineRule="auto"/>
              <w:ind w:firstLine="420"/>
              <w:jc w:val="left"/>
              <w:rPr>
                <w:rFonts w:ascii="Times New Roman" w:hAnsi="Times New Roman" w:eastAsia="宋体" w:cs="Times New Roman"/>
                <w:color w:val="000000"/>
                <w:sz w:val="21"/>
                <w:szCs w:val="21"/>
                <w:lang w:bidi="en-US"/>
              </w:rPr>
            </w:pPr>
            <w:r>
              <w:rPr>
                <w:rFonts w:ascii="Times New Roman" w:hAnsi="Times New Roman" w:eastAsia="宋体" w:cs="Times New Roman"/>
                <w:color w:val="000000"/>
                <w:sz w:val="21"/>
                <w:szCs w:val="21"/>
                <w:lang w:bidi="en-US"/>
              </w:rPr>
              <w:t>③定期对排水沟中的沉渣及时进行清理，保证暴雨情况下不会造成地面径流。</w:t>
            </w:r>
          </w:p>
          <w:p w14:paraId="3B172FD1">
            <w:pPr>
              <w:keepNext w:val="0"/>
              <w:keepLines w:val="0"/>
              <w:pageBreakBefore w:val="0"/>
              <w:widowControl w:val="0"/>
              <w:spacing w:line="240" w:lineRule="auto"/>
              <w:ind w:firstLine="420"/>
              <w:jc w:val="both"/>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lang w:bidi="en-US"/>
              </w:rPr>
              <w:t>④派专人对雨污管道进行巡查，保证管道的畅通。保持对天气的关注，在大雨来临前夕及时对管道进行疏通。</w:t>
            </w:r>
          </w:p>
        </w:tc>
      </w:tr>
      <w:tr w14:paraId="22DA6D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9" w:type="dxa"/>
            <w:noWrap w:val="0"/>
            <w:vAlign w:val="center"/>
          </w:tcPr>
          <w:p w14:paraId="02290137">
            <w:pPr>
              <w:keepNext w:val="0"/>
              <w:keepLines w:val="0"/>
              <w:pageBreakBefore w:val="0"/>
              <w:widowControl w:val="0"/>
              <w:spacing w:line="240" w:lineRule="auto"/>
              <w:ind w:firstLine="0"/>
              <w:jc w:val="center"/>
              <w:rPr>
                <w:rFonts w:ascii="Times New Roman" w:hAnsi="Times New Roman" w:eastAsia="宋体" w:cs="Times New Roman"/>
                <w:color w:val="000000"/>
                <w:spacing w:val="-8"/>
                <w:sz w:val="21"/>
                <w:szCs w:val="21"/>
                <w:highlight w:val="none"/>
              </w:rPr>
            </w:pPr>
            <w:r>
              <w:rPr>
                <w:rFonts w:ascii="Times New Roman" w:hAnsi="Times New Roman" w:eastAsia="宋体" w:cs="Times New Roman"/>
                <w:color w:val="000000"/>
                <w:spacing w:val="-8"/>
                <w:sz w:val="21"/>
                <w:szCs w:val="21"/>
                <w:highlight w:val="none"/>
              </w:rPr>
              <w:t>其他环境管理要求</w:t>
            </w:r>
          </w:p>
        </w:tc>
        <w:tc>
          <w:tcPr>
            <w:tcW w:w="8998" w:type="dxa"/>
            <w:gridSpan w:val="5"/>
            <w:noWrap w:val="0"/>
            <w:vAlign w:val="center"/>
          </w:tcPr>
          <w:p w14:paraId="742F87C1">
            <w:pPr>
              <w:keepNext w:val="0"/>
              <w:keepLines w:val="0"/>
              <w:pageBreakBefore w:val="0"/>
              <w:widowControl w:val="0"/>
              <w:spacing w:line="240" w:lineRule="auto"/>
              <w:ind w:firstLine="420"/>
              <w:jc w:val="both"/>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①根据《固定污染源排污许可分类管理名录（2019年版）》执行相关排污管理。</w:t>
            </w:r>
          </w:p>
          <w:p w14:paraId="6BB08AC3">
            <w:pPr>
              <w:keepNext w:val="0"/>
              <w:keepLines w:val="0"/>
              <w:pageBreakBefore w:val="0"/>
              <w:widowControl w:val="0"/>
              <w:spacing w:line="240" w:lineRule="auto"/>
              <w:ind w:firstLine="420"/>
              <w:jc w:val="both"/>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②根据《建设项目竣工环境保护验收暂行办法》的规定，建设项目竣工后，建设单位应当如实查验、监测、记载建设项目环境保护设施的建设和调试情况，编制验收监测报告。</w:t>
            </w:r>
          </w:p>
          <w:p w14:paraId="6772B4C9">
            <w:pPr>
              <w:keepNext w:val="0"/>
              <w:keepLines w:val="0"/>
              <w:pageBreakBefore w:val="0"/>
              <w:widowControl w:val="0"/>
              <w:spacing w:line="240" w:lineRule="auto"/>
              <w:ind w:firstLine="420"/>
              <w:jc w:val="both"/>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③</w:t>
            </w:r>
            <w:r>
              <w:rPr>
                <w:rFonts w:ascii="Times New Roman" w:hAnsi="Times New Roman" w:eastAsia="宋体" w:cs="Times New Roman"/>
                <w:color w:val="000000"/>
                <w:sz w:val="21"/>
                <w:szCs w:val="21"/>
              </w:rPr>
              <w:t>按照要求做好</w:t>
            </w:r>
            <w:r>
              <w:rPr>
                <w:rFonts w:ascii="Times New Roman" w:hAnsi="Times New Roman" w:eastAsia="宋体" w:cs="Times New Roman"/>
                <w:color w:val="000000"/>
                <w:sz w:val="21"/>
                <w:szCs w:val="21"/>
                <w:lang w:val="en-US" w:eastAsia="zh-CN" w:bidi="ar"/>
              </w:rPr>
              <w:t>开展</w:t>
            </w:r>
            <w:bookmarkStart w:id="14" w:name="_GoBack"/>
            <w:bookmarkEnd w:id="14"/>
            <w:r>
              <w:rPr>
                <w:rFonts w:hint="eastAsia" w:cs="Times New Roman"/>
                <w:color w:val="000000"/>
                <w:sz w:val="21"/>
                <w:szCs w:val="21"/>
                <w:lang w:val="en-US" w:eastAsia="zh-CN" w:bidi="ar"/>
              </w:rPr>
              <w:t>台账</w:t>
            </w:r>
            <w:r>
              <w:rPr>
                <w:rFonts w:ascii="Times New Roman" w:hAnsi="Times New Roman" w:eastAsia="宋体" w:cs="Times New Roman"/>
                <w:color w:val="000000"/>
                <w:sz w:val="21"/>
                <w:szCs w:val="21"/>
                <w:lang w:val="en-US" w:eastAsia="zh-CN" w:bidi="ar"/>
              </w:rPr>
              <w:t>记录、自行监测等，</w:t>
            </w:r>
            <w:r>
              <w:rPr>
                <w:rFonts w:ascii="Times New Roman" w:hAnsi="Times New Roman" w:eastAsia="宋体" w:cs="Times New Roman"/>
                <w:color w:val="000000"/>
                <w:sz w:val="21"/>
                <w:szCs w:val="21"/>
              </w:rPr>
              <w:t>建立环境保护制度</w:t>
            </w:r>
            <w:r>
              <w:rPr>
                <w:rFonts w:ascii="Times New Roman" w:hAnsi="Times New Roman" w:eastAsia="宋体" w:cs="Times New Roman"/>
                <w:color w:val="000000"/>
                <w:sz w:val="21"/>
                <w:szCs w:val="21"/>
                <w:lang w:eastAsia="zh-CN"/>
              </w:rPr>
              <w:t>。</w:t>
            </w:r>
            <w:r>
              <w:rPr>
                <w:rFonts w:ascii="Times New Roman" w:hAnsi="Times New Roman" w:eastAsia="宋体" w:cs="Times New Roman"/>
                <w:color w:val="000000"/>
                <w:sz w:val="21"/>
                <w:szCs w:val="21"/>
                <w:highlight w:val="none"/>
                <w:lang w:val="en-US" w:eastAsia="zh-CN"/>
              </w:rPr>
              <w:t xml:space="preserve"> </w:t>
            </w:r>
          </w:p>
        </w:tc>
      </w:tr>
    </w:tbl>
    <w:p w14:paraId="67052C75">
      <w:pPr>
        <w:pStyle w:val="210"/>
        <w:keepNext w:val="0"/>
        <w:keepLines w:val="0"/>
        <w:pageBreakBefore w:val="0"/>
        <w:widowControl/>
        <w:spacing w:before="0" w:beforeAutospacing="0" w:after="0" w:afterAutospacing="0"/>
        <w:jc w:val="center"/>
        <w:outlineLvl w:val="0"/>
        <w:rPr>
          <w:rFonts w:ascii="Times New Roman" w:hAnsi="Times New Roman" w:eastAsia="宋体" w:cs="Times New Roman"/>
          <w:color w:val="000000"/>
          <w:sz w:val="30"/>
          <w:szCs w:val="30"/>
          <w:highlight w:val="none"/>
        </w:rPr>
      </w:pPr>
      <w:r>
        <w:rPr>
          <w:rFonts w:ascii="Times New Roman" w:hAnsi="Times New Roman" w:eastAsia="宋体" w:cs="Times New Roman"/>
          <w:color w:val="000000"/>
          <w:highlight w:val="none"/>
        </w:rPr>
        <w:br w:type="page" w:clear="all"/>
      </w:r>
      <w:r>
        <w:rPr>
          <w:rFonts w:ascii="Times New Roman" w:hAnsi="Times New Roman" w:eastAsia="宋体" w:cs="Times New Roman"/>
          <w:b/>
          <w:bCs/>
          <w:color w:val="000000"/>
          <w:sz w:val="32"/>
          <w:szCs w:val="32"/>
          <w:highlight w:val="none"/>
        </w:rPr>
        <w:t>六、结论</w:t>
      </w:r>
    </w:p>
    <w:tbl>
      <w:tblPr>
        <w:tblStyle w:val="29"/>
        <w:tblW w:w="976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760"/>
      </w:tblGrid>
      <w:tr w14:paraId="429C22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760" w:type="dxa"/>
            <w:noWrap w:val="0"/>
            <w:vAlign w:val="center"/>
          </w:tcPr>
          <w:p w14:paraId="7AB4337C">
            <w:pPr>
              <w:pStyle w:val="189"/>
              <w:pageBreakBefore w:val="0"/>
              <w:widowControl w:val="0"/>
              <w:spacing w:line="360" w:lineRule="auto"/>
              <w:ind w:firstLine="480"/>
              <w:jc w:val="both"/>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rPr>
              <w:t>本项目建设符合国家</w:t>
            </w:r>
            <w:r>
              <w:rPr>
                <w:rFonts w:ascii="Times New Roman" w:hAnsi="Times New Roman" w:eastAsia="宋体" w:cs="Times New Roman"/>
                <w:color w:val="000000"/>
                <w:sz w:val="24"/>
                <w:lang w:val="en-US" w:eastAsia="zh-CN"/>
              </w:rPr>
              <w:t>及地方现行的</w:t>
            </w:r>
            <w:r>
              <w:rPr>
                <w:rFonts w:ascii="Times New Roman" w:hAnsi="Times New Roman" w:eastAsia="宋体" w:cs="Times New Roman"/>
                <w:color w:val="000000"/>
                <w:sz w:val="24"/>
              </w:rPr>
              <w:t>产业政策，符合相关规划</w:t>
            </w:r>
            <w:r>
              <w:rPr>
                <w:rFonts w:hint="eastAsia" w:ascii="Times New Roman" w:hAnsi="Times New Roman" w:eastAsia="宋体" w:cs="Times New Roman"/>
                <w:color w:val="000000"/>
                <w:sz w:val="24"/>
                <w:lang w:eastAsia="zh-CN"/>
              </w:rPr>
              <w:t>，</w:t>
            </w:r>
            <w:r>
              <w:rPr>
                <w:rFonts w:ascii="Times New Roman" w:hAnsi="Times New Roman" w:eastAsia="宋体" w:cs="Times New Roman"/>
                <w:color w:val="000000"/>
                <w:sz w:val="24"/>
              </w:rPr>
              <w:t>选址合理</w:t>
            </w:r>
            <w:r>
              <w:rPr>
                <w:rFonts w:hint="eastAsia" w:ascii="Times New Roman" w:hAnsi="Times New Roman" w:eastAsia="宋体" w:cs="Times New Roman"/>
                <w:color w:val="000000"/>
                <w:sz w:val="24"/>
                <w:lang w:eastAsia="zh-CN"/>
              </w:rPr>
              <w:t>；</w:t>
            </w:r>
            <w:r>
              <w:rPr>
                <w:rFonts w:ascii="Times New Roman" w:hAnsi="Times New Roman" w:eastAsia="宋体" w:cs="Times New Roman"/>
                <w:color w:val="000000"/>
                <w:sz w:val="24"/>
              </w:rPr>
              <w:t>项目总平面布置合理，采取的污染防治措施有效可行；建设单位在认真落实本环评提出的各项污染防治措施后，能够确保污染物达标排放，不会改变区域的环境功能。因此，在严格落实本报告提出的各项污染防治措施</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szCs w:val="24"/>
                <w:highlight w:val="none"/>
              </w:rPr>
              <w:t>严格执行“三同时”制度，加强环境管理，确保污染设施的稳定运行和污染物的达标排放</w:t>
            </w:r>
            <w:r>
              <w:rPr>
                <w:rFonts w:ascii="Times New Roman" w:hAnsi="Times New Roman" w:eastAsia="宋体" w:cs="Times New Roman"/>
                <w:color w:val="000000"/>
                <w:sz w:val="24"/>
              </w:rPr>
              <w:t>的前提下，从环境影响分析的角度上，本项目的建设是可行的。</w:t>
            </w:r>
          </w:p>
          <w:p w14:paraId="29FF8B42">
            <w:pPr>
              <w:pStyle w:val="189"/>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3D324140">
            <w:pPr>
              <w:pStyle w:val="189"/>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2501AAE2">
            <w:pPr>
              <w:pStyle w:val="189"/>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1C1E8535">
            <w:pPr>
              <w:pStyle w:val="189"/>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6F9411BA">
            <w:pPr>
              <w:pStyle w:val="189"/>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3F305E5D">
            <w:pPr>
              <w:pStyle w:val="189"/>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6D4DEFA8">
            <w:pPr>
              <w:pStyle w:val="189"/>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33856E7E">
            <w:pPr>
              <w:pStyle w:val="189"/>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1C04EF33">
            <w:pPr>
              <w:pStyle w:val="189"/>
              <w:pageBreakBefore w:val="0"/>
              <w:widowControl w:val="0"/>
              <w:spacing w:line="360" w:lineRule="auto"/>
              <w:ind w:firstLine="480"/>
              <w:jc w:val="both"/>
              <w:rPr>
                <w:rFonts w:ascii="Times New Roman" w:hAnsi="Times New Roman" w:eastAsia="宋体" w:cs="Times New Roman"/>
                <w:color w:val="000000"/>
                <w:sz w:val="24"/>
                <w:szCs w:val="24"/>
                <w:highlight w:val="none"/>
              </w:rPr>
            </w:pPr>
          </w:p>
          <w:p w14:paraId="3A2D0FD4">
            <w:pPr>
              <w:pStyle w:val="189"/>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p>
          <w:p w14:paraId="23A54C98">
            <w:pPr>
              <w:pStyle w:val="189"/>
              <w:pageBreakBefore w:val="0"/>
              <w:widowControl w:val="0"/>
              <w:spacing w:line="360" w:lineRule="auto"/>
              <w:ind w:firstLine="480"/>
              <w:jc w:val="both"/>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val="en-US" w:eastAsia="zh-CN"/>
              </w:rPr>
              <w:t xml:space="preserve"> </w:t>
            </w:r>
          </w:p>
        </w:tc>
      </w:tr>
    </w:tbl>
    <w:p w14:paraId="0C1EC17C">
      <w:pPr>
        <w:rPr>
          <w:rFonts w:ascii="Times New Roman" w:hAnsi="Times New Roman" w:eastAsia="宋体" w:cs="Times New Roman"/>
          <w:color w:val="000000"/>
          <w:highlight w:val="none"/>
        </w:rPr>
        <w:sectPr>
          <w:pgSz w:w="11906" w:h="16838" w:orient="landscape"/>
          <w:pgMar w:top="1134" w:right="1134" w:bottom="1134" w:left="1134" w:header="851" w:footer="851" w:gutter="0"/>
          <w:pgNumType w:start="1"/>
          <w:cols w:space="1701" w:num="1"/>
        </w:sectPr>
      </w:pPr>
    </w:p>
    <w:p w14:paraId="4BE5285C">
      <w:pPr>
        <w:pStyle w:val="210"/>
        <w:keepNext w:val="0"/>
        <w:keepLines w:val="0"/>
        <w:pageBreakBefore w:val="0"/>
        <w:widowControl/>
        <w:spacing w:before="0" w:beforeAutospacing="0" w:after="0" w:afterAutospacing="0" w:line="360" w:lineRule="auto"/>
        <w:outlineLvl w:val="0"/>
        <w:rPr>
          <w:rFonts w:ascii="Times New Roman" w:hAnsi="Times New Roman" w:eastAsia="宋体" w:cs="Times New Roman"/>
          <w:b/>
          <w:bCs/>
          <w:color w:val="000000"/>
          <w:sz w:val="32"/>
          <w:szCs w:val="32"/>
          <w:highlight w:val="none"/>
        </w:rPr>
      </w:pPr>
      <w:r>
        <w:rPr>
          <w:rFonts w:ascii="Times New Roman" w:hAnsi="Times New Roman" w:eastAsia="宋体" w:cs="Times New Roman"/>
          <w:b/>
          <w:bCs/>
          <w:color w:val="000000"/>
          <w:sz w:val="32"/>
          <w:szCs w:val="32"/>
          <w:highlight w:val="none"/>
        </w:rPr>
        <w:t>附表</w:t>
      </w:r>
    </w:p>
    <w:p w14:paraId="2542CC8A">
      <w:pPr>
        <w:pStyle w:val="210"/>
        <w:keepNext w:val="0"/>
        <w:keepLines w:val="0"/>
        <w:pageBreakBefore w:val="0"/>
        <w:widowControl/>
        <w:spacing w:before="0" w:beforeAutospacing="0" w:after="0" w:afterAutospacing="0" w:line="240" w:lineRule="auto"/>
        <w:jc w:val="center"/>
        <w:outlineLvl w:val="9"/>
        <w:rPr>
          <w:rFonts w:ascii="Times New Roman" w:hAnsi="Times New Roman" w:eastAsia="宋体" w:cs="Times New Roman"/>
          <w:b/>
          <w:bCs/>
          <w:color w:val="000000"/>
          <w:sz w:val="38"/>
          <w:szCs w:val="38"/>
          <w:highlight w:val="none"/>
        </w:rPr>
      </w:pPr>
      <w:r>
        <w:rPr>
          <w:rFonts w:ascii="Times New Roman" w:hAnsi="Times New Roman" w:eastAsia="宋体" w:cs="Times New Roman"/>
          <w:b/>
          <w:bCs/>
          <w:color w:val="000000"/>
          <w:sz w:val="38"/>
          <w:szCs w:val="38"/>
          <w:highlight w:val="none"/>
        </w:rPr>
        <w:t>建设项目污染物排放量汇总表</w:t>
      </w:r>
    </w:p>
    <w:tbl>
      <w:tblPr>
        <w:tblStyle w:val="29"/>
        <w:tblW w:w="4993"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28" w:type="dxa"/>
          <w:bottom w:w="0" w:type="dxa"/>
          <w:right w:w="28" w:type="dxa"/>
        </w:tblCellMar>
      </w:tblPr>
      <w:tblGrid>
        <w:gridCol w:w="489"/>
        <w:gridCol w:w="1812"/>
        <w:gridCol w:w="1873"/>
        <w:gridCol w:w="1405"/>
        <w:gridCol w:w="1873"/>
        <w:gridCol w:w="1719"/>
        <w:gridCol w:w="1940"/>
        <w:gridCol w:w="2109"/>
        <w:gridCol w:w="1386"/>
      </w:tblGrid>
      <w:tr w14:paraId="1D52BA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70" w:type="dxa"/>
            <w:noWrap w:val="0"/>
            <w:tcMar>
              <w:left w:w="28" w:type="dxa"/>
              <w:right w:w="28" w:type="dxa"/>
            </w:tcMar>
            <w:vAlign w:val="center"/>
          </w:tcPr>
          <w:p w14:paraId="64B9019C">
            <w:pPr>
              <w:pStyle w:val="223"/>
              <w:keepNext w:val="0"/>
              <w:keepLines w:val="0"/>
              <w:pageBreakBefore w:val="0"/>
              <w:spacing w:line="240" w:lineRule="auto"/>
              <w:jc w:val="right"/>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项目</w:t>
            </w:r>
          </w:p>
          <w:p w14:paraId="5FF8FB26">
            <w:pPr>
              <w:pStyle w:val="223"/>
              <w:keepNext w:val="0"/>
              <w:keepLines w:val="0"/>
              <w:pageBreakBefore w:val="0"/>
              <w:spacing w:line="240" w:lineRule="auto"/>
              <w:jc w:val="left"/>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分类</w:t>
            </w:r>
          </w:p>
        </w:tc>
        <w:tc>
          <w:tcPr>
            <w:tcW w:w="576" w:type="dxa"/>
            <w:noWrap w:val="0"/>
            <w:tcMar>
              <w:left w:w="28" w:type="dxa"/>
              <w:right w:w="28" w:type="dxa"/>
            </w:tcMar>
            <w:vAlign w:val="center"/>
          </w:tcPr>
          <w:p w14:paraId="2AF5B694">
            <w:pPr>
              <w:pStyle w:val="223"/>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污染物名称</w:t>
            </w:r>
          </w:p>
        </w:tc>
        <w:tc>
          <w:tcPr>
            <w:tcW w:w="597" w:type="dxa"/>
            <w:noWrap w:val="0"/>
            <w:tcMar>
              <w:left w:w="28" w:type="dxa"/>
              <w:right w:w="28" w:type="dxa"/>
            </w:tcMar>
            <w:vAlign w:val="center"/>
          </w:tcPr>
          <w:p w14:paraId="755FA628">
            <w:pPr>
              <w:pStyle w:val="223"/>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现有工程</w:t>
            </w:r>
          </w:p>
          <w:p w14:paraId="0AEC831F">
            <w:pPr>
              <w:pStyle w:val="223"/>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排放量（固体废物产生量）</w:t>
            </w:r>
            <w:r>
              <w:rPr>
                <w:rFonts w:ascii="Times New Roman" w:hAnsi="Times New Roman" w:eastAsia="宋体" w:cs="Times New Roman"/>
                <w:color w:val="000000"/>
                <w:spacing w:val="-6"/>
                <w:sz w:val="21"/>
                <w:szCs w:val="21"/>
                <w:highlight w:val="none"/>
              </w:rPr>
              <w:fldChar w:fldCharType="begin"/>
            </w:r>
            <w:r>
              <w:rPr>
                <w:rFonts w:ascii="Times New Roman" w:hAnsi="Times New Roman" w:eastAsia="宋体" w:cs="Times New Roman"/>
                <w:color w:val="000000"/>
                <w:spacing w:val="-6"/>
                <w:sz w:val="21"/>
                <w:szCs w:val="21"/>
                <w:highlight w:val="none"/>
              </w:rPr>
              <w:instrText xml:space="preserve"> = 1 \* GB3 \* MERGEFORMAT </w:instrText>
            </w:r>
            <w:r>
              <w:rPr>
                <w:rFonts w:ascii="Times New Roman" w:hAnsi="Times New Roman" w:eastAsia="宋体" w:cs="Times New Roman"/>
                <w:color w:val="000000"/>
                <w:spacing w:val="-6"/>
                <w:sz w:val="21"/>
                <w:szCs w:val="21"/>
                <w:highlight w:val="none"/>
              </w:rPr>
              <w:fldChar w:fldCharType="separate"/>
            </w:r>
            <w:r>
              <w:rPr>
                <w:rFonts w:ascii="Times New Roman" w:hAnsi="Times New Roman" w:eastAsia="宋体" w:cs="Times New Roman"/>
                <w:color w:val="000000"/>
                <w:sz w:val="21"/>
                <w:szCs w:val="21"/>
                <w:highlight w:val="none"/>
              </w:rPr>
              <w:t>①</w:t>
            </w:r>
            <w:r>
              <w:rPr>
                <w:rFonts w:ascii="Times New Roman" w:hAnsi="Times New Roman" w:eastAsia="宋体" w:cs="Times New Roman"/>
                <w:color w:val="000000"/>
                <w:spacing w:val="-6"/>
                <w:sz w:val="21"/>
                <w:szCs w:val="21"/>
                <w:highlight w:val="none"/>
              </w:rPr>
              <w:fldChar w:fldCharType="end"/>
            </w:r>
          </w:p>
        </w:tc>
        <w:tc>
          <w:tcPr>
            <w:tcW w:w="441" w:type="dxa"/>
            <w:noWrap w:val="0"/>
            <w:tcMar>
              <w:left w:w="28" w:type="dxa"/>
              <w:right w:w="28" w:type="dxa"/>
            </w:tcMar>
            <w:vAlign w:val="center"/>
          </w:tcPr>
          <w:p w14:paraId="09AEAED2">
            <w:pPr>
              <w:pStyle w:val="223"/>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现有工程</w:t>
            </w:r>
          </w:p>
          <w:p w14:paraId="0A3A4007">
            <w:pPr>
              <w:pStyle w:val="223"/>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许可排放量</w:t>
            </w:r>
          </w:p>
          <w:p w14:paraId="1FB2F3C9">
            <w:pPr>
              <w:pStyle w:val="223"/>
              <w:keepNext w:val="0"/>
              <w:keepLines w:val="0"/>
              <w:pageBreakBefore w:val="0"/>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fldChar w:fldCharType="begin"/>
            </w:r>
            <w:r>
              <w:rPr>
                <w:rFonts w:ascii="Times New Roman" w:hAnsi="Times New Roman" w:eastAsia="宋体" w:cs="Times New Roman"/>
                <w:color w:val="000000"/>
                <w:spacing w:val="-6"/>
                <w:sz w:val="21"/>
                <w:szCs w:val="21"/>
                <w:highlight w:val="none"/>
              </w:rPr>
              <w:instrText xml:space="preserve"> = 2 \* GB3 \* MERGEFORMAT </w:instrText>
            </w:r>
            <w:r>
              <w:rPr>
                <w:rFonts w:ascii="Times New Roman" w:hAnsi="Times New Roman" w:eastAsia="宋体" w:cs="Times New Roman"/>
                <w:color w:val="000000"/>
                <w:spacing w:val="-6"/>
                <w:sz w:val="21"/>
                <w:szCs w:val="21"/>
                <w:highlight w:val="none"/>
              </w:rPr>
              <w:fldChar w:fldCharType="separate"/>
            </w:r>
            <w:r>
              <w:rPr>
                <w:rFonts w:ascii="Times New Roman" w:hAnsi="Times New Roman" w:eastAsia="宋体" w:cs="Times New Roman"/>
                <w:color w:val="000000"/>
                <w:spacing w:val="-6"/>
                <w:sz w:val="21"/>
                <w:szCs w:val="21"/>
                <w:highlight w:val="none"/>
              </w:rPr>
              <w:t>②</w:t>
            </w:r>
            <w:r>
              <w:rPr>
                <w:rFonts w:ascii="Times New Roman" w:hAnsi="Times New Roman" w:eastAsia="宋体" w:cs="Times New Roman"/>
                <w:color w:val="000000"/>
                <w:spacing w:val="-6"/>
                <w:sz w:val="21"/>
                <w:szCs w:val="21"/>
                <w:highlight w:val="none"/>
              </w:rPr>
              <w:fldChar w:fldCharType="end"/>
            </w:r>
          </w:p>
        </w:tc>
        <w:tc>
          <w:tcPr>
            <w:tcW w:w="597" w:type="dxa"/>
            <w:noWrap w:val="0"/>
            <w:tcMar>
              <w:left w:w="28" w:type="dxa"/>
              <w:right w:w="28" w:type="dxa"/>
            </w:tcMar>
            <w:vAlign w:val="center"/>
          </w:tcPr>
          <w:p w14:paraId="3A043049">
            <w:pPr>
              <w:pStyle w:val="223"/>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在建工程</w:t>
            </w:r>
          </w:p>
          <w:p w14:paraId="22E2C23A">
            <w:pPr>
              <w:pStyle w:val="223"/>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排放量（固体废物产生量）</w:t>
            </w:r>
            <w:r>
              <w:rPr>
                <w:rFonts w:ascii="Times New Roman" w:hAnsi="Times New Roman" w:eastAsia="宋体" w:cs="Times New Roman"/>
                <w:color w:val="000000"/>
                <w:spacing w:val="-6"/>
                <w:sz w:val="21"/>
                <w:szCs w:val="21"/>
                <w:highlight w:val="none"/>
              </w:rPr>
              <w:fldChar w:fldCharType="begin"/>
            </w:r>
            <w:r>
              <w:rPr>
                <w:rFonts w:ascii="Times New Roman" w:hAnsi="Times New Roman" w:eastAsia="宋体" w:cs="Times New Roman"/>
                <w:color w:val="000000"/>
                <w:spacing w:val="-6"/>
                <w:sz w:val="21"/>
                <w:szCs w:val="21"/>
                <w:highlight w:val="none"/>
              </w:rPr>
              <w:instrText xml:space="preserve"> = 3 \* GB3 \* MERGEFORMAT </w:instrText>
            </w:r>
            <w:r>
              <w:rPr>
                <w:rFonts w:ascii="Times New Roman" w:hAnsi="Times New Roman" w:eastAsia="宋体" w:cs="Times New Roman"/>
                <w:color w:val="000000"/>
                <w:spacing w:val="-6"/>
                <w:sz w:val="21"/>
                <w:szCs w:val="21"/>
                <w:highlight w:val="none"/>
              </w:rPr>
              <w:fldChar w:fldCharType="separate"/>
            </w:r>
            <w:r>
              <w:rPr>
                <w:rFonts w:ascii="Times New Roman" w:hAnsi="Times New Roman" w:eastAsia="宋体" w:cs="Times New Roman"/>
                <w:color w:val="000000"/>
                <w:sz w:val="21"/>
                <w:szCs w:val="21"/>
                <w:highlight w:val="none"/>
              </w:rPr>
              <w:t>③</w:t>
            </w:r>
            <w:r>
              <w:rPr>
                <w:rFonts w:ascii="Times New Roman" w:hAnsi="Times New Roman" w:eastAsia="宋体" w:cs="Times New Roman"/>
                <w:color w:val="000000"/>
                <w:spacing w:val="-6"/>
                <w:sz w:val="21"/>
                <w:szCs w:val="21"/>
                <w:highlight w:val="none"/>
              </w:rPr>
              <w:fldChar w:fldCharType="end"/>
            </w:r>
          </w:p>
        </w:tc>
        <w:tc>
          <w:tcPr>
            <w:tcW w:w="546" w:type="dxa"/>
            <w:noWrap w:val="0"/>
            <w:tcMar>
              <w:left w:w="28" w:type="dxa"/>
              <w:right w:w="28" w:type="dxa"/>
            </w:tcMar>
            <w:vAlign w:val="center"/>
          </w:tcPr>
          <w:p w14:paraId="7E767A22">
            <w:pPr>
              <w:pStyle w:val="223"/>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本项目</w:t>
            </w:r>
          </w:p>
          <w:p w14:paraId="408EADE3">
            <w:pPr>
              <w:pStyle w:val="223"/>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排放量（固体废物产生量）</w:t>
            </w:r>
            <w:r>
              <w:rPr>
                <w:rFonts w:ascii="Times New Roman" w:hAnsi="Times New Roman" w:eastAsia="宋体" w:cs="Times New Roman"/>
                <w:color w:val="000000"/>
                <w:spacing w:val="-6"/>
                <w:sz w:val="21"/>
                <w:szCs w:val="21"/>
                <w:highlight w:val="none"/>
              </w:rPr>
              <w:fldChar w:fldCharType="begin"/>
            </w:r>
            <w:r>
              <w:rPr>
                <w:rFonts w:ascii="Times New Roman" w:hAnsi="Times New Roman" w:eastAsia="宋体" w:cs="Times New Roman"/>
                <w:color w:val="000000"/>
                <w:spacing w:val="-6"/>
                <w:sz w:val="21"/>
                <w:szCs w:val="21"/>
                <w:highlight w:val="none"/>
              </w:rPr>
              <w:instrText xml:space="preserve"> = 4 \* GB3 \* MERGEFORMAT </w:instrText>
            </w:r>
            <w:r>
              <w:rPr>
                <w:rFonts w:ascii="Times New Roman" w:hAnsi="Times New Roman" w:eastAsia="宋体" w:cs="Times New Roman"/>
                <w:color w:val="000000"/>
                <w:spacing w:val="-6"/>
                <w:sz w:val="21"/>
                <w:szCs w:val="21"/>
                <w:highlight w:val="none"/>
              </w:rPr>
              <w:fldChar w:fldCharType="separate"/>
            </w:r>
            <w:r>
              <w:rPr>
                <w:rFonts w:ascii="Times New Roman" w:hAnsi="Times New Roman" w:eastAsia="宋体" w:cs="Times New Roman"/>
                <w:color w:val="000000"/>
                <w:sz w:val="21"/>
                <w:szCs w:val="21"/>
                <w:highlight w:val="none"/>
              </w:rPr>
              <w:t>④</w:t>
            </w:r>
            <w:r>
              <w:rPr>
                <w:rFonts w:ascii="Times New Roman" w:hAnsi="Times New Roman" w:eastAsia="宋体" w:cs="Times New Roman"/>
                <w:color w:val="000000"/>
                <w:spacing w:val="-6"/>
                <w:sz w:val="21"/>
                <w:szCs w:val="21"/>
                <w:highlight w:val="none"/>
              </w:rPr>
              <w:fldChar w:fldCharType="end"/>
            </w:r>
          </w:p>
        </w:tc>
        <w:tc>
          <w:tcPr>
            <w:tcW w:w="620" w:type="dxa"/>
            <w:noWrap w:val="0"/>
            <w:tcMar>
              <w:left w:w="28" w:type="dxa"/>
              <w:right w:w="28" w:type="dxa"/>
            </w:tcMar>
            <w:vAlign w:val="center"/>
          </w:tcPr>
          <w:p w14:paraId="3E9BAECB">
            <w:pPr>
              <w:pStyle w:val="223"/>
              <w:keepNext w:val="0"/>
              <w:keepLines w:val="0"/>
              <w:pageBreakBefore w:val="0"/>
              <w:spacing w:line="240" w:lineRule="auto"/>
              <w:outlineLvl w:val="9"/>
              <w:rPr>
                <w:rFonts w:ascii="Times New Roman" w:hAnsi="Times New Roman" w:eastAsia="宋体" w:cs="Times New Roman"/>
                <w:color w:val="000000"/>
                <w:spacing w:val="-16"/>
                <w:sz w:val="21"/>
                <w:szCs w:val="21"/>
                <w:highlight w:val="none"/>
              </w:rPr>
            </w:pPr>
            <w:r>
              <w:rPr>
                <w:rFonts w:ascii="Times New Roman" w:hAnsi="Times New Roman" w:eastAsia="宋体" w:cs="Times New Roman"/>
                <w:color w:val="000000"/>
                <w:spacing w:val="-16"/>
                <w:sz w:val="21"/>
                <w:szCs w:val="21"/>
                <w:highlight w:val="none"/>
              </w:rPr>
              <w:t>以新带老削减量</w:t>
            </w:r>
          </w:p>
          <w:p w14:paraId="46162254">
            <w:pPr>
              <w:pStyle w:val="223"/>
              <w:keepNext w:val="0"/>
              <w:keepLines w:val="0"/>
              <w:pageBreakBefore w:val="0"/>
              <w:spacing w:line="240" w:lineRule="auto"/>
              <w:outlineLvl w:val="9"/>
              <w:rPr>
                <w:rFonts w:ascii="Times New Roman" w:hAnsi="Times New Roman" w:eastAsia="宋体" w:cs="Times New Roman"/>
                <w:color w:val="000000"/>
                <w:spacing w:val="-16"/>
                <w:sz w:val="21"/>
                <w:szCs w:val="21"/>
                <w:highlight w:val="none"/>
              </w:rPr>
            </w:pPr>
            <w:r>
              <w:rPr>
                <w:rFonts w:ascii="Times New Roman" w:hAnsi="Times New Roman" w:eastAsia="宋体" w:cs="Times New Roman"/>
                <w:color w:val="000000"/>
                <w:spacing w:val="-16"/>
                <w:sz w:val="21"/>
                <w:szCs w:val="21"/>
                <w:highlight w:val="none"/>
              </w:rPr>
              <w:t>（新建项目不填）</w:t>
            </w:r>
            <w:r>
              <w:rPr>
                <w:rFonts w:ascii="Times New Roman" w:hAnsi="Times New Roman" w:eastAsia="宋体" w:cs="Times New Roman"/>
                <w:color w:val="000000"/>
                <w:spacing w:val="-16"/>
                <w:sz w:val="21"/>
                <w:szCs w:val="21"/>
                <w:highlight w:val="none"/>
              </w:rPr>
              <w:fldChar w:fldCharType="begin"/>
            </w:r>
            <w:r>
              <w:rPr>
                <w:rFonts w:ascii="Times New Roman" w:hAnsi="Times New Roman" w:eastAsia="宋体" w:cs="Times New Roman"/>
                <w:color w:val="000000"/>
                <w:spacing w:val="-16"/>
                <w:sz w:val="21"/>
                <w:szCs w:val="21"/>
                <w:highlight w:val="none"/>
              </w:rPr>
              <w:instrText xml:space="preserve"> = 5 \* GB3 \* MERGEFORMAT </w:instrText>
            </w:r>
            <w:r>
              <w:rPr>
                <w:rFonts w:ascii="Times New Roman" w:hAnsi="Times New Roman" w:eastAsia="宋体" w:cs="Times New Roman"/>
                <w:color w:val="000000"/>
                <w:spacing w:val="-16"/>
                <w:sz w:val="21"/>
                <w:szCs w:val="21"/>
                <w:highlight w:val="none"/>
              </w:rPr>
              <w:fldChar w:fldCharType="separate"/>
            </w:r>
            <w:r>
              <w:rPr>
                <w:rFonts w:ascii="Times New Roman" w:hAnsi="Times New Roman" w:eastAsia="宋体" w:cs="Times New Roman"/>
                <w:color w:val="000000"/>
                <w:sz w:val="21"/>
                <w:szCs w:val="21"/>
                <w:highlight w:val="none"/>
              </w:rPr>
              <w:t>⑤</w:t>
            </w:r>
            <w:r>
              <w:rPr>
                <w:rFonts w:ascii="Times New Roman" w:hAnsi="Times New Roman" w:eastAsia="宋体" w:cs="Times New Roman"/>
                <w:color w:val="000000"/>
                <w:spacing w:val="-16"/>
                <w:sz w:val="21"/>
                <w:szCs w:val="21"/>
                <w:highlight w:val="none"/>
              </w:rPr>
              <w:fldChar w:fldCharType="end"/>
            </w:r>
          </w:p>
        </w:tc>
        <w:tc>
          <w:tcPr>
            <w:tcW w:w="694" w:type="dxa"/>
            <w:noWrap w:val="0"/>
            <w:tcMar>
              <w:left w:w="28" w:type="dxa"/>
              <w:right w:w="28" w:type="dxa"/>
            </w:tcMar>
            <w:vAlign w:val="center"/>
          </w:tcPr>
          <w:p w14:paraId="39DC4B56">
            <w:pPr>
              <w:pStyle w:val="223"/>
              <w:keepNext w:val="0"/>
              <w:keepLines w:val="0"/>
              <w:pageBreakBefore w:val="0"/>
              <w:spacing w:line="240" w:lineRule="auto"/>
              <w:outlineLvl w:val="9"/>
              <w:rPr>
                <w:rFonts w:ascii="Times New Roman" w:hAnsi="Times New Roman" w:eastAsia="宋体" w:cs="Times New Roman"/>
                <w:color w:val="000000"/>
                <w:spacing w:val="-16"/>
                <w:sz w:val="21"/>
                <w:szCs w:val="21"/>
                <w:highlight w:val="none"/>
              </w:rPr>
            </w:pPr>
            <w:r>
              <w:rPr>
                <w:rFonts w:ascii="Times New Roman" w:hAnsi="Times New Roman" w:eastAsia="宋体" w:cs="Times New Roman"/>
                <w:color w:val="000000"/>
                <w:spacing w:val="-16"/>
                <w:sz w:val="21"/>
                <w:szCs w:val="21"/>
                <w:highlight w:val="none"/>
              </w:rPr>
              <w:t>本项目建成后</w:t>
            </w:r>
          </w:p>
          <w:p w14:paraId="5123460D">
            <w:pPr>
              <w:pStyle w:val="223"/>
              <w:keepNext w:val="0"/>
              <w:keepLines w:val="0"/>
              <w:pageBreakBefore w:val="0"/>
              <w:spacing w:line="240" w:lineRule="auto"/>
              <w:outlineLvl w:val="9"/>
              <w:rPr>
                <w:rFonts w:ascii="Times New Roman" w:hAnsi="Times New Roman" w:eastAsia="宋体" w:cs="Times New Roman"/>
                <w:color w:val="000000"/>
                <w:spacing w:val="-16"/>
                <w:sz w:val="21"/>
                <w:szCs w:val="21"/>
                <w:highlight w:val="none"/>
              </w:rPr>
            </w:pPr>
            <w:r>
              <w:rPr>
                <w:rFonts w:ascii="Times New Roman" w:hAnsi="Times New Roman" w:eastAsia="宋体" w:cs="Times New Roman"/>
                <w:color w:val="000000"/>
                <w:spacing w:val="-16"/>
                <w:sz w:val="21"/>
                <w:szCs w:val="21"/>
                <w:highlight w:val="none"/>
              </w:rPr>
              <w:t>全厂排放量（固体废物产生量）</w:t>
            </w:r>
            <w:r>
              <w:rPr>
                <w:rFonts w:ascii="Times New Roman" w:hAnsi="Times New Roman" w:eastAsia="宋体" w:cs="Times New Roman"/>
                <w:color w:val="000000"/>
                <w:spacing w:val="-16"/>
                <w:sz w:val="21"/>
                <w:szCs w:val="21"/>
                <w:highlight w:val="none"/>
              </w:rPr>
              <w:fldChar w:fldCharType="begin"/>
            </w:r>
            <w:r>
              <w:rPr>
                <w:rFonts w:ascii="Times New Roman" w:hAnsi="Times New Roman" w:eastAsia="宋体" w:cs="Times New Roman"/>
                <w:color w:val="000000"/>
                <w:spacing w:val="-16"/>
                <w:sz w:val="21"/>
                <w:szCs w:val="21"/>
                <w:highlight w:val="none"/>
              </w:rPr>
              <w:instrText xml:space="preserve"> = 6 \* GB3 \* MERGEFORMAT </w:instrText>
            </w:r>
            <w:r>
              <w:rPr>
                <w:rFonts w:ascii="Times New Roman" w:hAnsi="Times New Roman" w:eastAsia="宋体" w:cs="Times New Roman"/>
                <w:color w:val="000000"/>
                <w:spacing w:val="-16"/>
                <w:sz w:val="21"/>
                <w:szCs w:val="21"/>
                <w:highlight w:val="none"/>
              </w:rPr>
              <w:fldChar w:fldCharType="separate"/>
            </w:r>
            <w:r>
              <w:rPr>
                <w:rFonts w:ascii="Times New Roman" w:hAnsi="Times New Roman" w:eastAsia="宋体" w:cs="Times New Roman"/>
                <w:color w:val="000000"/>
                <w:sz w:val="21"/>
                <w:szCs w:val="21"/>
                <w:highlight w:val="none"/>
              </w:rPr>
              <w:t>⑥</w:t>
            </w:r>
            <w:r>
              <w:rPr>
                <w:rFonts w:ascii="Times New Roman" w:hAnsi="Times New Roman" w:eastAsia="宋体" w:cs="Times New Roman"/>
                <w:color w:val="000000"/>
                <w:spacing w:val="-16"/>
                <w:sz w:val="21"/>
                <w:szCs w:val="21"/>
                <w:highlight w:val="none"/>
              </w:rPr>
              <w:fldChar w:fldCharType="end"/>
            </w:r>
          </w:p>
        </w:tc>
        <w:tc>
          <w:tcPr>
            <w:tcW w:w="456" w:type="dxa"/>
            <w:noWrap w:val="0"/>
            <w:tcMar>
              <w:left w:w="28" w:type="dxa"/>
              <w:right w:w="28" w:type="dxa"/>
            </w:tcMar>
            <w:vAlign w:val="center"/>
          </w:tcPr>
          <w:p w14:paraId="28D938CD">
            <w:pPr>
              <w:pStyle w:val="223"/>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t>变化量</w:t>
            </w:r>
          </w:p>
          <w:p w14:paraId="63F46807">
            <w:pPr>
              <w:pStyle w:val="223"/>
              <w:keepNext w:val="0"/>
              <w:keepLines w:val="0"/>
              <w:pageBreakBefore w:val="0"/>
              <w:spacing w:line="240" w:lineRule="auto"/>
              <w:outlineLvl w:val="9"/>
              <w:rPr>
                <w:rFonts w:ascii="Times New Roman" w:hAnsi="Times New Roman" w:eastAsia="宋体" w:cs="Times New Roman"/>
                <w:color w:val="000000"/>
                <w:spacing w:val="-6"/>
                <w:sz w:val="21"/>
                <w:szCs w:val="21"/>
                <w:highlight w:val="none"/>
              </w:rPr>
            </w:pPr>
            <w:r>
              <w:rPr>
                <w:rFonts w:ascii="Times New Roman" w:hAnsi="Times New Roman" w:eastAsia="宋体" w:cs="Times New Roman"/>
                <w:color w:val="000000"/>
                <w:spacing w:val="-6"/>
                <w:sz w:val="21"/>
                <w:szCs w:val="21"/>
                <w:highlight w:val="none"/>
              </w:rPr>
              <w:fldChar w:fldCharType="begin"/>
            </w:r>
            <w:r>
              <w:rPr>
                <w:rFonts w:ascii="Times New Roman" w:hAnsi="Times New Roman" w:eastAsia="宋体" w:cs="Times New Roman"/>
                <w:color w:val="000000"/>
                <w:spacing w:val="-6"/>
                <w:sz w:val="21"/>
                <w:szCs w:val="21"/>
                <w:highlight w:val="none"/>
              </w:rPr>
              <w:instrText xml:space="preserve"> = 7 \* GB3 \* MERGEFORMAT </w:instrText>
            </w:r>
            <w:r>
              <w:rPr>
                <w:rFonts w:ascii="Times New Roman" w:hAnsi="Times New Roman" w:eastAsia="宋体" w:cs="Times New Roman"/>
                <w:color w:val="000000"/>
                <w:spacing w:val="-6"/>
                <w:sz w:val="21"/>
                <w:szCs w:val="21"/>
                <w:highlight w:val="none"/>
              </w:rPr>
              <w:fldChar w:fldCharType="separate"/>
            </w:r>
            <w:r>
              <w:rPr>
                <w:rFonts w:ascii="Times New Roman" w:hAnsi="Times New Roman" w:eastAsia="宋体" w:cs="Times New Roman"/>
                <w:color w:val="000000"/>
                <w:sz w:val="21"/>
                <w:szCs w:val="21"/>
                <w:highlight w:val="none"/>
              </w:rPr>
              <w:t>⑦</w:t>
            </w:r>
            <w:r>
              <w:rPr>
                <w:rFonts w:ascii="Times New Roman" w:hAnsi="Times New Roman" w:eastAsia="宋体" w:cs="Times New Roman"/>
                <w:color w:val="000000"/>
                <w:spacing w:val="-6"/>
                <w:sz w:val="21"/>
                <w:szCs w:val="21"/>
                <w:highlight w:val="none"/>
              </w:rPr>
              <w:fldChar w:fldCharType="end"/>
            </w:r>
          </w:p>
        </w:tc>
      </w:tr>
      <w:tr w14:paraId="4B7892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78" w:hRule="atLeast"/>
          <w:jc w:val="center"/>
        </w:trPr>
        <w:tc>
          <w:tcPr>
            <w:tcW w:w="470" w:type="dxa"/>
            <w:vMerge w:val="restart"/>
            <w:noWrap w:val="0"/>
            <w:vAlign w:val="center"/>
          </w:tcPr>
          <w:p w14:paraId="0E6D0EC7">
            <w:pPr>
              <w:pStyle w:val="223"/>
              <w:keepNext w:val="0"/>
              <w:keepLines w:val="0"/>
              <w:pageBreakBefore w:val="0"/>
              <w:spacing w:line="240" w:lineRule="auto"/>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废气</w:t>
            </w:r>
          </w:p>
        </w:tc>
        <w:tc>
          <w:tcPr>
            <w:tcW w:w="576" w:type="dxa"/>
            <w:noWrap w:val="0"/>
            <w:vAlign w:val="center"/>
          </w:tcPr>
          <w:p w14:paraId="10A9F3C7">
            <w:pPr>
              <w:pStyle w:val="266"/>
              <w:keepNext w:val="0"/>
              <w:keepLines w:val="0"/>
              <w:pageBreakBefore w:val="0"/>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lang w:val="en-US" w:eastAsia="zh-CN"/>
              </w:rPr>
              <w:t>颗粒物</w:t>
            </w:r>
          </w:p>
        </w:tc>
        <w:tc>
          <w:tcPr>
            <w:tcW w:w="597" w:type="dxa"/>
            <w:noWrap w:val="0"/>
            <w:vAlign w:val="center"/>
          </w:tcPr>
          <w:p w14:paraId="2F5F9055">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w:t>
            </w:r>
          </w:p>
        </w:tc>
        <w:tc>
          <w:tcPr>
            <w:tcW w:w="441" w:type="dxa"/>
            <w:noWrap w:val="0"/>
            <w:vAlign w:val="center"/>
          </w:tcPr>
          <w:p w14:paraId="5F80604F">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597" w:type="dxa"/>
            <w:noWrap w:val="0"/>
            <w:vAlign w:val="center"/>
          </w:tcPr>
          <w:p w14:paraId="009320C7">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w:t>
            </w:r>
          </w:p>
        </w:tc>
        <w:tc>
          <w:tcPr>
            <w:tcW w:w="546" w:type="dxa"/>
            <w:noWrap w:val="0"/>
            <w:vAlign w:val="center"/>
          </w:tcPr>
          <w:p w14:paraId="3F206AD4">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0.1726t/a</w:t>
            </w:r>
          </w:p>
        </w:tc>
        <w:tc>
          <w:tcPr>
            <w:tcW w:w="620" w:type="dxa"/>
            <w:noWrap w:val="0"/>
            <w:vAlign w:val="center"/>
          </w:tcPr>
          <w:p w14:paraId="5EBDE640">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w:t>
            </w:r>
          </w:p>
        </w:tc>
        <w:tc>
          <w:tcPr>
            <w:tcW w:w="2029" w:type="dxa"/>
            <w:noWrap w:val="0"/>
            <w:vAlign w:val="center"/>
          </w:tcPr>
          <w:p w14:paraId="27D9D082">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0.1726t/a</w:t>
            </w:r>
          </w:p>
        </w:tc>
        <w:tc>
          <w:tcPr>
            <w:tcW w:w="1333" w:type="dxa"/>
            <w:noWrap w:val="0"/>
            <w:vAlign w:val="center"/>
          </w:tcPr>
          <w:p w14:paraId="1C4EF0AE">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+0.1726t/a</w:t>
            </w:r>
          </w:p>
        </w:tc>
      </w:tr>
      <w:tr w14:paraId="47B8B5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78" w:hRule="atLeast"/>
          <w:jc w:val="center"/>
        </w:trPr>
        <w:tc>
          <w:tcPr>
            <w:tcW w:w="470" w:type="dxa"/>
            <w:vMerge w:val="continue"/>
            <w:noWrap w:val="0"/>
            <w:vAlign w:val="center"/>
          </w:tcPr>
          <w:p w14:paraId="233941B5">
            <w:pPr>
              <w:keepNext w:val="0"/>
              <w:keepLines w:val="0"/>
              <w:pageBreakBefore w:val="0"/>
              <w:widowControl/>
              <w:spacing w:line="240" w:lineRule="auto"/>
              <w:ind w:firstLine="0"/>
              <w:jc w:val="center"/>
              <w:rPr>
                <w:color w:val="000000"/>
              </w:rPr>
            </w:pPr>
          </w:p>
        </w:tc>
        <w:tc>
          <w:tcPr>
            <w:tcW w:w="576" w:type="dxa"/>
            <w:noWrap w:val="0"/>
            <w:vAlign w:val="center"/>
          </w:tcPr>
          <w:p w14:paraId="5AF72AD7">
            <w:pPr>
              <w:pStyle w:val="266"/>
              <w:keepNext w:val="0"/>
              <w:keepLines w:val="0"/>
              <w:pageBreakBefore w:val="0"/>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rPr>
              <w:t>SO</w:t>
            </w:r>
            <w:r>
              <w:rPr>
                <w:rFonts w:ascii="Times New Roman" w:hAnsi="Times New Roman" w:eastAsia="宋体" w:cs="Times New Roman"/>
                <w:b w:val="0"/>
                <w:bCs w:val="0"/>
                <w:color w:val="000000"/>
                <w:sz w:val="21"/>
                <w:szCs w:val="21"/>
                <w:vertAlign w:val="subscript"/>
              </w:rPr>
              <w:t>2</w:t>
            </w:r>
          </w:p>
        </w:tc>
        <w:tc>
          <w:tcPr>
            <w:tcW w:w="597" w:type="dxa"/>
            <w:noWrap w:val="0"/>
            <w:vAlign w:val="center"/>
          </w:tcPr>
          <w:p w14:paraId="51B69944">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w:t>
            </w:r>
          </w:p>
        </w:tc>
        <w:tc>
          <w:tcPr>
            <w:tcW w:w="441" w:type="dxa"/>
            <w:noWrap w:val="0"/>
            <w:vAlign w:val="center"/>
          </w:tcPr>
          <w:p w14:paraId="649EC535">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highlight w:val="none"/>
                <w:lang w:val="en-US" w:eastAsia="zh-CN"/>
              </w:rPr>
              <w:t>/</w:t>
            </w:r>
          </w:p>
        </w:tc>
        <w:tc>
          <w:tcPr>
            <w:tcW w:w="597" w:type="dxa"/>
            <w:noWrap w:val="0"/>
            <w:vAlign w:val="center"/>
          </w:tcPr>
          <w:p w14:paraId="6F31FEC5">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highlight w:val="none"/>
                <w:lang w:val="en-US" w:eastAsia="zh-CN"/>
              </w:rPr>
              <w:t>/</w:t>
            </w:r>
          </w:p>
        </w:tc>
        <w:tc>
          <w:tcPr>
            <w:tcW w:w="546" w:type="dxa"/>
            <w:noWrap w:val="0"/>
            <w:vAlign w:val="center"/>
          </w:tcPr>
          <w:p w14:paraId="6799DB26">
            <w:pPr>
              <w:pStyle w:val="266"/>
              <w:keepNext w:val="0"/>
              <w:keepLines w:val="0"/>
              <w:pageBreakBefore w:val="0"/>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rPr>
              <w:t>0.3315</w:t>
            </w:r>
            <w:r>
              <w:rPr>
                <w:rFonts w:hint="eastAsia" w:ascii="Times New Roman" w:hAnsi="Times New Roman" w:eastAsia="宋体" w:cs="Times New Roman"/>
                <w:b w:val="0"/>
                <w:bCs/>
                <w:color w:val="000000"/>
                <w:sz w:val="21"/>
                <w:szCs w:val="21"/>
                <w:highlight w:val="none"/>
                <w:lang w:val="en-US" w:eastAsia="zh-CN" w:bidi="ar-SA"/>
              </w:rPr>
              <w:t>t/a</w:t>
            </w:r>
          </w:p>
        </w:tc>
        <w:tc>
          <w:tcPr>
            <w:tcW w:w="620" w:type="dxa"/>
            <w:noWrap w:val="0"/>
            <w:vAlign w:val="center"/>
          </w:tcPr>
          <w:p w14:paraId="23FCAE7F">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3F26278A">
            <w:pPr>
              <w:pStyle w:val="266"/>
              <w:keepNext w:val="0"/>
              <w:keepLines w:val="0"/>
              <w:pageBreakBefore w:val="0"/>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rPr>
              <w:t>0.3315</w:t>
            </w:r>
            <w:r>
              <w:rPr>
                <w:rFonts w:hint="eastAsia" w:ascii="Times New Roman" w:hAnsi="Times New Roman" w:eastAsia="宋体" w:cs="Times New Roman"/>
                <w:b w:val="0"/>
                <w:bCs/>
                <w:color w:val="000000"/>
                <w:sz w:val="21"/>
                <w:szCs w:val="21"/>
                <w:highlight w:val="none"/>
                <w:lang w:val="en-US" w:eastAsia="zh-CN" w:bidi="ar-SA"/>
              </w:rPr>
              <w:t>t/a</w:t>
            </w:r>
          </w:p>
        </w:tc>
        <w:tc>
          <w:tcPr>
            <w:tcW w:w="1333" w:type="dxa"/>
            <w:noWrap w:val="0"/>
            <w:vAlign w:val="center"/>
          </w:tcPr>
          <w:p w14:paraId="6BFB5CA0">
            <w:pPr>
              <w:pStyle w:val="266"/>
              <w:keepNext w:val="0"/>
              <w:keepLines w:val="0"/>
              <w:pageBreakBefore w:val="0"/>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w:t>
            </w:r>
            <w:r>
              <w:rPr>
                <w:rFonts w:hint="eastAsia" w:ascii="Times New Roman" w:hAnsi="Times New Roman" w:eastAsia="宋体" w:cs="Times New Roman"/>
                <w:color w:val="000000"/>
                <w:sz w:val="21"/>
                <w:szCs w:val="21"/>
                <w:lang w:val="en-US" w:eastAsia="zh-CN"/>
              </w:rPr>
              <w:t>0.3315</w:t>
            </w:r>
            <w:r>
              <w:rPr>
                <w:rFonts w:hint="eastAsia" w:ascii="Times New Roman" w:hAnsi="Times New Roman" w:eastAsia="宋体" w:cs="Times New Roman"/>
                <w:b w:val="0"/>
                <w:bCs/>
                <w:color w:val="000000"/>
                <w:sz w:val="21"/>
                <w:szCs w:val="21"/>
                <w:highlight w:val="none"/>
                <w:lang w:val="en-US" w:eastAsia="zh-CN" w:bidi="ar-SA"/>
              </w:rPr>
              <w:t>t/a</w:t>
            </w:r>
          </w:p>
        </w:tc>
      </w:tr>
      <w:tr w14:paraId="3A1022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78" w:hRule="atLeast"/>
          <w:jc w:val="center"/>
        </w:trPr>
        <w:tc>
          <w:tcPr>
            <w:tcW w:w="470" w:type="dxa"/>
            <w:vMerge w:val="continue"/>
            <w:noWrap w:val="0"/>
            <w:vAlign w:val="center"/>
          </w:tcPr>
          <w:p w14:paraId="55CDA79C">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p>
        </w:tc>
        <w:tc>
          <w:tcPr>
            <w:tcW w:w="576" w:type="dxa"/>
            <w:noWrap w:val="0"/>
            <w:vAlign w:val="center"/>
          </w:tcPr>
          <w:p w14:paraId="0E998D98">
            <w:pPr>
              <w:pStyle w:val="266"/>
              <w:keepNext w:val="0"/>
              <w:keepLines w:val="0"/>
              <w:pageBreakBefore w:val="0"/>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ascii="Times New Roman" w:hAnsi="Times New Roman" w:eastAsia="宋体" w:cs="Times New Roman"/>
                <w:b w:val="0"/>
                <w:bCs w:val="0"/>
                <w:color w:val="000000"/>
                <w:sz w:val="21"/>
                <w:szCs w:val="21"/>
              </w:rPr>
              <w:t>NOx</w:t>
            </w:r>
          </w:p>
        </w:tc>
        <w:tc>
          <w:tcPr>
            <w:tcW w:w="597" w:type="dxa"/>
            <w:noWrap w:val="0"/>
            <w:vAlign w:val="center"/>
          </w:tcPr>
          <w:p w14:paraId="12085236">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w:t>
            </w:r>
          </w:p>
        </w:tc>
        <w:tc>
          <w:tcPr>
            <w:tcW w:w="441" w:type="dxa"/>
            <w:noWrap w:val="0"/>
            <w:vAlign w:val="center"/>
          </w:tcPr>
          <w:p w14:paraId="25028A4C">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highlight w:val="none"/>
                <w:lang w:val="en-US" w:eastAsia="zh-CN"/>
              </w:rPr>
              <w:t>/</w:t>
            </w:r>
          </w:p>
        </w:tc>
        <w:tc>
          <w:tcPr>
            <w:tcW w:w="597" w:type="dxa"/>
            <w:noWrap w:val="0"/>
            <w:vAlign w:val="center"/>
          </w:tcPr>
          <w:p w14:paraId="6F46C806">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highlight w:val="none"/>
                <w:lang w:val="en-US" w:eastAsia="zh-CN"/>
              </w:rPr>
              <w:t>/</w:t>
            </w:r>
          </w:p>
        </w:tc>
        <w:tc>
          <w:tcPr>
            <w:tcW w:w="546" w:type="dxa"/>
            <w:noWrap w:val="0"/>
            <w:vAlign w:val="center"/>
          </w:tcPr>
          <w:p w14:paraId="54A38F5E">
            <w:pPr>
              <w:pStyle w:val="266"/>
              <w:keepNext w:val="0"/>
              <w:keepLines w:val="0"/>
              <w:pageBreakBefore w:val="0"/>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rPr>
              <w:t>0.51</w:t>
            </w:r>
            <w:r>
              <w:rPr>
                <w:rFonts w:hint="eastAsia" w:ascii="Times New Roman" w:hAnsi="Times New Roman" w:eastAsia="宋体" w:cs="Times New Roman"/>
                <w:b w:val="0"/>
                <w:bCs/>
                <w:color w:val="000000"/>
                <w:sz w:val="21"/>
                <w:szCs w:val="21"/>
                <w:highlight w:val="none"/>
                <w:lang w:val="en-US" w:eastAsia="zh-CN" w:bidi="ar-SA"/>
              </w:rPr>
              <w:t>t/a</w:t>
            </w:r>
          </w:p>
        </w:tc>
        <w:tc>
          <w:tcPr>
            <w:tcW w:w="620" w:type="dxa"/>
            <w:noWrap w:val="0"/>
            <w:vAlign w:val="center"/>
          </w:tcPr>
          <w:p w14:paraId="386EB499">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730A594B">
            <w:pPr>
              <w:pStyle w:val="266"/>
              <w:keepNext w:val="0"/>
              <w:keepLines w:val="0"/>
              <w:pageBreakBefore w:val="0"/>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rPr>
              <w:t>0.51</w:t>
            </w:r>
            <w:r>
              <w:rPr>
                <w:rFonts w:hint="eastAsia" w:ascii="Times New Roman" w:hAnsi="Times New Roman" w:eastAsia="宋体" w:cs="Times New Roman"/>
                <w:b w:val="0"/>
                <w:bCs/>
                <w:color w:val="000000"/>
                <w:sz w:val="21"/>
                <w:szCs w:val="21"/>
                <w:highlight w:val="none"/>
                <w:lang w:val="en-US" w:eastAsia="zh-CN" w:bidi="ar-SA"/>
              </w:rPr>
              <w:t>t/a</w:t>
            </w:r>
          </w:p>
        </w:tc>
        <w:tc>
          <w:tcPr>
            <w:tcW w:w="1333" w:type="dxa"/>
            <w:noWrap w:val="0"/>
            <w:vAlign w:val="center"/>
          </w:tcPr>
          <w:p w14:paraId="7C3ADF48">
            <w:pPr>
              <w:pStyle w:val="266"/>
              <w:keepNext w:val="0"/>
              <w:keepLines w:val="0"/>
              <w:pageBreakBefore w:val="0"/>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w:t>
            </w:r>
            <w:r>
              <w:rPr>
                <w:rFonts w:hint="eastAsia" w:ascii="Times New Roman" w:hAnsi="Times New Roman" w:eastAsia="宋体" w:cs="Times New Roman"/>
                <w:color w:val="000000"/>
                <w:sz w:val="21"/>
                <w:szCs w:val="21"/>
                <w:lang w:val="en-US" w:eastAsia="zh-CN"/>
              </w:rPr>
              <w:t>0.51</w:t>
            </w:r>
            <w:r>
              <w:rPr>
                <w:rFonts w:hint="eastAsia" w:ascii="Times New Roman" w:hAnsi="Times New Roman" w:eastAsia="宋体" w:cs="Times New Roman"/>
                <w:b w:val="0"/>
                <w:bCs/>
                <w:color w:val="000000"/>
                <w:sz w:val="21"/>
                <w:szCs w:val="21"/>
                <w:highlight w:val="none"/>
                <w:lang w:val="en-US" w:eastAsia="zh-CN" w:bidi="ar-SA"/>
              </w:rPr>
              <w:t>t/a</w:t>
            </w:r>
          </w:p>
        </w:tc>
      </w:tr>
      <w:tr w14:paraId="014C9F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78" w:hRule="atLeast"/>
          <w:jc w:val="center"/>
        </w:trPr>
        <w:tc>
          <w:tcPr>
            <w:tcW w:w="470" w:type="dxa"/>
            <w:vMerge w:val="continue"/>
            <w:noWrap w:val="0"/>
            <w:vAlign w:val="center"/>
          </w:tcPr>
          <w:p w14:paraId="08A839A1">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p>
        </w:tc>
        <w:tc>
          <w:tcPr>
            <w:tcW w:w="576" w:type="dxa"/>
            <w:noWrap w:val="0"/>
            <w:vAlign w:val="center"/>
          </w:tcPr>
          <w:p w14:paraId="47A0A0DD">
            <w:pPr>
              <w:pStyle w:val="266"/>
              <w:keepNext w:val="0"/>
              <w:keepLines w:val="0"/>
              <w:pageBreakBefore w:val="0"/>
              <w:spacing w:line="240" w:lineRule="auto"/>
              <w:ind w:firstLine="0"/>
              <w:jc w:val="center"/>
              <w:rPr>
                <w:rFonts w:ascii="Times New Roman" w:hAnsi="Times New Roman" w:eastAsia="宋体" w:cs="Times New Roman"/>
                <w:b w:val="0"/>
                <w:bCs w:val="0"/>
                <w:color w:val="000000"/>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非甲烷总烃</w:t>
            </w:r>
          </w:p>
        </w:tc>
        <w:tc>
          <w:tcPr>
            <w:tcW w:w="597" w:type="dxa"/>
            <w:noWrap w:val="0"/>
            <w:vAlign w:val="center"/>
          </w:tcPr>
          <w:p w14:paraId="67CB5614">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w:t>
            </w:r>
          </w:p>
        </w:tc>
        <w:tc>
          <w:tcPr>
            <w:tcW w:w="441" w:type="dxa"/>
            <w:noWrap w:val="0"/>
            <w:vAlign w:val="center"/>
          </w:tcPr>
          <w:p w14:paraId="4F4AFABA">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highlight w:val="none"/>
                <w:lang w:val="en-US" w:eastAsia="zh-CN"/>
              </w:rPr>
              <w:t>/</w:t>
            </w:r>
          </w:p>
        </w:tc>
        <w:tc>
          <w:tcPr>
            <w:tcW w:w="597" w:type="dxa"/>
            <w:noWrap w:val="0"/>
            <w:vAlign w:val="center"/>
          </w:tcPr>
          <w:p w14:paraId="1AC3231C">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highlight w:val="none"/>
                <w:lang w:val="en-US" w:eastAsia="zh-CN"/>
              </w:rPr>
              <w:t>/</w:t>
            </w:r>
          </w:p>
        </w:tc>
        <w:tc>
          <w:tcPr>
            <w:tcW w:w="546" w:type="dxa"/>
            <w:noWrap w:val="0"/>
            <w:vAlign w:val="center"/>
          </w:tcPr>
          <w:p w14:paraId="3EB5E50F">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0.0325t/a</w:t>
            </w:r>
          </w:p>
        </w:tc>
        <w:tc>
          <w:tcPr>
            <w:tcW w:w="620" w:type="dxa"/>
            <w:noWrap w:val="0"/>
            <w:vAlign w:val="center"/>
          </w:tcPr>
          <w:p w14:paraId="5741A09E">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484B6B36">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0.0325t/a</w:t>
            </w:r>
          </w:p>
        </w:tc>
        <w:tc>
          <w:tcPr>
            <w:tcW w:w="1333" w:type="dxa"/>
            <w:noWrap w:val="0"/>
            <w:vAlign w:val="center"/>
          </w:tcPr>
          <w:p w14:paraId="2563AA7A">
            <w:pPr>
              <w:keepNext w:val="0"/>
              <w:keepLines w:val="0"/>
              <w:pageBreakBefore w:val="0"/>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+0.0325t/a</w:t>
            </w:r>
          </w:p>
        </w:tc>
      </w:tr>
      <w:tr w14:paraId="4515B3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78" w:hRule="atLeast"/>
          <w:jc w:val="center"/>
        </w:trPr>
        <w:tc>
          <w:tcPr>
            <w:tcW w:w="470" w:type="dxa"/>
            <w:vMerge w:val="continue"/>
            <w:noWrap w:val="0"/>
            <w:vAlign w:val="center"/>
          </w:tcPr>
          <w:p w14:paraId="39F555BE">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p>
        </w:tc>
        <w:tc>
          <w:tcPr>
            <w:tcW w:w="576" w:type="dxa"/>
            <w:noWrap w:val="0"/>
            <w:vAlign w:val="center"/>
          </w:tcPr>
          <w:p w14:paraId="119C514D">
            <w:pPr>
              <w:pStyle w:val="266"/>
              <w:keepNext w:val="0"/>
              <w:keepLines w:val="0"/>
              <w:pageBreakBefore w:val="0"/>
              <w:spacing w:line="240" w:lineRule="auto"/>
              <w:ind w:firstLine="0"/>
              <w:jc w:val="center"/>
              <w:rPr>
                <w:rFonts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甲醛</w:t>
            </w:r>
          </w:p>
        </w:tc>
        <w:tc>
          <w:tcPr>
            <w:tcW w:w="597" w:type="dxa"/>
            <w:noWrap w:val="0"/>
            <w:vAlign w:val="center"/>
          </w:tcPr>
          <w:p w14:paraId="5BA8109A">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w:t>
            </w:r>
          </w:p>
        </w:tc>
        <w:tc>
          <w:tcPr>
            <w:tcW w:w="441" w:type="dxa"/>
            <w:noWrap w:val="0"/>
            <w:vAlign w:val="center"/>
          </w:tcPr>
          <w:p w14:paraId="50F84AF2">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w:t>
            </w:r>
          </w:p>
        </w:tc>
        <w:tc>
          <w:tcPr>
            <w:tcW w:w="597" w:type="dxa"/>
            <w:noWrap w:val="0"/>
            <w:vAlign w:val="center"/>
          </w:tcPr>
          <w:p w14:paraId="33E06FF7">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w:t>
            </w:r>
          </w:p>
        </w:tc>
        <w:tc>
          <w:tcPr>
            <w:tcW w:w="546" w:type="dxa"/>
            <w:noWrap w:val="0"/>
            <w:vAlign w:val="center"/>
          </w:tcPr>
          <w:p w14:paraId="4B70AF88">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0.000869</w:t>
            </w:r>
            <w:r>
              <w:rPr>
                <w:rFonts w:hint="eastAsia" w:ascii="Times New Roman" w:hAnsi="Times New Roman" w:eastAsia="宋体" w:cs="Times New Roman"/>
                <w:b w:val="0"/>
                <w:bCs/>
                <w:color w:val="000000"/>
                <w:sz w:val="21"/>
                <w:szCs w:val="21"/>
                <w:highlight w:val="none"/>
                <w:lang w:val="en-US" w:eastAsia="zh-CN" w:bidi="ar-SA"/>
              </w:rPr>
              <w:t>t/a</w:t>
            </w:r>
          </w:p>
        </w:tc>
        <w:tc>
          <w:tcPr>
            <w:tcW w:w="620" w:type="dxa"/>
            <w:noWrap w:val="0"/>
            <w:vAlign w:val="center"/>
          </w:tcPr>
          <w:p w14:paraId="76EA2974">
            <w:pPr>
              <w:keepNext w:val="0"/>
              <w:keepLines w:val="0"/>
              <w:pageBreakBefore w:val="0"/>
              <w:widowControl/>
              <w:spacing w:line="240" w:lineRule="auto"/>
              <w:ind w:firstLine="0"/>
              <w:jc w:val="center"/>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0CDE6F62">
            <w:pPr>
              <w:keepNext w:val="0"/>
              <w:keepLines w:val="0"/>
              <w:pageBreakBefore w:val="0"/>
              <w:widowControl/>
              <w:spacing w:line="240" w:lineRule="auto"/>
              <w:ind w:firstLine="0"/>
              <w:jc w:val="center"/>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0.000869</w:t>
            </w:r>
            <w:r>
              <w:rPr>
                <w:rFonts w:hint="eastAsia" w:ascii="Times New Roman" w:hAnsi="Times New Roman" w:eastAsia="宋体" w:cs="Times New Roman"/>
                <w:b w:val="0"/>
                <w:bCs/>
                <w:color w:val="000000"/>
                <w:sz w:val="21"/>
                <w:szCs w:val="21"/>
                <w:highlight w:val="none"/>
                <w:lang w:val="en-US" w:eastAsia="zh-CN" w:bidi="ar-SA"/>
              </w:rPr>
              <w:t>t/a</w:t>
            </w:r>
          </w:p>
        </w:tc>
        <w:tc>
          <w:tcPr>
            <w:tcW w:w="1333" w:type="dxa"/>
            <w:noWrap w:val="0"/>
            <w:vAlign w:val="center"/>
          </w:tcPr>
          <w:p w14:paraId="0621CF8C">
            <w:pPr>
              <w:keepNext w:val="0"/>
              <w:keepLines w:val="0"/>
              <w:pageBreakBefore w:val="0"/>
              <w:widowControl/>
              <w:spacing w:line="240" w:lineRule="auto"/>
              <w:ind w:firstLine="0"/>
              <w:jc w:val="center"/>
              <w:rPr>
                <w:rFonts w:hint="eastAsia" w:ascii="Times New Roman" w:hAnsi="Times New Roman" w:eastAsia="宋体" w:cs="Times New Roman"/>
                <w:b w:val="0"/>
                <w:bCs/>
                <w:color w:val="000000"/>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w:t>
            </w:r>
            <w:r>
              <w:rPr>
                <w:rFonts w:hint="eastAsia" w:ascii="Times New Roman" w:hAnsi="Times New Roman" w:eastAsia="宋体" w:cs="Times New Roman"/>
                <w:color w:val="000000"/>
                <w:sz w:val="21"/>
                <w:szCs w:val="21"/>
                <w:lang w:val="en-US" w:eastAsia="zh-CN" w:bidi="ar-SA"/>
              </w:rPr>
              <w:t>0.000869</w:t>
            </w:r>
            <w:r>
              <w:rPr>
                <w:rFonts w:hint="eastAsia" w:ascii="Times New Roman" w:hAnsi="Times New Roman" w:eastAsia="宋体" w:cs="Times New Roman"/>
                <w:b w:val="0"/>
                <w:bCs/>
                <w:color w:val="000000"/>
                <w:sz w:val="21"/>
                <w:szCs w:val="21"/>
                <w:highlight w:val="none"/>
                <w:lang w:val="en-US" w:eastAsia="zh-CN" w:bidi="ar-SA"/>
              </w:rPr>
              <w:t>t/a</w:t>
            </w:r>
          </w:p>
        </w:tc>
      </w:tr>
      <w:tr w14:paraId="268466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70" w:type="dxa"/>
            <w:vMerge w:val="restart"/>
            <w:noWrap w:val="0"/>
            <w:vAlign w:val="center"/>
          </w:tcPr>
          <w:p w14:paraId="5F35A011">
            <w:pPr>
              <w:pStyle w:val="223"/>
              <w:keepNext w:val="0"/>
              <w:keepLines w:val="0"/>
              <w:pageBreakBefore w:val="0"/>
              <w:spacing w:line="240" w:lineRule="auto"/>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废水</w:t>
            </w:r>
          </w:p>
        </w:tc>
        <w:tc>
          <w:tcPr>
            <w:tcW w:w="576" w:type="dxa"/>
            <w:noWrap w:val="0"/>
            <w:vAlign w:val="center"/>
          </w:tcPr>
          <w:p w14:paraId="19C56AB7">
            <w:pPr>
              <w:widowControl/>
              <w:spacing w:line="240" w:lineRule="auto"/>
              <w:ind w:firstLine="0"/>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w:t>
            </w:r>
          </w:p>
        </w:tc>
        <w:tc>
          <w:tcPr>
            <w:tcW w:w="597" w:type="dxa"/>
            <w:noWrap w:val="0"/>
            <w:vAlign w:val="center"/>
          </w:tcPr>
          <w:p w14:paraId="268B3C83">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441" w:type="dxa"/>
            <w:noWrap w:val="0"/>
            <w:vAlign w:val="center"/>
          </w:tcPr>
          <w:p w14:paraId="33BF6A54">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597" w:type="dxa"/>
            <w:noWrap w:val="0"/>
            <w:vAlign w:val="center"/>
          </w:tcPr>
          <w:p w14:paraId="7D66BB72">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546" w:type="dxa"/>
            <w:noWrap w:val="0"/>
            <w:vAlign w:val="center"/>
          </w:tcPr>
          <w:p w14:paraId="01B5EFA8">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620" w:type="dxa"/>
            <w:noWrap w:val="0"/>
            <w:vAlign w:val="center"/>
          </w:tcPr>
          <w:p w14:paraId="16C41ECA">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5F4A0FF4">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333" w:type="dxa"/>
            <w:noWrap w:val="0"/>
            <w:vAlign w:val="center"/>
          </w:tcPr>
          <w:p w14:paraId="2F2CEE4D">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r>
      <w:tr w14:paraId="30ACBF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70" w:type="dxa"/>
            <w:vMerge w:val="continue"/>
            <w:noWrap w:val="0"/>
            <w:vAlign w:val="center"/>
          </w:tcPr>
          <w:p w14:paraId="38C311AF">
            <w:pPr>
              <w:pStyle w:val="223"/>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576" w:type="dxa"/>
            <w:noWrap w:val="0"/>
            <w:vAlign w:val="center"/>
          </w:tcPr>
          <w:p w14:paraId="5A035F10">
            <w:pPr>
              <w:widowControl/>
              <w:spacing w:line="240" w:lineRule="auto"/>
              <w:ind w:firstLine="0"/>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w:t>
            </w:r>
          </w:p>
        </w:tc>
        <w:tc>
          <w:tcPr>
            <w:tcW w:w="597" w:type="dxa"/>
            <w:noWrap w:val="0"/>
            <w:vAlign w:val="center"/>
          </w:tcPr>
          <w:p w14:paraId="29C3988B">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441" w:type="dxa"/>
            <w:noWrap w:val="0"/>
            <w:vAlign w:val="center"/>
          </w:tcPr>
          <w:p w14:paraId="296D2621">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597" w:type="dxa"/>
            <w:noWrap w:val="0"/>
            <w:vAlign w:val="center"/>
          </w:tcPr>
          <w:p w14:paraId="79BC6FA4">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546" w:type="dxa"/>
            <w:noWrap w:val="0"/>
            <w:vAlign w:val="center"/>
          </w:tcPr>
          <w:p w14:paraId="591B2587">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620" w:type="dxa"/>
            <w:noWrap w:val="0"/>
            <w:vAlign w:val="center"/>
          </w:tcPr>
          <w:p w14:paraId="174C9C68">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7205F3FB">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333" w:type="dxa"/>
            <w:noWrap w:val="0"/>
            <w:vAlign w:val="center"/>
          </w:tcPr>
          <w:p w14:paraId="729BD77A">
            <w:pPr>
              <w:widowControl/>
              <w:spacing w:line="240" w:lineRule="auto"/>
              <w:ind w:firstLine="0"/>
              <w:jc w:val="center"/>
              <w:rPr>
                <w:rFonts w:ascii="Times New Roman" w:hAnsi="Times New Roman" w:eastAsia="宋体" w:cs="Times New Roman"/>
                <w:b w:val="0"/>
                <w:bCs/>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r>
      <w:tr w14:paraId="687C90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70" w:type="dxa"/>
            <w:vMerge w:val="restart"/>
            <w:noWrap w:val="0"/>
            <w:vAlign w:val="center"/>
          </w:tcPr>
          <w:p w14:paraId="1AA2B46B">
            <w:pPr>
              <w:pStyle w:val="223"/>
              <w:keepNext w:val="0"/>
              <w:keepLines w:val="0"/>
              <w:pageBreakBefore w:val="0"/>
              <w:spacing w:line="240" w:lineRule="auto"/>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一般工业</w:t>
            </w:r>
          </w:p>
          <w:p w14:paraId="0EEC648E">
            <w:pPr>
              <w:pStyle w:val="223"/>
              <w:keepNext w:val="0"/>
              <w:keepLines w:val="0"/>
              <w:pageBreakBefore w:val="0"/>
              <w:spacing w:line="240" w:lineRule="auto"/>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固体废物</w:t>
            </w:r>
          </w:p>
        </w:tc>
        <w:tc>
          <w:tcPr>
            <w:tcW w:w="576" w:type="dxa"/>
            <w:noWrap w:val="0"/>
            <w:vAlign w:val="center"/>
          </w:tcPr>
          <w:p w14:paraId="4DE443D7">
            <w:pPr>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rPr>
              <w:t>生活垃圾</w:t>
            </w:r>
          </w:p>
        </w:tc>
        <w:tc>
          <w:tcPr>
            <w:tcW w:w="597" w:type="dxa"/>
            <w:noWrap w:val="0"/>
            <w:vAlign w:val="center"/>
          </w:tcPr>
          <w:p w14:paraId="08C492CB">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w:t>
            </w:r>
          </w:p>
        </w:tc>
        <w:tc>
          <w:tcPr>
            <w:tcW w:w="441" w:type="dxa"/>
            <w:noWrap w:val="0"/>
            <w:vAlign w:val="center"/>
          </w:tcPr>
          <w:p w14:paraId="54011C95">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lang w:val="en-US" w:eastAsia="zh-CN"/>
              </w:rPr>
              <w:t>/</w:t>
            </w:r>
          </w:p>
        </w:tc>
        <w:tc>
          <w:tcPr>
            <w:tcW w:w="597" w:type="dxa"/>
            <w:noWrap w:val="0"/>
            <w:vAlign w:val="center"/>
          </w:tcPr>
          <w:p w14:paraId="2A1E11A7">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lang w:val="en-US" w:eastAsia="zh-CN"/>
              </w:rPr>
              <w:t>/</w:t>
            </w:r>
          </w:p>
        </w:tc>
        <w:tc>
          <w:tcPr>
            <w:tcW w:w="546" w:type="dxa"/>
            <w:noWrap w:val="0"/>
            <w:vAlign w:val="center"/>
          </w:tcPr>
          <w:p w14:paraId="379C8D95">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7.5</w:t>
            </w:r>
            <w:r>
              <w:rPr>
                <w:rFonts w:ascii="Times New Roman" w:hAnsi="Times New Roman" w:eastAsia="宋体" w:cs="Times New Roman"/>
                <w:color w:val="000000"/>
                <w:spacing w:val="-4"/>
                <w:sz w:val="21"/>
                <w:szCs w:val="21"/>
                <w:highlight w:val="none"/>
                <w:lang w:val="en-US" w:eastAsia="zh-CN"/>
              </w:rPr>
              <w:t>t/a</w:t>
            </w:r>
          </w:p>
        </w:tc>
        <w:tc>
          <w:tcPr>
            <w:tcW w:w="620" w:type="dxa"/>
            <w:noWrap w:val="0"/>
            <w:vAlign w:val="center"/>
          </w:tcPr>
          <w:p w14:paraId="52B10489">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660BB652">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7.5</w:t>
            </w:r>
            <w:r>
              <w:rPr>
                <w:rFonts w:ascii="Times New Roman" w:hAnsi="Times New Roman" w:eastAsia="宋体" w:cs="Times New Roman"/>
                <w:color w:val="000000"/>
                <w:spacing w:val="-4"/>
                <w:sz w:val="21"/>
                <w:szCs w:val="21"/>
                <w:highlight w:val="none"/>
                <w:lang w:val="en-US" w:eastAsia="zh-CN"/>
              </w:rPr>
              <w:t>t/a</w:t>
            </w:r>
          </w:p>
        </w:tc>
        <w:tc>
          <w:tcPr>
            <w:tcW w:w="1333" w:type="dxa"/>
            <w:noWrap w:val="0"/>
            <w:vAlign w:val="center"/>
          </w:tcPr>
          <w:p w14:paraId="18B7FB52">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w:t>
            </w:r>
            <w:r>
              <w:rPr>
                <w:rFonts w:hint="eastAsia" w:ascii="Times New Roman" w:hAnsi="Times New Roman" w:eastAsia="宋体" w:cs="Times New Roman"/>
                <w:color w:val="000000"/>
                <w:spacing w:val="-4"/>
                <w:sz w:val="21"/>
                <w:szCs w:val="21"/>
                <w:highlight w:val="none"/>
                <w:lang w:val="en-US" w:eastAsia="zh-CN"/>
              </w:rPr>
              <w:t>7.5</w:t>
            </w:r>
            <w:r>
              <w:rPr>
                <w:rFonts w:ascii="Times New Roman" w:hAnsi="Times New Roman" w:eastAsia="宋体" w:cs="Times New Roman"/>
                <w:color w:val="000000"/>
                <w:spacing w:val="-4"/>
                <w:sz w:val="21"/>
                <w:szCs w:val="21"/>
                <w:highlight w:val="none"/>
                <w:lang w:val="en-US" w:eastAsia="zh-CN"/>
              </w:rPr>
              <w:t>t/a</w:t>
            </w:r>
          </w:p>
        </w:tc>
      </w:tr>
      <w:tr w14:paraId="0622DE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70" w:type="dxa"/>
            <w:vMerge w:val="continue"/>
            <w:noWrap w:val="0"/>
            <w:vAlign w:val="center"/>
          </w:tcPr>
          <w:p w14:paraId="5885292D">
            <w:pPr>
              <w:pStyle w:val="223"/>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576" w:type="dxa"/>
            <w:noWrap w:val="0"/>
            <w:vAlign w:val="center"/>
          </w:tcPr>
          <w:p w14:paraId="535DC0EA">
            <w:pPr>
              <w:jc w:val="center"/>
              <w:rPr>
                <w:rFonts w:ascii="Times New Roman" w:hAnsi="Times New Roman" w:eastAsia="宋体" w:cs="Times New Roman"/>
                <w:b w:val="0"/>
                <w:bCs w:val="0"/>
                <w:color w:val="000000"/>
                <w:sz w:val="21"/>
                <w:szCs w:val="21"/>
                <w:highlight w:val="none"/>
                <w:lang w:val="en-US" w:eastAsia="zh-CN" w:bidi="ar-SA"/>
              </w:rPr>
            </w:pPr>
            <w:r>
              <w:rPr>
                <w:rFonts w:ascii="Times New Roman" w:hAnsi="Times New Roman" w:eastAsia="宋体" w:cs="Times New Roman"/>
                <w:b w:val="0"/>
                <w:bCs w:val="0"/>
                <w:color w:val="000000"/>
                <w:sz w:val="21"/>
                <w:szCs w:val="21"/>
                <w:highlight w:val="none"/>
                <w:lang w:val="en-US" w:eastAsia="zh-CN" w:bidi="ar-SA"/>
              </w:rPr>
              <w:t>化粪池污泥</w:t>
            </w:r>
          </w:p>
        </w:tc>
        <w:tc>
          <w:tcPr>
            <w:tcW w:w="597" w:type="dxa"/>
            <w:noWrap w:val="0"/>
            <w:vAlign w:val="center"/>
          </w:tcPr>
          <w:p w14:paraId="48B12D97">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w:t>
            </w:r>
          </w:p>
        </w:tc>
        <w:tc>
          <w:tcPr>
            <w:tcW w:w="441" w:type="dxa"/>
            <w:noWrap w:val="0"/>
            <w:vAlign w:val="center"/>
          </w:tcPr>
          <w:p w14:paraId="456E2C01">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lang w:val="en-US" w:eastAsia="zh-CN"/>
              </w:rPr>
              <w:t>/</w:t>
            </w:r>
          </w:p>
        </w:tc>
        <w:tc>
          <w:tcPr>
            <w:tcW w:w="597" w:type="dxa"/>
            <w:noWrap w:val="0"/>
            <w:vAlign w:val="center"/>
          </w:tcPr>
          <w:p w14:paraId="78990BF3">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lang w:val="en-US" w:eastAsia="zh-CN"/>
              </w:rPr>
              <w:t>/</w:t>
            </w:r>
          </w:p>
        </w:tc>
        <w:tc>
          <w:tcPr>
            <w:tcW w:w="546" w:type="dxa"/>
            <w:noWrap w:val="0"/>
            <w:vAlign w:val="center"/>
          </w:tcPr>
          <w:p w14:paraId="37E9702F">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0.09</w:t>
            </w:r>
            <w:r>
              <w:rPr>
                <w:rFonts w:ascii="Times New Roman" w:hAnsi="Times New Roman" w:eastAsia="宋体" w:cs="Times New Roman"/>
                <w:color w:val="000000"/>
                <w:spacing w:val="-4"/>
                <w:sz w:val="21"/>
                <w:szCs w:val="21"/>
                <w:highlight w:val="none"/>
                <w:lang w:val="en-US" w:eastAsia="zh-CN"/>
              </w:rPr>
              <w:t>t/a</w:t>
            </w:r>
          </w:p>
        </w:tc>
        <w:tc>
          <w:tcPr>
            <w:tcW w:w="620" w:type="dxa"/>
            <w:noWrap w:val="0"/>
            <w:vAlign w:val="center"/>
          </w:tcPr>
          <w:p w14:paraId="29D3EEAC">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402D24D7">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0.09</w:t>
            </w:r>
            <w:r>
              <w:rPr>
                <w:rFonts w:ascii="Times New Roman" w:hAnsi="Times New Roman" w:eastAsia="宋体" w:cs="Times New Roman"/>
                <w:color w:val="000000"/>
                <w:spacing w:val="-4"/>
                <w:sz w:val="21"/>
                <w:szCs w:val="21"/>
                <w:highlight w:val="none"/>
                <w:lang w:val="en-US" w:eastAsia="zh-CN"/>
              </w:rPr>
              <w:t>t/a</w:t>
            </w:r>
          </w:p>
        </w:tc>
        <w:tc>
          <w:tcPr>
            <w:tcW w:w="1333" w:type="dxa"/>
            <w:noWrap w:val="0"/>
            <w:vAlign w:val="center"/>
          </w:tcPr>
          <w:p w14:paraId="29765DFB">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w:t>
            </w:r>
            <w:r>
              <w:rPr>
                <w:rFonts w:hint="eastAsia" w:ascii="Times New Roman" w:hAnsi="Times New Roman" w:eastAsia="宋体" w:cs="Times New Roman"/>
                <w:color w:val="000000"/>
                <w:spacing w:val="-4"/>
                <w:sz w:val="21"/>
                <w:szCs w:val="21"/>
                <w:highlight w:val="none"/>
                <w:lang w:val="en-US" w:eastAsia="zh-CN"/>
              </w:rPr>
              <w:t>0.09</w:t>
            </w:r>
            <w:r>
              <w:rPr>
                <w:rFonts w:ascii="Times New Roman" w:hAnsi="Times New Roman" w:eastAsia="宋体" w:cs="Times New Roman"/>
                <w:color w:val="000000"/>
                <w:spacing w:val="-4"/>
                <w:sz w:val="21"/>
                <w:szCs w:val="21"/>
                <w:highlight w:val="none"/>
                <w:lang w:val="en-US" w:eastAsia="zh-CN"/>
              </w:rPr>
              <w:t>t/a</w:t>
            </w:r>
          </w:p>
        </w:tc>
      </w:tr>
      <w:tr w14:paraId="6FD4E9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70" w:type="dxa"/>
            <w:vMerge w:val="continue"/>
            <w:noWrap w:val="0"/>
            <w:vAlign w:val="center"/>
          </w:tcPr>
          <w:p w14:paraId="7952A80C">
            <w:pPr>
              <w:pStyle w:val="223"/>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1743" w:type="dxa"/>
            <w:noWrap w:val="0"/>
            <w:vAlign w:val="center"/>
          </w:tcPr>
          <w:p w14:paraId="33D2415C">
            <w:pPr>
              <w:jc w:val="center"/>
              <w:rPr>
                <w:rFonts w:ascii="Times New Roman" w:hAnsi="Times New Roman" w:eastAsia="宋体" w:cs="Times New Roman"/>
                <w:b w:val="0"/>
                <w:bCs w:val="0"/>
                <w:color w:val="000000"/>
                <w:sz w:val="21"/>
                <w:szCs w:val="21"/>
                <w:highlight w:val="none"/>
                <w:lang w:val="en-US" w:eastAsia="zh-CN" w:bidi="ar-SA"/>
              </w:rPr>
            </w:pPr>
            <w:r>
              <w:rPr>
                <w:rFonts w:hint="eastAsia" w:ascii="Times New Roman" w:hAnsi="Times New Roman" w:eastAsia="宋体" w:cs="Times New Roman"/>
                <w:b w:val="0"/>
                <w:bCs w:val="0"/>
                <w:color w:val="000000"/>
                <w:sz w:val="21"/>
                <w:szCs w:val="21"/>
                <w:highlight w:val="none"/>
                <w:lang w:val="en-US" w:eastAsia="zh-CN"/>
              </w:rPr>
              <w:t>边角料</w:t>
            </w:r>
          </w:p>
        </w:tc>
        <w:tc>
          <w:tcPr>
            <w:tcW w:w="1802" w:type="dxa"/>
            <w:noWrap w:val="0"/>
            <w:vAlign w:val="center"/>
          </w:tcPr>
          <w:p w14:paraId="759B0DB2">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w:t>
            </w:r>
          </w:p>
        </w:tc>
        <w:tc>
          <w:tcPr>
            <w:tcW w:w="1351" w:type="dxa"/>
            <w:noWrap w:val="0"/>
            <w:vAlign w:val="center"/>
          </w:tcPr>
          <w:p w14:paraId="6E66F972">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802" w:type="dxa"/>
            <w:noWrap w:val="0"/>
            <w:vAlign w:val="center"/>
          </w:tcPr>
          <w:p w14:paraId="237F96BC">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653" w:type="dxa"/>
            <w:noWrap w:val="0"/>
            <w:vAlign w:val="center"/>
          </w:tcPr>
          <w:p w14:paraId="05032CF4">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400</w:t>
            </w:r>
            <w:r>
              <w:rPr>
                <w:rFonts w:hint="eastAsia" w:ascii="Times New Roman" w:hAnsi="Times New Roman" w:eastAsia="宋体" w:cs="Times New Roman"/>
                <w:color w:val="000000"/>
                <w:spacing w:val="-4"/>
                <w:sz w:val="21"/>
                <w:szCs w:val="21"/>
                <w:highlight w:val="none"/>
                <w:lang w:val="en-US" w:eastAsia="zh-CN"/>
              </w:rPr>
              <w:t>t/a</w:t>
            </w:r>
          </w:p>
        </w:tc>
        <w:tc>
          <w:tcPr>
            <w:tcW w:w="1866" w:type="dxa"/>
            <w:noWrap w:val="0"/>
            <w:vAlign w:val="center"/>
          </w:tcPr>
          <w:p w14:paraId="305C94D0">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77B5A0AA">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400</w:t>
            </w:r>
            <w:r>
              <w:rPr>
                <w:rFonts w:hint="eastAsia" w:ascii="Times New Roman" w:hAnsi="Times New Roman" w:eastAsia="宋体" w:cs="Times New Roman"/>
                <w:color w:val="000000"/>
                <w:spacing w:val="-4"/>
                <w:sz w:val="21"/>
                <w:szCs w:val="21"/>
                <w:highlight w:val="none"/>
                <w:lang w:val="en-US" w:eastAsia="zh-CN"/>
              </w:rPr>
              <w:t>t/a</w:t>
            </w:r>
          </w:p>
        </w:tc>
        <w:tc>
          <w:tcPr>
            <w:tcW w:w="1333" w:type="dxa"/>
            <w:noWrap w:val="0"/>
            <w:vAlign w:val="center"/>
          </w:tcPr>
          <w:p w14:paraId="019F8FB8">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w:t>
            </w:r>
            <w:r>
              <w:rPr>
                <w:rFonts w:hint="eastAsia" w:ascii="Times New Roman" w:hAnsi="Times New Roman" w:eastAsia="宋体" w:cs="Times New Roman"/>
                <w:color w:val="000000"/>
                <w:spacing w:val="-4"/>
                <w:sz w:val="21"/>
                <w:szCs w:val="21"/>
                <w:highlight w:val="none"/>
                <w:lang w:val="en-US" w:eastAsia="zh-CN" w:bidi="ar-SA"/>
              </w:rPr>
              <w:t>400</w:t>
            </w:r>
            <w:r>
              <w:rPr>
                <w:rFonts w:hint="eastAsia" w:ascii="Times New Roman" w:hAnsi="Times New Roman" w:eastAsia="宋体" w:cs="Times New Roman"/>
                <w:color w:val="000000"/>
                <w:spacing w:val="-4"/>
                <w:sz w:val="21"/>
                <w:szCs w:val="21"/>
                <w:highlight w:val="none"/>
                <w:lang w:val="en-US" w:eastAsia="zh-CN"/>
              </w:rPr>
              <w:t>t/a</w:t>
            </w:r>
          </w:p>
        </w:tc>
      </w:tr>
      <w:tr w14:paraId="08A10D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4" w:hRule="atLeast"/>
          <w:jc w:val="center"/>
        </w:trPr>
        <w:tc>
          <w:tcPr>
            <w:tcW w:w="470" w:type="dxa"/>
            <w:vMerge w:val="continue"/>
            <w:noWrap w:val="0"/>
            <w:vAlign w:val="top"/>
          </w:tcPr>
          <w:p w14:paraId="28BA9926">
            <w:pPr>
              <w:pStyle w:val="223"/>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1699" w:type="dxa"/>
            <w:noWrap w:val="0"/>
            <w:vAlign w:val="center"/>
          </w:tcPr>
          <w:p w14:paraId="37F4A6BC">
            <w:pPr>
              <w:jc w:val="center"/>
              <w:rPr>
                <w:rFonts w:ascii="Times New Roman" w:hAnsi="Times New Roman" w:eastAsia="宋体" w:cs="Times New Roman"/>
                <w:b w:val="0"/>
                <w:bCs w:val="0"/>
                <w:color w:val="000000"/>
                <w:sz w:val="21"/>
                <w:szCs w:val="21"/>
                <w:highlight w:val="none"/>
                <w:lang w:val="en-US" w:eastAsia="zh-CN" w:bidi="ar-SA"/>
              </w:rPr>
            </w:pPr>
            <w:r>
              <w:rPr>
                <w:rFonts w:hint="eastAsia" w:ascii="Times New Roman" w:hAnsi="Times New Roman" w:eastAsia="宋体" w:cs="Times New Roman"/>
                <w:b w:val="0"/>
                <w:bCs w:val="0"/>
                <w:color w:val="000000"/>
                <w:sz w:val="21"/>
                <w:szCs w:val="21"/>
                <w:highlight w:val="none"/>
                <w:lang w:val="en-US" w:eastAsia="zh-CN"/>
              </w:rPr>
              <w:t>不合格产品</w:t>
            </w:r>
          </w:p>
        </w:tc>
        <w:tc>
          <w:tcPr>
            <w:tcW w:w="1757" w:type="dxa"/>
            <w:noWrap w:val="0"/>
            <w:vAlign w:val="center"/>
          </w:tcPr>
          <w:p w14:paraId="1D6C8277">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w:t>
            </w:r>
          </w:p>
        </w:tc>
        <w:tc>
          <w:tcPr>
            <w:tcW w:w="1304" w:type="dxa"/>
            <w:noWrap w:val="0"/>
            <w:vAlign w:val="top"/>
          </w:tcPr>
          <w:p w14:paraId="683F1BAC">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757" w:type="dxa"/>
            <w:noWrap w:val="0"/>
            <w:vAlign w:val="top"/>
          </w:tcPr>
          <w:p w14:paraId="595FD630">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608" w:type="dxa"/>
            <w:noWrap w:val="0"/>
            <w:vAlign w:val="center"/>
          </w:tcPr>
          <w:p w14:paraId="2DE2D818">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10t/a</w:t>
            </w:r>
          </w:p>
        </w:tc>
        <w:tc>
          <w:tcPr>
            <w:tcW w:w="1825" w:type="dxa"/>
            <w:noWrap w:val="0"/>
            <w:vAlign w:val="top"/>
          </w:tcPr>
          <w:p w14:paraId="5C5D07AD">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16CDB038">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10t/a</w:t>
            </w:r>
          </w:p>
        </w:tc>
        <w:tc>
          <w:tcPr>
            <w:tcW w:w="1333" w:type="dxa"/>
            <w:noWrap w:val="0"/>
            <w:vAlign w:val="center"/>
          </w:tcPr>
          <w:p w14:paraId="1FFAB029">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w:t>
            </w:r>
            <w:r>
              <w:rPr>
                <w:rFonts w:hint="eastAsia" w:ascii="Times New Roman" w:hAnsi="Times New Roman" w:eastAsia="宋体" w:cs="Times New Roman"/>
                <w:color w:val="000000"/>
                <w:spacing w:val="-4"/>
                <w:sz w:val="21"/>
                <w:szCs w:val="21"/>
                <w:highlight w:val="none"/>
                <w:lang w:val="en-US" w:eastAsia="zh-CN"/>
              </w:rPr>
              <w:t>10t/a</w:t>
            </w:r>
          </w:p>
        </w:tc>
      </w:tr>
      <w:tr w14:paraId="39C651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70" w:type="dxa"/>
            <w:vMerge w:val="continue"/>
            <w:noWrap w:val="0"/>
            <w:vAlign w:val="top"/>
          </w:tcPr>
          <w:p w14:paraId="5C6FD3D1">
            <w:pPr>
              <w:pStyle w:val="223"/>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1699" w:type="dxa"/>
            <w:noWrap w:val="0"/>
            <w:vAlign w:val="center"/>
          </w:tcPr>
          <w:p w14:paraId="616E431E">
            <w:pPr>
              <w:jc w:val="center"/>
              <w:rPr>
                <w:rFonts w:ascii="Times New Roman" w:hAnsi="Times New Roman" w:eastAsia="宋体" w:cs="Times New Roman"/>
                <w:b w:val="0"/>
                <w:bCs w:val="0"/>
                <w:color w:val="000000"/>
                <w:sz w:val="21"/>
                <w:szCs w:val="21"/>
                <w:highlight w:val="none"/>
                <w:lang w:val="en-US" w:eastAsia="zh-CN" w:bidi="ar-SA"/>
              </w:rPr>
            </w:pPr>
            <w:r>
              <w:rPr>
                <w:rFonts w:hint="eastAsia" w:ascii="Times New Roman" w:hAnsi="Times New Roman" w:eastAsia="宋体" w:cs="Times New Roman"/>
                <w:b w:val="0"/>
                <w:bCs w:val="0"/>
                <w:color w:val="000000"/>
                <w:sz w:val="21"/>
                <w:szCs w:val="21"/>
                <w:highlight w:val="none"/>
                <w:lang w:val="en-US" w:eastAsia="zh-CN" w:bidi="ar-SA"/>
              </w:rPr>
              <w:t>除尘灰</w:t>
            </w:r>
          </w:p>
        </w:tc>
        <w:tc>
          <w:tcPr>
            <w:tcW w:w="1757" w:type="dxa"/>
            <w:noWrap w:val="0"/>
            <w:vAlign w:val="center"/>
          </w:tcPr>
          <w:p w14:paraId="794A54CF">
            <w:pPr>
              <w:keepNext w:val="0"/>
              <w:keepLines w:val="0"/>
              <w:pageBreakBefore w:val="0"/>
              <w:widowControl w:val="0"/>
              <w:spacing w:line="240" w:lineRule="auto"/>
              <w:ind w:left="0" w:right="0" w:firstLine="0"/>
              <w:jc w:val="center"/>
              <w:rPr>
                <w:rFonts w:ascii="Times New Roman" w:hAnsi="Times New Roman" w:eastAsia="宋体" w:cs="Times New Roman"/>
                <w:color w:val="FF0000"/>
                <w:spacing w:val="-4"/>
                <w:sz w:val="21"/>
                <w:szCs w:val="21"/>
                <w:highlight w:val="none"/>
                <w:lang w:val="en-US" w:eastAsia="zh-CN" w:bidi="ar-SA"/>
              </w:rPr>
            </w:pPr>
            <w:r>
              <w:rPr>
                <w:rFonts w:hint="eastAsia" w:ascii="Times New Roman" w:hAnsi="Times New Roman" w:eastAsia="宋体" w:cs="Times New Roman"/>
                <w:color w:val="FF0000"/>
                <w:spacing w:val="-4"/>
                <w:sz w:val="21"/>
                <w:szCs w:val="21"/>
                <w:highlight w:val="none"/>
                <w:lang w:val="en-US" w:eastAsia="zh-CN" w:bidi="ar-SA"/>
              </w:rPr>
              <w:t>/</w:t>
            </w:r>
          </w:p>
        </w:tc>
        <w:tc>
          <w:tcPr>
            <w:tcW w:w="1304" w:type="dxa"/>
            <w:noWrap w:val="0"/>
            <w:vAlign w:val="top"/>
          </w:tcPr>
          <w:p w14:paraId="723731A3">
            <w:pPr>
              <w:keepNext w:val="0"/>
              <w:keepLines w:val="0"/>
              <w:pageBreakBefore w:val="0"/>
              <w:spacing w:line="240" w:lineRule="auto"/>
              <w:jc w:val="center"/>
              <w:outlineLvl w:val="9"/>
              <w:rPr>
                <w:rFonts w:ascii="Times New Roman" w:hAnsi="Times New Roman" w:eastAsia="宋体" w:cs="Times New Roman"/>
                <w:color w:val="FF0000"/>
                <w:sz w:val="21"/>
                <w:szCs w:val="21"/>
                <w:highlight w:val="none"/>
                <w:lang w:val="en-US" w:eastAsia="zh-CN" w:bidi="ar-SA"/>
              </w:rPr>
            </w:pPr>
            <w:r>
              <w:rPr>
                <w:rFonts w:ascii="Times New Roman" w:hAnsi="Times New Roman" w:eastAsia="宋体" w:cs="Times New Roman"/>
                <w:color w:val="FF0000"/>
                <w:sz w:val="21"/>
                <w:szCs w:val="21"/>
                <w:highlight w:val="none"/>
                <w:lang w:val="en-US" w:eastAsia="zh-CN"/>
              </w:rPr>
              <w:t>/</w:t>
            </w:r>
          </w:p>
        </w:tc>
        <w:tc>
          <w:tcPr>
            <w:tcW w:w="1757" w:type="dxa"/>
            <w:noWrap w:val="0"/>
            <w:vAlign w:val="top"/>
          </w:tcPr>
          <w:p w14:paraId="4FB32BFA">
            <w:pPr>
              <w:keepNext w:val="0"/>
              <w:keepLines w:val="0"/>
              <w:pageBreakBefore w:val="0"/>
              <w:spacing w:line="240" w:lineRule="auto"/>
              <w:jc w:val="center"/>
              <w:outlineLvl w:val="9"/>
              <w:rPr>
                <w:rFonts w:ascii="Times New Roman" w:hAnsi="Times New Roman" w:eastAsia="宋体" w:cs="Times New Roman"/>
                <w:color w:val="FF0000"/>
                <w:sz w:val="21"/>
                <w:szCs w:val="21"/>
                <w:highlight w:val="none"/>
                <w:lang w:val="en-US" w:eastAsia="zh-CN" w:bidi="ar-SA"/>
              </w:rPr>
            </w:pPr>
            <w:r>
              <w:rPr>
                <w:rFonts w:ascii="Times New Roman" w:hAnsi="Times New Roman" w:eastAsia="宋体" w:cs="Times New Roman"/>
                <w:color w:val="FF0000"/>
                <w:sz w:val="21"/>
                <w:szCs w:val="21"/>
                <w:highlight w:val="none"/>
                <w:lang w:val="en-US" w:eastAsia="zh-CN"/>
              </w:rPr>
              <w:t>/</w:t>
            </w:r>
          </w:p>
        </w:tc>
        <w:tc>
          <w:tcPr>
            <w:tcW w:w="1608" w:type="dxa"/>
            <w:noWrap w:val="0"/>
            <w:vAlign w:val="center"/>
          </w:tcPr>
          <w:p w14:paraId="1791B9AF">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1.4499</w:t>
            </w:r>
            <w:r>
              <w:rPr>
                <w:rFonts w:ascii="Times New Roman" w:hAnsi="Times New Roman" w:eastAsia="宋体" w:cs="Times New Roman"/>
                <w:color w:val="000000"/>
                <w:spacing w:val="-4"/>
                <w:sz w:val="21"/>
                <w:szCs w:val="21"/>
                <w:highlight w:val="none"/>
                <w:lang w:val="en-US" w:eastAsia="zh-CN"/>
              </w:rPr>
              <w:t>t/a</w:t>
            </w:r>
          </w:p>
        </w:tc>
        <w:tc>
          <w:tcPr>
            <w:tcW w:w="1825" w:type="dxa"/>
            <w:noWrap w:val="0"/>
            <w:vAlign w:val="top"/>
          </w:tcPr>
          <w:p w14:paraId="61EC26A8">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532D7B41">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1.4499</w:t>
            </w:r>
            <w:r>
              <w:rPr>
                <w:rFonts w:ascii="Times New Roman" w:hAnsi="Times New Roman" w:eastAsia="宋体" w:cs="Times New Roman"/>
                <w:color w:val="000000"/>
                <w:spacing w:val="-4"/>
                <w:sz w:val="21"/>
                <w:szCs w:val="21"/>
                <w:highlight w:val="none"/>
                <w:lang w:val="en-US" w:eastAsia="zh-CN"/>
              </w:rPr>
              <w:t>t/a</w:t>
            </w:r>
          </w:p>
        </w:tc>
        <w:tc>
          <w:tcPr>
            <w:tcW w:w="1333" w:type="dxa"/>
            <w:noWrap w:val="0"/>
            <w:vAlign w:val="center"/>
          </w:tcPr>
          <w:p w14:paraId="2BED294D">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w:t>
            </w:r>
            <w:r>
              <w:rPr>
                <w:rFonts w:hint="eastAsia" w:ascii="Times New Roman" w:hAnsi="Times New Roman" w:eastAsia="宋体" w:cs="Times New Roman"/>
                <w:color w:val="000000"/>
                <w:spacing w:val="-4"/>
                <w:sz w:val="21"/>
                <w:szCs w:val="21"/>
                <w:highlight w:val="none"/>
                <w:lang w:val="en-US" w:eastAsia="zh-CN"/>
              </w:rPr>
              <w:t>1.4499</w:t>
            </w:r>
            <w:r>
              <w:rPr>
                <w:rFonts w:ascii="Times New Roman" w:hAnsi="Times New Roman" w:eastAsia="宋体" w:cs="Times New Roman"/>
                <w:color w:val="000000"/>
                <w:spacing w:val="-4"/>
                <w:sz w:val="21"/>
                <w:szCs w:val="21"/>
                <w:highlight w:val="none"/>
                <w:lang w:val="en-US" w:eastAsia="zh-CN"/>
              </w:rPr>
              <w:t>t/a</w:t>
            </w:r>
          </w:p>
        </w:tc>
      </w:tr>
      <w:tr w14:paraId="796B2A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70" w:type="dxa"/>
            <w:vMerge w:val="continue"/>
            <w:noWrap w:val="0"/>
            <w:vAlign w:val="top"/>
          </w:tcPr>
          <w:p w14:paraId="5B6BDA13">
            <w:pPr>
              <w:pStyle w:val="223"/>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1699" w:type="dxa"/>
            <w:noWrap w:val="0"/>
            <w:vAlign w:val="center"/>
          </w:tcPr>
          <w:p w14:paraId="71BD9658">
            <w:pPr>
              <w:jc w:val="center"/>
              <w:rPr>
                <w:rFonts w:ascii="Times New Roman" w:hAnsi="Times New Roman" w:eastAsia="宋体" w:cs="Times New Roman"/>
                <w:b w:val="0"/>
                <w:bCs w:val="0"/>
                <w:color w:val="000000"/>
                <w:sz w:val="21"/>
                <w:szCs w:val="21"/>
                <w:highlight w:val="none"/>
                <w:lang w:val="en-US" w:eastAsia="zh-CN" w:bidi="ar-SA"/>
              </w:rPr>
            </w:pPr>
            <w:r>
              <w:rPr>
                <w:rFonts w:hint="eastAsia" w:ascii="Times New Roman" w:hAnsi="Times New Roman" w:eastAsia="宋体" w:cs="Times New Roman"/>
                <w:b w:val="0"/>
                <w:bCs w:val="0"/>
                <w:color w:val="000000"/>
                <w:sz w:val="21"/>
                <w:szCs w:val="21"/>
                <w:highlight w:val="none"/>
                <w:lang w:val="en-US" w:eastAsia="zh-CN"/>
              </w:rPr>
              <w:t>灰渣</w:t>
            </w:r>
          </w:p>
        </w:tc>
        <w:tc>
          <w:tcPr>
            <w:tcW w:w="1757" w:type="dxa"/>
            <w:noWrap w:val="0"/>
            <w:vAlign w:val="center"/>
          </w:tcPr>
          <w:p w14:paraId="771B546F">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w:t>
            </w:r>
          </w:p>
        </w:tc>
        <w:tc>
          <w:tcPr>
            <w:tcW w:w="1304" w:type="dxa"/>
            <w:noWrap w:val="0"/>
            <w:vAlign w:val="top"/>
          </w:tcPr>
          <w:p w14:paraId="08164081">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757" w:type="dxa"/>
            <w:noWrap w:val="0"/>
            <w:vAlign w:val="top"/>
          </w:tcPr>
          <w:p w14:paraId="53A10192">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608" w:type="dxa"/>
            <w:noWrap w:val="0"/>
            <w:vAlign w:val="center"/>
          </w:tcPr>
          <w:p w14:paraId="5C21B90C">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12t/a</w:t>
            </w:r>
          </w:p>
        </w:tc>
        <w:tc>
          <w:tcPr>
            <w:tcW w:w="1825" w:type="dxa"/>
            <w:noWrap w:val="0"/>
            <w:vAlign w:val="top"/>
          </w:tcPr>
          <w:p w14:paraId="5213CE38">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4B62999F">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12t/a</w:t>
            </w:r>
          </w:p>
        </w:tc>
        <w:tc>
          <w:tcPr>
            <w:tcW w:w="1333" w:type="dxa"/>
            <w:noWrap w:val="0"/>
            <w:vAlign w:val="center"/>
          </w:tcPr>
          <w:p w14:paraId="03009405">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w:t>
            </w:r>
            <w:r>
              <w:rPr>
                <w:rFonts w:hint="eastAsia" w:ascii="Times New Roman" w:hAnsi="Times New Roman" w:eastAsia="宋体" w:cs="Times New Roman"/>
                <w:color w:val="000000"/>
                <w:spacing w:val="-4"/>
                <w:sz w:val="21"/>
                <w:szCs w:val="21"/>
                <w:highlight w:val="none"/>
                <w:lang w:val="en-US" w:eastAsia="zh-CN" w:bidi="ar-SA"/>
              </w:rPr>
              <w:t>12t/a</w:t>
            </w:r>
          </w:p>
        </w:tc>
      </w:tr>
      <w:tr w14:paraId="1E8F9C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70" w:type="dxa"/>
            <w:vMerge w:val="continue"/>
            <w:noWrap w:val="0"/>
            <w:vAlign w:val="top"/>
          </w:tcPr>
          <w:p w14:paraId="72579FA3">
            <w:pPr>
              <w:pStyle w:val="223"/>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1699" w:type="dxa"/>
            <w:noWrap w:val="0"/>
            <w:vAlign w:val="center"/>
          </w:tcPr>
          <w:p w14:paraId="25A9C12F">
            <w:pPr>
              <w:jc w:val="center"/>
              <w:rPr>
                <w:rFonts w:ascii="Times New Roman" w:hAnsi="Times New Roman" w:eastAsia="宋体" w:cs="Times New Roman"/>
                <w:b w:val="0"/>
                <w:bCs w:val="0"/>
                <w:color w:val="000000"/>
                <w:sz w:val="21"/>
                <w:szCs w:val="21"/>
                <w:highlight w:val="none"/>
                <w:lang w:val="en-US" w:eastAsia="zh-CN" w:bidi="ar-SA"/>
              </w:rPr>
            </w:pPr>
            <w:r>
              <w:rPr>
                <w:rFonts w:hint="eastAsia" w:ascii="Times New Roman" w:hAnsi="Times New Roman" w:eastAsia="宋体" w:cs="Times New Roman"/>
                <w:b w:val="0"/>
                <w:bCs w:val="0"/>
                <w:color w:val="000000"/>
                <w:sz w:val="21"/>
                <w:szCs w:val="21"/>
                <w:highlight w:val="none"/>
                <w:lang w:val="en-US" w:eastAsia="zh-CN"/>
              </w:rPr>
              <w:t>废包装袋</w:t>
            </w:r>
          </w:p>
        </w:tc>
        <w:tc>
          <w:tcPr>
            <w:tcW w:w="1757" w:type="dxa"/>
            <w:noWrap w:val="0"/>
            <w:vAlign w:val="center"/>
          </w:tcPr>
          <w:p w14:paraId="0A880EC1">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bidi="ar-SA"/>
              </w:rPr>
              <w:t>/</w:t>
            </w:r>
          </w:p>
        </w:tc>
        <w:tc>
          <w:tcPr>
            <w:tcW w:w="1304" w:type="dxa"/>
            <w:noWrap w:val="0"/>
            <w:vAlign w:val="top"/>
          </w:tcPr>
          <w:p w14:paraId="34518CD3">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757" w:type="dxa"/>
            <w:noWrap w:val="0"/>
            <w:vAlign w:val="top"/>
          </w:tcPr>
          <w:p w14:paraId="31A9D32B">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1608" w:type="dxa"/>
            <w:noWrap w:val="0"/>
            <w:vAlign w:val="center"/>
          </w:tcPr>
          <w:p w14:paraId="0C4FFF18">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0.01</w:t>
            </w:r>
            <w:r>
              <w:rPr>
                <w:rFonts w:ascii="Times New Roman" w:hAnsi="Times New Roman" w:eastAsia="宋体" w:cs="Times New Roman"/>
                <w:color w:val="000000"/>
                <w:spacing w:val="-4"/>
                <w:sz w:val="21"/>
                <w:szCs w:val="21"/>
                <w:highlight w:val="none"/>
                <w:lang w:val="en-US" w:eastAsia="zh-CN"/>
              </w:rPr>
              <w:t>t/a</w:t>
            </w:r>
          </w:p>
        </w:tc>
        <w:tc>
          <w:tcPr>
            <w:tcW w:w="1825" w:type="dxa"/>
            <w:noWrap w:val="0"/>
            <w:vAlign w:val="top"/>
          </w:tcPr>
          <w:p w14:paraId="4D039FFC">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29" w:type="dxa"/>
            <w:noWrap w:val="0"/>
            <w:vAlign w:val="center"/>
          </w:tcPr>
          <w:p w14:paraId="52B6F204">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pacing w:val="-4"/>
                <w:sz w:val="21"/>
                <w:szCs w:val="21"/>
                <w:highlight w:val="none"/>
                <w:lang w:val="en-US" w:eastAsia="zh-CN"/>
              </w:rPr>
              <w:t>0.01</w:t>
            </w:r>
            <w:r>
              <w:rPr>
                <w:rFonts w:ascii="Times New Roman" w:hAnsi="Times New Roman" w:eastAsia="宋体" w:cs="Times New Roman"/>
                <w:color w:val="000000"/>
                <w:spacing w:val="-4"/>
                <w:sz w:val="21"/>
                <w:szCs w:val="21"/>
                <w:highlight w:val="none"/>
                <w:lang w:val="en-US" w:eastAsia="zh-CN"/>
              </w:rPr>
              <w:t>t/a</w:t>
            </w:r>
          </w:p>
        </w:tc>
        <w:tc>
          <w:tcPr>
            <w:tcW w:w="1333" w:type="dxa"/>
            <w:noWrap w:val="0"/>
            <w:vAlign w:val="center"/>
          </w:tcPr>
          <w:p w14:paraId="69B4B985">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w:t>
            </w:r>
            <w:r>
              <w:rPr>
                <w:rFonts w:hint="eastAsia" w:ascii="Times New Roman" w:hAnsi="Times New Roman" w:eastAsia="宋体" w:cs="Times New Roman"/>
                <w:color w:val="000000"/>
                <w:spacing w:val="-4"/>
                <w:sz w:val="21"/>
                <w:szCs w:val="21"/>
                <w:highlight w:val="none"/>
                <w:lang w:val="en-US" w:eastAsia="zh-CN"/>
              </w:rPr>
              <w:t>0.01</w:t>
            </w:r>
            <w:r>
              <w:rPr>
                <w:rFonts w:ascii="Times New Roman" w:hAnsi="Times New Roman" w:eastAsia="宋体" w:cs="Times New Roman"/>
                <w:color w:val="000000"/>
                <w:spacing w:val="-4"/>
                <w:sz w:val="21"/>
                <w:szCs w:val="21"/>
                <w:highlight w:val="none"/>
                <w:lang w:val="en-US" w:eastAsia="zh-CN"/>
              </w:rPr>
              <w:t>t/a</w:t>
            </w:r>
          </w:p>
        </w:tc>
      </w:tr>
      <w:tr w14:paraId="2E0951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70" w:type="dxa"/>
            <w:vMerge w:val="restart"/>
            <w:noWrap w:val="0"/>
            <w:vAlign w:val="top"/>
          </w:tcPr>
          <w:p w14:paraId="1A7D365B">
            <w:pPr>
              <w:pStyle w:val="223"/>
              <w:keepNext w:val="0"/>
              <w:keepLines w:val="0"/>
              <w:pageBreakBefore w:val="0"/>
              <w:spacing w:line="240" w:lineRule="auto"/>
              <w:outlineLvl w:val="9"/>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危险废物</w:t>
            </w:r>
          </w:p>
        </w:tc>
        <w:tc>
          <w:tcPr>
            <w:tcW w:w="1699" w:type="dxa"/>
            <w:noWrap w:val="0"/>
            <w:vAlign w:val="center"/>
          </w:tcPr>
          <w:p w14:paraId="72EE79DB">
            <w:pPr>
              <w:jc w:val="center"/>
              <w:rPr>
                <w:rFonts w:ascii="Times New Roman" w:hAnsi="Times New Roman" w:eastAsia="宋体" w:cs="Times New Roman"/>
                <w:b w:val="0"/>
                <w:bCs w:val="0"/>
                <w:color w:val="000000"/>
                <w:sz w:val="21"/>
                <w:szCs w:val="21"/>
                <w:highlight w:val="none"/>
                <w:lang w:val="en-US" w:eastAsia="zh-CN" w:bidi="ar-SA"/>
              </w:rPr>
            </w:pPr>
            <w:r>
              <w:rPr>
                <w:rFonts w:hint="eastAsia" w:ascii="Times New Roman" w:hAnsi="Times New Roman" w:eastAsia="宋体" w:cs="Times New Roman"/>
                <w:b w:val="0"/>
                <w:bCs w:val="0"/>
                <w:color w:val="000000"/>
                <w:sz w:val="21"/>
                <w:szCs w:val="21"/>
                <w:highlight w:val="none"/>
                <w:lang w:val="en-US" w:eastAsia="zh-CN" w:bidi="ar-SA"/>
              </w:rPr>
              <w:t>废活性炭</w:t>
            </w:r>
          </w:p>
        </w:tc>
        <w:tc>
          <w:tcPr>
            <w:tcW w:w="1757" w:type="dxa"/>
            <w:noWrap w:val="0"/>
            <w:vAlign w:val="top"/>
          </w:tcPr>
          <w:p w14:paraId="367B2F20">
            <w:pPr>
              <w:keepNext w:val="0"/>
              <w:keepLines w:val="0"/>
              <w:pageBreakBefore w:val="0"/>
              <w:spacing w:line="240" w:lineRule="auto"/>
              <w:jc w:val="center"/>
              <w:outlineLvl w:val="9"/>
              <w:rPr>
                <w:rFonts w:ascii="Times New Roman" w:hAnsi="Times New Roman" w:eastAsia="宋体" w:cs="Times New Roman"/>
                <w:color w:val="FF0000"/>
                <w:sz w:val="21"/>
                <w:szCs w:val="21"/>
                <w:highlight w:val="none"/>
                <w:lang w:val="en-US" w:eastAsia="zh-CN" w:bidi="ar-SA"/>
              </w:rPr>
            </w:pPr>
            <w:r>
              <w:rPr>
                <w:rFonts w:ascii="Times New Roman" w:hAnsi="Times New Roman" w:eastAsia="宋体" w:cs="Times New Roman"/>
                <w:color w:val="FF0000"/>
                <w:sz w:val="21"/>
                <w:szCs w:val="21"/>
                <w:highlight w:val="none"/>
                <w:lang w:val="en-US" w:eastAsia="zh-CN"/>
              </w:rPr>
              <w:t>/</w:t>
            </w:r>
          </w:p>
        </w:tc>
        <w:tc>
          <w:tcPr>
            <w:tcW w:w="1304" w:type="dxa"/>
            <w:noWrap w:val="0"/>
            <w:vAlign w:val="top"/>
          </w:tcPr>
          <w:p w14:paraId="7BCA70AC">
            <w:pPr>
              <w:keepNext w:val="0"/>
              <w:keepLines w:val="0"/>
              <w:pageBreakBefore w:val="0"/>
              <w:spacing w:line="240" w:lineRule="auto"/>
              <w:jc w:val="center"/>
              <w:outlineLvl w:val="9"/>
              <w:rPr>
                <w:rFonts w:ascii="Times New Roman" w:hAnsi="Times New Roman" w:eastAsia="宋体" w:cs="Times New Roman"/>
                <w:color w:val="FF0000"/>
                <w:sz w:val="21"/>
                <w:szCs w:val="21"/>
                <w:highlight w:val="none"/>
                <w:lang w:val="en-US" w:eastAsia="zh-CN" w:bidi="ar-SA"/>
              </w:rPr>
            </w:pPr>
            <w:r>
              <w:rPr>
                <w:rFonts w:ascii="Times New Roman" w:hAnsi="Times New Roman" w:eastAsia="宋体" w:cs="Times New Roman"/>
                <w:color w:val="FF0000"/>
                <w:sz w:val="21"/>
                <w:szCs w:val="21"/>
                <w:highlight w:val="none"/>
                <w:lang w:val="en-US" w:eastAsia="zh-CN"/>
              </w:rPr>
              <w:t>/</w:t>
            </w:r>
          </w:p>
        </w:tc>
        <w:tc>
          <w:tcPr>
            <w:tcW w:w="1757" w:type="dxa"/>
            <w:noWrap w:val="0"/>
            <w:vAlign w:val="top"/>
          </w:tcPr>
          <w:p w14:paraId="4E76A6A8">
            <w:pPr>
              <w:keepNext w:val="0"/>
              <w:keepLines w:val="0"/>
              <w:pageBreakBefore w:val="0"/>
              <w:spacing w:line="240" w:lineRule="auto"/>
              <w:jc w:val="center"/>
              <w:outlineLvl w:val="9"/>
              <w:rPr>
                <w:rFonts w:ascii="Times New Roman" w:hAnsi="Times New Roman" w:eastAsia="宋体" w:cs="Times New Roman"/>
                <w:color w:val="FF0000"/>
                <w:sz w:val="21"/>
                <w:szCs w:val="21"/>
                <w:highlight w:val="none"/>
                <w:lang w:val="en-US" w:eastAsia="zh-CN" w:bidi="ar-SA"/>
              </w:rPr>
            </w:pPr>
            <w:r>
              <w:rPr>
                <w:rFonts w:ascii="Times New Roman" w:hAnsi="Times New Roman" w:eastAsia="宋体" w:cs="Times New Roman"/>
                <w:color w:val="FF0000"/>
                <w:sz w:val="21"/>
                <w:szCs w:val="21"/>
                <w:highlight w:val="none"/>
                <w:lang w:val="en-US" w:eastAsia="zh-CN"/>
              </w:rPr>
              <w:t>/</w:t>
            </w:r>
          </w:p>
        </w:tc>
        <w:tc>
          <w:tcPr>
            <w:tcW w:w="1608" w:type="dxa"/>
            <w:noWrap w:val="0"/>
            <w:vAlign w:val="top"/>
          </w:tcPr>
          <w:p w14:paraId="14F08561">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0.0039</w:t>
            </w:r>
            <w:r>
              <w:rPr>
                <w:rFonts w:hint="eastAsia" w:ascii="Times New Roman" w:hAnsi="Times New Roman" w:eastAsia="宋体" w:cs="Times New Roman"/>
                <w:color w:val="000000"/>
                <w:spacing w:val="-4"/>
                <w:sz w:val="21"/>
                <w:szCs w:val="21"/>
                <w:highlight w:val="none"/>
                <w:lang w:val="en-US" w:eastAsia="zh-CN" w:bidi="ar-SA"/>
              </w:rPr>
              <w:t>t/a</w:t>
            </w:r>
          </w:p>
        </w:tc>
        <w:tc>
          <w:tcPr>
            <w:tcW w:w="1825" w:type="dxa"/>
            <w:noWrap w:val="0"/>
            <w:vAlign w:val="top"/>
          </w:tcPr>
          <w:p w14:paraId="73087224">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bidi="ar-SA"/>
              </w:rPr>
            </w:pPr>
            <w:r>
              <w:rPr>
                <w:rFonts w:ascii="Times New Roman" w:hAnsi="Times New Roman" w:eastAsia="宋体" w:cs="Times New Roman"/>
                <w:color w:val="000000"/>
                <w:sz w:val="21"/>
                <w:szCs w:val="21"/>
                <w:highlight w:val="none"/>
                <w:lang w:val="en-US" w:eastAsia="zh-CN"/>
              </w:rPr>
              <w:t>/</w:t>
            </w:r>
          </w:p>
        </w:tc>
        <w:tc>
          <w:tcPr>
            <w:tcW w:w="2029" w:type="dxa"/>
            <w:noWrap w:val="0"/>
            <w:vAlign w:val="top"/>
          </w:tcPr>
          <w:p w14:paraId="792530D4">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0.0039</w:t>
            </w:r>
            <w:r>
              <w:rPr>
                <w:rFonts w:hint="eastAsia" w:ascii="Times New Roman" w:hAnsi="Times New Roman" w:eastAsia="宋体" w:cs="Times New Roman"/>
                <w:color w:val="000000"/>
                <w:spacing w:val="-4"/>
                <w:sz w:val="21"/>
                <w:szCs w:val="21"/>
                <w:highlight w:val="none"/>
                <w:lang w:val="en-US" w:eastAsia="zh-CN" w:bidi="ar-SA"/>
              </w:rPr>
              <w:t>t/a</w:t>
            </w:r>
          </w:p>
        </w:tc>
        <w:tc>
          <w:tcPr>
            <w:tcW w:w="1333" w:type="dxa"/>
            <w:noWrap w:val="0"/>
            <w:vAlign w:val="top"/>
          </w:tcPr>
          <w:p w14:paraId="2D74290B">
            <w:pPr>
              <w:keepNext w:val="0"/>
              <w:keepLines w:val="0"/>
              <w:pageBreakBefore w:val="0"/>
              <w:widowControl w:val="0"/>
              <w:spacing w:line="240" w:lineRule="auto"/>
              <w:ind w:left="0" w:right="0" w:firstLine="0"/>
              <w:jc w:val="center"/>
              <w:rPr>
                <w:rFonts w:ascii="Times New Roman" w:hAnsi="Times New Roman" w:eastAsia="宋体" w:cs="Times New Roman"/>
                <w:color w:val="000000"/>
                <w:spacing w:val="-4"/>
                <w:sz w:val="21"/>
                <w:szCs w:val="21"/>
                <w:highlight w:val="none"/>
                <w:lang w:val="en-US" w:eastAsia="zh-CN" w:bidi="ar-SA"/>
              </w:rPr>
            </w:pPr>
            <w:r>
              <w:rPr>
                <w:rFonts w:hint="eastAsia" w:ascii="Times New Roman" w:hAnsi="Times New Roman" w:eastAsia="宋体" w:cs="Times New Roman"/>
                <w:b w:val="0"/>
                <w:bCs/>
                <w:color w:val="000000"/>
                <w:sz w:val="21"/>
                <w:szCs w:val="21"/>
                <w:highlight w:val="none"/>
                <w:lang w:val="en-US" w:eastAsia="zh-CN" w:bidi="ar-SA"/>
              </w:rPr>
              <w:t>+</w:t>
            </w:r>
            <w:r>
              <w:rPr>
                <w:rFonts w:hint="eastAsia" w:ascii="Times New Roman" w:hAnsi="Times New Roman" w:eastAsia="宋体" w:cs="Times New Roman"/>
                <w:color w:val="000000"/>
                <w:sz w:val="21"/>
                <w:szCs w:val="21"/>
                <w:highlight w:val="none"/>
                <w:lang w:val="en-US" w:eastAsia="zh-CN"/>
              </w:rPr>
              <w:t>0.0039</w:t>
            </w:r>
            <w:r>
              <w:rPr>
                <w:rFonts w:hint="eastAsia" w:ascii="Times New Roman" w:hAnsi="Times New Roman" w:eastAsia="宋体" w:cs="Times New Roman"/>
                <w:color w:val="000000"/>
                <w:spacing w:val="-4"/>
                <w:sz w:val="21"/>
                <w:szCs w:val="21"/>
                <w:highlight w:val="none"/>
                <w:lang w:val="en-US" w:eastAsia="zh-CN" w:bidi="ar-SA"/>
              </w:rPr>
              <w:t>t/a</w:t>
            </w:r>
          </w:p>
        </w:tc>
      </w:tr>
      <w:tr w14:paraId="33CF7F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470" w:type="dxa"/>
            <w:vMerge w:val="continue"/>
            <w:noWrap w:val="0"/>
            <w:vAlign w:val="top"/>
          </w:tcPr>
          <w:p w14:paraId="3555D55F">
            <w:pPr>
              <w:pStyle w:val="223"/>
              <w:keepNext w:val="0"/>
              <w:keepLines w:val="0"/>
              <w:pageBreakBefore w:val="0"/>
              <w:spacing w:line="240" w:lineRule="auto"/>
              <w:outlineLvl w:val="9"/>
              <w:rPr>
                <w:rFonts w:ascii="Times New Roman" w:hAnsi="Times New Roman" w:eastAsia="宋体" w:cs="Times New Roman"/>
                <w:color w:val="000000"/>
                <w:sz w:val="21"/>
                <w:szCs w:val="21"/>
                <w:highlight w:val="none"/>
              </w:rPr>
            </w:pPr>
          </w:p>
        </w:tc>
        <w:tc>
          <w:tcPr>
            <w:tcW w:w="1699" w:type="dxa"/>
            <w:noWrap w:val="0"/>
            <w:vAlign w:val="center"/>
          </w:tcPr>
          <w:p w14:paraId="44899522">
            <w:pPr>
              <w:jc w:val="center"/>
              <w:rPr>
                <w:rFonts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废机油</w:t>
            </w:r>
          </w:p>
        </w:tc>
        <w:tc>
          <w:tcPr>
            <w:tcW w:w="597" w:type="dxa"/>
            <w:noWrap w:val="0"/>
            <w:vAlign w:val="top"/>
          </w:tcPr>
          <w:p w14:paraId="4BA941B6">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441" w:type="dxa"/>
            <w:noWrap w:val="0"/>
            <w:vAlign w:val="top"/>
          </w:tcPr>
          <w:p w14:paraId="78E7EC86">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597" w:type="dxa"/>
            <w:noWrap w:val="0"/>
            <w:vAlign w:val="top"/>
          </w:tcPr>
          <w:p w14:paraId="3CB3FE0A">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1608" w:type="dxa"/>
            <w:noWrap w:val="0"/>
            <w:vAlign w:val="top"/>
          </w:tcPr>
          <w:p w14:paraId="4C4FBD97">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0.1</w:t>
            </w:r>
            <w:r>
              <w:rPr>
                <w:rFonts w:hint="eastAsia" w:ascii="Times New Roman" w:hAnsi="Times New Roman" w:eastAsia="宋体" w:cs="Times New Roman"/>
                <w:color w:val="000000"/>
                <w:spacing w:val="-4"/>
                <w:sz w:val="21"/>
                <w:szCs w:val="21"/>
                <w:highlight w:val="none"/>
                <w:lang w:val="en-US" w:eastAsia="zh-CN" w:bidi="ar-SA"/>
              </w:rPr>
              <w:t>t/a</w:t>
            </w:r>
          </w:p>
        </w:tc>
        <w:tc>
          <w:tcPr>
            <w:tcW w:w="1825" w:type="dxa"/>
            <w:noWrap w:val="0"/>
            <w:vAlign w:val="top"/>
          </w:tcPr>
          <w:p w14:paraId="6B688527">
            <w:pPr>
              <w:keepNext w:val="0"/>
              <w:keepLines w:val="0"/>
              <w:pageBreakBefore w:val="0"/>
              <w:spacing w:line="240" w:lineRule="auto"/>
              <w:jc w:val="center"/>
              <w:outlineLvl w:val="9"/>
              <w:rPr>
                <w:rFonts w:ascii="Times New Roman" w:hAnsi="Times New Roman" w:eastAsia="宋体" w:cs="Times New Roman"/>
                <w:color w:val="000000"/>
                <w:sz w:val="21"/>
                <w:szCs w:val="21"/>
                <w:highlight w:val="none"/>
                <w:lang w:val="en-US" w:eastAsia="zh-CN"/>
              </w:rPr>
            </w:pPr>
            <w:r>
              <w:rPr>
                <w:rFonts w:ascii="Times New Roman" w:hAnsi="Times New Roman" w:eastAsia="宋体" w:cs="Times New Roman"/>
                <w:color w:val="000000"/>
                <w:sz w:val="21"/>
                <w:szCs w:val="21"/>
                <w:highlight w:val="none"/>
                <w:lang w:val="en-US" w:eastAsia="zh-CN"/>
              </w:rPr>
              <w:t>/</w:t>
            </w:r>
          </w:p>
        </w:tc>
        <w:tc>
          <w:tcPr>
            <w:tcW w:w="2029" w:type="dxa"/>
            <w:noWrap w:val="0"/>
            <w:vAlign w:val="top"/>
          </w:tcPr>
          <w:p w14:paraId="1D28BADF">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0.1</w:t>
            </w:r>
            <w:r>
              <w:rPr>
                <w:rFonts w:hint="eastAsia" w:ascii="Times New Roman" w:hAnsi="Times New Roman" w:eastAsia="宋体" w:cs="Times New Roman"/>
                <w:color w:val="000000"/>
                <w:spacing w:val="-4"/>
                <w:sz w:val="21"/>
                <w:szCs w:val="21"/>
                <w:highlight w:val="none"/>
                <w:lang w:val="en-US" w:eastAsia="zh-CN" w:bidi="ar-SA"/>
              </w:rPr>
              <w:t>t/a</w:t>
            </w:r>
          </w:p>
        </w:tc>
        <w:tc>
          <w:tcPr>
            <w:tcW w:w="1333" w:type="dxa"/>
            <w:noWrap w:val="0"/>
            <w:vAlign w:val="top"/>
          </w:tcPr>
          <w:p w14:paraId="6BE2F486">
            <w:pPr>
              <w:keepNext w:val="0"/>
              <w:keepLines w:val="0"/>
              <w:pageBreakBefore w:val="0"/>
              <w:widowControl w:val="0"/>
              <w:spacing w:line="240" w:lineRule="auto"/>
              <w:ind w:left="0" w:right="0" w:firstLine="0"/>
              <w:jc w:val="center"/>
              <w:rPr>
                <w:rFonts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b w:val="0"/>
                <w:bCs/>
                <w:color w:val="000000"/>
                <w:sz w:val="21"/>
                <w:szCs w:val="21"/>
                <w:highlight w:val="none"/>
                <w:lang w:val="en-US" w:eastAsia="zh-CN" w:bidi="ar-SA"/>
              </w:rPr>
              <w:t>+</w:t>
            </w:r>
            <w:r>
              <w:rPr>
                <w:rFonts w:hint="eastAsia" w:ascii="Times New Roman" w:hAnsi="Times New Roman" w:eastAsia="宋体" w:cs="Times New Roman"/>
                <w:color w:val="000000"/>
                <w:sz w:val="21"/>
                <w:szCs w:val="21"/>
                <w:highlight w:val="none"/>
                <w:lang w:val="en-US" w:eastAsia="zh-CN"/>
              </w:rPr>
              <w:t>0.1</w:t>
            </w:r>
            <w:r>
              <w:rPr>
                <w:rFonts w:hint="eastAsia" w:ascii="Times New Roman" w:hAnsi="Times New Roman" w:eastAsia="宋体" w:cs="Times New Roman"/>
                <w:color w:val="000000"/>
                <w:spacing w:val="-4"/>
                <w:sz w:val="21"/>
                <w:szCs w:val="21"/>
                <w:highlight w:val="none"/>
                <w:lang w:val="en-US" w:eastAsia="zh-CN" w:bidi="ar-SA"/>
              </w:rPr>
              <w:t>t/a</w:t>
            </w:r>
          </w:p>
        </w:tc>
      </w:tr>
    </w:tbl>
    <w:p w14:paraId="1882A462">
      <w:pPr>
        <w:pStyle w:val="223"/>
        <w:keepNext w:val="0"/>
        <w:keepLines w:val="0"/>
        <w:pageBreakBefore w:val="0"/>
        <w:jc w:val="left"/>
        <w:outlineLvl w:val="9"/>
        <w:rPr>
          <w:rFonts w:ascii="Times New Roman" w:hAnsi="Times New Roman" w:eastAsia="宋体" w:cs="Times New Roman"/>
          <w:color w:val="000000"/>
          <w:spacing w:val="-6"/>
          <w:szCs w:val="21"/>
          <w:highlight w:val="none"/>
        </w:rPr>
      </w:pPr>
      <w:r>
        <w:rPr>
          <w:rFonts w:ascii="Times New Roman" w:hAnsi="Times New Roman" w:eastAsia="宋体" w:cs="Times New Roman"/>
          <w:color w:val="000000"/>
          <w:szCs w:val="21"/>
          <w:highlight w:val="none"/>
        </w:rPr>
        <w:t>注：</w:t>
      </w:r>
      <w:r>
        <w:rPr>
          <w:rFonts w:ascii="Times New Roman" w:hAnsi="Times New Roman" w:eastAsia="宋体" w:cs="Times New Roman"/>
          <w:color w:val="000000"/>
          <w:spacing w:val="-16"/>
          <w:szCs w:val="21"/>
          <w:highlight w:val="none"/>
        </w:rPr>
        <w:fldChar w:fldCharType="begin"/>
      </w:r>
      <w:r>
        <w:rPr>
          <w:rFonts w:ascii="Times New Roman" w:hAnsi="Times New Roman" w:eastAsia="宋体" w:cs="Times New Roman"/>
          <w:color w:val="000000"/>
          <w:spacing w:val="-16"/>
          <w:szCs w:val="21"/>
          <w:highlight w:val="none"/>
        </w:rPr>
        <w:instrText xml:space="preserve"> = 6 \* GB3 \* MERGEFORMAT </w:instrText>
      </w:r>
      <w:r>
        <w:rPr>
          <w:rFonts w:ascii="Times New Roman" w:hAnsi="Times New Roman" w:eastAsia="宋体" w:cs="Times New Roman"/>
          <w:color w:val="000000"/>
          <w:spacing w:val="-16"/>
          <w:szCs w:val="21"/>
          <w:highlight w:val="none"/>
        </w:rPr>
        <w:fldChar w:fldCharType="separate"/>
      </w:r>
      <w:r>
        <w:rPr>
          <w:rFonts w:ascii="Times New Roman" w:hAnsi="Times New Roman" w:eastAsia="宋体" w:cs="Times New Roman"/>
          <w:color w:val="000000"/>
          <w:szCs w:val="21"/>
          <w:highlight w:val="none"/>
        </w:rPr>
        <w:t>⑥</w:t>
      </w:r>
      <w:r>
        <w:rPr>
          <w:rFonts w:ascii="Times New Roman" w:hAnsi="Times New Roman" w:eastAsia="宋体" w:cs="Times New Roman"/>
          <w:color w:val="000000"/>
          <w:spacing w:val="-16"/>
          <w:szCs w:val="21"/>
          <w:highlight w:val="none"/>
        </w:rPr>
        <w:fldChar w:fldCharType="end"/>
      </w:r>
      <w:r>
        <w:rPr>
          <w:rFonts w:ascii="Times New Roman" w:hAnsi="Times New Roman" w:eastAsia="宋体" w:cs="Times New Roman"/>
          <w:color w:val="000000"/>
          <w:spacing w:val="-16"/>
          <w:szCs w:val="21"/>
          <w:highlight w:val="none"/>
        </w:rPr>
        <w:t>=</w:t>
      </w:r>
      <w:r>
        <w:rPr>
          <w:rFonts w:ascii="Times New Roman" w:hAnsi="Times New Roman" w:eastAsia="宋体" w:cs="Times New Roman"/>
          <w:color w:val="000000"/>
          <w:spacing w:val="-6"/>
          <w:szCs w:val="21"/>
          <w:highlight w:val="none"/>
        </w:rPr>
        <w:fldChar w:fldCharType="begin"/>
      </w:r>
      <w:r>
        <w:rPr>
          <w:rFonts w:ascii="Times New Roman" w:hAnsi="Times New Roman" w:eastAsia="宋体" w:cs="Times New Roman"/>
          <w:color w:val="000000"/>
          <w:spacing w:val="-6"/>
          <w:szCs w:val="21"/>
          <w:highlight w:val="none"/>
        </w:rPr>
        <w:instrText xml:space="preserve"> = 1 \* GB3 \* MERGEFORMAT </w:instrText>
      </w:r>
      <w:r>
        <w:rPr>
          <w:rFonts w:ascii="Times New Roman" w:hAnsi="Times New Roman" w:eastAsia="宋体" w:cs="Times New Roman"/>
          <w:color w:val="000000"/>
          <w:spacing w:val="-6"/>
          <w:szCs w:val="21"/>
          <w:highlight w:val="none"/>
        </w:rPr>
        <w:fldChar w:fldCharType="separate"/>
      </w:r>
      <w:r>
        <w:rPr>
          <w:rFonts w:ascii="Times New Roman" w:hAnsi="Times New Roman" w:eastAsia="宋体" w:cs="Times New Roman"/>
          <w:color w:val="000000"/>
          <w:szCs w:val="21"/>
          <w:highlight w:val="none"/>
        </w:rPr>
        <w:t>①</w:t>
      </w:r>
      <w:r>
        <w:rPr>
          <w:rFonts w:ascii="Times New Roman" w:hAnsi="Times New Roman" w:eastAsia="宋体" w:cs="Times New Roman"/>
          <w:color w:val="000000"/>
          <w:spacing w:val="-6"/>
          <w:szCs w:val="21"/>
          <w:highlight w:val="none"/>
        </w:rPr>
        <w:fldChar w:fldCharType="end"/>
      </w:r>
      <w:r>
        <w:rPr>
          <w:rFonts w:ascii="Times New Roman" w:hAnsi="Times New Roman" w:eastAsia="宋体" w:cs="Times New Roman"/>
          <w:color w:val="000000"/>
          <w:spacing w:val="-6"/>
          <w:szCs w:val="21"/>
          <w:highlight w:val="none"/>
        </w:rPr>
        <w:t>+</w:t>
      </w:r>
      <w:r>
        <w:rPr>
          <w:rFonts w:ascii="Times New Roman" w:hAnsi="Times New Roman" w:eastAsia="宋体" w:cs="Times New Roman"/>
          <w:color w:val="000000"/>
          <w:spacing w:val="-6"/>
          <w:szCs w:val="21"/>
          <w:highlight w:val="none"/>
        </w:rPr>
        <w:fldChar w:fldCharType="begin"/>
      </w:r>
      <w:r>
        <w:rPr>
          <w:rFonts w:ascii="Times New Roman" w:hAnsi="Times New Roman" w:eastAsia="宋体" w:cs="Times New Roman"/>
          <w:color w:val="000000"/>
          <w:spacing w:val="-6"/>
          <w:szCs w:val="21"/>
          <w:highlight w:val="none"/>
        </w:rPr>
        <w:instrText xml:space="preserve"> = 3 \* GB3 \* MERGEFORMAT </w:instrText>
      </w:r>
      <w:r>
        <w:rPr>
          <w:rFonts w:ascii="Times New Roman" w:hAnsi="Times New Roman" w:eastAsia="宋体" w:cs="Times New Roman"/>
          <w:color w:val="000000"/>
          <w:spacing w:val="-6"/>
          <w:szCs w:val="21"/>
          <w:highlight w:val="none"/>
        </w:rPr>
        <w:fldChar w:fldCharType="separate"/>
      </w:r>
      <w:r>
        <w:rPr>
          <w:rFonts w:ascii="Times New Roman" w:hAnsi="Times New Roman" w:eastAsia="宋体" w:cs="Times New Roman"/>
          <w:color w:val="000000"/>
          <w:szCs w:val="21"/>
          <w:highlight w:val="none"/>
        </w:rPr>
        <w:t>③</w:t>
      </w:r>
      <w:r>
        <w:rPr>
          <w:rFonts w:ascii="Times New Roman" w:hAnsi="Times New Roman" w:eastAsia="宋体" w:cs="Times New Roman"/>
          <w:color w:val="000000"/>
          <w:spacing w:val="-6"/>
          <w:szCs w:val="21"/>
          <w:highlight w:val="none"/>
        </w:rPr>
        <w:fldChar w:fldCharType="end"/>
      </w:r>
      <w:r>
        <w:rPr>
          <w:rFonts w:ascii="Times New Roman" w:hAnsi="Times New Roman" w:eastAsia="宋体" w:cs="Times New Roman"/>
          <w:color w:val="000000"/>
          <w:spacing w:val="-6"/>
          <w:szCs w:val="21"/>
          <w:highlight w:val="none"/>
        </w:rPr>
        <w:t>+</w:t>
      </w:r>
      <w:r>
        <w:rPr>
          <w:rFonts w:ascii="Times New Roman" w:hAnsi="Times New Roman" w:eastAsia="宋体" w:cs="Times New Roman"/>
          <w:color w:val="000000"/>
          <w:spacing w:val="-6"/>
          <w:szCs w:val="21"/>
          <w:highlight w:val="none"/>
        </w:rPr>
        <w:fldChar w:fldCharType="begin"/>
      </w:r>
      <w:r>
        <w:rPr>
          <w:rFonts w:ascii="Times New Roman" w:hAnsi="Times New Roman" w:eastAsia="宋体" w:cs="Times New Roman"/>
          <w:color w:val="000000"/>
          <w:spacing w:val="-6"/>
          <w:szCs w:val="21"/>
          <w:highlight w:val="none"/>
        </w:rPr>
        <w:instrText xml:space="preserve"> = 4 \* GB3 \* MERGEFORMAT </w:instrText>
      </w:r>
      <w:r>
        <w:rPr>
          <w:rFonts w:ascii="Times New Roman" w:hAnsi="Times New Roman" w:eastAsia="宋体" w:cs="Times New Roman"/>
          <w:color w:val="000000"/>
          <w:spacing w:val="-6"/>
          <w:szCs w:val="21"/>
          <w:highlight w:val="none"/>
        </w:rPr>
        <w:fldChar w:fldCharType="separate"/>
      </w:r>
      <w:r>
        <w:rPr>
          <w:rFonts w:ascii="Times New Roman" w:hAnsi="Times New Roman" w:eastAsia="宋体" w:cs="Times New Roman"/>
          <w:color w:val="000000"/>
          <w:szCs w:val="21"/>
          <w:highlight w:val="none"/>
        </w:rPr>
        <w:t>④</w:t>
      </w:r>
      <w:r>
        <w:rPr>
          <w:rFonts w:ascii="Times New Roman" w:hAnsi="Times New Roman" w:eastAsia="宋体" w:cs="Times New Roman"/>
          <w:color w:val="000000"/>
          <w:spacing w:val="-6"/>
          <w:szCs w:val="21"/>
          <w:highlight w:val="none"/>
        </w:rPr>
        <w:fldChar w:fldCharType="end"/>
      </w:r>
      <w:r>
        <w:rPr>
          <w:rFonts w:ascii="Times New Roman" w:hAnsi="Times New Roman" w:eastAsia="宋体" w:cs="Times New Roman"/>
          <w:color w:val="000000"/>
          <w:spacing w:val="-6"/>
          <w:szCs w:val="21"/>
          <w:highlight w:val="none"/>
        </w:rPr>
        <w:t>-</w:t>
      </w:r>
      <w:r>
        <w:rPr>
          <w:rFonts w:ascii="Times New Roman" w:hAnsi="Times New Roman" w:eastAsia="宋体" w:cs="Times New Roman"/>
          <w:color w:val="000000"/>
          <w:spacing w:val="-16"/>
          <w:szCs w:val="21"/>
          <w:highlight w:val="none"/>
        </w:rPr>
        <w:fldChar w:fldCharType="begin"/>
      </w:r>
      <w:r>
        <w:rPr>
          <w:rFonts w:ascii="Times New Roman" w:hAnsi="Times New Roman" w:eastAsia="宋体" w:cs="Times New Roman"/>
          <w:color w:val="000000"/>
          <w:spacing w:val="-16"/>
          <w:szCs w:val="21"/>
          <w:highlight w:val="none"/>
        </w:rPr>
        <w:instrText xml:space="preserve"> = 5 \* GB3 \* MERGEFORMAT </w:instrText>
      </w:r>
      <w:r>
        <w:rPr>
          <w:rFonts w:ascii="Times New Roman" w:hAnsi="Times New Roman" w:eastAsia="宋体" w:cs="Times New Roman"/>
          <w:color w:val="000000"/>
          <w:spacing w:val="-16"/>
          <w:szCs w:val="21"/>
          <w:highlight w:val="none"/>
        </w:rPr>
        <w:fldChar w:fldCharType="separate"/>
      </w:r>
      <w:r>
        <w:rPr>
          <w:rFonts w:ascii="Times New Roman" w:hAnsi="Times New Roman" w:eastAsia="宋体" w:cs="Times New Roman"/>
          <w:color w:val="000000"/>
          <w:szCs w:val="21"/>
          <w:highlight w:val="none"/>
        </w:rPr>
        <w:t>⑤</w:t>
      </w:r>
      <w:r>
        <w:rPr>
          <w:rFonts w:ascii="Times New Roman" w:hAnsi="Times New Roman" w:eastAsia="宋体" w:cs="Times New Roman"/>
          <w:color w:val="000000"/>
          <w:spacing w:val="-16"/>
          <w:szCs w:val="21"/>
          <w:highlight w:val="none"/>
        </w:rPr>
        <w:fldChar w:fldCharType="end"/>
      </w:r>
      <w:r>
        <w:rPr>
          <w:rFonts w:ascii="Times New Roman" w:hAnsi="Times New Roman" w:eastAsia="宋体" w:cs="Times New Roman"/>
          <w:color w:val="000000"/>
          <w:spacing w:val="-16"/>
          <w:szCs w:val="21"/>
          <w:highlight w:val="none"/>
        </w:rPr>
        <w:t>；</w:t>
      </w:r>
      <w:r>
        <w:rPr>
          <w:rFonts w:ascii="Times New Roman" w:hAnsi="Times New Roman" w:eastAsia="宋体" w:cs="Times New Roman"/>
          <w:color w:val="000000"/>
          <w:spacing w:val="-6"/>
          <w:szCs w:val="21"/>
          <w:highlight w:val="none"/>
        </w:rPr>
        <w:fldChar w:fldCharType="begin"/>
      </w:r>
      <w:r>
        <w:rPr>
          <w:rFonts w:ascii="Times New Roman" w:hAnsi="Times New Roman" w:eastAsia="宋体" w:cs="Times New Roman"/>
          <w:color w:val="000000"/>
          <w:spacing w:val="-6"/>
          <w:szCs w:val="21"/>
          <w:highlight w:val="none"/>
        </w:rPr>
        <w:instrText xml:space="preserve"> = 7 \* GB3 \* MERGEFORMAT </w:instrText>
      </w:r>
      <w:r>
        <w:rPr>
          <w:rFonts w:ascii="Times New Roman" w:hAnsi="Times New Roman" w:eastAsia="宋体" w:cs="Times New Roman"/>
          <w:color w:val="000000"/>
          <w:spacing w:val="-6"/>
          <w:szCs w:val="21"/>
          <w:highlight w:val="none"/>
        </w:rPr>
        <w:fldChar w:fldCharType="separate"/>
      </w:r>
      <w:r>
        <w:rPr>
          <w:rFonts w:ascii="Times New Roman" w:hAnsi="Times New Roman" w:eastAsia="宋体" w:cs="Times New Roman"/>
          <w:color w:val="000000"/>
          <w:szCs w:val="21"/>
          <w:highlight w:val="none"/>
        </w:rPr>
        <w:t>⑦</w:t>
      </w:r>
      <w:r>
        <w:rPr>
          <w:rFonts w:ascii="Times New Roman" w:hAnsi="Times New Roman" w:eastAsia="宋体" w:cs="Times New Roman"/>
          <w:color w:val="000000"/>
          <w:spacing w:val="-6"/>
          <w:szCs w:val="21"/>
          <w:highlight w:val="none"/>
        </w:rPr>
        <w:fldChar w:fldCharType="end"/>
      </w:r>
      <w:r>
        <w:rPr>
          <w:rFonts w:ascii="Times New Roman" w:hAnsi="Times New Roman" w:eastAsia="宋体" w:cs="Times New Roman"/>
          <w:color w:val="000000"/>
          <w:spacing w:val="-6"/>
          <w:szCs w:val="21"/>
          <w:highlight w:val="none"/>
        </w:rPr>
        <w:t>=</w:t>
      </w:r>
      <w:r>
        <w:rPr>
          <w:rFonts w:ascii="Times New Roman" w:hAnsi="Times New Roman" w:eastAsia="宋体" w:cs="Times New Roman"/>
          <w:color w:val="000000"/>
          <w:spacing w:val="-16"/>
          <w:szCs w:val="21"/>
          <w:highlight w:val="none"/>
        </w:rPr>
        <w:fldChar w:fldCharType="begin"/>
      </w:r>
      <w:r>
        <w:rPr>
          <w:rFonts w:ascii="Times New Roman" w:hAnsi="Times New Roman" w:eastAsia="宋体" w:cs="Times New Roman"/>
          <w:color w:val="000000"/>
          <w:spacing w:val="-16"/>
          <w:szCs w:val="21"/>
          <w:highlight w:val="none"/>
        </w:rPr>
        <w:instrText xml:space="preserve"> = 6 \* GB3 \* MERGEFORMAT </w:instrText>
      </w:r>
      <w:r>
        <w:rPr>
          <w:rFonts w:ascii="Times New Roman" w:hAnsi="Times New Roman" w:eastAsia="宋体" w:cs="Times New Roman"/>
          <w:color w:val="000000"/>
          <w:spacing w:val="-16"/>
          <w:szCs w:val="21"/>
          <w:highlight w:val="none"/>
        </w:rPr>
        <w:fldChar w:fldCharType="separate"/>
      </w:r>
      <w:r>
        <w:rPr>
          <w:rFonts w:ascii="Times New Roman" w:hAnsi="Times New Roman" w:eastAsia="宋体" w:cs="Times New Roman"/>
          <w:color w:val="000000"/>
          <w:szCs w:val="21"/>
          <w:highlight w:val="none"/>
        </w:rPr>
        <w:t>⑥</w:t>
      </w:r>
      <w:r>
        <w:rPr>
          <w:rFonts w:ascii="Times New Roman" w:hAnsi="Times New Roman" w:eastAsia="宋体" w:cs="Times New Roman"/>
          <w:color w:val="000000"/>
          <w:spacing w:val="-16"/>
          <w:szCs w:val="21"/>
          <w:highlight w:val="none"/>
        </w:rPr>
        <w:fldChar w:fldCharType="end"/>
      </w:r>
      <w:r>
        <w:rPr>
          <w:rFonts w:ascii="Times New Roman" w:hAnsi="Times New Roman" w:eastAsia="宋体" w:cs="Times New Roman"/>
          <w:color w:val="000000"/>
          <w:spacing w:val="-16"/>
          <w:szCs w:val="21"/>
          <w:highlight w:val="none"/>
        </w:rPr>
        <w:t>-</w:t>
      </w:r>
      <w:r>
        <w:rPr>
          <w:rFonts w:ascii="Times New Roman" w:hAnsi="Times New Roman" w:eastAsia="宋体" w:cs="Times New Roman"/>
          <w:color w:val="000000"/>
          <w:spacing w:val="-6"/>
          <w:szCs w:val="21"/>
          <w:highlight w:val="none"/>
        </w:rPr>
        <w:fldChar w:fldCharType="begin"/>
      </w:r>
      <w:r>
        <w:rPr>
          <w:rFonts w:ascii="Times New Roman" w:hAnsi="Times New Roman" w:eastAsia="宋体" w:cs="Times New Roman"/>
          <w:color w:val="000000"/>
          <w:spacing w:val="-6"/>
          <w:szCs w:val="21"/>
          <w:highlight w:val="none"/>
        </w:rPr>
        <w:instrText xml:space="preserve"> = 1 \* GB3 \* MERGEFORMAT </w:instrText>
      </w:r>
      <w:r>
        <w:rPr>
          <w:rFonts w:ascii="Times New Roman" w:hAnsi="Times New Roman" w:eastAsia="宋体" w:cs="Times New Roman"/>
          <w:color w:val="000000"/>
          <w:spacing w:val="-6"/>
          <w:szCs w:val="21"/>
          <w:highlight w:val="none"/>
        </w:rPr>
        <w:fldChar w:fldCharType="separate"/>
      </w:r>
      <w:r>
        <w:rPr>
          <w:rFonts w:ascii="Times New Roman" w:hAnsi="Times New Roman" w:eastAsia="宋体" w:cs="Times New Roman"/>
          <w:color w:val="000000"/>
          <w:szCs w:val="21"/>
          <w:highlight w:val="none"/>
        </w:rPr>
        <w:t>①</w:t>
      </w:r>
      <w:r>
        <w:rPr>
          <w:rFonts w:ascii="Times New Roman" w:hAnsi="Times New Roman" w:eastAsia="宋体" w:cs="Times New Roman"/>
          <w:color w:val="000000"/>
          <w:spacing w:val="-6"/>
          <w:szCs w:val="21"/>
          <w:highlight w:val="none"/>
        </w:rPr>
        <w:fldChar w:fldCharType="end"/>
      </w:r>
    </w:p>
    <w:sectPr>
      <w:footerReference r:id="rId6" w:type="default"/>
      <w:pgSz w:w="16838" w:h="11906"/>
      <w:pgMar w:top="1134" w:right="1134" w:bottom="1134" w:left="1134" w:header="851" w:footer="851" w:gutter="0"/>
      <w:pgNumType w:start="1"/>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auto"/>
    <w:pitch w:val="default"/>
    <w:sig w:usb0="E00006FF" w:usb1="420024FF" w:usb2="02000000" w:usb3="00000000" w:csb0="2000019F" w:csb1="00000000"/>
  </w:font>
  <w:font w:name="Courier New">
    <w:panose1 w:val="02070309020205020404"/>
    <w:charset w:val="00"/>
    <w:family w:val="auto"/>
    <w:pitch w:val="default"/>
    <w:sig w:usb0="E0002EFF" w:usb1="C0007843" w:usb2="00000009" w:usb3="00000000" w:csb0="400001FF" w:csb1="FFFF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ˎ̥">
    <w:altName w:val="Segoe Print"/>
    <w:panose1 w:val="020B0604020202020204"/>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78A82">
    <w:pPr>
      <w:pStyle w:val="20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B2817">
    <w:pPr>
      <w:pStyle w:val="203"/>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4ED1C">
    <w:pPr>
      <w:pStyle w:val="203"/>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5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7E9687F">
                          <w:pPr>
                            <w:pStyle w:val="203"/>
                          </w:pPr>
                          <w:r>
                            <w:fldChar w:fldCharType="begin"/>
                          </w:r>
                          <w:r>
                            <w:instrText xml:space="preserve"> PAGE  \* MERGEFORMAT </w:instrText>
                          </w:r>
                          <w:r>
                            <w:fldChar w:fldCharType="separate"/>
                          </w:r>
                          <w:r>
                            <w:t>1</w:t>
                          </w:r>
                          <w:r>
                            <w:fldChar w:fldCharType="end"/>
                          </w:r>
                        </w:p>
                        <w:p w14:paraId="0F454601"/>
                      </w:txbxContent>
                    </wps:txbx>
                    <wps:bodyPr wrap="none" lIns="0" tIns="0" rIns="0" bIns="0" upright="1">
                      <a:spAutoFit/>
                    </wps:bodyPr>
                  </wps:wsp>
                </a:graphicData>
              </a:graphic>
            </wp:anchor>
          </w:drawing>
        </mc:Choice>
        <mc:Fallback>
          <w:pict>
            <v:shape id="_x0000_s205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qjCE5xgEAAKgDAAAOAAAAAAAAAAEAIAAAAB4BAABkcnMvZTJvRG9jLnht&#10;bFBLBQYAAAAABgAGAFkBAABWBQAAAAA=&#10;">
              <v:fill on="f" focussize="0,0"/>
              <v:stroke on="f"/>
              <v:imagedata o:title=""/>
              <o:lock v:ext="edit" aspectratio="f"/>
              <v:textbox inset="0mm,0mm,0mm,0mm" style="mso-fit-shape-to-text:t;">
                <w:txbxContent>
                  <w:p w14:paraId="47E9687F">
                    <w:pPr>
                      <w:pStyle w:val="203"/>
                    </w:pPr>
                    <w:r>
                      <w:fldChar w:fldCharType="begin"/>
                    </w:r>
                    <w:r>
                      <w:instrText xml:space="preserve"> PAGE  \* MERGEFORMAT </w:instrText>
                    </w:r>
                    <w:r>
                      <w:fldChar w:fldCharType="separate"/>
                    </w:r>
                    <w:r>
                      <w:t>1</w:t>
                    </w:r>
                    <w:r>
                      <w:fldChar w:fldCharType="end"/>
                    </w:r>
                  </w:p>
                  <w:p w14:paraId="0F454601"/>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65EA2">
    <w:pPr>
      <w:pStyle w:val="203"/>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6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39E97AB">
                          <w:pPr>
                            <w:pStyle w:val="203"/>
                          </w:pPr>
                          <w:r>
                            <w:fldChar w:fldCharType="begin"/>
                          </w:r>
                          <w:r>
                            <w:instrText xml:space="preserve"> PAGE  \* MERGEFORMAT </w:instrText>
                          </w:r>
                          <w:r>
                            <w:fldChar w:fldCharType="separate"/>
                          </w:r>
                          <w:r>
                            <w:t>50</w:t>
                          </w:r>
                          <w:r>
                            <w:fldChar w:fldCharType="end"/>
                          </w:r>
                        </w:p>
                        <w:p w14:paraId="770C052D"/>
                      </w:txbxContent>
                    </wps:txbx>
                    <wps:bodyPr wrap="none" lIns="0" tIns="0" rIns="0" bIns="0" upright="1">
                      <a:spAutoFit/>
                    </wps:bodyPr>
                  </wps:wsp>
                </a:graphicData>
              </a:graphic>
            </wp:anchor>
          </w:drawing>
        </mc:Choice>
        <mc:Fallback>
          <w:pict>
            <v:shape id="_x0000_s2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J/fzSLFAQAAqAMAAA4AAAAAAAAAAQAgAAAAHgEAAGRycy9lMm9Eb2MueG1s&#10;UEsFBgAAAAAGAAYAWQEAAFUFAAAAAA==&#10;">
              <v:fill on="f" focussize="0,0"/>
              <v:stroke on="f"/>
              <v:imagedata o:title=""/>
              <o:lock v:ext="edit" aspectratio="f"/>
              <v:textbox inset="0mm,0mm,0mm,0mm" style="mso-fit-shape-to-text:t;">
                <w:txbxContent>
                  <w:p w14:paraId="239E97AB">
                    <w:pPr>
                      <w:pStyle w:val="203"/>
                    </w:pPr>
                    <w:r>
                      <w:fldChar w:fldCharType="begin"/>
                    </w:r>
                    <w:r>
                      <w:instrText xml:space="preserve"> PAGE  \* MERGEFORMAT </w:instrText>
                    </w:r>
                    <w:r>
                      <w:fldChar w:fldCharType="separate"/>
                    </w:r>
                    <w:r>
                      <w:t>50</w:t>
                    </w:r>
                    <w:r>
                      <w:fldChar w:fldCharType="end"/>
                    </w:r>
                  </w:p>
                  <w:p w14:paraId="770C052D"/>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decimal"/>
      <w:suff w:val="space"/>
      <w:lvlText w:val="%1 "/>
      <w:lvlJc w:val="left"/>
      <w:pPr>
        <w:tabs>
          <w:tab w:val="left" w:pos="454"/>
        </w:tabs>
        <w:ind w:left="637" w:hanging="397"/>
      </w:pPr>
      <w:rPr>
        <w:rFonts w:ascii="Arial" w:hAnsi="Arial" w:eastAsia="黑体"/>
      </w:rPr>
    </w:lvl>
    <w:lvl w:ilvl="1" w:tentative="0">
      <w:start w:val="1"/>
      <w:numFmt w:val="decimal"/>
      <w:pStyle w:val="264"/>
      <w:suff w:val="space"/>
      <w:lvlText w:val="%1.%2"/>
      <w:lvlJc w:val="left"/>
      <w:pPr>
        <w:tabs>
          <w:tab w:val="left" w:pos="454"/>
        </w:tabs>
        <w:ind w:left="720" w:hanging="567"/>
      </w:pPr>
      <w:rPr>
        <w:rFonts w:ascii="Arial" w:hAnsi="Arial" w:eastAsia="黑体"/>
      </w:rPr>
    </w:lvl>
    <w:lvl w:ilvl="2" w:tentative="0">
      <w:start w:val="1"/>
      <w:numFmt w:val="decimal"/>
      <w:suff w:val="space"/>
      <w:lvlText w:val="%1.%2.%3 "/>
      <w:lvlJc w:val="left"/>
      <w:pPr>
        <w:ind w:left="0" w:firstLine="0"/>
      </w:pPr>
      <w:rPr>
        <w:rFonts w:ascii="Times New Roman" w:hAnsi="Times New Roman" w:eastAsia="黑体" w:cs="Times New Roman"/>
      </w:rPr>
    </w:lvl>
    <w:lvl w:ilvl="3" w:tentative="0">
      <w:start w:val="1"/>
      <w:numFmt w:val="decimal"/>
      <w:suff w:val="space"/>
      <w:lvlText w:val="%1.%2.%3.%4 "/>
      <w:lvlJc w:val="left"/>
      <w:pPr>
        <w:ind w:left="0" w:firstLine="0"/>
      </w:pPr>
      <w:rPr>
        <w:rFonts w:eastAsia="黑体"/>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2">
    <w:nsid w:val="59ADCABA"/>
    <w:multiLevelType w:val="multilevel"/>
    <w:tmpl w:val="59ADCABA"/>
    <w:lvl w:ilvl="0" w:tentative="0">
      <w:start w:val="1"/>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7D36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0"/>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2">
    <w:name w:val="正文缩进1"/>
    <w:basedOn w:val="1"/>
    <w:next w:val="1"/>
    <w:qFormat/>
    <w:uiPriority w:val="0"/>
    <w:pPr>
      <w:ind w:firstLine="420"/>
    </w:pPr>
    <w:rPr>
      <w:sz w:val="21"/>
      <w:szCs w:val="20"/>
    </w:rPr>
  </w:style>
  <w:style w:type="paragraph" w:styleId="12">
    <w:name w:val="toc 7"/>
    <w:basedOn w:val="1"/>
    <w:next w:val="1"/>
    <w:unhideWhenUsed/>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rPr>
  </w:style>
  <w:style w:type="paragraph" w:styleId="14">
    <w:name w:val="toc 5"/>
    <w:basedOn w:val="1"/>
    <w:next w:val="1"/>
    <w:unhideWhenUsed/>
    <w:uiPriority w:val="39"/>
    <w:pPr>
      <w:spacing w:after="57"/>
      <w:ind w:left="1134" w:right="0" w:firstLine="0"/>
    </w:pPr>
  </w:style>
  <w:style w:type="paragraph" w:styleId="15">
    <w:name w:val="toc 3"/>
    <w:basedOn w:val="1"/>
    <w:next w:val="1"/>
    <w:unhideWhenUsed/>
    <w:uiPriority w:val="39"/>
    <w:pPr>
      <w:spacing w:after="57"/>
      <w:ind w:left="567" w:right="0" w:firstLine="0"/>
    </w:pPr>
  </w:style>
  <w:style w:type="paragraph" w:styleId="16">
    <w:name w:val="toc 8"/>
    <w:basedOn w:val="1"/>
    <w:next w:val="1"/>
    <w:unhideWhenUsed/>
    <w:uiPriority w:val="39"/>
    <w:pPr>
      <w:spacing w:after="57"/>
      <w:ind w:left="1984" w:right="0" w:firstLine="0"/>
    </w:pPr>
  </w:style>
  <w:style w:type="paragraph" w:styleId="17">
    <w:name w:val="endnote text"/>
    <w:basedOn w:val="1"/>
    <w:link w:val="179"/>
    <w:semiHidden/>
    <w:unhideWhenUsed/>
    <w:uiPriority w:val="99"/>
    <w:pPr>
      <w:spacing w:after="0" w:line="240" w:lineRule="auto"/>
    </w:pPr>
    <w:rPr>
      <w:sz w:val="20"/>
    </w:rPr>
  </w:style>
  <w:style w:type="paragraph" w:styleId="18">
    <w:name w:val="footer"/>
    <w:basedOn w:val="1"/>
    <w:link w:val="52"/>
    <w:unhideWhenUsed/>
    <w:uiPriority w:val="99"/>
    <w:pPr>
      <w:tabs>
        <w:tab w:val="center" w:pos="7143"/>
        <w:tab w:val="right" w:pos="14287"/>
      </w:tabs>
      <w:spacing w:after="0" w:line="240" w:lineRule="auto"/>
    </w:pPr>
  </w:style>
  <w:style w:type="paragraph" w:styleId="19">
    <w:name w:val="header"/>
    <w:basedOn w:val="1"/>
    <w:link w:val="50"/>
    <w:unhideWhenUsed/>
    <w:uiPriority w:val="99"/>
    <w:pPr>
      <w:tabs>
        <w:tab w:val="center" w:pos="7143"/>
        <w:tab w:val="right" w:pos="14287"/>
      </w:tabs>
      <w:spacing w:after="0" w:line="240" w:lineRule="auto"/>
    </w:pPr>
  </w:style>
  <w:style w:type="paragraph" w:styleId="20">
    <w:name w:val="toc 1"/>
    <w:basedOn w:val="1"/>
    <w:next w:val="1"/>
    <w:unhideWhenUsed/>
    <w:uiPriority w:val="39"/>
    <w:pPr>
      <w:spacing w:after="57"/>
      <w:ind w:left="0" w:right="0" w:firstLine="0"/>
    </w:pPr>
  </w:style>
  <w:style w:type="paragraph" w:styleId="21">
    <w:name w:val="toc 4"/>
    <w:basedOn w:val="1"/>
    <w:next w:val="1"/>
    <w:unhideWhenUsed/>
    <w:uiPriority w:val="39"/>
    <w:pPr>
      <w:spacing w:after="57"/>
      <w:ind w:left="850" w:right="0" w:firstLine="0"/>
    </w:pPr>
  </w:style>
  <w:style w:type="paragraph" w:styleId="22">
    <w:name w:val="Subtitle"/>
    <w:basedOn w:val="1"/>
    <w:next w:val="1"/>
    <w:link w:val="45"/>
    <w:qFormat/>
    <w:uiPriority w:val="11"/>
    <w:pPr>
      <w:spacing w:before="200" w:after="200"/>
    </w:pPr>
    <w:rPr>
      <w:sz w:val="24"/>
      <w:szCs w:val="24"/>
    </w:rPr>
  </w:style>
  <w:style w:type="paragraph" w:styleId="23">
    <w:name w:val="footnote text"/>
    <w:basedOn w:val="1"/>
    <w:link w:val="178"/>
    <w:semiHidden/>
    <w:unhideWhenUsed/>
    <w:uiPriority w:val="99"/>
    <w:pPr>
      <w:spacing w:after="40" w:line="240" w:lineRule="auto"/>
    </w:pPr>
    <w:rPr>
      <w:sz w:val="18"/>
    </w:rPr>
  </w:style>
  <w:style w:type="paragraph" w:styleId="24">
    <w:name w:val="toc 6"/>
    <w:basedOn w:val="1"/>
    <w:next w:val="1"/>
    <w:unhideWhenUsed/>
    <w:uiPriority w:val="39"/>
    <w:pPr>
      <w:spacing w:after="57"/>
      <w:ind w:left="1417" w:right="0" w:firstLine="0"/>
    </w:pPr>
  </w:style>
  <w:style w:type="paragraph" w:styleId="25">
    <w:name w:val="table of figures"/>
    <w:basedOn w:val="1"/>
    <w:next w:val="1"/>
    <w:unhideWhenUsed/>
    <w:uiPriority w:val="99"/>
    <w:pPr>
      <w:spacing w:after="0" w:afterAutospacing="0"/>
    </w:pPr>
  </w:style>
  <w:style w:type="paragraph" w:styleId="26">
    <w:name w:val="toc 2"/>
    <w:basedOn w:val="1"/>
    <w:next w:val="1"/>
    <w:unhideWhenUsed/>
    <w:uiPriority w:val="39"/>
    <w:pPr>
      <w:spacing w:after="57"/>
      <w:ind w:left="283" w:right="0" w:firstLine="0"/>
    </w:pPr>
  </w:style>
  <w:style w:type="paragraph" w:styleId="27">
    <w:name w:val="toc 9"/>
    <w:basedOn w:val="1"/>
    <w:next w:val="1"/>
    <w:unhideWhenUsed/>
    <w:uiPriority w:val="39"/>
    <w:pPr>
      <w:spacing w:after="57"/>
      <w:ind w:left="2268" w:right="0" w:firstLine="0"/>
    </w:pPr>
  </w:style>
  <w:style w:type="paragraph" w:styleId="28">
    <w:name w:val="Title"/>
    <w:basedOn w:val="1"/>
    <w:next w:val="1"/>
    <w:link w:val="44"/>
    <w:qFormat/>
    <w:uiPriority w:val="10"/>
    <w:pPr>
      <w:spacing w:before="300" w:after="200"/>
      <w:contextualSpacing/>
    </w:pPr>
    <w:rPr>
      <w:sz w:val="48"/>
      <w:szCs w:val="48"/>
    </w:rPr>
  </w:style>
  <w:style w:type="table" w:styleId="30">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2">
    <w:name w:val="endnote reference"/>
    <w:semiHidden/>
    <w:unhideWhenUsed/>
    <w:qFormat/>
    <w:uiPriority w:val="99"/>
    <w:rPr>
      <w:vertAlign w:val="superscript"/>
    </w:rPr>
  </w:style>
  <w:style w:type="character" w:styleId="33">
    <w:name w:val="Hyperlink"/>
    <w:unhideWhenUsed/>
    <w:uiPriority w:val="99"/>
    <w:rPr>
      <w:color w:val="0000FF" w:themeColor="hyperlink"/>
      <w:u w:val="single"/>
    </w:rPr>
  </w:style>
  <w:style w:type="character" w:styleId="34">
    <w:name w:val="footnote reference"/>
    <w:unhideWhenUsed/>
    <w:uiPriority w:val="99"/>
    <w:rPr>
      <w:vertAlign w:val="superscript"/>
    </w:rPr>
  </w:style>
  <w:style w:type="character" w:customStyle="1" w:styleId="35">
    <w:name w:val="Heading 1 Char"/>
    <w:link w:val="3"/>
    <w:uiPriority w:val="9"/>
    <w:rPr>
      <w:rFonts w:ascii="等线" w:hAnsi="等线" w:eastAsia="等线" w:cs="等线"/>
      <w:sz w:val="40"/>
      <w:szCs w:val="40"/>
    </w:rPr>
  </w:style>
  <w:style w:type="character" w:customStyle="1" w:styleId="36">
    <w:name w:val="Heading 2 Char"/>
    <w:link w:val="4"/>
    <w:uiPriority w:val="9"/>
    <w:rPr>
      <w:rFonts w:ascii="等线" w:hAnsi="等线" w:eastAsia="等线" w:cs="等线"/>
      <w:sz w:val="34"/>
    </w:rPr>
  </w:style>
  <w:style w:type="character" w:customStyle="1" w:styleId="37">
    <w:name w:val="Heading 3 Char"/>
    <w:link w:val="5"/>
    <w:uiPriority w:val="9"/>
    <w:rPr>
      <w:rFonts w:ascii="等线" w:hAnsi="等线" w:eastAsia="等线" w:cs="等线"/>
      <w:sz w:val="30"/>
      <w:szCs w:val="30"/>
    </w:rPr>
  </w:style>
  <w:style w:type="character" w:customStyle="1" w:styleId="38">
    <w:name w:val="Heading 4 Char"/>
    <w:link w:val="6"/>
    <w:uiPriority w:val="9"/>
    <w:rPr>
      <w:rFonts w:ascii="等线" w:hAnsi="等线" w:eastAsia="等线" w:cs="等线"/>
      <w:b/>
      <w:bCs/>
      <w:sz w:val="26"/>
      <w:szCs w:val="26"/>
    </w:rPr>
  </w:style>
  <w:style w:type="character" w:customStyle="1" w:styleId="39">
    <w:name w:val="Heading 5 Char"/>
    <w:link w:val="7"/>
    <w:uiPriority w:val="9"/>
    <w:rPr>
      <w:rFonts w:ascii="等线" w:hAnsi="等线" w:eastAsia="等线" w:cs="等线"/>
      <w:b/>
      <w:bCs/>
      <w:sz w:val="24"/>
      <w:szCs w:val="24"/>
    </w:rPr>
  </w:style>
  <w:style w:type="character" w:customStyle="1" w:styleId="40">
    <w:name w:val="Heading 6 Char"/>
    <w:link w:val="8"/>
    <w:uiPriority w:val="9"/>
    <w:rPr>
      <w:rFonts w:ascii="等线" w:hAnsi="等线" w:eastAsia="等线" w:cs="等线"/>
      <w:b/>
      <w:bCs/>
      <w:sz w:val="22"/>
      <w:szCs w:val="22"/>
    </w:rPr>
  </w:style>
  <w:style w:type="character" w:customStyle="1" w:styleId="41">
    <w:name w:val="Heading 7 Char"/>
    <w:link w:val="9"/>
    <w:uiPriority w:val="9"/>
    <w:rPr>
      <w:rFonts w:ascii="等线" w:hAnsi="等线" w:eastAsia="等线" w:cs="等线"/>
      <w:b/>
      <w:bCs/>
      <w:i/>
      <w:iCs/>
      <w:sz w:val="22"/>
      <w:szCs w:val="22"/>
    </w:rPr>
  </w:style>
  <w:style w:type="character" w:customStyle="1" w:styleId="42">
    <w:name w:val="Heading 8 Char"/>
    <w:link w:val="10"/>
    <w:uiPriority w:val="9"/>
    <w:rPr>
      <w:rFonts w:ascii="等线" w:hAnsi="等线" w:eastAsia="等线" w:cs="等线"/>
      <w:i/>
      <w:iCs/>
      <w:sz w:val="22"/>
      <w:szCs w:val="22"/>
    </w:rPr>
  </w:style>
  <w:style w:type="character" w:customStyle="1" w:styleId="43">
    <w:name w:val="Heading 9 Char"/>
    <w:link w:val="11"/>
    <w:uiPriority w:val="9"/>
    <w:rPr>
      <w:rFonts w:ascii="等线" w:hAnsi="等线" w:eastAsia="等线" w:cs="等线"/>
      <w:i/>
      <w:iCs/>
      <w:sz w:val="21"/>
      <w:szCs w:val="21"/>
    </w:rPr>
  </w:style>
  <w:style w:type="character" w:customStyle="1" w:styleId="44">
    <w:name w:val="Title Char"/>
    <w:link w:val="28"/>
    <w:uiPriority w:val="10"/>
    <w:rPr>
      <w:sz w:val="48"/>
      <w:szCs w:val="48"/>
    </w:rPr>
  </w:style>
  <w:style w:type="character" w:customStyle="1" w:styleId="45">
    <w:name w:val="Subtitle Char"/>
    <w:link w:val="22"/>
    <w:uiPriority w:val="11"/>
    <w:rPr>
      <w:sz w:val="24"/>
      <w:szCs w:val="24"/>
    </w:rPr>
  </w:style>
  <w:style w:type="paragraph" w:styleId="46">
    <w:name w:val="Quote"/>
    <w:basedOn w:val="1"/>
    <w:next w:val="1"/>
    <w:link w:val="47"/>
    <w:qFormat/>
    <w:uiPriority w:val="29"/>
    <w:pPr>
      <w:ind w:left="720" w:right="720"/>
    </w:pPr>
    <w:rPr>
      <w:i/>
    </w:rPr>
  </w:style>
  <w:style w:type="character" w:customStyle="1" w:styleId="47">
    <w:name w:val="Quote Char"/>
    <w:link w:val="46"/>
    <w:uiPriority w:val="29"/>
    <w:rPr>
      <w:i/>
    </w:rPr>
  </w:style>
  <w:style w:type="paragraph" w:styleId="48">
    <w:name w:val="Intense Quote"/>
    <w:basedOn w:val="1"/>
    <w:next w:val="1"/>
    <w:link w:val="4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49">
    <w:name w:val="Intense Quote Char"/>
    <w:link w:val="48"/>
    <w:uiPriority w:val="30"/>
    <w:rPr>
      <w:i/>
    </w:rPr>
  </w:style>
  <w:style w:type="character" w:customStyle="1" w:styleId="50">
    <w:name w:val="Header Char"/>
    <w:link w:val="19"/>
    <w:uiPriority w:val="99"/>
  </w:style>
  <w:style w:type="character" w:customStyle="1" w:styleId="51">
    <w:name w:val="Footer Char"/>
    <w:link w:val="18"/>
    <w:uiPriority w:val="99"/>
  </w:style>
  <w:style w:type="character" w:customStyle="1" w:styleId="52">
    <w:name w:val="Caption Char"/>
    <w:link w:val="18"/>
    <w:uiPriority w:val="99"/>
  </w:style>
  <w:style w:type="table" w:customStyle="1" w:styleId="53">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4">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3"/>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5"/>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5">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blPr/>
      <w:tcPr>
        <w:tcBorders>
          <w:bottom w:val="single" w:color="A6BFDD" w:themeColor="accent1" w:themeTint="80" w:sz="12" w:space="0"/>
        </w:tcBorders>
      </w:tcPr>
    </w:tblStylePr>
    <w:tblStylePr w:type="lastRow">
      <w:rPr>
        <w:b/>
        <w:color w:val="A6BFDD" w:themeColor="accent1" w:themeShade="95" w:themeTint="80"/>
      </w:rPr>
      <w:tblPr/>
    </w:tblStylePr>
    <w:tblStylePr w:type="firstCol">
      <w:rPr>
        <w:b/>
        <w:color w:val="A6BFDD" w:themeColor="accent1" w:themeShade="95" w:themeTint="80"/>
      </w:rPr>
      <w:tblPr/>
    </w:tblStylePr>
    <w:tblStylePr w:type="lastCol">
      <w:rPr>
        <w:b/>
        <w:color w:val="A6BFDD" w:themeColor="accent1" w:themeShade="95" w:themeTint="80"/>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12" w:space="0"/>
        </w:tcBorders>
      </w:tcPr>
    </w:tblStylePr>
    <w:tblStylePr w:type="lastRow">
      <w:rPr>
        <w:b/>
        <w:color w:val="D99795" w:themeColor="accent2" w:themeShade="95" w:themeTint="97"/>
      </w:rPr>
      <w:tbl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blPr/>
      <w:tcPr>
        <w:tcBorders>
          <w:bottom w:val="single" w:color="9BBB59" w:themeColor="accent3" w:themeTint="FE" w:sz="12" w:space="0"/>
        </w:tcBorders>
      </w:tcPr>
    </w:tblStylePr>
    <w:tblStylePr w:type="lastRow">
      <w:rPr>
        <w:b/>
        <w:color w:val="9BBB59" w:themeColor="accent3" w:themeShade="95" w:themeTint="FE"/>
      </w:rPr>
      <w:tblPr/>
    </w:tblStylePr>
    <w:tblStylePr w:type="firstCol">
      <w:rPr>
        <w:b/>
        <w:color w:val="9BBB59" w:themeColor="accent3" w:themeShade="95" w:themeTint="FE"/>
      </w:rPr>
      <w:tblPr/>
    </w:tblStylePr>
    <w:tblStylePr w:type="lastCol">
      <w:rPr>
        <w:b/>
        <w:color w:val="9BBB59" w:themeColor="accent3" w:themeShade="95" w:themeTint="FE"/>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12" w:space="0"/>
        </w:tcBorders>
      </w:tcPr>
    </w:tblStylePr>
    <w:tblStylePr w:type="lastRow">
      <w:rPr>
        <w:b/>
        <w:color w:val="B2A1C6" w:themeColor="accent4" w:themeShade="95" w:themeTint="9A"/>
      </w:rPr>
      <w:tbl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9" w:themeColor="accent5" w:themeShade="95"/>
        <w:sz w:val="22"/>
      </w:rPr>
      <w:tblPr/>
      <w:tcPr>
        <w:shd w:val="clear" w:color="FDE9D9" w:themeColor="accent6" w:themeTint="34" w:fill="FDE9D9" w:themeFill="accent6"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15407" w:themeColor="accent6" w:themeShade="95"/>
        <w:sz w:val="22"/>
      </w:rPr>
      <w:tblPr/>
      <w:tcPr>
        <w:shd w:val="clear" w:color="FDE9D9" w:themeColor="accent6" w:themeTint="34" w:fill="FDE9D9" w:themeFill="accent6" w:themeFillTint="34"/>
      </w:tcPr>
    </w:tblStylePr>
    <w:tblStylePr w:type="band2Horz">
      <w:rPr>
        <w:rFonts w:ascii="Arial" w:hAnsi="Arial"/>
        <w:color w:val="B15407"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08">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9">
    <w:name w:val="List Table 1 Light - Accent 1"/>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3"/>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4"/>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5"/>
    <w:qFormat/>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7">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8">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39">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0">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1">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3">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44">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blPr/>
      <w:tcPr>
        <w:tcBorders>
          <w:bottom w:val="single" w:color="4F81BD" w:themeColor="accent1" w:sz="4" w:space="0"/>
        </w:tcBorders>
      </w:tcPr>
    </w:tblStylePr>
    <w:tblStylePr w:type="lastRow">
      <w:rPr>
        <w:b/>
        <w:color w:val="2A4B71" w:themeColor="accent1" w:themeShade="95"/>
      </w:rPr>
      <w:tblPr/>
      <w:tcPr>
        <w:tcBorders>
          <w:top w:val="single" w:color="4F81BD" w:themeColor="accent1" w:sz="4" w:space="0"/>
        </w:tcBorders>
      </w:tcPr>
    </w:tblStylePr>
    <w:tblStylePr w:type="firstCol">
      <w:rPr>
        <w:b/>
        <w:color w:val="2A4B71" w:themeColor="accent1" w:themeShade="95"/>
      </w:rPr>
      <w:tblPr/>
    </w:tblStylePr>
    <w:tblStylePr w:type="lastCol">
      <w:rPr>
        <w:b/>
        <w:color w:val="2A4B71" w:themeColor="accent1" w:themeShade="95"/>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4" w:space="0"/>
        </w:tcBorders>
      </w:tcPr>
    </w:tblStylePr>
    <w:tblStylePr w:type="lastRow">
      <w:rPr>
        <w:b/>
        <w:color w:val="D99795" w:themeColor="accent2" w:themeShade="95" w:themeTint="97"/>
      </w:rPr>
      <w:tblPr/>
      <w:tcPr>
        <w:tcBorders>
          <w:top w:val="single" w:color="D99795" w:themeColor="accent2" w:themeTint="97" w:sz="4" w:space="0"/>
        </w:tcBorders>
      </w:tc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blPr/>
      <w:tcPr>
        <w:tcBorders>
          <w:bottom w:val="single" w:color="C3D69C" w:themeColor="accent3" w:themeTint="98" w:sz="4" w:space="0"/>
        </w:tcBorders>
      </w:tcPr>
    </w:tblStylePr>
    <w:tblStylePr w:type="lastRow">
      <w:rPr>
        <w:b/>
        <w:color w:val="C3D69C" w:themeColor="accent3" w:themeShade="95" w:themeTint="98"/>
      </w:rPr>
      <w:tblPr/>
      <w:tcPr>
        <w:tcBorders>
          <w:top w:val="single" w:color="C3D69C" w:themeColor="accent3" w:themeTint="98" w:sz="4" w:space="0"/>
        </w:tcBorders>
      </w:tcPr>
    </w:tblStylePr>
    <w:tblStylePr w:type="firstCol">
      <w:rPr>
        <w:b/>
        <w:color w:val="C3D69C" w:themeColor="accent3" w:themeShade="95" w:themeTint="98"/>
      </w:rPr>
      <w:tblPr/>
    </w:tblStylePr>
    <w:tblStylePr w:type="lastCol">
      <w:rPr>
        <w:b/>
        <w:color w:val="C3D69C" w:themeColor="accent3" w:themeShade="95" w:themeTint="98"/>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4" w:space="0"/>
        </w:tcBorders>
      </w:tcPr>
    </w:tblStylePr>
    <w:tblStylePr w:type="lastRow">
      <w:rPr>
        <w:b/>
        <w:color w:val="B2A1C6" w:themeColor="accent4" w:themeShade="95" w:themeTint="9A"/>
      </w:rPr>
      <w:tblPr/>
      <w:tcPr>
        <w:tcBorders>
          <w:top w:val="single" w:color="B2A1C6" w:themeColor="accent4" w:themeTint="9A" w:sz="4" w:space="0"/>
        </w:tcBorders>
      </w:tc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blPr/>
      <w:tcPr>
        <w:tcBorders>
          <w:bottom w:val="single" w:color="92CCDC" w:themeColor="accent5" w:themeTint="9A" w:sz="4" w:space="0"/>
        </w:tcBorders>
      </w:tcPr>
    </w:tblStylePr>
    <w:tblStylePr w:type="lastRow">
      <w:rPr>
        <w:b/>
        <w:color w:val="92CCDC" w:themeColor="accent5" w:themeShade="95" w:themeTint="9A"/>
      </w:rPr>
      <w:tblPr/>
      <w:tcPr>
        <w:tcBorders>
          <w:top w:val="single" w:color="92CCDC" w:themeColor="accent5" w:themeTint="9A" w:sz="4" w:space="0"/>
        </w:tcBorders>
      </w:tcPr>
    </w:tblStylePr>
    <w:tblStylePr w:type="firstCol">
      <w:rPr>
        <w:b/>
        <w:color w:val="92CCDC" w:themeColor="accent5" w:themeShade="95" w:themeTint="9A"/>
      </w:rPr>
      <w:tblPr/>
    </w:tblStylePr>
    <w:tblStylePr w:type="lastCol">
      <w:rPr>
        <w:b/>
        <w:color w:val="92CCDC" w:themeColor="accent5" w:themeShade="95" w:themeTint="9A"/>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blPr/>
      <w:tcPr>
        <w:tcBorders>
          <w:bottom w:val="single" w:color="FAC090" w:themeColor="accent6" w:themeTint="98" w:sz="4" w:space="0"/>
        </w:tcBorders>
      </w:tcPr>
    </w:tblStylePr>
    <w:tblStylePr w:type="lastRow">
      <w:rPr>
        <w:b/>
        <w:color w:val="FAC090" w:themeColor="accent6" w:themeShade="95" w:themeTint="98"/>
      </w:rPr>
      <w:tblPr/>
      <w:tcPr>
        <w:tcBorders>
          <w:top w:val="single" w:color="FAC090" w:themeColor="accent6" w:themeTint="98" w:sz="4" w:space="0"/>
        </w:tcBorders>
      </w:tcPr>
    </w:tblStylePr>
    <w:tblStylePr w:type="firstCol">
      <w:rPr>
        <w:b/>
        <w:color w:val="FAC090" w:themeColor="accent6" w:themeShade="95" w:themeTint="98"/>
      </w:rPr>
      <w:tblPr/>
    </w:tblStylePr>
    <w:tblStylePr w:type="lastCol">
      <w:rPr>
        <w:b/>
        <w:color w:val="FAC090" w:themeColor="accent6" w:themeShade="95" w:themeTint="98"/>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7">
    <w:name w:val="Lined - Accen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8">
    <w:name w:val="Lined - Accent 1"/>
    <w:qFormat/>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59">
    <w:name w:val="Lined - Accent 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0">
    <w:name w:val="Lined - Accent 3"/>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1">
    <w:name w:val="Lined - Accent 4"/>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5"/>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6"/>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4">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5">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6">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7">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8">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1">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2">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8">
    <w:name w:val="Footnote Text Char"/>
    <w:link w:val="23"/>
    <w:uiPriority w:val="99"/>
    <w:rPr>
      <w:sz w:val="18"/>
    </w:rPr>
  </w:style>
  <w:style w:type="character" w:customStyle="1" w:styleId="179">
    <w:name w:val="Endnote Text Char"/>
    <w:link w:val="17"/>
    <w:uiPriority w:val="99"/>
    <w:rPr>
      <w:sz w:val="20"/>
    </w:rPr>
  </w:style>
  <w:style w:type="paragraph" w:customStyle="1" w:styleId="180">
    <w:name w:val="TOC Heading"/>
    <w:unhideWhenUsed/>
    <w:uiPriority w:val="39"/>
    <w:rPr>
      <w:rFonts w:hint="default" w:ascii="Times New Roman" w:hAnsi="Times New Roman" w:eastAsia="宋体" w:cs="Times New Roman"/>
    </w:rPr>
  </w:style>
  <w:style w:type="paragraph" w:customStyle="1" w:styleId="181">
    <w:name w:val="标题 11"/>
    <w:basedOn w:val="1"/>
    <w:next w:val="1"/>
    <w:qFormat/>
    <w:uiPriority w:val="99"/>
    <w:pPr>
      <w:keepNext/>
      <w:spacing w:before="120" w:after="160" w:line="259" w:lineRule="auto"/>
      <w:ind w:left="432" w:hanging="432"/>
      <w:outlineLvl w:val="0"/>
    </w:pPr>
    <w:rPr>
      <w:rFonts w:eastAsia="黑体"/>
      <w:b/>
      <w:bCs/>
      <w:color w:val="000000"/>
      <w:sz w:val="30"/>
      <w:szCs w:val="30"/>
    </w:rPr>
  </w:style>
  <w:style w:type="paragraph" w:customStyle="1" w:styleId="182">
    <w:name w:val="标题 21"/>
    <w:basedOn w:val="1"/>
    <w:next w:val="1"/>
    <w:qFormat/>
    <w:uiPriority w:val="9"/>
    <w:pPr>
      <w:keepNext/>
      <w:keepLines/>
      <w:spacing w:before="260" w:after="260" w:line="416" w:lineRule="auto"/>
      <w:outlineLvl w:val="1"/>
    </w:pPr>
    <w:rPr>
      <w:rFonts w:ascii="Cambria" w:hAnsi="Cambria"/>
      <w:b/>
      <w:bCs/>
      <w:sz w:val="32"/>
      <w:szCs w:val="32"/>
    </w:rPr>
  </w:style>
  <w:style w:type="paragraph" w:customStyle="1" w:styleId="183">
    <w:name w:val="标题 31"/>
    <w:basedOn w:val="1"/>
    <w:next w:val="1"/>
    <w:unhideWhenUsed/>
    <w:qFormat/>
    <w:uiPriority w:val="0"/>
    <w:pPr>
      <w:spacing w:before="100" w:beforeAutospacing="1" w:after="100" w:afterAutospacing="1"/>
      <w:jc w:val="left"/>
      <w:outlineLvl w:val="2"/>
    </w:pPr>
    <w:rPr>
      <w:rFonts w:hint="eastAsia" w:ascii="宋体" w:hAnsi="宋体" w:eastAsia="宋体" w:cs="宋体"/>
      <w:b/>
      <w:bCs/>
      <w:sz w:val="27"/>
      <w:szCs w:val="27"/>
      <w:lang w:val="en-US" w:eastAsia="zh-CN" w:bidi="ar"/>
    </w:rPr>
  </w:style>
  <w:style w:type="paragraph" w:customStyle="1" w:styleId="184">
    <w:name w:val="标题 41"/>
    <w:basedOn w:val="1"/>
    <w:next w:val="1"/>
    <w:qFormat/>
    <w:uiPriority w:val="0"/>
    <w:pPr>
      <w:keepNext/>
      <w:keepLines/>
      <w:spacing w:line="500" w:lineRule="exact"/>
      <w:outlineLvl w:val="3"/>
    </w:pPr>
    <w:rPr>
      <w:rFonts w:ascii="Arial" w:hAnsi="Arial"/>
      <w:sz w:val="24"/>
    </w:rPr>
  </w:style>
  <w:style w:type="character" w:customStyle="1" w:styleId="185">
    <w:name w:val="默认段落字体1"/>
    <w:link w:val="1"/>
    <w:semiHidden/>
    <w:uiPriority w:val="0"/>
  </w:style>
  <w:style w:type="table" w:customStyle="1" w:styleId="186">
    <w:name w:val="普通表格1"/>
    <w:semiHidden/>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7">
    <w:name w:val="题注1"/>
    <w:basedOn w:val="1"/>
    <w:next w:val="1"/>
    <w:qFormat/>
    <w:uiPriority w:val="0"/>
    <w:pPr>
      <w:spacing w:line="360" w:lineRule="auto"/>
      <w:jc w:val="center"/>
    </w:pPr>
    <w:rPr>
      <w:rFonts w:ascii="Times New Roman" w:hAnsi="Times New Roman" w:eastAsia="宋体" w:cs="Times New Roman"/>
      <w:b/>
      <w:szCs w:val="20"/>
    </w:rPr>
  </w:style>
  <w:style w:type="paragraph" w:customStyle="1" w:styleId="188">
    <w:name w:val="引文目录标题1"/>
    <w:basedOn w:val="1"/>
    <w:next w:val="1"/>
    <w:unhideWhenUsed/>
    <w:qFormat/>
    <w:uiPriority w:val="99"/>
    <w:pPr>
      <w:spacing w:before="120"/>
    </w:pPr>
    <w:rPr>
      <w:rFonts w:ascii="Cambria" w:hAnsi="Cambria" w:eastAsia="宋体" w:cs="Times New Roman"/>
      <w:sz w:val="24"/>
    </w:rPr>
  </w:style>
  <w:style w:type="paragraph" w:customStyle="1" w:styleId="189">
    <w:name w:val="批注文字1"/>
    <w:basedOn w:val="1"/>
    <w:link w:val="190"/>
    <w:semiHidden/>
    <w:uiPriority w:val="0"/>
    <w:pPr>
      <w:jc w:val="left"/>
    </w:pPr>
    <w:rPr>
      <w:sz w:val="24"/>
      <w:szCs w:val="20"/>
    </w:rPr>
  </w:style>
  <w:style w:type="character" w:customStyle="1" w:styleId="190">
    <w:name w:val="批注文字 Char"/>
    <w:link w:val="189"/>
    <w:uiPriority w:val="0"/>
    <w:rPr>
      <w:rFonts w:ascii="Times New Roman" w:hAnsi="Times New Roman" w:eastAsia="宋体"/>
      <w:sz w:val="24"/>
    </w:rPr>
  </w:style>
  <w:style w:type="paragraph" w:customStyle="1" w:styleId="191">
    <w:name w:val="正文文本1"/>
    <w:basedOn w:val="1"/>
    <w:next w:val="192"/>
    <w:link w:val="193"/>
    <w:uiPriority w:val="0"/>
    <w:pPr>
      <w:widowControl/>
      <w:spacing w:before="60" w:after="160" w:line="259" w:lineRule="auto"/>
      <w:ind w:right="113"/>
    </w:pPr>
    <w:rPr>
      <w:sz w:val="18"/>
      <w:szCs w:val="20"/>
    </w:rPr>
  </w:style>
  <w:style w:type="paragraph" w:customStyle="1" w:styleId="192">
    <w:name w:val="明显引用1"/>
    <w:basedOn w:val="1"/>
    <w:next w:val="1"/>
    <w:qFormat/>
    <w:uiPriority w:val="30"/>
    <w:pPr>
      <w:pBdr>
        <w:bottom w:val="single" w:color="4F81BD" w:sz="4" w:space="4"/>
      </w:pBdr>
      <w:ind w:left="936" w:right="936" w:firstLine="200"/>
    </w:pPr>
    <w:rPr>
      <w:rFonts w:ascii="Times New Roman" w:hAnsi="Times New Roman" w:eastAsia="宋体" w:cs="Times New Roman"/>
      <w:b/>
      <w:bCs/>
      <w:iCs/>
      <w:sz w:val="24"/>
      <w:lang w:val="zh-CN"/>
    </w:rPr>
  </w:style>
  <w:style w:type="character" w:customStyle="1" w:styleId="193">
    <w:name w:val="正文文本 Char"/>
    <w:link w:val="191"/>
    <w:uiPriority w:val="0"/>
    <w:rPr>
      <w:sz w:val="18"/>
    </w:rPr>
  </w:style>
  <w:style w:type="paragraph" w:customStyle="1" w:styleId="194">
    <w:name w:val="正文文本缩进1"/>
    <w:basedOn w:val="1"/>
    <w:link w:val="195"/>
    <w:uiPriority w:val="0"/>
    <w:pPr>
      <w:spacing w:after="120"/>
      <w:ind w:left="420"/>
    </w:pPr>
    <w:rPr>
      <w:sz w:val="24"/>
      <w:szCs w:val="20"/>
    </w:rPr>
  </w:style>
  <w:style w:type="character" w:customStyle="1" w:styleId="195">
    <w:name w:val="正文文本缩进 Char"/>
    <w:link w:val="194"/>
    <w:semiHidden/>
    <w:uiPriority w:val="0"/>
    <w:rPr>
      <w:rFonts w:ascii="Times New Roman" w:hAnsi="Times New Roman" w:eastAsia="宋体"/>
      <w:sz w:val="24"/>
    </w:rPr>
  </w:style>
  <w:style w:type="paragraph" w:customStyle="1" w:styleId="196">
    <w:name w:val="目录 51"/>
    <w:basedOn w:val="1"/>
    <w:next w:val="1"/>
    <w:qFormat/>
    <w:uiPriority w:val="39"/>
    <w:pPr>
      <w:spacing w:line="240" w:lineRule="auto"/>
      <w:ind w:left="840" w:firstLine="0"/>
    </w:pPr>
    <w:rPr>
      <w:rFonts w:ascii="Calibri" w:hAnsi="Calibri"/>
      <w:sz w:val="18"/>
      <w:szCs w:val="18"/>
    </w:rPr>
  </w:style>
  <w:style w:type="paragraph" w:customStyle="1" w:styleId="197">
    <w:name w:val="纯文本11"/>
    <w:basedOn w:val="1"/>
    <w:next w:val="1"/>
    <w:qFormat/>
    <w:uiPriority w:val="99"/>
    <w:pPr>
      <w:spacing w:line="240" w:lineRule="atLeast"/>
    </w:pPr>
    <w:rPr>
      <w:rFonts w:ascii="宋体" w:hAnsi="Courier New" w:eastAsia="宋体" w:cs="Times New Roman"/>
      <w:sz w:val="28"/>
      <w:szCs w:val="20"/>
    </w:rPr>
  </w:style>
  <w:style w:type="paragraph" w:customStyle="1" w:styleId="198">
    <w:name w:val="日期1"/>
    <w:basedOn w:val="1"/>
    <w:next w:val="1"/>
    <w:link w:val="199"/>
    <w:uiPriority w:val="0"/>
    <w:pPr>
      <w:ind w:left="100"/>
    </w:pPr>
    <w:rPr>
      <w:sz w:val="24"/>
      <w:szCs w:val="20"/>
    </w:rPr>
  </w:style>
  <w:style w:type="character" w:customStyle="1" w:styleId="199">
    <w:name w:val="日期 Char"/>
    <w:link w:val="198"/>
    <w:uiPriority w:val="0"/>
    <w:rPr>
      <w:rFonts w:ascii="Times New Roman" w:hAnsi="Times New Roman" w:eastAsia="宋体"/>
      <w:sz w:val="24"/>
    </w:rPr>
  </w:style>
  <w:style w:type="paragraph" w:customStyle="1" w:styleId="200">
    <w:name w:val="正文文本缩进 21"/>
    <w:basedOn w:val="1"/>
    <w:uiPriority w:val="0"/>
    <w:pPr>
      <w:spacing w:line="360" w:lineRule="auto"/>
      <w:ind w:left="420"/>
    </w:pPr>
    <w:rPr>
      <w:rFonts w:ascii="Times New Roman" w:hAnsi="Times New Roman"/>
    </w:rPr>
  </w:style>
  <w:style w:type="paragraph" w:customStyle="1" w:styleId="201">
    <w:name w:val="批注框文本1"/>
    <w:basedOn w:val="1"/>
    <w:link w:val="202"/>
    <w:semiHidden/>
    <w:uiPriority w:val="0"/>
    <w:rPr>
      <w:sz w:val="18"/>
      <w:szCs w:val="20"/>
    </w:rPr>
  </w:style>
  <w:style w:type="character" w:customStyle="1" w:styleId="202">
    <w:name w:val="批注框文本 Char"/>
    <w:link w:val="201"/>
    <w:semiHidden/>
    <w:uiPriority w:val="0"/>
    <w:rPr>
      <w:rFonts w:ascii="Times New Roman" w:hAnsi="Times New Roman" w:eastAsia="宋体"/>
      <w:sz w:val="18"/>
    </w:rPr>
  </w:style>
  <w:style w:type="paragraph" w:customStyle="1" w:styleId="203">
    <w:name w:val="页脚1"/>
    <w:basedOn w:val="1"/>
    <w:link w:val="204"/>
    <w:uiPriority w:val="99"/>
    <w:pPr>
      <w:tabs>
        <w:tab w:val="center" w:pos="4153"/>
        <w:tab w:val="right" w:pos="8306"/>
      </w:tabs>
      <w:jc w:val="left"/>
    </w:pPr>
    <w:rPr>
      <w:sz w:val="18"/>
      <w:szCs w:val="20"/>
    </w:rPr>
  </w:style>
  <w:style w:type="character" w:customStyle="1" w:styleId="204">
    <w:name w:val="页脚 Char"/>
    <w:link w:val="203"/>
    <w:uiPriority w:val="99"/>
    <w:rPr>
      <w:sz w:val="18"/>
    </w:rPr>
  </w:style>
  <w:style w:type="paragraph" w:customStyle="1" w:styleId="205">
    <w:name w:val="页眉1"/>
    <w:basedOn w:val="1"/>
    <w:next w:val="206"/>
    <w:link w:val="208"/>
    <w:uiPriority w:val="0"/>
    <w:pPr>
      <w:pBdr>
        <w:bottom w:val="single" w:color="000000" w:sz="6" w:space="1"/>
      </w:pBdr>
      <w:tabs>
        <w:tab w:val="center" w:pos="4153"/>
        <w:tab w:val="right" w:pos="8306"/>
      </w:tabs>
      <w:jc w:val="center"/>
    </w:pPr>
    <w:rPr>
      <w:sz w:val="18"/>
      <w:szCs w:val="20"/>
    </w:rPr>
  </w:style>
  <w:style w:type="paragraph" w:customStyle="1" w:styleId="206">
    <w:name w:val="索引标题1"/>
    <w:basedOn w:val="1"/>
    <w:next w:val="207"/>
    <w:qFormat/>
    <w:uiPriority w:val="0"/>
    <w:rPr>
      <w:rFonts w:ascii="Arial" w:hAnsi="Arial"/>
      <w:b/>
    </w:rPr>
  </w:style>
  <w:style w:type="paragraph" w:customStyle="1" w:styleId="207">
    <w:name w:val="索引 11"/>
    <w:basedOn w:val="1"/>
    <w:next w:val="1"/>
    <w:qFormat/>
    <w:uiPriority w:val="0"/>
    <w:pPr>
      <w:spacing w:line="240" w:lineRule="exact"/>
      <w:jc w:val="left"/>
    </w:pPr>
    <w:rPr>
      <w:b/>
      <w:szCs w:val="21"/>
    </w:rPr>
  </w:style>
  <w:style w:type="character" w:customStyle="1" w:styleId="208">
    <w:name w:val="页眉 Char"/>
    <w:link w:val="205"/>
    <w:uiPriority w:val="0"/>
    <w:rPr>
      <w:sz w:val="18"/>
    </w:rPr>
  </w:style>
  <w:style w:type="paragraph" w:customStyle="1" w:styleId="209">
    <w:name w:val="目录 11"/>
    <w:basedOn w:val="1"/>
    <w:next w:val="1"/>
    <w:uiPriority w:val="0"/>
  </w:style>
  <w:style w:type="paragraph" w:customStyle="1" w:styleId="210">
    <w:name w:val="普通(网站)1"/>
    <w:basedOn w:val="1"/>
    <w:link w:val="211"/>
    <w:uiPriority w:val="0"/>
    <w:pPr>
      <w:widowControl/>
      <w:spacing w:before="100" w:beforeAutospacing="1" w:after="100" w:afterAutospacing="1"/>
      <w:jc w:val="left"/>
    </w:pPr>
    <w:rPr>
      <w:rFonts w:ascii="宋体" w:hAnsi="宋体"/>
      <w:sz w:val="24"/>
      <w:szCs w:val="20"/>
    </w:rPr>
  </w:style>
  <w:style w:type="character" w:customStyle="1" w:styleId="211">
    <w:name w:val="普通(网站) Char"/>
    <w:link w:val="210"/>
    <w:uiPriority w:val="0"/>
    <w:rPr>
      <w:rFonts w:ascii="宋体" w:hAnsi="宋体" w:eastAsia="宋体"/>
      <w:sz w:val="24"/>
    </w:rPr>
  </w:style>
  <w:style w:type="paragraph" w:customStyle="1" w:styleId="212">
    <w:name w:val="标题1"/>
    <w:basedOn w:val="1"/>
    <w:next w:val="1"/>
    <w:qFormat/>
    <w:uiPriority w:val="0"/>
    <w:rPr>
      <w:szCs w:val="20"/>
    </w:rPr>
  </w:style>
  <w:style w:type="paragraph" w:customStyle="1" w:styleId="213">
    <w:name w:val="批注主题1"/>
    <w:basedOn w:val="189"/>
    <w:next w:val="189"/>
    <w:link w:val="214"/>
    <w:semiHidden/>
    <w:uiPriority w:val="0"/>
    <w:rPr>
      <w:b/>
      <w:sz w:val="24"/>
      <w:szCs w:val="20"/>
    </w:rPr>
  </w:style>
  <w:style w:type="character" w:customStyle="1" w:styleId="214">
    <w:name w:val="批注主题 Char"/>
    <w:link w:val="213"/>
    <w:semiHidden/>
    <w:uiPriority w:val="0"/>
    <w:rPr>
      <w:rFonts w:ascii="Times New Roman" w:hAnsi="Times New Roman" w:eastAsia="宋体"/>
      <w:b/>
      <w:sz w:val="24"/>
    </w:rPr>
  </w:style>
  <w:style w:type="paragraph" w:customStyle="1" w:styleId="215">
    <w:name w:val="正文首行缩进1"/>
    <w:basedOn w:val="191"/>
    <w:next w:val="1"/>
    <w:qFormat/>
    <w:uiPriority w:val="0"/>
    <w:pPr>
      <w:spacing w:line="360" w:lineRule="auto"/>
      <w:ind w:firstLine="420"/>
    </w:pPr>
    <w:rPr>
      <w:sz w:val="24"/>
    </w:rPr>
  </w:style>
  <w:style w:type="paragraph" w:customStyle="1" w:styleId="216">
    <w:name w:val="正文首行缩进 21"/>
    <w:basedOn w:val="1"/>
    <w:next w:val="215"/>
    <w:qFormat/>
    <w:uiPriority w:val="0"/>
    <w:pPr>
      <w:spacing w:after="120"/>
      <w:ind w:left="420" w:firstLine="420"/>
    </w:pPr>
    <w:rPr>
      <w:sz w:val="21"/>
      <w:szCs w:val="24"/>
    </w:rPr>
  </w:style>
  <w:style w:type="table" w:customStyle="1" w:styleId="217">
    <w:name w:val="网格型1"/>
    <w:basedOn w:val="186"/>
    <w:uiPriority w:val="0"/>
    <w:rPr>
      <w:lang w:val="en-US" w:eastAsia="zh-CN" w:bidi="ar-SA"/>
    </w:rP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218">
    <w:name w:val="要点1"/>
    <w:basedOn w:val="185"/>
    <w:link w:val="1"/>
    <w:qFormat/>
    <w:uiPriority w:val="0"/>
    <w:rPr>
      <w:b/>
    </w:rPr>
  </w:style>
  <w:style w:type="character" w:customStyle="1" w:styleId="219">
    <w:name w:val="页码1"/>
    <w:basedOn w:val="185"/>
    <w:link w:val="1"/>
    <w:uiPriority w:val="0"/>
  </w:style>
  <w:style w:type="character" w:customStyle="1" w:styleId="220">
    <w:name w:val="超链接1"/>
    <w:basedOn w:val="185"/>
    <w:link w:val="1"/>
    <w:uiPriority w:val="0"/>
    <w:rPr>
      <w:color w:val="0000FF"/>
      <w:u w:val="single"/>
    </w:rPr>
  </w:style>
  <w:style w:type="character" w:customStyle="1" w:styleId="221">
    <w:name w:val="批注引用1"/>
    <w:link w:val="1"/>
    <w:semiHidden/>
    <w:uiPriority w:val="0"/>
    <w:rPr>
      <w:sz w:val="21"/>
    </w:rPr>
  </w:style>
  <w:style w:type="character" w:customStyle="1" w:styleId="222">
    <w:name w:val="表格 Char"/>
    <w:link w:val="223"/>
    <w:uiPriority w:val="0"/>
    <w:rPr>
      <w:rFonts w:ascii="宋体"/>
      <w:sz w:val="21"/>
    </w:rPr>
  </w:style>
  <w:style w:type="paragraph" w:customStyle="1" w:styleId="223">
    <w:name w:val="表格"/>
    <w:basedOn w:val="224"/>
    <w:next w:val="1"/>
    <w:link w:val="222"/>
    <w:uiPriority w:val="0"/>
    <w:pPr>
      <w:spacing w:line="259" w:lineRule="auto"/>
      <w:jc w:val="center"/>
    </w:pPr>
    <w:rPr>
      <w:rFonts w:ascii="宋体"/>
      <w:szCs w:val="20"/>
    </w:rPr>
  </w:style>
  <w:style w:type="paragraph" w:customStyle="1" w:styleId="224">
    <w:name w:val="表头"/>
    <w:basedOn w:val="1"/>
    <w:next w:val="225"/>
    <w:uiPriority w:val="0"/>
    <w:pPr>
      <w:spacing w:before="50" w:line="320" w:lineRule="atLeast"/>
      <w:ind w:firstLine="0"/>
      <w:jc w:val="center"/>
    </w:pPr>
    <w:rPr>
      <w:rFonts w:ascii="Times New Roman" w:hAnsi="Times New Roman" w:eastAsia="宋体" w:cs="Times New Roman"/>
      <w:b/>
      <w:spacing w:val="-10"/>
      <w:sz w:val="21"/>
      <w:szCs w:val="20"/>
    </w:rPr>
  </w:style>
  <w:style w:type="paragraph" w:customStyle="1" w:styleId="225">
    <w:name w:val="表格内容"/>
    <w:basedOn w:val="1"/>
    <w:qFormat/>
    <w:uiPriority w:val="0"/>
    <w:pPr>
      <w:spacing w:line="240" w:lineRule="auto"/>
      <w:ind w:firstLine="0"/>
      <w:jc w:val="center"/>
    </w:pPr>
    <w:rPr>
      <w:sz w:val="21"/>
    </w:rPr>
  </w:style>
  <w:style w:type="character" w:customStyle="1" w:styleId="226">
    <w:name w:val="日期 字符"/>
    <w:link w:val="1"/>
    <w:semiHidden/>
    <w:uiPriority w:val="0"/>
    <w:rPr>
      <w:rFonts w:ascii="Times New Roman" w:hAnsi="Times New Roman" w:eastAsia="宋体"/>
      <w:sz w:val="24"/>
    </w:rPr>
  </w:style>
  <w:style w:type="character" w:customStyle="1" w:styleId="227">
    <w:name w:val="批注文字 字符1"/>
    <w:link w:val="1"/>
    <w:semiHidden/>
    <w:uiPriority w:val="0"/>
    <w:rPr>
      <w:rFonts w:ascii="Times New Roman" w:hAnsi="Times New Roman" w:eastAsia="宋体"/>
      <w:sz w:val="24"/>
    </w:rPr>
  </w:style>
  <w:style w:type="character" w:customStyle="1" w:styleId="228">
    <w:name w:val="页脚 字符"/>
    <w:basedOn w:val="185"/>
    <w:link w:val="1"/>
    <w:uiPriority w:val="99"/>
  </w:style>
  <w:style w:type="character" w:customStyle="1" w:styleId="229">
    <w:name w:val="正文文本 字符1"/>
    <w:link w:val="1"/>
    <w:semiHidden/>
    <w:uiPriority w:val="0"/>
    <w:rPr>
      <w:rFonts w:ascii="Times New Roman" w:hAnsi="Times New Roman" w:eastAsia="宋体"/>
      <w:sz w:val="24"/>
    </w:rPr>
  </w:style>
  <w:style w:type="character" w:customStyle="1" w:styleId="230">
    <w:name w:val="正文文本 (2) + Times New Roman"/>
    <w:link w:val="1"/>
    <w:qFormat/>
    <w:uiPriority w:val="0"/>
    <w:rPr>
      <w:rFonts w:ascii="Times New Roman" w:hAnsi="Times New Roman" w:eastAsia="Times New Roman" w:cs="Times New Roman"/>
      <w:color w:val="000000"/>
      <w:spacing w:val="0"/>
      <w:position w:val="0"/>
      <w:sz w:val="22"/>
      <w:szCs w:val="22"/>
      <w:lang w:val="en-US" w:eastAsia="en-US" w:bidi="en-US"/>
    </w:rPr>
  </w:style>
  <w:style w:type="paragraph" w:customStyle="1" w:styleId="231">
    <w:name w:val="B表内"/>
    <w:basedOn w:val="232"/>
    <w:qFormat/>
    <w:uiPriority w:val="0"/>
    <w:pPr>
      <w:spacing w:line="240" w:lineRule="auto"/>
      <w:ind w:firstLine="0"/>
      <w:jc w:val="center"/>
    </w:pPr>
    <w:rPr>
      <w:rFonts w:cs="宋体"/>
      <w:sz w:val="21"/>
      <w:szCs w:val="20"/>
    </w:rPr>
  </w:style>
  <w:style w:type="paragraph" w:customStyle="1" w:styleId="232">
    <w:name w:val="B正文"/>
    <w:basedOn w:val="1"/>
    <w:qFormat/>
    <w:uiPriority w:val="0"/>
    <w:pPr>
      <w:spacing w:line="360" w:lineRule="auto"/>
      <w:ind w:firstLine="200"/>
    </w:pPr>
    <w:rPr>
      <w:rFonts w:ascii="Times New Roman" w:hAnsi="Times New Roman" w:eastAsia="宋体" w:cs="Times New Roman"/>
      <w:sz w:val="24"/>
      <w:szCs w:val="24"/>
    </w:rPr>
  </w:style>
  <w:style w:type="paragraph" w:customStyle="1" w:styleId="233">
    <w:name w:val="表内"/>
    <w:basedOn w:val="1"/>
    <w:qFormat/>
    <w:uiPriority w:val="0"/>
    <w:pPr>
      <w:spacing w:line="360" w:lineRule="exact"/>
      <w:ind w:firstLine="0"/>
      <w:jc w:val="center"/>
    </w:pPr>
    <w:rPr>
      <w:rFonts w:ascii="Times New Roman" w:hAnsi="Times New Roman" w:cs="Times New Roman"/>
      <w:sz w:val="21"/>
    </w:rPr>
  </w:style>
  <w:style w:type="paragraph" w:customStyle="1" w:styleId="234">
    <w:name w:val="Default"/>
    <w:basedOn w:val="235"/>
    <w:next w:val="203"/>
    <w:qFormat/>
    <w:uiPriority w:val="0"/>
    <w:pPr>
      <w:widowControl w:val="0"/>
    </w:pPr>
    <w:rPr>
      <w:rFonts w:ascii="宋体" w:hAnsi="宋体" w:eastAsia="宋体" w:cs="宋体"/>
      <w:color w:val="000000"/>
      <w:sz w:val="24"/>
      <w:szCs w:val="24"/>
      <w:lang w:val="en-US" w:eastAsia="zh-CN" w:bidi="ar-SA"/>
    </w:rPr>
  </w:style>
  <w:style w:type="paragraph" w:customStyle="1" w:styleId="235">
    <w:name w:val="文本"/>
    <w:basedOn w:val="2"/>
    <w:next w:val="1"/>
    <w:qFormat/>
    <w:uiPriority w:val="0"/>
    <w:pPr>
      <w:ind w:firstLine="480"/>
    </w:pPr>
    <w:rPr>
      <w:rFonts w:cs="Times New Roman"/>
      <w:szCs w:val="24"/>
      <w:lang w:val="zh-CN"/>
    </w:rPr>
  </w:style>
  <w:style w:type="paragraph" w:customStyle="1" w:styleId="236">
    <w:name w:val="表"/>
    <w:qFormat/>
    <w:uiPriority w:val="0"/>
    <w:pPr>
      <w:widowControl w:val="0"/>
      <w:spacing w:line="440" w:lineRule="exact"/>
      <w:ind w:firstLine="200"/>
      <w:jc w:val="both"/>
    </w:pPr>
    <w:rPr>
      <w:rFonts w:hint="default" w:ascii="Times New Roman" w:hAnsi="Times New Roman" w:eastAsia="宋体" w:cs="Times New Roman"/>
      <w:sz w:val="24"/>
      <w:szCs w:val="24"/>
      <w:lang w:val="en-US" w:eastAsia="zh-CN" w:bidi="ar-SA"/>
    </w:rPr>
  </w:style>
  <w:style w:type="paragraph" w:customStyle="1" w:styleId="237">
    <w:name w:val="环评正文"/>
    <w:basedOn w:val="1"/>
    <w:qFormat/>
    <w:uiPriority w:val="0"/>
    <w:pPr>
      <w:spacing w:line="360" w:lineRule="auto"/>
      <w:ind w:firstLine="480"/>
    </w:pPr>
    <w:rPr>
      <w:rFonts w:ascii="Times New Roman" w:hAnsi="宋体"/>
      <w:sz w:val="24"/>
      <w:szCs w:val="24"/>
    </w:rPr>
  </w:style>
  <w:style w:type="paragraph" w:customStyle="1" w:styleId="238">
    <w:name w:val="报告表正文"/>
    <w:basedOn w:val="1"/>
    <w:qFormat/>
    <w:uiPriority w:val="0"/>
    <w:pPr>
      <w:spacing w:line="360" w:lineRule="auto"/>
      <w:ind w:left="0" w:right="0" w:firstLine="488"/>
      <w:jc w:val="left"/>
    </w:pPr>
    <w:rPr>
      <w:rFonts w:ascii="Times New Roman" w:hAnsi="Times New Roman" w:eastAsia="Times New Roman" w:cs="宋体"/>
      <w:szCs w:val="20"/>
    </w:rPr>
  </w:style>
  <w:style w:type="paragraph" w:customStyle="1" w:styleId="239">
    <w:name w:val="1正文段落"/>
    <w:basedOn w:val="1"/>
    <w:qFormat/>
    <w:uiPriority w:val="0"/>
  </w:style>
  <w:style w:type="paragraph" w:customStyle="1" w:styleId="240">
    <w:name w:val="F正文"/>
    <w:basedOn w:val="1"/>
    <w:qFormat/>
    <w:uiPriority w:val="0"/>
    <w:pPr>
      <w:ind w:firstLine="480"/>
      <w:jc w:val="left"/>
    </w:pPr>
  </w:style>
  <w:style w:type="paragraph" w:customStyle="1" w:styleId="241">
    <w:name w:val="封面主标题"/>
    <w:basedOn w:val="1"/>
    <w:qFormat/>
    <w:uiPriority w:val="99"/>
    <w:pPr>
      <w:jc w:val="center"/>
    </w:pPr>
    <w:rPr>
      <w:rFonts w:ascii="华文新魏" w:hAnsi="华文中宋" w:eastAsia="华文新魏" w:cs="宋体"/>
      <w:b/>
      <w:bCs/>
      <w:sz w:val="84"/>
      <w:szCs w:val="84"/>
    </w:rPr>
  </w:style>
  <w:style w:type="paragraph" w:customStyle="1" w:styleId="242">
    <w:name w:val="副标题2"/>
    <w:basedOn w:val="1"/>
    <w:qFormat/>
    <w:uiPriority w:val="0"/>
    <w:pPr>
      <w:keepNext w:val="0"/>
      <w:keepLines w:val="0"/>
      <w:widowControl w:val="0"/>
      <w:suppressLineNumbers w:val="0"/>
      <w:spacing w:before="0" w:beforeAutospacing="0" w:after="0" w:afterAutospacing="0" w:line="360" w:lineRule="auto"/>
      <w:ind w:left="0" w:right="0"/>
      <w:jc w:val="both"/>
    </w:pPr>
    <w:rPr>
      <w:rFonts w:ascii="Times New Roman" w:hAnsi="Times New Roman" w:eastAsia="宋体" w:cs="Times New Roman"/>
      <w:b/>
      <w:sz w:val="28"/>
      <w:szCs w:val="21"/>
      <w:lang w:val="en-US" w:eastAsia="zh-CN" w:bidi="ar"/>
    </w:rPr>
  </w:style>
  <w:style w:type="paragraph" w:customStyle="1" w:styleId="243">
    <w:name w:val="iceant内"/>
    <w:basedOn w:val="1"/>
    <w:qFormat/>
    <w:uiPriority w:val="0"/>
    <w:pPr>
      <w:jc w:val="center"/>
    </w:pPr>
    <w:rPr>
      <w:rFonts w:ascii="Times New Roman" w:hAnsi="Times New Roman"/>
      <w:szCs w:val="21"/>
    </w:rPr>
  </w:style>
  <w:style w:type="paragraph" w:styleId="244">
    <w:name w:val="List Paragraph"/>
    <w:basedOn w:val="1"/>
    <w:qFormat/>
    <w:uiPriority w:val="0"/>
    <w:pPr>
      <w:ind w:firstLine="420"/>
    </w:pPr>
  </w:style>
  <w:style w:type="paragraph" w:customStyle="1" w:styleId="245">
    <w:name w:val="三级标题"/>
    <w:basedOn w:val="1"/>
    <w:qFormat/>
    <w:uiPriority w:val="0"/>
    <w:pPr>
      <w:spacing w:before="120" w:after="120" w:line="440" w:lineRule="exact"/>
      <w:jc w:val="left"/>
    </w:pPr>
    <w:rPr>
      <w:rFonts w:ascii="黑体" w:hAnsi="ˎ̥" w:eastAsia="黑体" w:cs="宋体"/>
      <w:sz w:val="28"/>
      <w:szCs w:val="28"/>
    </w:rPr>
  </w:style>
  <w:style w:type="paragraph" w:customStyle="1" w:styleId="246">
    <w:name w:val="Other|1"/>
    <w:basedOn w:val="1"/>
    <w:qFormat/>
    <w:uiPriority w:val="0"/>
    <w:pPr>
      <w:widowControl w:val="0"/>
      <w:shd w:val="clear" w:color="auto" w:fill="auto"/>
    </w:pPr>
    <w:rPr>
      <w:sz w:val="22"/>
      <w:szCs w:val="22"/>
      <w:u w:val="none"/>
      <w:shd w:val="clear" w:color="auto" w:fill="auto"/>
      <w:lang w:val="zh-TW" w:eastAsia="zh-TW" w:bidi="zh-TW"/>
    </w:rPr>
  </w:style>
  <w:style w:type="paragraph" w:customStyle="1" w:styleId="247">
    <w:name w:val="纯文本1"/>
    <w:basedOn w:val="1"/>
    <w:qFormat/>
    <w:uiPriority w:val="0"/>
    <w:rPr>
      <w:rFonts w:ascii="宋体" w:hAnsi="Courier New"/>
      <w:szCs w:val="20"/>
    </w:rPr>
  </w:style>
  <w:style w:type="paragraph" w:customStyle="1" w:styleId="248">
    <w:name w:val="正文_10"/>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249">
    <w:name w:val="正文a"/>
    <w:basedOn w:val="1"/>
    <w:qFormat/>
    <w:uiPriority w:val="0"/>
    <w:pPr>
      <w:spacing w:before="50"/>
      <w:ind w:firstLine="0"/>
    </w:pPr>
    <w:rPr>
      <w:b/>
    </w:rPr>
  </w:style>
  <w:style w:type="paragraph" w:customStyle="1" w:styleId="250">
    <w:name w:val="表中值"/>
    <w:basedOn w:val="1"/>
    <w:qFormat/>
    <w:uiPriority w:val="0"/>
    <w:pPr>
      <w:keepLines/>
      <w:widowControl/>
      <w:spacing w:line="360" w:lineRule="exact"/>
      <w:ind w:firstLine="0"/>
      <w:jc w:val="center"/>
    </w:pPr>
    <w:rPr>
      <w:spacing w:val="4"/>
      <w:sz w:val="21"/>
      <w:szCs w:val="20"/>
    </w:rPr>
  </w:style>
  <w:style w:type="paragraph" w:customStyle="1" w:styleId="251">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252">
    <w:name w:val="WPSOffice手动目录 1"/>
    <w:qFormat/>
    <w:uiPriority w:val="0"/>
    <w:rPr>
      <w:rFonts w:hint="default" w:ascii="Times New Roman" w:hAnsi="Times New Roman" w:eastAsia="宋体" w:cs="Times New Roman"/>
      <w:sz w:val="20"/>
      <w:szCs w:val="20"/>
    </w:rPr>
  </w:style>
  <w:style w:type="paragraph" w:customStyle="1" w:styleId="253">
    <w:name w:val="正文▲"/>
    <w:qFormat/>
    <w:uiPriority w:val="0"/>
    <w:pPr>
      <w:spacing w:line="360" w:lineRule="auto"/>
      <w:ind w:firstLine="200"/>
    </w:pPr>
    <w:rPr>
      <w:rFonts w:hint="default" w:ascii="Times New Roman" w:hAnsi="Times New Roman" w:eastAsia="宋体" w:cs="Times New Roman"/>
      <w:color w:val="000000"/>
      <w:sz w:val="24"/>
      <w:szCs w:val="24"/>
      <w:lang w:val="en-US" w:eastAsia="zh-CN" w:bidi="ar-SA"/>
    </w:rPr>
  </w:style>
  <w:style w:type="paragraph" w:customStyle="1" w:styleId="254">
    <w:name w:val="制表格"/>
    <w:basedOn w:val="1"/>
    <w:qFormat/>
    <w:uiPriority w:val="0"/>
    <w:pPr>
      <w:jc w:val="center"/>
    </w:pPr>
    <w:rPr>
      <w:rFonts w:ascii="Times New Roman" w:hAnsi="Times New Roman"/>
      <w:szCs w:val="28"/>
    </w:rPr>
  </w:style>
  <w:style w:type="paragraph" w:customStyle="1" w:styleId="255">
    <w:name w:val="正文格式"/>
    <w:basedOn w:val="1"/>
    <w:qFormat/>
    <w:uiPriority w:val="0"/>
    <w:pPr>
      <w:widowControl w:val="0"/>
      <w:spacing w:line="360" w:lineRule="auto"/>
      <w:ind w:firstLine="544"/>
      <w:jc w:val="both"/>
    </w:pPr>
    <w:rPr>
      <w:rFonts w:ascii="Calibri" w:hAnsi="Calibri" w:cs="宋体"/>
      <w:sz w:val="24"/>
      <w:szCs w:val="24"/>
    </w:rPr>
  </w:style>
  <w:style w:type="paragraph" w:customStyle="1" w:styleId="256">
    <w:name w:val="S报告正文"/>
    <w:basedOn w:val="1"/>
    <w:qFormat/>
    <w:uiPriority w:val="0"/>
    <w:pPr>
      <w:spacing w:line="480" w:lineRule="exact"/>
      <w:ind w:firstLine="510"/>
      <w:jc w:val="left"/>
    </w:pPr>
    <w:rPr>
      <w:sz w:val="24"/>
    </w:rPr>
  </w:style>
  <w:style w:type="paragraph" w:customStyle="1" w:styleId="257">
    <w:name w:val="南华表标题"/>
    <w:basedOn w:val="258"/>
    <w:qFormat/>
    <w:uiPriority w:val="0"/>
    <w:pPr>
      <w:tabs>
        <w:tab w:val="left" w:pos="3795"/>
      </w:tabs>
      <w:spacing w:before="156" w:after="156"/>
      <w:ind w:firstLine="0"/>
      <w:jc w:val="center"/>
    </w:pPr>
    <w:rPr>
      <w:b/>
    </w:rPr>
  </w:style>
  <w:style w:type="paragraph" w:customStyle="1" w:styleId="258">
    <w:name w:val="南华正文"/>
    <w:basedOn w:val="1"/>
    <w:qFormat/>
    <w:uiPriority w:val="0"/>
    <w:pPr>
      <w:tabs>
        <w:tab w:val="left" w:pos="3795"/>
      </w:tabs>
      <w:spacing w:line="360" w:lineRule="auto"/>
      <w:ind w:firstLine="482"/>
      <w:jc w:val="left"/>
    </w:pPr>
    <w:rPr>
      <w:color w:val="000000"/>
      <w:sz w:val="24"/>
      <w:szCs w:val="20"/>
    </w:rPr>
  </w:style>
  <w:style w:type="paragraph" w:customStyle="1" w:styleId="259">
    <w:name w:val="正文文本 (2)3"/>
    <w:basedOn w:val="1"/>
    <w:qFormat/>
    <w:uiPriority w:val="0"/>
    <w:pPr>
      <w:widowControl w:val="0"/>
      <w:shd w:val="clear" w:color="auto" w:fill="FFFFFF"/>
      <w:spacing w:line="466" w:lineRule="exact"/>
      <w:jc w:val="both"/>
    </w:pPr>
    <w:rPr>
      <w:rFonts w:ascii="宋体" w:hAnsi="宋体" w:eastAsia="宋体" w:cs="宋体"/>
      <w:sz w:val="22"/>
      <w:szCs w:val="22"/>
      <w:u w:val="none"/>
    </w:rPr>
  </w:style>
  <w:style w:type="paragraph" w:customStyle="1" w:styleId="260">
    <w:name w:val="报告表格"/>
    <w:basedOn w:val="1"/>
    <w:qFormat/>
    <w:uiPriority w:val="0"/>
    <w:pPr>
      <w:spacing w:before="40" w:after="40"/>
      <w:jc w:val="center"/>
    </w:pPr>
    <w:rPr>
      <w:rFonts w:ascii="Times New Roman" w:hAnsi="Times New Roman"/>
    </w:rPr>
  </w:style>
  <w:style w:type="paragraph" w:customStyle="1" w:styleId="261">
    <w:name w:val="Table Paragraph"/>
    <w:basedOn w:val="1"/>
    <w:qFormat/>
    <w:uiPriority w:val="1"/>
    <w:pPr>
      <w:spacing w:line="240" w:lineRule="auto"/>
      <w:ind w:firstLine="0"/>
      <w:jc w:val="left"/>
    </w:pPr>
    <w:rPr>
      <w:rFonts w:ascii="宋体" w:hAnsi="宋体" w:cs="宋体"/>
      <w:sz w:val="22"/>
      <w:szCs w:val="22"/>
      <w:lang w:eastAsia="en-US"/>
    </w:rPr>
  </w:style>
  <w:style w:type="paragraph" w:styleId="262">
    <w:name w:val="No Spacing"/>
    <w:basedOn w:val="1"/>
    <w:qFormat/>
    <w:uiPriority w:val="0"/>
    <w:pPr>
      <w:spacing w:line="360" w:lineRule="auto"/>
      <w:jc w:val="center"/>
    </w:pPr>
    <w:rPr>
      <w:rFonts w:ascii="Times New Roman" w:hAnsi="Times New Roman"/>
      <w:sz w:val="24"/>
      <w:szCs w:val="24"/>
    </w:rPr>
  </w:style>
  <w:style w:type="paragraph" w:customStyle="1" w:styleId="263">
    <w:name w:val="B表头"/>
    <w:basedOn w:val="1"/>
    <w:qFormat/>
    <w:uiPriority w:val="0"/>
    <w:pPr>
      <w:spacing w:before="50"/>
      <w:jc w:val="center"/>
    </w:pPr>
    <w:rPr>
      <w:rFonts w:ascii="Times New Roman" w:hAnsi="Times New Roman" w:eastAsia="宋体" w:cs="Times New Roman"/>
      <w:b/>
      <w:sz w:val="24"/>
      <w:szCs w:val="24"/>
    </w:rPr>
  </w:style>
  <w:style w:type="paragraph" w:customStyle="1" w:styleId="264">
    <w:name w:val="KM_二级标题"/>
    <w:basedOn w:val="182"/>
    <w:next w:val="1"/>
    <w:qFormat/>
    <w:uiPriority w:val="0"/>
    <w:pPr>
      <w:numPr>
        <w:ilvl w:val="1"/>
        <w:numId w:val="1"/>
      </w:numPr>
      <w:spacing w:before="300" w:after="0" w:line="360" w:lineRule="auto"/>
      <w:ind w:firstLine="0"/>
    </w:pPr>
    <w:rPr>
      <w:rFonts w:ascii="Arial" w:hAnsi="Arial" w:eastAsia="黑体"/>
      <w:b w:val="0"/>
      <w:sz w:val="28"/>
      <w:szCs w:val="28"/>
    </w:rPr>
  </w:style>
  <w:style w:type="paragraph" w:customStyle="1" w:styleId="265">
    <w:name w:val="无间隔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66">
    <w:name w:val="正文环评"/>
    <w:basedOn w:val="1"/>
    <w:qFormat/>
    <w:uiPriority w:val="0"/>
    <w:rPr>
      <w:szCs w:val="22"/>
    </w:rPr>
  </w:style>
  <w:style w:type="paragraph" w:customStyle="1" w:styleId="267">
    <w:name w:val="正文1"/>
    <w:basedOn w:val="1"/>
    <w:next w:val="1"/>
    <w:qFormat/>
    <w:uiPriority w:val="0"/>
    <w:pPr>
      <w:spacing w:line="360" w:lineRule="auto"/>
      <w:ind w:firstLine="200"/>
    </w:pPr>
    <w:rPr>
      <w:rFonts w:ascii="Times New Roman" w:hAnsi="Times New Roman"/>
      <w:sz w:val="24"/>
      <w:szCs w:val="22"/>
    </w:rPr>
  </w:style>
  <w:style w:type="paragraph" w:customStyle="1" w:styleId="268">
    <w:name w:val="1、正文文本"/>
    <w:next w:val="1"/>
    <w:qFormat/>
    <w:uiPriority w:val="0"/>
    <w:pPr>
      <w:spacing w:line="360" w:lineRule="auto"/>
      <w:ind w:firstLine="200"/>
      <w:jc w:val="both"/>
    </w:pPr>
    <w:rPr>
      <w:rFonts w:hint="default" w:ascii="Times New Roman" w:hAnsi="Times New Roman" w:eastAsia="宋体" w:cs="宋体"/>
      <w:sz w:val="24"/>
      <w:lang w:val="en-US" w:eastAsia="zh-CN" w:bidi="ar-SA"/>
    </w:rPr>
  </w:style>
  <w:style w:type="paragraph" w:customStyle="1" w:styleId="269">
    <w:name w:val="表格内容！"/>
    <w:basedOn w:val="1"/>
    <w:qFormat/>
    <w:uiPriority w:val="0"/>
    <w:pPr>
      <w:widowControl/>
      <w:spacing w:line="0" w:lineRule="atLeast"/>
      <w:ind w:firstLine="0"/>
      <w:jc w:val="center"/>
    </w:pPr>
    <w:rPr>
      <w:sz w:val="21"/>
    </w:rPr>
  </w:style>
  <w:style w:type="paragraph" w:customStyle="1" w:styleId="270">
    <w:name w:val="p16"/>
    <w:basedOn w:val="1"/>
    <w:qFormat/>
    <w:uiPriority w:val="0"/>
    <w:pPr>
      <w:widowControl/>
      <w:spacing w:line="540" w:lineRule="atLeast"/>
      <w:ind w:firstLine="420"/>
    </w:pPr>
    <w:rPr>
      <w:sz w:val="28"/>
      <w:szCs w:val="28"/>
    </w:rPr>
  </w:style>
  <w:style w:type="paragraph" w:customStyle="1" w:styleId="271">
    <w:name w:val="Default1"/>
    <w:qFormat/>
    <w:uiPriority w:val="0"/>
    <w:pPr>
      <w:widowControl w:val="0"/>
    </w:pPr>
    <w:rPr>
      <w:rFonts w:hint="default" w:ascii="宋体" w:hAnsi="Times New Roman" w:eastAsia="宋体" w:cs="宋体"/>
      <w:color w:val="000000"/>
      <w:sz w:val="24"/>
      <w:szCs w:val="24"/>
      <w:lang w:val="en-US" w:eastAsia="zh-CN" w:bidi="ar-SA"/>
    </w:rPr>
  </w:style>
  <w:style w:type="paragraph" w:customStyle="1" w:styleId="272">
    <w:name w:val="样式21"/>
    <w:basedOn w:val="1"/>
    <w:qFormat/>
    <w:uiPriority w:val="0"/>
    <w:pPr>
      <w:spacing w:line="480" w:lineRule="exact"/>
      <w:ind w:firstLine="520"/>
    </w:pPr>
    <w:rPr>
      <w:color w:val="000000"/>
      <w:sz w:val="26"/>
      <w:szCs w:val="26"/>
    </w:rPr>
  </w:style>
  <w:style w:type="table" w:customStyle="1" w:styleId="273">
    <w:name w:val="Table Normal"/>
    <w:unhideWhenUsed/>
    <w:qFormat/>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274">
    <w:name w:val="表格标准格式"/>
    <w:basedOn w:val="186"/>
    <w:qFormat/>
    <w:uiPriority w:val="99"/>
    <w:pPr>
      <w:jc w:val="center"/>
    </w:pPr>
    <w:rPr>
      <w:rFonts w:ascii="Times New Roman" w:hAnsi="Times New Roman" w:eastAsia="宋体"/>
    </w:rP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standalone="yes"?>
<Relationships xmlns="http://schemas.openxmlformats.org/package/2006/relationships"><Relationship Id="rId9" Type="http://schemas.openxmlformats.org/officeDocument/2006/relationships/package" Target="embeddings/oleObject1.bin"/><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emf"/><Relationship Id="rId11" Type="http://schemas.openxmlformats.org/officeDocument/2006/relationships/package" Target="embeddings/oleObject2.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Template>
  <Company>微软</Company>
  <Pages>64</Pages>
  <Words>302</Words>
  <Characters>332</Characters>
  <TotalTime>1</TotalTime>
  <ScaleCrop>false</ScaleCrop>
  <LinksUpToDate>false</LinksUpToDate>
  <CharactersWithSpaces>377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dc:creator>
  <cp:lastModifiedBy>ASUS</cp:lastModifiedBy>
  <dcterms:modified xsi:type="dcterms:W3CDTF">2025-04-13T14:12:55Z</dcterms:modified>
  <dc:title>附件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eyJoZGlkIjoiNGU5YTk2NWU3OTRhNTU0YjZlNWE0ODExMjY4YzM0MTgifQ==</vt:lpwstr>
  </property>
  <property fmtid="{D5CDD505-2E9C-101B-9397-08002B2CF9AE}" pid="3" name="KSOProductBuildVer">
    <vt:lpwstr>2052-12.1.0.20305</vt:lpwstr>
  </property>
  <property fmtid="{D5CDD505-2E9C-101B-9397-08002B2CF9AE}" pid="4" name="ICV">
    <vt:lpwstr>1FF8DD70FDBB4F6BB67F3BCBBDA53EFE_12</vt:lpwstr>
  </property>
</Properties>
</file>